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31" w:rsidRPr="00C249C9" w:rsidRDefault="007B4431" w:rsidP="00A1395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249C9">
        <w:rPr>
          <w:rFonts w:ascii="Times New Roman" w:eastAsia="Calibri" w:hAnsi="Times New Roman" w:cs="Times New Roman"/>
          <w:b/>
          <w:i/>
          <w:sz w:val="28"/>
          <w:szCs w:val="28"/>
        </w:rPr>
        <w:t>Основные тезисы заместителя Председателя Национального Банка</w:t>
      </w:r>
    </w:p>
    <w:p w:rsidR="007B4431" w:rsidRPr="00C249C9" w:rsidRDefault="007B4431" w:rsidP="00A139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9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Алии Молдабековой о </w:t>
      </w:r>
      <w:r w:rsidRPr="00C249C9">
        <w:rPr>
          <w:rFonts w:ascii="Times New Roman" w:hAnsi="Times New Roman" w:cs="Times New Roman"/>
          <w:b/>
          <w:i/>
          <w:sz w:val="28"/>
          <w:szCs w:val="28"/>
        </w:rPr>
        <w:t xml:space="preserve">динамике курса тенге и последних тенденциях на финансовых рынках    </w:t>
      </w:r>
    </w:p>
    <w:p w:rsidR="007B4431" w:rsidRPr="00C249C9" w:rsidRDefault="007B4431" w:rsidP="00A13952">
      <w:pPr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B4431" w:rsidRPr="00C249C9" w:rsidRDefault="007B4431" w:rsidP="00A13952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0BD4" w:rsidRDefault="007B4431" w:rsidP="00A13952">
      <w:pPr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49C9">
        <w:rPr>
          <w:rFonts w:ascii="Times New Roman" w:hAnsi="Times New Roman" w:cs="Times New Roman"/>
          <w:b/>
          <w:sz w:val="28"/>
          <w:szCs w:val="28"/>
        </w:rPr>
        <w:t xml:space="preserve">Об основных событиях, повлиявших на динамику внешних рынков в </w:t>
      </w:r>
      <w:r w:rsidR="00702BCC">
        <w:rPr>
          <w:rFonts w:ascii="Times New Roman" w:hAnsi="Times New Roman" w:cs="Times New Roman"/>
          <w:b/>
          <w:sz w:val="28"/>
          <w:szCs w:val="28"/>
          <w:lang w:val="kk-KZ"/>
        </w:rPr>
        <w:t>ноябре</w:t>
      </w:r>
    </w:p>
    <w:p w:rsidR="00317ED6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>В прошлом месяце отдельные члены комитета по открытым рынкам ФРС США заявили о возможности начала цикла снижения процентных ставок пр</w:t>
      </w:r>
      <w:r w:rsidR="005562F5">
        <w:rPr>
          <w:rFonts w:ascii="Times New Roman" w:hAnsi="Times New Roman" w:cs="Times New Roman"/>
          <w:sz w:val="28"/>
          <w:szCs w:val="28"/>
        </w:rPr>
        <w:t xml:space="preserve">и стабильном снижении инфляции. </w:t>
      </w:r>
      <w:r w:rsidRPr="00702BCC">
        <w:rPr>
          <w:rFonts w:ascii="Times New Roman" w:hAnsi="Times New Roman" w:cs="Times New Roman"/>
          <w:sz w:val="28"/>
          <w:szCs w:val="28"/>
        </w:rPr>
        <w:t>Такая риторика в сочетании со статистическими данными ослабил</w:t>
      </w:r>
      <w:r w:rsidRPr="00702BC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02BCC">
        <w:rPr>
          <w:rFonts w:ascii="Times New Roman" w:hAnsi="Times New Roman" w:cs="Times New Roman"/>
          <w:sz w:val="28"/>
          <w:szCs w:val="28"/>
        </w:rPr>
        <w:t xml:space="preserve"> индекс доллара DXY почти на 3%.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Годовая инфляция в </w:t>
      </w:r>
      <w:r w:rsidRPr="00702BCC">
        <w:rPr>
          <w:rFonts w:ascii="Times New Roman" w:hAnsi="Times New Roman" w:cs="Times New Roman"/>
          <w:sz w:val="28"/>
          <w:szCs w:val="28"/>
          <w:lang w:val="kk-KZ"/>
        </w:rPr>
        <w:t xml:space="preserve">США </w:t>
      </w:r>
      <w:r w:rsidRPr="00702BCC">
        <w:rPr>
          <w:rFonts w:ascii="Times New Roman" w:hAnsi="Times New Roman" w:cs="Times New Roman"/>
          <w:sz w:val="28"/>
          <w:szCs w:val="28"/>
        </w:rPr>
        <w:t xml:space="preserve">снизилась с 3,7% до 3,2 %, уровень безработицы вырос с 3,8% до 3,9%, а число заявок на пособие по безработице выросло с 210 000 до 217 000, тогда как аналитики не ожидали изменений.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На этом фоне ноябрь стал одним из лучших месяцев для американского фондового рынка за последние полтора года. Индекс S&amp;P 500 за месяц прибавил 8,9%, увеличившись с 4193,80 до 4567,8 пунктов, а глобальный индекс акций MSCI World за аналогичный период вырос на 9,2%.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Оптимизм затронул весь финансовый рынок, индекс страха VIX снизился на 28,8%. Это затронуло и безрисковые активы. Так, индекс </w:t>
      </w:r>
      <w:r w:rsidRPr="00702BCC">
        <w:rPr>
          <w:rFonts w:ascii="Times New Roman" w:hAnsi="Times New Roman" w:cs="Times New Roman"/>
          <w:sz w:val="28"/>
          <w:szCs w:val="28"/>
          <w:lang w:val="kk-KZ"/>
        </w:rPr>
        <w:t xml:space="preserve">доходностей </w:t>
      </w:r>
      <w:r w:rsidRPr="00702BCC">
        <w:rPr>
          <w:rFonts w:ascii="Times New Roman" w:hAnsi="Times New Roman" w:cs="Times New Roman"/>
          <w:sz w:val="28"/>
          <w:szCs w:val="28"/>
        </w:rPr>
        <w:t xml:space="preserve">двухлетних казначейских облигаций США снизился на 8%, а десятилетних на 12,3%.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Ноябрь оказался благоприятным месяцем для развивающихся экономик. За прошедший месяц индекс валют развивающихся стран вырос на 2%. Тенге за этот период укрепился на 2,4%, до 458,24.  Это было связано с периодом налоговых выплат.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Поддержку тенге также оказывали снижающийся уровень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долларизации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депозитов и объем продаж из Национального фонда, который в октябре-ноябре был выше среднего по сравнению с предыдущими периодами. Это связано с приобретением акций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КазМунайГаза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>. При этом валютные интервенции с начала года не проводились.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На нефтяном рынке в ноябре наблюдалась повышенная волатильность на фоне ожиданий встречи ОПЕК+ и ее дальнейшего переноса. Несмотря на решение ОПЕК+ о добровольном снижении объема экспорта и добычи нефти, по итогам ноября цена за баррель нефти марки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Brent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снизилась на 5,2%. Заявления о добровольном сокращении добычи нефти не убедили рынок. Аналитики считают, что при снижающемся спросе и повышенной добыче со стороны США договоренности, принятые ОПЕК+, не окажутся достаточными. На этом фоне цена на нефть в начале декабря опускалась ниже 74 долларов за баррель.</w:t>
      </w:r>
    </w:p>
    <w:p w:rsidR="0049051A" w:rsidRPr="00702BCC" w:rsidRDefault="0049051A" w:rsidP="00A13952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6BE9" w:rsidRDefault="00236BE9" w:rsidP="00702BCC">
      <w:pPr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236BE9" w:rsidRDefault="00236BE9" w:rsidP="00702BCC">
      <w:pPr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702BCC" w:rsidRDefault="00702BCC" w:rsidP="00702BCC">
      <w:pPr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C249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динамике золотовалютных резервов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Национального Банка 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>По итогам ноября, по предварительным данным, объем ЗВР составил 34,1 млрд долларов, увеличившись за месяц на 131 млн долларов. Позитивным фактором, несомненно, стал рост «золотых» котировок. Цена на золото в ноябре выросла с 1998 до 2038 долларов за унцию. При этом рост цены на драгоценный металл обусловлен резким ухудшением геополитической ситуации в мире, в частности, из-за конфликта на Ближнем Востоке.</w:t>
      </w:r>
    </w:p>
    <w:p w:rsid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Эффект от роста цен на золото был нивелирован выплатой госдолга в объеме более 750 млн долларов. </w:t>
      </w:r>
    </w:p>
    <w:p w:rsid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02BCC" w:rsidRDefault="00702BCC" w:rsidP="00702BCC">
      <w:pPr>
        <w:spacing w:line="240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249C9">
        <w:rPr>
          <w:rFonts w:ascii="Times New Roman" w:hAnsi="Times New Roman" w:cs="Times New Roman"/>
          <w:b/>
          <w:bCs/>
          <w:sz w:val="28"/>
          <w:szCs w:val="28"/>
        </w:rPr>
        <w:t xml:space="preserve">О факторах, повлиявших на объем валютных активов Национального фонда в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ноябре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Объем валютных активов Национального фонда, согласно предварительным данным, на конец ноября составил 58,6 млрд долларов США, увеличившись за прошедший месяц на сумму порядка 2,3 млрд долларов США. В целом за первые 11 месяцев текущего года в Нацфонде сложился положительный инвестиционный доход в размере 4,4 млрд долларов США.   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>Ноябрь ознаменовался восстановлением финансовых рынков на фоне роста оптимизма инвесторов, вызванного уверенностью в том, что ФРС вскоре начнет смягчать свою монетарную политику. Таким образом, тезис ФРС по ставке - «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longer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>», который ранее в начале осени привел к распродажам во всех классах активов, более не доминировал на рынке после появления признаков ослабления инфляции в США. В результате ралли на рынках акций, облигаций, а также золота положительно отразилось на инвестиционном доходе Национального фонда в ноябре, который составил порядка 2,5 млрд долларов США. Это лучший месяц с начала текущего года.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Трансферты в республиканский бюджет в ноябре из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Нацфонда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составили 237,3 млрд тенге. Кроме того, в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Нацфонд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были приобретены акции национальной компании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на сумму 550 млрд тенге для финансирования республиканского бюджета. В целях реализации указанных операций на внутреннем валютном рынке было равномерно продано иностранной валюты на 1,3 млрд долларов США.</w:t>
      </w:r>
    </w:p>
    <w:p w:rsid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Дополнительным фактором роста валютных активов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Нацфонда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в ноябре стали валютные поступления на сумму порядка 1,1 млрд долларов США, которые существенно выросли, в том числе из-за налоговых платежей от компаний нефтегазового сектора.</w:t>
      </w:r>
    </w:p>
    <w:p w:rsid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02BCC" w:rsidRPr="00A13952" w:rsidRDefault="00702BCC" w:rsidP="00702BCC">
      <w:pPr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24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BCC">
        <w:rPr>
          <w:rFonts w:ascii="Times New Roman" w:hAnsi="Times New Roman" w:cs="Times New Roman"/>
          <w:b/>
          <w:sz w:val="28"/>
          <w:szCs w:val="28"/>
        </w:rPr>
        <w:t>механи</w:t>
      </w:r>
      <w:r>
        <w:rPr>
          <w:rFonts w:ascii="Times New Roman" w:hAnsi="Times New Roman" w:cs="Times New Roman"/>
          <w:b/>
          <w:sz w:val="28"/>
          <w:szCs w:val="28"/>
        </w:rPr>
        <w:t>зме инвестирования средств ЕНПФ</w:t>
      </w:r>
      <w:r w:rsidRPr="00702BCC">
        <w:rPr>
          <w:rFonts w:ascii="Times New Roman" w:hAnsi="Times New Roman" w:cs="Times New Roman"/>
          <w:b/>
          <w:sz w:val="28"/>
          <w:szCs w:val="28"/>
        </w:rPr>
        <w:t xml:space="preserve"> в инфраструктуру</w:t>
      </w:r>
    </w:p>
    <w:p w:rsidR="00702BCC" w:rsidRPr="00702BCC" w:rsidRDefault="00E87170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02BCC" w:rsidRPr="00702BCC">
        <w:rPr>
          <w:rFonts w:ascii="Times New Roman" w:hAnsi="Times New Roman" w:cs="Times New Roman"/>
          <w:sz w:val="28"/>
          <w:szCs w:val="28"/>
        </w:rPr>
        <w:t xml:space="preserve">енсионные активы ЕНПФ не изымаются и не расходуются, а постоянно инвестируются на рыночных условиях как в зарубежные активы, так и активы внутри страны. Это стандартная практика, аналогичным образом средства вкладываются пенсионными фондами во всем мире. Важно, что данные </w:t>
      </w:r>
      <w:r w:rsidR="00702BCC" w:rsidRPr="00702BCC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 приносят инвестиционный доход. Он распределяется между вкладчиками, тем самым сохраняя и приумножая их пенсионные накопления.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>Текущий объем пенсионных активов составляет 17,3 трлн тенге, из которых порядка 70% инвестировано на локальном рынке. В основном это инвестиции в государственные ценные бумаги Республики Казахстан, ценные бумаги субъектов квазигосударственного сектора и других казахстанских эмитентов. Около 30% пенсионных активов инвестировано на зарубежных финансовых рынках в такие основные классы активов, как государственные ценные бумаги развитых и развивающихся стран, корпоративные облигации инвестиционного уровня и глобальные акции. Таким образом, ЕНПФ является крупным институциональным инвестором в экономику Казахстана. В этом плане такие инвестиции нужно воспринимать положительно, так как деньги казахстанцев в первую очередь должны работать на нашу экономику. Это обеспечивает не только получение стабильного инвестиционного дохода на пенсионные накопления вкладчиков, но и способствуют социально-экономическому развитию страны. Так, например, за 11 месяцев 2023 года инвестиционный доход по пенсионным активам ЕНПФ составил 1 279,4 млрд тенге.</w:t>
      </w:r>
    </w:p>
    <w:p w:rsidR="00E40BD4" w:rsidRPr="00E40BD4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 xml:space="preserve">В 2023-2024гг. часть свободной ликвидности по пенсионным активам ЕНПФ планируется инвестировать в облигации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квазигосударственных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компаний АО «НУХ «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>» и АО «ФНБ «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Самрук-Қазына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>», которые являются надежными эмитентами, имеющими высокие рейтинговые оценки от международных рейтинговых агентств на уровне «ВВВ». Это сопоставимо с суверенными рейтингами Казахстана. Если говорить о самом механизме инвестирования, то АО «НУХ «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>» и АО «ФНБ «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Самрук-Қазына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>» выпустят облигации на рыночных условиях, а ЕНПФ вложит средства в эти ценные бумаги. Данный механизм является полностью прозрачным. Облигации будут размещаться на Казахстанской фондовой бирже, где помимо ЕНПФ смогут принять участие все заинтересованные инвесторы. В свою очередь, уже сами квазигосударственные компании направят их на финансирование крупных проектов в обрабатывающей промышленности и других важных для экономики отраслях.</w:t>
      </w:r>
    </w:p>
    <w:p w:rsidR="00B55A23" w:rsidRPr="001E1F9B" w:rsidRDefault="00B55A23" w:rsidP="00A13952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A2B1E" w:rsidRPr="00F76BBA" w:rsidRDefault="007B4431" w:rsidP="00A13952">
      <w:pPr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FB01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6BBA">
        <w:rPr>
          <w:rFonts w:ascii="Times New Roman" w:hAnsi="Times New Roman" w:cs="Times New Roman"/>
          <w:b/>
          <w:sz w:val="28"/>
          <w:szCs w:val="28"/>
        </w:rPr>
        <w:t>дальнейшей динамике</w:t>
      </w:r>
      <w:r w:rsidR="00BB503B" w:rsidRPr="00FB01DC">
        <w:rPr>
          <w:rFonts w:ascii="Times New Roman" w:hAnsi="Times New Roman" w:cs="Times New Roman"/>
          <w:b/>
          <w:sz w:val="28"/>
          <w:szCs w:val="28"/>
        </w:rPr>
        <w:t xml:space="preserve"> на финансовых </w:t>
      </w:r>
      <w:r w:rsidR="00AA2B1E" w:rsidRPr="00FB01DC">
        <w:rPr>
          <w:rFonts w:ascii="Times New Roman" w:hAnsi="Times New Roman" w:cs="Times New Roman"/>
          <w:b/>
          <w:sz w:val="28"/>
          <w:szCs w:val="28"/>
        </w:rPr>
        <w:t xml:space="preserve">рынках 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>Ключевым аспектом неопределенности на рынках является геополитическая ситуация. Риски глобальной рецессии, подкрепленные нестабильной инфляцией, сохраняются.</w:t>
      </w:r>
    </w:p>
    <w:p w:rsidR="00702BCC" w:rsidRPr="00702BCC" w:rsidRDefault="00702BCC" w:rsidP="00702BC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02BCC">
        <w:rPr>
          <w:rFonts w:ascii="Times New Roman" w:hAnsi="Times New Roman" w:cs="Times New Roman"/>
          <w:sz w:val="28"/>
          <w:szCs w:val="28"/>
        </w:rPr>
        <w:t>Несмотря на позитивные ожидания рынка, председатель ФРС Джеро</w:t>
      </w:r>
      <w:r w:rsidR="00453365">
        <w:rPr>
          <w:rFonts w:ascii="Times New Roman" w:hAnsi="Times New Roman" w:cs="Times New Roman"/>
          <w:sz w:val="28"/>
          <w:szCs w:val="28"/>
        </w:rPr>
        <w:t>м Пауэлл продолжает придерживать</w:t>
      </w:r>
      <w:r w:rsidRPr="00702BCC">
        <w:rPr>
          <w:rFonts w:ascii="Times New Roman" w:hAnsi="Times New Roman" w:cs="Times New Roman"/>
          <w:sz w:val="28"/>
          <w:szCs w:val="28"/>
        </w:rPr>
        <w:t xml:space="preserve">ся ограничительной денежно-кредитной политики. При этом он не исключает дальнейшего повышения ставки ФРС. Ожидания экспертов по динамике цен на нефть в основном остались неизменными по сравнению с прогнозами предыдущего месяца. Так,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t>Goldman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BCC">
        <w:rPr>
          <w:rFonts w:ascii="Times New Roman" w:hAnsi="Times New Roman" w:cs="Times New Roman"/>
          <w:sz w:val="28"/>
          <w:szCs w:val="28"/>
        </w:rPr>
        <w:lastRenderedPageBreak/>
        <w:t>Sachs</w:t>
      </w:r>
      <w:proofErr w:type="spellEnd"/>
      <w:r w:rsidRPr="00702BCC">
        <w:rPr>
          <w:rFonts w:ascii="Times New Roman" w:hAnsi="Times New Roman" w:cs="Times New Roman"/>
          <w:sz w:val="28"/>
          <w:szCs w:val="28"/>
        </w:rPr>
        <w:t xml:space="preserve"> сохранил свой прогноз на уровне 83 долларов США за баррель в 2023 году. Минэнерго США существенно не изменил прогноз на 2023 год, оставив его на уровне 84 долларов США за баррель.</w:t>
      </w:r>
    </w:p>
    <w:p w:rsidR="00BB79F2" w:rsidRPr="00F76BBA" w:rsidRDefault="00BB79F2" w:rsidP="00A13952">
      <w:pPr>
        <w:spacing w:line="240" w:lineRule="auto"/>
        <w:ind w:left="0"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B79F2" w:rsidRPr="00F76BBA" w:rsidSect="001E68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14A"/>
    <w:multiLevelType w:val="hybridMultilevel"/>
    <w:tmpl w:val="1764C010"/>
    <w:lvl w:ilvl="0" w:tplc="D30E70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E4C"/>
    <w:multiLevelType w:val="hybridMultilevel"/>
    <w:tmpl w:val="90720400"/>
    <w:lvl w:ilvl="0" w:tplc="CA92E5AC">
      <w:numFmt w:val="bullet"/>
      <w:lvlText w:val="–"/>
      <w:lvlJc w:val="left"/>
      <w:pPr>
        <w:ind w:left="1069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5"/>
    <w:rsid w:val="0001141E"/>
    <w:rsid w:val="000A1F96"/>
    <w:rsid w:val="00151EE7"/>
    <w:rsid w:val="001D2755"/>
    <w:rsid w:val="001E1F9B"/>
    <w:rsid w:val="00236BE9"/>
    <w:rsid w:val="00237911"/>
    <w:rsid w:val="00243884"/>
    <w:rsid w:val="00282049"/>
    <w:rsid w:val="0029736A"/>
    <w:rsid w:val="002E1B7D"/>
    <w:rsid w:val="002E6AE3"/>
    <w:rsid w:val="00314058"/>
    <w:rsid w:val="00317ED6"/>
    <w:rsid w:val="003250FC"/>
    <w:rsid w:val="00336DA1"/>
    <w:rsid w:val="00371BE6"/>
    <w:rsid w:val="003B02D5"/>
    <w:rsid w:val="003B7295"/>
    <w:rsid w:val="003C26F7"/>
    <w:rsid w:val="003E73CE"/>
    <w:rsid w:val="004331FA"/>
    <w:rsid w:val="00453365"/>
    <w:rsid w:val="0049051A"/>
    <w:rsid w:val="00492C7C"/>
    <w:rsid w:val="00517A88"/>
    <w:rsid w:val="005326B2"/>
    <w:rsid w:val="00532EA9"/>
    <w:rsid w:val="0055042B"/>
    <w:rsid w:val="005562F5"/>
    <w:rsid w:val="00595505"/>
    <w:rsid w:val="005A7212"/>
    <w:rsid w:val="005C292F"/>
    <w:rsid w:val="005D7B0C"/>
    <w:rsid w:val="005F56F9"/>
    <w:rsid w:val="00603DDA"/>
    <w:rsid w:val="00633556"/>
    <w:rsid w:val="006425FE"/>
    <w:rsid w:val="00656342"/>
    <w:rsid w:val="006578F1"/>
    <w:rsid w:val="006670E2"/>
    <w:rsid w:val="0070249F"/>
    <w:rsid w:val="00702BCC"/>
    <w:rsid w:val="007657AA"/>
    <w:rsid w:val="007A518A"/>
    <w:rsid w:val="007B4431"/>
    <w:rsid w:val="007E3DF5"/>
    <w:rsid w:val="007E5A64"/>
    <w:rsid w:val="007E7B05"/>
    <w:rsid w:val="00845444"/>
    <w:rsid w:val="008937E6"/>
    <w:rsid w:val="008E35A5"/>
    <w:rsid w:val="00902DCF"/>
    <w:rsid w:val="009C352B"/>
    <w:rsid w:val="00A13952"/>
    <w:rsid w:val="00A16F88"/>
    <w:rsid w:val="00A1775B"/>
    <w:rsid w:val="00A354E3"/>
    <w:rsid w:val="00A414B0"/>
    <w:rsid w:val="00A43EE4"/>
    <w:rsid w:val="00AA2B1E"/>
    <w:rsid w:val="00AE340E"/>
    <w:rsid w:val="00AE701E"/>
    <w:rsid w:val="00B11D65"/>
    <w:rsid w:val="00B55A23"/>
    <w:rsid w:val="00B707C0"/>
    <w:rsid w:val="00BB503B"/>
    <w:rsid w:val="00BB79F2"/>
    <w:rsid w:val="00BD7C95"/>
    <w:rsid w:val="00BE1F4F"/>
    <w:rsid w:val="00BF5C05"/>
    <w:rsid w:val="00C01271"/>
    <w:rsid w:val="00C15921"/>
    <w:rsid w:val="00C1767E"/>
    <w:rsid w:val="00C249C9"/>
    <w:rsid w:val="00C24BA0"/>
    <w:rsid w:val="00C83B55"/>
    <w:rsid w:val="00CB50EF"/>
    <w:rsid w:val="00CF3335"/>
    <w:rsid w:val="00D81A69"/>
    <w:rsid w:val="00E3123F"/>
    <w:rsid w:val="00E40BD4"/>
    <w:rsid w:val="00E473F7"/>
    <w:rsid w:val="00E805EF"/>
    <w:rsid w:val="00E87170"/>
    <w:rsid w:val="00EB3131"/>
    <w:rsid w:val="00EF3932"/>
    <w:rsid w:val="00F4432C"/>
    <w:rsid w:val="00F70088"/>
    <w:rsid w:val="00F76BBA"/>
    <w:rsid w:val="00F9407F"/>
    <w:rsid w:val="00FB01DC"/>
    <w:rsid w:val="00FC4EAA"/>
    <w:rsid w:val="00FD49AD"/>
    <w:rsid w:val="00FE278C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6A87"/>
  <w15:chartTrackingRefBased/>
  <w15:docId w15:val="{1840A25F-7DF5-478C-858A-789C385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1"/>
    <w:pPr>
      <w:spacing w:after="0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B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Абдирова</dc:creator>
  <cp:keywords/>
  <dc:description/>
  <cp:lastModifiedBy>Зухра Окенова</cp:lastModifiedBy>
  <cp:revision>82</cp:revision>
  <cp:lastPrinted>2023-12-11T09:02:00Z</cp:lastPrinted>
  <dcterms:created xsi:type="dcterms:W3CDTF">2022-10-11T05:29:00Z</dcterms:created>
  <dcterms:modified xsi:type="dcterms:W3CDTF">2023-12-11T09:02:00Z</dcterms:modified>
</cp:coreProperties>
</file>