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3A" w:rsidRPr="005708FA" w:rsidRDefault="008A103A" w:rsidP="008A103A">
      <w:pPr>
        <w:spacing w:after="0" w:line="240" w:lineRule="auto"/>
        <w:ind w:left="4253" w:firstLine="567"/>
        <w:rPr>
          <w:bCs/>
          <w:sz w:val="28"/>
          <w:szCs w:val="28"/>
          <w:lang w:val="kk-KZ" w:eastAsia="ru-RU"/>
        </w:rPr>
      </w:pPr>
      <w:r w:rsidRPr="005708FA">
        <w:rPr>
          <w:bCs/>
          <w:sz w:val="28"/>
          <w:szCs w:val="28"/>
          <w:lang w:val="kk-KZ" w:eastAsia="ru-RU"/>
        </w:rPr>
        <w:t xml:space="preserve">Қазақстан Республикасының ішкі </w:t>
      </w:r>
    </w:p>
    <w:p w:rsidR="008A103A" w:rsidRPr="005708FA" w:rsidRDefault="008A103A" w:rsidP="008A103A">
      <w:pPr>
        <w:spacing w:after="0" w:line="240" w:lineRule="auto"/>
        <w:ind w:left="4253" w:firstLine="567"/>
        <w:rPr>
          <w:bCs/>
          <w:sz w:val="28"/>
          <w:szCs w:val="28"/>
          <w:lang w:val="kk-KZ" w:eastAsia="ru-RU"/>
        </w:rPr>
      </w:pPr>
      <w:r w:rsidRPr="005708FA">
        <w:rPr>
          <w:bCs/>
          <w:sz w:val="28"/>
          <w:szCs w:val="28"/>
          <w:lang w:val="kk-KZ" w:eastAsia="ru-RU"/>
        </w:rPr>
        <w:t xml:space="preserve">валюта нарығында сұраныс пен ұсыныс </w:t>
      </w:r>
    </w:p>
    <w:p w:rsidR="008A103A" w:rsidRPr="005708FA" w:rsidRDefault="008A103A" w:rsidP="008A103A">
      <w:pPr>
        <w:spacing w:after="0" w:line="240" w:lineRule="auto"/>
        <w:ind w:left="4253" w:firstLine="567"/>
        <w:rPr>
          <w:b/>
          <w:sz w:val="28"/>
          <w:szCs w:val="28"/>
          <w:lang w:val="kk-KZ" w:eastAsia="ru-RU"/>
        </w:rPr>
      </w:pPr>
      <w:r w:rsidRPr="005708FA">
        <w:rPr>
          <w:bCs/>
          <w:sz w:val="28"/>
          <w:szCs w:val="28"/>
          <w:lang w:val="kk-KZ" w:eastAsia="ru-RU"/>
        </w:rPr>
        <w:t>көздерін мониторингтеу қағидаларына</w:t>
      </w:r>
    </w:p>
    <w:p w:rsidR="008A103A" w:rsidRPr="005708FA" w:rsidRDefault="008A103A" w:rsidP="008A103A">
      <w:pPr>
        <w:spacing w:after="0" w:line="240" w:lineRule="auto"/>
        <w:ind w:left="4253" w:firstLine="567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 xml:space="preserve">5-қосымша </w:t>
      </w:r>
    </w:p>
    <w:p w:rsidR="008A103A" w:rsidRPr="005708FA" w:rsidRDefault="008A103A" w:rsidP="008A103A">
      <w:pPr>
        <w:spacing w:after="0" w:line="240" w:lineRule="auto"/>
        <w:ind w:left="4253"/>
        <w:rPr>
          <w:sz w:val="28"/>
          <w:szCs w:val="28"/>
          <w:lang w:val="kk-KZ" w:eastAsia="ru-RU"/>
        </w:rPr>
      </w:pPr>
    </w:p>
    <w:p w:rsidR="008A103A" w:rsidRPr="005708FA" w:rsidRDefault="008A103A" w:rsidP="008A103A">
      <w:pPr>
        <w:spacing w:after="0" w:line="240" w:lineRule="auto"/>
        <w:ind w:left="482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Әкімшілік деректерді</w:t>
      </w:r>
    </w:p>
    <w:p w:rsidR="008A103A" w:rsidRPr="005708FA" w:rsidRDefault="008A103A" w:rsidP="008A103A">
      <w:pPr>
        <w:spacing w:after="0" w:line="240" w:lineRule="auto"/>
        <w:ind w:left="482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жинауға арналған</w:t>
      </w:r>
    </w:p>
    <w:p w:rsidR="008A103A" w:rsidRPr="005708FA" w:rsidRDefault="008A103A" w:rsidP="008A103A">
      <w:pPr>
        <w:spacing w:after="0" w:line="240" w:lineRule="auto"/>
        <w:ind w:left="482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нысан</w:t>
      </w:r>
    </w:p>
    <w:p w:rsidR="008A103A" w:rsidRPr="005708FA" w:rsidRDefault="008A103A" w:rsidP="008A103A">
      <w:pPr>
        <w:spacing w:after="0" w:line="240" w:lineRule="auto"/>
        <w:ind w:left="4253"/>
        <w:rPr>
          <w:sz w:val="28"/>
          <w:szCs w:val="28"/>
          <w:lang w:val="kk-KZ" w:eastAsia="ru-RU"/>
        </w:rPr>
      </w:pPr>
    </w:p>
    <w:p w:rsidR="008A103A" w:rsidRPr="005708FA" w:rsidRDefault="008A103A" w:rsidP="008A103A">
      <w:pPr>
        <w:spacing w:after="0" w:line="240" w:lineRule="auto"/>
        <w:jc w:val="right"/>
        <w:rPr>
          <w:sz w:val="28"/>
          <w:szCs w:val="28"/>
          <w:lang w:val="kk-KZ" w:eastAsia="ru-RU"/>
        </w:rPr>
      </w:pPr>
    </w:p>
    <w:p w:rsidR="008A103A" w:rsidRPr="005708FA" w:rsidRDefault="008A103A" w:rsidP="008A103A">
      <w:pPr>
        <w:spacing w:after="0" w:line="240" w:lineRule="auto"/>
        <w:ind w:left="142" w:firstLine="567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Ұсынылады: Қазақстан Республикасының Ұлттық Банкіне</w:t>
      </w:r>
    </w:p>
    <w:p w:rsidR="008A103A" w:rsidRPr="005708FA" w:rsidRDefault="008A103A" w:rsidP="008A103A">
      <w:pPr>
        <w:spacing w:after="0" w:line="240" w:lineRule="auto"/>
        <w:ind w:left="142" w:firstLine="567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 w:eastAsia="ru-RU"/>
        </w:rPr>
        <w:t xml:space="preserve">Әкімшілік деректерді өтеусіз негізде жинауға арналған нысан </w:t>
      </w:r>
      <w:r w:rsidRPr="005708FA">
        <w:rPr>
          <w:sz w:val="28"/>
          <w:szCs w:val="28"/>
          <w:lang w:val="kk-KZ"/>
        </w:rPr>
        <w:t>www.nationalbank.kz интернет-ресурсында орналастырылған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Әкімшілік нысанның атауы: шетел валютасымен айырбастау операцияларына лицензиясы бар, банк болып табылмайтын бағалы қағаздар нарығына кәсіби қатысушының шетел валютасын сатып алуы (сатуы) туралы есеп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Әкімшілік деректерді өтеусіз негізде жинауға арналған нысанның индексі: 5-INV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Кезеңділігі: ай сайын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Есепті кезеңі: 20___ жылғы «___» ______________ жағдай бойынша</w:t>
      </w:r>
    </w:p>
    <w:p w:rsidR="008A103A" w:rsidRPr="005708FA" w:rsidRDefault="008A103A" w:rsidP="008A103A">
      <w:pPr>
        <w:spacing w:after="0" w:line="240" w:lineRule="auto"/>
        <w:ind w:left="142" w:firstLine="567"/>
        <w:jc w:val="both"/>
        <w:rPr>
          <w:b/>
          <w:sz w:val="28"/>
          <w:szCs w:val="28"/>
          <w:lang w:val="kk-KZ"/>
        </w:rPr>
      </w:pPr>
      <w:r w:rsidRPr="005708FA">
        <w:rPr>
          <w:sz w:val="28"/>
          <w:szCs w:val="28"/>
          <w:lang w:val="kk-KZ" w:eastAsia="ru-RU"/>
        </w:rPr>
        <w:t>Әкімшілік деректерді өтеусіз негізде жинауға арналған нысанды</w:t>
      </w:r>
      <w:r w:rsidRPr="005708FA">
        <w:rPr>
          <w:sz w:val="28"/>
          <w:szCs w:val="28"/>
          <w:lang w:val="kk-KZ"/>
        </w:rPr>
        <w:t xml:space="preserve"> ұсынатын тұлғалар тобы:</w:t>
      </w:r>
      <w:r w:rsidRPr="005708FA">
        <w:rPr>
          <w:b/>
          <w:sz w:val="28"/>
          <w:szCs w:val="28"/>
          <w:lang w:val="kk-KZ"/>
        </w:rPr>
        <w:t xml:space="preserve"> </w:t>
      </w:r>
      <w:r w:rsidRPr="005708FA">
        <w:rPr>
          <w:sz w:val="28"/>
          <w:szCs w:val="28"/>
          <w:lang w:val="kk-KZ"/>
        </w:rPr>
        <w:t>«KASE клирингтік орталығы» акционерлік қоғамын қоспағанда, шетел валютасымен айырбастау операцияларына лицензиясы бар, банк болып табылмайтын бағалы қағаздар нарығының кәсіби қатысушылары (бұдан әрі – кәсіби қатысушы)</w:t>
      </w:r>
      <w:r w:rsidRPr="005708FA">
        <w:rPr>
          <w:b/>
          <w:sz w:val="28"/>
          <w:szCs w:val="28"/>
          <w:lang w:val="kk-KZ"/>
        </w:rPr>
        <w:t xml:space="preserve">      </w:t>
      </w:r>
    </w:p>
    <w:p w:rsidR="008A103A" w:rsidRPr="005708FA" w:rsidRDefault="008A103A" w:rsidP="008A103A">
      <w:pPr>
        <w:spacing w:after="0" w:line="240" w:lineRule="auto"/>
        <w:ind w:left="142" w:firstLine="567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 w:eastAsia="ru-RU"/>
        </w:rPr>
        <w:t xml:space="preserve">Әкімшілік деректерді өтеусіз негізде жинауға арналған нысанды ұсыну </w:t>
      </w:r>
      <w:r w:rsidRPr="005708FA">
        <w:rPr>
          <w:sz w:val="28"/>
          <w:szCs w:val="28"/>
          <w:lang w:val="kk-KZ"/>
        </w:rPr>
        <w:t xml:space="preserve">мерзімі: </w:t>
      </w:r>
      <w:r w:rsidRPr="005708FA">
        <w:rPr>
          <w:rFonts w:eastAsia="Calibri"/>
          <w:sz w:val="28"/>
          <w:szCs w:val="28"/>
          <w:lang w:val="kk-KZ"/>
        </w:rPr>
        <w:t>есепті кезеңнен кейінгі айдың 10 (онына) (қоса алғанда) дейінгі мерзімде</w:t>
      </w:r>
      <w:r w:rsidRPr="005708FA">
        <w:rPr>
          <w:sz w:val="28"/>
          <w:szCs w:val="28"/>
          <w:lang w:val="kk-KZ"/>
        </w:rPr>
        <w:t>, ай сайын.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БСН:_________________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>Жинау әдісі: электрондық түрде</w:t>
      </w:r>
    </w:p>
    <w:p w:rsidR="008A103A" w:rsidRPr="005708FA" w:rsidRDefault="008A103A" w:rsidP="008A103A">
      <w:pPr>
        <w:spacing w:after="0" w:line="240" w:lineRule="auto"/>
        <w:ind w:firstLine="249"/>
        <w:jc w:val="both"/>
        <w:rPr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1-бөлім. Кәсіби қатысушының операциялары</w:t>
      </w:r>
    </w:p>
    <w:p w:rsidR="008A103A" w:rsidRPr="005708FA" w:rsidRDefault="008A103A" w:rsidP="008A103A">
      <w:pPr>
        <w:spacing w:after="0" w:line="240" w:lineRule="auto"/>
        <w:jc w:val="center"/>
        <w:rPr>
          <w:rFonts w:eastAsia="Calibri"/>
          <w:b/>
          <w:sz w:val="28"/>
          <w:szCs w:val="28"/>
          <w:lang w:val="kk-KZ" w:eastAsia="ru-RU"/>
        </w:rPr>
      </w:pP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694"/>
        <w:gridCol w:w="1134"/>
        <w:gridCol w:w="567"/>
        <w:gridCol w:w="567"/>
        <w:gridCol w:w="425"/>
        <w:gridCol w:w="567"/>
        <w:gridCol w:w="425"/>
        <w:gridCol w:w="567"/>
        <w:gridCol w:w="425"/>
        <w:gridCol w:w="567"/>
        <w:gridCol w:w="567"/>
        <w:gridCol w:w="567"/>
      </w:tblGrid>
      <w:tr w:rsidR="008A103A" w:rsidRPr="005708FA" w:rsidTr="002F548C">
        <w:trPr>
          <w:trHeight w:val="398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6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Көрсеткіштің атауы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Жолдың коды</w:t>
            </w:r>
          </w:p>
        </w:tc>
        <w:tc>
          <w:tcPr>
            <w:tcW w:w="255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барлығы</w:t>
            </w:r>
          </w:p>
        </w:tc>
        <w:tc>
          <w:tcPr>
            <w:tcW w:w="2693" w:type="dxa"/>
            <w:gridSpan w:val="5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 теңгемен</w:t>
            </w: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 xml:space="preserve">Барлығы </w:t>
            </w:r>
            <w:r w:rsidRPr="005708FA">
              <w:rPr>
                <w:sz w:val="28"/>
                <w:szCs w:val="28"/>
                <w:lang w:val="kk-KZ" w:eastAsia="ru-RU"/>
              </w:rPr>
              <w:lastRenderedPageBreak/>
              <w:t>(теңге)</w:t>
            </w: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lastRenderedPageBreak/>
              <w:t xml:space="preserve">Оның ішінде валюта түрлері бойынша </w:t>
            </w:r>
            <w:r w:rsidRPr="005708FA">
              <w:rPr>
                <w:sz w:val="28"/>
                <w:szCs w:val="28"/>
                <w:lang w:val="kk-KZ" w:eastAsia="ru-RU"/>
              </w:rPr>
              <w:lastRenderedPageBreak/>
              <w:t>(валюта бірлігінде)</w:t>
            </w:r>
          </w:p>
        </w:tc>
        <w:tc>
          <w:tcPr>
            <w:tcW w:w="567" w:type="dxa"/>
            <w:vMerge w:val="restart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lastRenderedPageBreak/>
              <w:t>Барлығ</w:t>
            </w:r>
            <w:r w:rsidRPr="005708FA">
              <w:rPr>
                <w:sz w:val="28"/>
                <w:szCs w:val="28"/>
                <w:lang w:val="kk-KZ" w:eastAsia="ru-RU"/>
              </w:rPr>
              <w:lastRenderedPageBreak/>
              <w:t>ы (теңге)</w:t>
            </w: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4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lastRenderedPageBreak/>
              <w:t xml:space="preserve">Оның ішінде валюта түрлері бойынша </w:t>
            </w:r>
            <w:r w:rsidRPr="005708FA">
              <w:rPr>
                <w:sz w:val="28"/>
                <w:szCs w:val="28"/>
                <w:lang w:val="kk-KZ" w:eastAsia="ru-RU"/>
              </w:rPr>
              <w:lastRenderedPageBreak/>
              <w:t>(валюта бірлігінде)</w:t>
            </w:r>
          </w:p>
        </w:tc>
      </w:tr>
      <w:tr w:rsidR="008A103A" w:rsidRPr="005708FA" w:rsidTr="002F548C">
        <w:trPr>
          <w:trHeight w:val="609"/>
        </w:trPr>
        <w:tc>
          <w:tcPr>
            <w:tcW w:w="447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USD</w:t>
            </w: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EUR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 w:hanging="38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RUB</w:t>
            </w: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CNY</w:t>
            </w:r>
          </w:p>
        </w:tc>
        <w:tc>
          <w:tcPr>
            <w:tcW w:w="567" w:type="dxa"/>
            <w:vMerge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USD</w:t>
            </w:r>
          </w:p>
        </w:tc>
        <w:tc>
          <w:tcPr>
            <w:tcW w:w="567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EUR</w:t>
            </w:r>
          </w:p>
        </w:tc>
        <w:tc>
          <w:tcPr>
            <w:tcW w:w="567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RUB</w:t>
            </w:r>
          </w:p>
        </w:tc>
        <w:tc>
          <w:tcPr>
            <w:tcW w:w="567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CNY</w:t>
            </w: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В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10</w:t>
            </w: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Кәсіби қатысушының шетел валютасын сатып алуы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110000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клиенттерден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110001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«Қазақстан қор биржасы» АҚ-тан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110002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клиенттердің тапсырмалары бойынша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111002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өз операциялары бойынша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112002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басқа операциялар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113002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банкаралық нарықта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110003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резиденттерден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111003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 xml:space="preserve">бейрезиденттерден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112003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Кәсіби қатысушының шетел валютасын сатуы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120000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клиенттерге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120001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«Қазақстан қор биржасы» АҚ-қа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120002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клиенттердің тапсырмалары бойынша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121002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lastRenderedPageBreak/>
              <w:t>19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өз операциялары бойынша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122002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басқа операциялар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123002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банкаралық нарықта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120003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оның ішінде: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резиденттерге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121003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  <w:tr w:rsidR="008A103A" w:rsidRPr="005708FA" w:rsidTr="002F548C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3"/>
              <w:jc w:val="both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бейрезиденттерге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122003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8A103A" w:rsidRPr="005708FA" w:rsidRDefault="008A103A" w:rsidP="002F548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kk-KZ" w:eastAsia="ru-RU"/>
              </w:rPr>
            </w:pPr>
          </w:p>
        </w:tc>
      </w:tr>
    </w:tbl>
    <w:p w:rsidR="008A103A" w:rsidRPr="005708FA" w:rsidRDefault="008A103A" w:rsidP="008A103A">
      <w:pPr>
        <w:spacing w:after="0" w:line="240" w:lineRule="auto"/>
        <w:rPr>
          <w:b/>
          <w:sz w:val="24"/>
          <w:szCs w:val="24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2-бөлім. Кәсіби қатысушы клиенттерінің операциялары</w:t>
      </w:r>
    </w:p>
    <w:p w:rsidR="008A103A" w:rsidRPr="005708FA" w:rsidRDefault="008A103A" w:rsidP="008A103A">
      <w:pPr>
        <w:spacing w:after="0" w:line="240" w:lineRule="auto"/>
        <w:jc w:val="right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теңгемен</w:t>
      </w:r>
    </w:p>
    <w:tbl>
      <w:tblPr>
        <w:tblW w:w="951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601"/>
        <w:gridCol w:w="992"/>
        <w:gridCol w:w="709"/>
        <w:gridCol w:w="992"/>
        <w:gridCol w:w="1276"/>
        <w:gridCol w:w="1276"/>
        <w:gridCol w:w="1274"/>
      </w:tblGrid>
      <w:tr w:rsidR="008A103A" w:rsidRPr="005708FA" w:rsidTr="002F548C">
        <w:trPr>
          <w:trHeight w:val="28"/>
        </w:trPr>
        <w:tc>
          <w:tcPr>
            <w:tcW w:w="39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26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Көрсеткіштің атауы</w:t>
            </w:r>
          </w:p>
        </w:tc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Жолдың коды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81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ішінде:</w:t>
            </w: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601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теңгеге</w:t>
            </w:r>
          </w:p>
        </w:tc>
        <w:tc>
          <w:tcPr>
            <w:tcW w:w="2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басқа шетел валютасына</w:t>
            </w: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601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кәсіби қатысушы клиенттерінің</w:t>
            </w: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601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резиденттердің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бейрезиденттердің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резиденттердің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бейрезиденттердің</w:t>
            </w: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A</w:t>
            </w:r>
          </w:p>
        </w:tc>
        <w:tc>
          <w:tcPr>
            <w:tcW w:w="2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5</w:t>
            </w: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Клиенттердің немесе кәсіби қатысушының клиенттердің тапсырмалары бойынша шетел валютасын сатып алуы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210000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ішінде: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жеке тұлғалар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211000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бағалы қағаздармен операциялар үшін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211100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заңды тұлғалар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212000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мына мақсаттар үшін: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төлемдер және ақша аударымдарын жүзеге асыру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 мына операциялар бойынша: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тауарларды және материалдық емес активтерді сатып алу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қызметтер көрсету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капиталға қатысу бойынша дивидендтер мен өзге кірістерді төлеу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қарыздар ұсыну (беру)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қарыздар бойынша міндеттемелерді орындау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бағалы қағаздармен операциялар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басқа да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212427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резидент банктердің жинақ салымдарына орналастыру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212430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бейрезидент банктердегі шоттарға жеке қаражатын аудару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212440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Клиенттердің немесе кәсіби қатысушының клиенттердің тапсырмалары бойынша шетел валютасын сатуы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220000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оның ішінде: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6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жеке тұлғалар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221000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A103A" w:rsidRPr="005708FA" w:rsidTr="002F548C">
        <w:trPr>
          <w:trHeight w:val="28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2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708FA">
              <w:rPr>
                <w:sz w:val="28"/>
                <w:szCs w:val="28"/>
                <w:lang w:val="kk-KZ"/>
              </w:rPr>
              <w:t>заңды тұлғалар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103A" w:rsidRPr="005708FA" w:rsidRDefault="008A103A" w:rsidP="002F548C">
            <w:pPr>
              <w:spacing w:after="0" w:line="240" w:lineRule="auto"/>
              <w:jc w:val="center"/>
              <w:rPr>
                <w:sz w:val="28"/>
                <w:szCs w:val="28"/>
                <w:lang w:val="kk-KZ" w:eastAsia="ru-RU"/>
              </w:rPr>
            </w:pPr>
            <w:r w:rsidRPr="005708FA">
              <w:rPr>
                <w:sz w:val="28"/>
                <w:szCs w:val="28"/>
                <w:lang w:val="kk-KZ" w:eastAsia="ru-RU"/>
              </w:rPr>
              <w:t>222000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:rsidR="008A103A" w:rsidRPr="005708FA" w:rsidRDefault="008A103A" w:rsidP="002F548C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8A103A" w:rsidRPr="005708FA" w:rsidRDefault="008A103A" w:rsidP="008A103A">
      <w:pPr>
        <w:spacing w:after="0" w:line="240" w:lineRule="auto"/>
        <w:jc w:val="both"/>
        <w:rPr>
          <w:sz w:val="24"/>
          <w:szCs w:val="24"/>
          <w:lang w:val="kk-KZ"/>
        </w:rPr>
      </w:pPr>
      <w:r w:rsidRPr="005708FA">
        <w:rPr>
          <w:sz w:val="24"/>
          <w:szCs w:val="24"/>
          <w:lang w:val="kk-KZ"/>
        </w:rPr>
        <w:t xml:space="preserve"> 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Атауы __________________ Мекенжайы ____________________________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Телефоны ______________________________________________________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Электрондық пошта мекенжайы  ___________________________________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Орындаушы_______________________________________ _____________ 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lastRenderedPageBreak/>
        <w:t>тегі, аты және әкесінің аты (ол болған жағдайда)                 қолы, телефоны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Бас бухгалтер немесе есепке қол қоюға уәкілетті адам 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______________________________________       _________________ 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тегі, аты, әкесінің аты (ол болған жағдайда)            қолы, телефоны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Бірінші басшы немесе есепке қол қоюға уәкілетті адам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_________________________________________       ________________ 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тегі, аты және әкесінің аты (ол болған жағдайда)       қолы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Күні 20___ жылғы «____» ______________</w:t>
      </w: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rFonts w:eastAsia="Calibri"/>
          <w:b/>
          <w:sz w:val="28"/>
          <w:szCs w:val="28"/>
          <w:lang w:val="kk-KZ" w:eastAsia="ru-RU"/>
        </w:rPr>
      </w:pPr>
    </w:p>
    <w:p w:rsidR="008A103A" w:rsidRPr="005708FA" w:rsidRDefault="008A103A" w:rsidP="008A103A">
      <w:pPr>
        <w:spacing w:after="0" w:line="240" w:lineRule="auto"/>
        <w:ind w:firstLine="709"/>
        <w:jc w:val="both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 xml:space="preserve">Ескертпе: </w:t>
      </w:r>
      <w:r w:rsidRPr="005708FA">
        <w:rPr>
          <w:rFonts w:eastAsia="Calibri"/>
          <w:sz w:val="28"/>
          <w:szCs w:val="28"/>
          <w:lang w:val="kk-KZ" w:eastAsia="ru-RU"/>
        </w:rPr>
        <w:t>нысан «Ш</w:t>
      </w:r>
      <w:r w:rsidRPr="005708FA">
        <w:rPr>
          <w:bCs/>
          <w:sz w:val="28"/>
          <w:szCs w:val="28"/>
          <w:lang w:val="kk-KZ" w:eastAsia="ru-RU"/>
        </w:rPr>
        <w:t>етел валютасымен айырбастау операцияларына лицензиясы бар, банк болып табылмайтын бағалы қағаздар нарығына кәсіби қатысушының шетел валютасын сатып алуы (сатуы) туралы есеп»</w:t>
      </w:r>
      <w:r w:rsidRPr="005708FA">
        <w:rPr>
          <w:rFonts w:eastAsia="Calibri"/>
          <w:sz w:val="28"/>
          <w:szCs w:val="28"/>
          <w:lang w:val="kk-KZ" w:eastAsia="ru-RU"/>
        </w:rPr>
        <w:t xml:space="preserve"> әкімшілік деректердің нысанын толтыру бойынша түсіндірмеге сәйкес толтырылады</w:t>
      </w:r>
      <w:r w:rsidRPr="005708FA">
        <w:rPr>
          <w:sz w:val="28"/>
          <w:szCs w:val="28"/>
          <w:lang w:val="kk-KZ" w:eastAsia="ru-RU"/>
        </w:rPr>
        <w:t>.</w:t>
      </w:r>
    </w:p>
    <w:p w:rsidR="008A103A" w:rsidRPr="005708FA" w:rsidRDefault="008A103A" w:rsidP="008A103A">
      <w:pPr>
        <w:spacing w:after="0" w:line="240" w:lineRule="auto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t xml:space="preserve"> </w:t>
      </w:r>
    </w:p>
    <w:p w:rsidR="008A103A" w:rsidRPr="005708FA" w:rsidRDefault="008A103A" w:rsidP="008A103A">
      <w:pPr>
        <w:spacing w:after="0" w:line="240" w:lineRule="auto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br w:type="page"/>
      </w:r>
    </w:p>
    <w:p w:rsidR="008A103A" w:rsidRPr="005708FA" w:rsidRDefault="008A103A" w:rsidP="008A103A">
      <w:pPr>
        <w:spacing w:after="0" w:line="240" w:lineRule="auto"/>
        <w:ind w:left="5670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lastRenderedPageBreak/>
        <w:t xml:space="preserve">«Шетел валютасымен айырбастау операцияларына лицензиясы бар, банк болып табылмайтын бағалы қағаздар нарығына кәсіби қатысушының шетел валютасын сатып алуы (сатуы) туралы есеп» әкімшілік деректерді өтеусіз негізде жинауға арналған нысанына қосымша </w:t>
      </w:r>
    </w:p>
    <w:p w:rsidR="008A103A" w:rsidRPr="005708FA" w:rsidRDefault="008A103A" w:rsidP="008A103A">
      <w:pPr>
        <w:spacing w:after="0" w:line="240" w:lineRule="auto"/>
        <w:ind w:left="4536"/>
        <w:rPr>
          <w:sz w:val="28"/>
          <w:szCs w:val="28"/>
          <w:lang w:val="kk-KZ" w:eastAsia="ru-RU"/>
        </w:rPr>
      </w:pPr>
    </w:p>
    <w:p w:rsidR="008A103A" w:rsidRPr="005708FA" w:rsidRDefault="008A103A" w:rsidP="008A103A">
      <w:pPr>
        <w:spacing w:after="0" w:line="240" w:lineRule="auto"/>
        <w:ind w:left="4536"/>
        <w:rPr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 xml:space="preserve">Шетел валютасымен айырбастау операцияларына лицензиясы бар, банк болып табылмайтын бағалы қағаздар нарығына кәсіби қатысушының шетел валютасын сатып алуы (сатуы) туралы есеп </w:t>
      </w: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(индексі – 5-INV, кезеңділігі – ай сайын)</w:t>
      </w: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 w:eastAsia="ru-RU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 w:eastAsia="ru-RU"/>
        </w:rPr>
      </w:pPr>
      <w:r w:rsidRPr="005708FA">
        <w:rPr>
          <w:b/>
          <w:sz w:val="28"/>
          <w:szCs w:val="28"/>
          <w:lang w:val="kk-KZ" w:eastAsia="ru-RU"/>
        </w:rPr>
        <w:t>әкімшілік деректерді өтеусіз негізде жинауға арналған нысанын толтыру бойынша түсіндірме</w:t>
      </w:r>
    </w:p>
    <w:p w:rsidR="008A103A" w:rsidRPr="005708FA" w:rsidRDefault="008A103A" w:rsidP="008A103A">
      <w:pPr>
        <w:spacing w:after="0" w:line="240" w:lineRule="auto"/>
        <w:jc w:val="center"/>
        <w:rPr>
          <w:b/>
          <w:strike/>
          <w:sz w:val="28"/>
          <w:szCs w:val="28"/>
          <w:lang w:val="kk-KZ"/>
        </w:rPr>
      </w:pPr>
      <w:r w:rsidRPr="005708FA">
        <w:rPr>
          <w:b/>
          <w:strike/>
          <w:sz w:val="28"/>
          <w:szCs w:val="28"/>
          <w:lang w:val="kk-KZ"/>
        </w:rPr>
        <w:t xml:space="preserve"> </w:t>
      </w:r>
    </w:p>
    <w:p w:rsidR="008A103A" w:rsidRPr="005708FA" w:rsidRDefault="008A103A" w:rsidP="008A103A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1-тарау. Жалпы ережелер</w:t>
      </w: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      1. Осы түсіндірмеде «Шетел валютасымен айырбастау операцияларына лицензиясы бар, банк болып табылмайтын бағалы қағаздар нарығына кәсіби қатысушының шетел валютасын сатып алуы (сатуы) туралы есеп» әкімшілік деректерді </w:t>
      </w:r>
      <w:r w:rsidRPr="005708FA">
        <w:rPr>
          <w:sz w:val="28"/>
          <w:szCs w:val="28"/>
          <w:lang w:val="kk-KZ" w:eastAsia="ru-RU"/>
        </w:rPr>
        <w:t>өтеусіз негізде</w:t>
      </w:r>
      <w:r w:rsidRPr="005708FA">
        <w:rPr>
          <w:sz w:val="28"/>
          <w:szCs w:val="28"/>
          <w:lang w:val="kk-KZ"/>
        </w:rPr>
        <w:t xml:space="preserve"> жинауға арналған нысанын (бұдан әрі – 5-нысан) толтыру бойынша </w:t>
      </w:r>
      <w:r w:rsidRPr="005708FA">
        <w:rPr>
          <w:sz w:val="28"/>
          <w:szCs w:val="28"/>
          <w:lang w:val="kk-KZ" w:eastAsia="ru-RU"/>
        </w:rPr>
        <w:t>бірыңғай талаптар айқындалады</w:t>
      </w:r>
      <w:r w:rsidRPr="005708FA">
        <w:rPr>
          <w:sz w:val="28"/>
          <w:szCs w:val="28"/>
          <w:lang w:val="kk-KZ"/>
        </w:rPr>
        <w:t>.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      2. 5-нысан «Валюталық реттеу және валюталық бақылау туралы» Қазақстан Республикасы Заңының 10-бабы 5-тармағының үшінші бөлігіне сәйкес әзірленді.</w:t>
      </w:r>
    </w:p>
    <w:p w:rsidR="008A103A" w:rsidRPr="005708FA" w:rsidRDefault="008A103A" w:rsidP="008A103A">
      <w:pPr>
        <w:spacing w:after="0" w:line="240" w:lineRule="auto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      3. 5-нысанда «KASE клирингтік орталығы» акционерлік қоғамын қоспағанда, банк болып табылмайтын шетел валютасымен айырбастау операцияларына лицензиясы бар кәсіби қатысушы (бұдан әрі – кәсіби қатысушы) шетел валютасын сатып алу және сату көлемін (1-бөлім. «Кәсіби қатысушының операциялары») және «KASE клирингтік орталығы» акционерлік қоғамын қоспағанда, кәсіби қатысушының клиенттерін (2-бөлім. «Кәсіби қатысушы клиенттерінің операциялары») көрсетеді.   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4. 5-нысанда негізгі активті валюталау күніне нақты қоя отырып, шетел валютасын теңгеге, сол сияқты басқа валютаға сатып алу және сату көлемі көрсетіледі.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5-нысандағы деректер Қазақстан Республикасының ұлттық валютасы – теңгемен көрсетіледі.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lastRenderedPageBreak/>
        <w:t>Есепті қалыптастыру мақсатында шетел валютасындағы активтер «Валюталарды айырбастаудың нарықтық бағамын айқындау тәртібі туралы» Қазақстан Республикасы Ұлттық Банкі Басқармасының 2013 жылғы 25 қаңтардағы № 15 қаулысымен және Қазақстан Республикасы Қаржы министрінің 2013 жылғы 22 ақпандағы № 99 бұйрығымен (Нормативтік құқықтық актілерді мемлекеттік тіркеу тізілімінде № 8378 болып тіркелген) айқындалған валюталарды айырбастаудың нарықтық бағамы бойынша валюталау күніне қайта есептеліп көрсетіледі.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5. 5-нысанға бірінші басшы немесе есепке қол қоюға уәкілетті адам, бас бухгалтер немесе есепке қол қоюға уәкілетті адам және орындаушы қол қояды.</w:t>
      </w:r>
    </w:p>
    <w:p w:rsidR="008A103A" w:rsidRPr="005708FA" w:rsidRDefault="008A103A" w:rsidP="008A103A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5708FA">
        <w:rPr>
          <w:b/>
          <w:sz w:val="28"/>
          <w:szCs w:val="28"/>
          <w:lang w:val="kk-KZ"/>
        </w:rPr>
        <w:t>2-тарау. 5-нысанды толтыру бойынша түсіндірме</w:t>
      </w:r>
    </w:p>
    <w:p w:rsidR="008A103A" w:rsidRPr="005708FA" w:rsidRDefault="008A103A" w:rsidP="008A103A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6. 1-бөлімнің және 2-бөлімнің 1-бағаны бойынша сатып алынатын немесе сатылатын шетел валютасының жалпы көлемі теңгемен көрсетіледі. </w:t>
      </w:r>
      <w:r w:rsidRPr="005708FA">
        <w:rPr>
          <w:sz w:val="28"/>
          <w:szCs w:val="28"/>
          <w:lang w:val="kk-KZ"/>
        </w:rPr>
        <w:br/>
        <w:t>1-бөлімнің 2, 3, 4 және 5-бағандары бойынша тиісінше теңгеге және басқа шетел валютасына сатып алынатын және сатылатын АҚШ долларының (USD), еуроның (EUR), Ресей рублінің (RUB) және Қытай юанінің (CNY) көлемі тиісті валюта бірліктерінде көрсетіледі.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7. 1-бөлімнің 6-бағаны бойынша теңгеге сатып алынатын немесе сатылатын шетел валютасының көлемі көрсетіледі. 6-баған бойынша деректер теңгемен көрсетіледі. 1-бөлімнің 7, 8, 9, 10-бағандары бойынша тиісінше теңгеге сатып алынатын және сатылатын АҚШ долларының (USD), еуроның (EUR), Ресей рублінің (RUB) және Қытай юанінің (CNY) көлемі тиісті валюта бірліктерінде көрсетіледі.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8. 1-бөлімнің кодтары 110000 және 120000 жолдары кәсіби қатысушының клиенттерімен айырбастау операциялары (оның ішінде клиенттердің тапсырмалары бойынша) және Қазақстан қор биржасында және банкаралық нарықта жасалған операциялар бойынша мәліметтерді қамтиды.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9. 2-бөлімде деректер шетел валютасын теңгеге және басқа шетел валютасына сатып алу (сату) операциялары, сондай-ақ резидент-клиенттер мен бейрезидент-клиенттер жүзеге асыратын операциялар (оның ішінде резидент-клиенттер мен бейрезидент-клиенттердің тапсырмалары бойынша) бойынша көрсетіледі.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2-бөлімге жеке тұлғалардың шетел валютасын айырбастау пункттері арқылы сатып алуы (сатуы) бойынша операциялары кірмейді.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10. 5-нысанды толтырған кезде мына талаптардың орындалуы қамтамасыз етіледі: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110000 жол&gt;= коды 110001 жол + коды 110002 жол + коды 110003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110002 жол = коды 111002 жол + коды 112002  жол + коды 113002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110003 жол = коды 111003 жол + коды 112003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lastRenderedPageBreak/>
        <w:t>коды 120000 жол&gt;= коды 120001 жол + коды 120002 жол + коды 120003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120002 жол = коды 121002 жол + коды 122002 жол + коды 123002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120003 жол = коды 121003 жол + коды 122003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2-бөлімде барлық жолдар бойынша 1-баған 2, 3, 4, 5-бағандардың сомасына тең;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210000 жол = коды 211000 жол + коды 212000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 xml:space="preserve">коды 211000 жол&gt;= коды </w:t>
      </w:r>
      <w:r w:rsidRPr="005708FA">
        <w:rPr>
          <w:sz w:val="28"/>
          <w:szCs w:val="28"/>
          <w:lang w:val="kk-KZ" w:eastAsia="ru-RU"/>
        </w:rPr>
        <w:t xml:space="preserve">211100 </w:t>
      </w:r>
      <w:r w:rsidRPr="005708FA">
        <w:rPr>
          <w:sz w:val="28"/>
          <w:szCs w:val="28"/>
          <w:lang w:val="kk-KZ"/>
        </w:rPr>
        <w:t>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212000 жол&gt;= коды 212420 жол + коды 212430 жол + коды 212440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212420 жол = коды 212421 жол + коды 212422 жол + коды 212423 жол + коды 212424 жол + коды 212425 жол + коды 212426 жол + коды 212427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коды 220000 жол = коды 221000 жол + коды 222000 жол;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11. 5-нысанға деректерді түзету (өзгерістер, толықтырулар) есепті айдан кейінгі айдың 20 (жиырмасыншы) күніне дейін (қоса алғанда) енгізіледі.</w:t>
      </w:r>
    </w:p>
    <w:p w:rsidR="008A103A" w:rsidRPr="005708FA" w:rsidRDefault="008A103A" w:rsidP="008A103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708FA">
        <w:rPr>
          <w:sz w:val="28"/>
          <w:szCs w:val="28"/>
          <w:lang w:val="kk-KZ"/>
        </w:rPr>
        <w:t>12. Есепті кезеңде ақпарат болмаған жағдайда 5-нысан нөлдік мәндермен ұсынылады</w:t>
      </w:r>
      <w:r w:rsidRPr="005708FA">
        <w:rPr>
          <w:sz w:val="28"/>
          <w:szCs w:val="28"/>
          <w:lang w:val="kk-KZ" w:eastAsia="ru-RU"/>
        </w:rPr>
        <w:t>.</w:t>
      </w:r>
    </w:p>
    <w:p w:rsidR="008A103A" w:rsidRPr="005708FA" w:rsidRDefault="008A103A" w:rsidP="008A103A">
      <w:pPr>
        <w:spacing w:after="0" w:line="240" w:lineRule="auto"/>
        <w:ind w:firstLine="709"/>
        <w:rPr>
          <w:sz w:val="28"/>
          <w:szCs w:val="28"/>
          <w:lang w:val="kk-KZ" w:eastAsia="ru-RU"/>
        </w:rPr>
      </w:pPr>
      <w:r w:rsidRPr="005708FA">
        <w:rPr>
          <w:sz w:val="28"/>
          <w:szCs w:val="28"/>
          <w:lang w:val="kk-KZ" w:eastAsia="ru-RU"/>
        </w:rPr>
        <w:br w:type="page"/>
      </w:r>
    </w:p>
    <w:p w:rsidR="00501E00" w:rsidRDefault="00501E00">
      <w:bookmarkStart w:id="0" w:name="_GoBack"/>
      <w:bookmarkEnd w:id="0"/>
    </w:p>
    <w:sectPr w:rsidR="0050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A"/>
    <w:rsid w:val="00501E00"/>
    <w:rsid w:val="008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DC2EC-6BC9-45B4-A168-BE03F182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03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1</cp:revision>
  <dcterms:created xsi:type="dcterms:W3CDTF">2025-04-01T10:00:00Z</dcterms:created>
  <dcterms:modified xsi:type="dcterms:W3CDTF">2025-04-01T10:01:00Z</dcterms:modified>
</cp:coreProperties>
</file>