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00" w:rsidRDefault="00224B00" w:rsidP="00224B00">
      <w:pPr>
        <w:pStyle w:val="pr"/>
      </w:pPr>
      <w:r>
        <w:t>Приложение</w:t>
      </w:r>
    </w:p>
    <w:p w:rsidR="00224B00" w:rsidRDefault="00224B00" w:rsidP="00224B00">
      <w:pPr>
        <w:pStyle w:val="pr"/>
      </w:pPr>
      <w:r>
        <w:t>к форме отчета о выданных займах и</w:t>
      </w:r>
    </w:p>
    <w:p w:rsidR="00224B00" w:rsidRDefault="00224B00" w:rsidP="00224B00">
      <w:pPr>
        <w:pStyle w:val="pr"/>
      </w:pPr>
      <w:r>
        <w:t>ставках вознаграждения по ним</w:t>
      </w:r>
    </w:p>
    <w:p w:rsidR="00224B00" w:rsidRDefault="00224B00" w:rsidP="00224B00">
      <w:pPr>
        <w:pStyle w:val="pj"/>
      </w:pPr>
      <w:r>
        <w:t> </w:t>
      </w:r>
    </w:p>
    <w:p w:rsidR="00224B00" w:rsidRDefault="00224B00" w:rsidP="00224B00">
      <w:pPr>
        <w:pStyle w:val="pc"/>
      </w:pPr>
      <w:r>
        <w:t> </w:t>
      </w:r>
    </w:p>
    <w:p w:rsidR="00224B00" w:rsidRDefault="00224B00" w:rsidP="00224B00">
      <w:pPr>
        <w:pStyle w:val="pc"/>
      </w:pPr>
      <w:r>
        <w:t>Пояснение по заполнению формы административных данных</w:t>
      </w:r>
    </w:p>
    <w:p w:rsidR="00224B00" w:rsidRDefault="00224B00" w:rsidP="00224B00">
      <w:pPr>
        <w:pStyle w:val="pc"/>
      </w:pPr>
      <w:r>
        <w:t> </w:t>
      </w:r>
    </w:p>
    <w:p w:rsidR="00224B00" w:rsidRDefault="00224B00" w:rsidP="00224B00">
      <w:pPr>
        <w:pStyle w:val="pc"/>
      </w:pPr>
      <w:r>
        <w:t>Отчет о выданных займах и ставках вознаграждения по ним</w:t>
      </w:r>
    </w:p>
    <w:p w:rsidR="00224B00" w:rsidRDefault="00224B00" w:rsidP="00224B00">
      <w:pPr>
        <w:pStyle w:val="pc"/>
      </w:pPr>
      <w:r>
        <w:t>(индекс - LOANS, периодичность - ежемесячная)</w:t>
      </w:r>
    </w:p>
    <w:p w:rsidR="00224B00" w:rsidRDefault="00224B00" w:rsidP="00224B00">
      <w:pPr>
        <w:pStyle w:val="pj"/>
      </w:pPr>
      <w:r>
        <w:t> </w:t>
      </w:r>
    </w:p>
    <w:p w:rsidR="00224B00" w:rsidRDefault="00224B00" w:rsidP="00224B00">
      <w:pPr>
        <w:pStyle w:val="pj"/>
      </w:pPr>
      <w:r>
        <w:t> </w:t>
      </w:r>
    </w:p>
    <w:p w:rsidR="00224B00" w:rsidRDefault="00224B00" w:rsidP="00224B00">
      <w:pPr>
        <w:pStyle w:val="pc"/>
      </w:pPr>
      <w:r>
        <w:rPr>
          <w:rStyle w:val="s1"/>
        </w:rPr>
        <w:t>Глава 1. Общие положения</w:t>
      </w:r>
    </w:p>
    <w:p w:rsidR="00224B00" w:rsidRDefault="00224B00" w:rsidP="00224B00">
      <w:pPr>
        <w:pStyle w:val="pj"/>
      </w:pPr>
      <w:r>
        <w:t> </w:t>
      </w:r>
    </w:p>
    <w:p w:rsidR="00224B00" w:rsidRDefault="00224B00" w:rsidP="00224B00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о выданных займах и ставках вознаграждения по ним» (далее - Форма).</w:t>
      </w:r>
    </w:p>
    <w:p w:rsidR="00224B00" w:rsidRDefault="00224B00" w:rsidP="00224B00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224B00" w:rsidRDefault="00224B00" w:rsidP="00224B00">
      <w:pPr>
        <w:pStyle w:val="pj"/>
      </w:pPr>
      <w:r>
        <w:t>3. Форма составляется банками второго уровня ежемесячно по состоянию на конец отчетного месяца. Для исламского банка в отчет включаются исламские финансовые инструменты, относящиеся к сделкам торгового финансирования.</w:t>
      </w:r>
    </w:p>
    <w:p w:rsidR="00224B00" w:rsidRDefault="00224B00" w:rsidP="00224B00">
      <w:pPr>
        <w:pStyle w:val="pj"/>
      </w:pPr>
      <w:r>
        <w:t>Единицей измерения, используемой при заполнении Формы, является тенге. Стоимостные показатели указываются в числах с двумя знаками после запятой.</w:t>
      </w:r>
    </w:p>
    <w:p w:rsidR="00224B00" w:rsidRDefault="00224B00" w:rsidP="00224B00">
      <w:pPr>
        <w:pStyle w:val="pj"/>
      </w:pPr>
      <w:r>
        <w:t>4. Форму подписывают руководитель или лицо, на которое возложена функция по подписанию отчета, и исполнитель.</w:t>
      </w:r>
    </w:p>
    <w:p w:rsidR="00224B00" w:rsidRDefault="00224B00" w:rsidP="00224B00">
      <w:pPr>
        <w:pStyle w:val="pj"/>
      </w:pPr>
      <w:r>
        <w:t>5. При заполнении формы коды указываются в соответствии со справочниками, используемыми в информационной системе, посредством которой представляется Форма, даты указываются в формате: «ДД.ММ.ГГГГ», где «ГГГГ» - год, «ММ» - месяц, «ДД» - день.</w:t>
      </w:r>
    </w:p>
    <w:p w:rsidR="00224B00" w:rsidRDefault="00224B00" w:rsidP="00224B00">
      <w:pPr>
        <w:pStyle w:val="pj"/>
      </w:pPr>
      <w: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- Типовой план счетов банков).</w:t>
      </w:r>
    </w:p>
    <w:p w:rsidR="00224B00" w:rsidRDefault="00224B00" w:rsidP="00224B00">
      <w:pPr>
        <w:pStyle w:val="pj"/>
      </w:pPr>
      <w: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224B00" w:rsidRDefault="00224B00" w:rsidP="00224B00">
      <w:pPr>
        <w:pStyle w:val="pc"/>
      </w:pPr>
      <w:r>
        <w:rPr>
          <w:rStyle w:val="s1"/>
        </w:rPr>
        <w:t> </w:t>
      </w:r>
    </w:p>
    <w:p w:rsidR="00224B00" w:rsidRDefault="00224B00" w:rsidP="00224B00">
      <w:pPr>
        <w:pStyle w:val="pc"/>
      </w:pPr>
      <w:r>
        <w:rPr>
          <w:rStyle w:val="s1"/>
        </w:rPr>
        <w:t> </w:t>
      </w:r>
    </w:p>
    <w:p w:rsidR="00224B00" w:rsidRDefault="00224B00" w:rsidP="00224B00">
      <w:pPr>
        <w:pStyle w:val="pc"/>
      </w:pPr>
      <w:r>
        <w:rPr>
          <w:rStyle w:val="s1"/>
        </w:rPr>
        <w:t>Глава 2. Пояснение по заполнению Формы</w:t>
      </w:r>
    </w:p>
    <w:p w:rsidR="00224B00" w:rsidRDefault="00224B00" w:rsidP="00224B00">
      <w:pPr>
        <w:pStyle w:val="pj"/>
      </w:pPr>
      <w:r>
        <w:t> </w:t>
      </w:r>
    </w:p>
    <w:p w:rsidR="00224B00" w:rsidRDefault="00224B00" w:rsidP="00224B00">
      <w:pPr>
        <w:pStyle w:val="pj"/>
      </w:pPr>
      <w:r>
        <w:t>8. В Форме указываются сведения о выданных банком займах по состоянию на конец отчетного периода, об объемах выдачи и погашения таких займов в отчетном периоде и ставках вознаграждения по выданным в течение отчетного периода займам. Для исламского банка сведения представляются по исламским финансовым инструментам, относящимся к сделкам торгового финансирования, и применимым к ним торговым наценкам.</w:t>
      </w:r>
    </w:p>
    <w:p w:rsidR="00224B00" w:rsidRDefault="00224B00" w:rsidP="00224B00">
      <w:pPr>
        <w:pStyle w:val="pj"/>
      </w:pPr>
      <w:r>
        <w:t xml:space="preserve">Сведения, представляемые по Форме, не включают займы, выданные банкам или иным финансовым организациям, осуществляющим открытие и ведение банковских счетов, </w:t>
      </w:r>
      <w:r>
        <w:lastRenderedPageBreak/>
        <w:t>операции обратное РЕПО, контрагентом по которым выступают такие банки или организации.</w:t>
      </w:r>
    </w:p>
    <w:p w:rsidR="00224B00" w:rsidRDefault="00224B00" w:rsidP="00224B00">
      <w:pPr>
        <w:pStyle w:val="pj"/>
      </w:pPr>
      <w:r>
        <w:t>9. В строках 2, 3, 4, 5, 9, 10, 13.1, 13.2 и 14 значения выбираются из справочников, размещенных в информационной системе, посредством которой представляется Форма.</w:t>
      </w:r>
    </w:p>
    <w:p w:rsidR="00224B00" w:rsidRDefault="00224B00" w:rsidP="00224B00">
      <w:pPr>
        <w:pStyle w:val="pj"/>
      </w:pPr>
      <w:r>
        <w:t>10. В строке 5 по субъекту кредитования, являющемуся резидентом Республики Казахстан, указывается значение «1», по субъекту кредитования, являющемуся нерезидентом Республики Казахстан, указывается значение «2».</w:t>
      </w:r>
    </w:p>
    <w:p w:rsidR="00224B00" w:rsidRDefault="00224B00" w:rsidP="00224B00">
      <w:pPr>
        <w:pStyle w:val="pj"/>
      </w:pPr>
      <w:r>
        <w:t>11. В строке 6 по однородным займам указывается значение «1», в ином случае указывается «0».</w:t>
      </w:r>
    </w:p>
    <w:p w:rsidR="00224B00" w:rsidRDefault="00224B00" w:rsidP="00224B00">
      <w:pPr>
        <w:pStyle w:val="pj"/>
      </w:pPr>
      <w:r>
        <w:t>12. В строке 7 по займам, выданным в иностранной валюте, указывается значение «1», в ином случае указывается «0».</w:t>
      </w:r>
    </w:p>
    <w:p w:rsidR="00224B00" w:rsidRDefault="00224B00" w:rsidP="00224B00">
      <w:pPr>
        <w:pStyle w:val="pj"/>
      </w:pPr>
      <w:r>
        <w:t>13. В строке 8 по займам, представленным на срок свыше 1 (одного) года, указывается значение «1», для займов, представленных на срок до 1 (одного) года (включительно) указывается «0».</w:t>
      </w:r>
    </w:p>
    <w:p w:rsidR="00224B00" w:rsidRDefault="00224B00" w:rsidP="00224B00">
      <w:pPr>
        <w:pStyle w:val="pj"/>
      </w:pPr>
      <w:r>
        <w:t>14. Займы, выданные по кредитным картам, и не идентифицируемые по иным целям кредитования, в строке 9 относятся к займам на потребительские цели.</w:t>
      </w:r>
    </w:p>
    <w:p w:rsidR="00224B00" w:rsidRDefault="00224B00" w:rsidP="00224B00">
      <w:pPr>
        <w:pStyle w:val="pj"/>
      </w:pPr>
      <w:r>
        <w:t>15. В строке 10 при наличии залога выбирается значение из справочника соответствующее типу залога, на который приходится наибольшая доля задолженности.</w:t>
      </w:r>
    </w:p>
    <w:p w:rsidR="00224B00" w:rsidRDefault="00224B00" w:rsidP="00224B00">
      <w:pPr>
        <w:pStyle w:val="pj"/>
      </w:pPr>
      <w:r>
        <w:t>16. В строке 11 указывается значение «1» по займам, по которым имеется просроченная задолженность по основному долгу и (или) начисленному вознаграждению свыше 90 (девяноста) календарных дней, в ином случае указывается «0».</w:t>
      </w:r>
    </w:p>
    <w:p w:rsidR="00224B00" w:rsidRDefault="00224B00" w:rsidP="00224B00">
      <w:pPr>
        <w:pStyle w:val="pj"/>
      </w:pPr>
      <w:r>
        <w:t>17. В строках 12.1 и 12.2 указывается сумма займов, выданных и погашенных соответственно в течение отчетного месяца. В строке 12.2 указывается сумма фактически внесенных заемщиком денежных средств в течение отчетного периода в счет погашения всех обязательств заемщика по данному займу, включающих основной долг, вознаграждение, штрафы и пени, комиссии по займу.</w:t>
      </w:r>
    </w:p>
    <w:p w:rsidR="00224B00" w:rsidRDefault="00224B00" w:rsidP="00224B00">
      <w:pPr>
        <w:pStyle w:val="pj"/>
      </w:pPr>
      <w:r>
        <w:t>18. В строке 12.3 указывается средневзвешенная ставка вознаграждения по фактически представленным в отчетном периоде займам, информация о которых представляется по строке 12.1. Для расчета используется ставка вознаграждения, указанная в соответствующих договорах займа.</w:t>
      </w:r>
    </w:p>
    <w:p w:rsidR="00224B00" w:rsidRDefault="00224B00" w:rsidP="00224B00">
      <w:pPr>
        <w:pStyle w:val="pj"/>
      </w:pPr>
      <w:r>
        <w:t>Расчет средневзвешенной ставки вознаграждения осуществляется по формуле:</w:t>
      </w:r>
    </w:p>
    <w:p w:rsidR="00224B00" w:rsidRDefault="00224B00" w:rsidP="00224B00">
      <w:pPr>
        <w:pStyle w:val="pc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47.25pt;visibility:visible">
            <v:imagedata r:id="rId6" r:href="rId7"/>
          </v:shape>
        </w:pict>
      </w:r>
    </w:p>
    <w:p w:rsidR="00224B00" w:rsidRDefault="00224B00" w:rsidP="00224B00">
      <w:pPr>
        <w:pStyle w:val="pj"/>
      </w:pPr>
      <w:r>
        <w:t>где:</w:t>
      </w:r>
    </w:p>
    <w:p w:rsidR="00224B00" w:rsidRDefault="00224B00" w:rsidP="00224B00">
      <w:pPr>
        <w:pStyle w:val="pj"/>
      </w:pPr>
      <w:proofErr w:type="spellStart"/>
      <w:r>
        <w:t>Rn</w:t>
      </w:r>
      <w:proofErr w:type="spellEnd"/>
      <w:r>
        <w:t xml:space="preserve"> - ставка вознаграждения по n-ному займу;</w:t>
      </w:r>
    </w:p>
    <w:p w:rsidR="00224B00" w:rsidRDefault="00224B00" w:rsidP="00224B00">
      <w:pPr>
        <w:pStyle w:val="pj"/>
      </w:pPr>
      <w:proofErr w:type="spellStart"/>
      <w:r>
        <w:t>Qn</w:t>
      </w:r>
      <w:proofErr w:type="spellEnd"/>
      <w:r>
        <w:t>- объем n-</w:t>
      </w:r>
      <w:proofErr w:type="spellStart"/>
      <w:r>
        <w:t>го</w:t>
      </w:r>
      <w:proofErr w:type="spellEnd"/>
      <w:r>
        <w:t xml:space="preserve"> займа, выданного в отчетном периоде</w:t>
      </w:r>
    </w:p>
    <w:p w:rsidR="00224B00" w:rsidRDefault="00224B00" w:rsidP="00224B00">
      <w:pPr>
        <w:pStyle w:val="pj"/>
      </w:pPr>
      <w:r>
        <w:t>Для исламских банков в строке 12.3 указывается средневзвешенный показатель торговой наценки по осуществленным в отчетном периоде сделкам торгового финансирования.</w:t>
      </w:r>
    </w:p>
    <w:p w:rsidR="00224B00" w:rsidRDefault="00224B00" w:rsidP="00224B00">
      <w:pPr>
        <w:pStyle w:val="pj"/>
      </w:pPr>
      <w:r>
        <w:t>19. В строках 13.2 и 13.3 указываются номера счетов в соответствии с Типовым планом счетов банков, на которых учитываются суммы займов (торгового финансирования), выданного (осуществленного) банком, в том числе исламским банком, и соответствующие им стоимостные значения на отчетную дату.</w:t>
      </w:r>
    </w:p>
    <w:p w:rsidR="00224B00" w:rsidRDefault="00224B00" w:rsidP="00224B00">
      <w:pPr>
        <w:pStyle w:val="pj"/>
      </w:pPr>
      <w:r>
        <w:t>Если стоимостное значение равно нулю, показатели по строкам 13.1, 13.2 и 13.3 не представляются.</w:t>
      </w:r>
    </w:p>
    <w:p w:rsidR="00224B00" w:rsidRDefault="00224B00" w:rsidP="00224B00">
      <w:pPr>
        <w:pStyle w:val="pj"/>
      </w:pPr>
      <w:r>
        <w:t>Размер резервов (провизий) указывается в абсолютном значении как положительное число.</w:t>
      </w:r>
    </w:p>
    <w:p w:rsidR="00224B00" w:rsidRDefault="00224B00" w:rsidP="00224B00">
      <w:pPr>
        <w:pStyle w:val="pj"/>
      </w:pPr>
      <w:r>
        <w:t>20. В строке 14 указывается стадия кредитного риска, к которой отнесены выданные займы по состоянию на конец отчетного периода в соответствии с Международным стандартом финансовой отчетности (IFRS) 9 «Финансовые инструменты».</w:t>
      </w:r>
    </w:p>
    <w:p w:rsidR="00244A30" w:rsidRDefault="00224B00" w:rsidP="00224B00">
      <w:pPr>
        <w:pStyle w:val="pj"/>
      </w:pPr>
      <w:r>
        <w:t> </w:t>
      </w:r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0"/>
    <w:rsid w:val="00224B00"/>
    <w:rsid w:val="002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78E1"/>
  <w15:chartTrackingRefBased/>
  <w15:docId w15:val="{6A8D1D37-A602-482E-96EF-20DD1733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4B00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224B00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224B00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224B0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224B0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224B00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ITS.Paragraph/DocumentsCache/042394/042394450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2022-02-14T09:23:00Z</dcterms:created>
  <dcterms:modified xsi:type="dcterms:W3CDTF">2022-02-14T09:24:00Z</dcterms:modified>
</cp:coreProperties>
</file>