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9B" w:rsidRDefault="00B54A9B" w:rsidP="00B54A9B">
      <w:pPr>
        <w:pStyle w:val="pr"/>
      </w:pPr>
      <w:r>
        <w:t>Приложение</w:t>
      </w:r>
    </w:p>
    <w:p w:rsidR="00B54A9B" w:rsidRDefault="00B54A9B" w:rsidP="00B54A9B">
      <w:pPr>
        <w:pStyle w:val="pr"/>
      </w:pPr>
      <w:r>
        <w:t>к форме отчета о прочих</w:t>
      </w:r>
    </w:p>
    <w:p w:rsidR="00B54A9B" w:rsidRDefault="00B54A9B" w:rsidP="00B54A9B">
      <w:pPr>
        <w:pStyle w:val="pr"/>
      </w:pPr>
      <w:r>
        <w:t>классифицируемых активах</w:t>
      </w:r>
    </w:p>
    <w:p w:rsidR="00B54A9B" w:rsidRDefault="00B54A9B" w:rsidP="00B54A9B">
      <w:pPr>
        <w:pStyle w:val="pr"/>
      </w:pPr>
      <w:r>
        <w:t>и крупных дебиторах</w:t>
      </w:r>
    </w:p>
    <w:p w:rsidR="00B54A9B" w:rsidRDefault="00B54A9B" w:rsidP="00B54A9B">
      <w:pPr>
        <w:pStyle w:val="pr"/>
      </w:pPr>
      <w:r>
        <w:t> </w:t>
      </w:r>
    </w:p>
    <w:p w:rsidR="00B54A9B" w:rsidRDefault="00B54A9B" w:rsidP="00B54A9B">
      <w:pPr>
        <w:pStyle w:val="pj"/>
      </w:pPr>
      <w:r>
        <w:t> </w:t>
      </w:r>
    </w:p>
    <w:p w:rsidR="00B54A9B" w:rsidRDefault="00B54A9B" w:rsidP="00B54A9B">
      <w:pPr>
        <w:pStyle w:val="pc"/>
      </w:pPr>
      <w:r>
        <w:t>Пояснение по заполнению формы административных данных</w:t>
      </w:r>
    </w:p>
    <w:p w:rsidR="00B54A9B" w:rsidRDefault="00B54A9B" w:rsidP="00B54A9B">
      <w:pPr>
        <w:pStyle w:val="pc"/>
      </w:pPr>
      <w:r>
        <w:t> </w:t>
      </w:r>
    </w:p>
    <w:p w:rsidR="00B54A9B" w:rsidRDefault="00B54A9B" w:rsidP="00B54A9B">
      <w:pPr>
        <w:pStyle w:val="pc"/>
      </w:pPr>
      <w:r>
        <w:t>Отчет о прочих классифицируемых активах и крупных дебиторах</w:t>
      </w:r>
    </w:p>
    <w:p w:rsidR="00B54A9B" w:rsidRDefault="00B54A9B" w:rsidP="00B54A9B">
      <w:pPr>
        <w:pStyle w:val="pc"/>
      </w:pPr>
      <w:r>
        <w:t>(индекс - DEBTORS, периодичность - ежемесячная, ежеквартальная)</w:t>
      </w:r>
    </w:p>
    <w:p w:rsidR="00B54A9B" w:rsidRDefault="00B54A9B" w:rsidP="00B54A9B">
      <w:pPr>
        <w:pStyle w:val="pc"/>
      </w:pPr>
      <w:r>
        <w:rPr>
          <w:rStyle w:val="s1"/>
        </w:rPr>
        <w:t> </w:t>
      </w:r>
    </w:p>
    <w:p w:rsidR="00B54A9B" w:rsidRDefault="00B54A9B" w:rsidP="00B54A9B">
      <w:pPr>
        <w:pStyle w:val="pc"/>
      </w:pPr>
      <w:r>
        <w:rPr>
          <w:rStyle w:val="s1"/>
        </w:rPr>
        <w:t> </w:t>
      </w:r>
    </w:p>
    <w:p w:rsidR="00B54A9B" w:rsidRDefault="00B54A9B" w:rsidP="00B54A9B">
      <w:pPr>
        <w:pStyle w:val="pc"/>
      </w:pPr>
      <w:r>
        <w:rPr>
          <w:rStyle w:val="s1"/>
        </w:rPr>
        <w:t>Глава 1. Общие положения</w:t>
      </w:r>
    </w:p>
    <w:p w:rsidR="00B54A9B" w:rsidRDefault="00B54A9B" w:rsidP="00B54A9B">
      <w:pPr>
        <w:pStyle w:val="pj"/>
      </w:pPr>
      <w:r>
        <w:t> </w:t>
      </w:r>
    </w:p>
    <w:p w:rsidR="00B54A9B" w:rsidRDefault="00B54A9B" w:rsidP="00B54A9B">
      <w:pPr>
        <w:pStyle w:val="pj"/>
      </w:pPr>
      <w:r>
        <w:t>1. Настоящее пояснение (далее - Пояснение) определяет единые требования по заполнению формы, предназначенной для сбора административных данных, «Отчет о прочих классифицируемых активах и крупных дебиторах» (далее - Форма).</w:t>
      </w:r>
    </w:p>
    <w:p w:rsidR="00B54A9B" w:rsidRDefault="00B54A9B" w:rsidP="00B54A9B">
      <w:pPr>
        <w:pStyle w:val="pj"/>
      </w:pPr>
      <w:r>
        <w:t xml:space="preserve">2. Форма разработана в соответствии с </w:t>
      </w:r>
      <w:hyperlink r:id="rId4" w:history="1">
        <w:r>
          <w:rPr>
            <w:rStyle w:val="a3"/>
            <w:color w:val="000080"/>
          </w:rPr>
          <w:t>подпунктом 65-2) части второй статьи 15</w:t>
        </w:r>
      </w:hyperlink>
      <w:r>
        <w:t xml:space="preserve"> Закона Республики Казахстан от 30 марта 1995 года «О Национальном Банке Республики Казахстан» и </w:t>
      </w:r>
      <w:hyperlink r:id="rId5" w:history="1">
        <w:r>
          <w:rPr>
            <w:rStyle w:val="a3"/>
            <w:color w:val="000080"/>
          </w:rPr>
          <w:t>пунктом 1 статьи 54</w:t>
        </w:r>
      </w:hyperlink>
      <w:r>
        <w:t xml:space="preserve"> Закона Республики Казахстан от 31 августа 1995 года «О банках и банковской деятельности в Республике Казахстан».</w:t>
      </w:r>
    </w:p>
    <w:p w:rsidR="00B54A9B" w:rsidRDefault="00B54A9B" w:rsidP="00B54A9B">
      <w:pPr>
        <w:pStyle w:val="pj"/>
      </w:pPr>
      <w:r>
        <w:t>3. Форма составляется банками второго уровня ежемесячно (показатели отчета о прочих классифицируемых активах), ежеквартально (показатели отчета о крупных дебиторах) по состоянию на конец отчетного периода.</w:t>
      </w:r>
    </w:p>
    <w:p w:rsidR="00B54A9B" w:rsidRDefault="00B54A9B" w:rsidP="00B54A9B">
      <w:pPr>
        <w:pStyle w:val="pj"/>
      </w:pPr>
      <w:r>
        <w:t>Единицей измерения, используемой при заполнении Формы, является тенге. Стоимостные показатели указываются в числах с двумя знаками после запятой.</w:t>
      </w:r>
    </w:p>
    <w:p w:rsidR="00B54A9B" w:rsidRDefault="00B54A9B" w:rsidP="00B54A9B">
      <w:pPr>
        <w:pStyle w:val="pj"/>
      </w:pPr>
      <w:r>
        <w:t>4. Форму подписывают руководитель или лицо, на которое возложена функция по подписанию отчета, и исполнитель.</w:t>
      </w:r>
    </w:p>
    <w:p w:rsidR="00B54A9B" w:rsidRDefault="00B54A9B" w:rsidP="00B54A9B">
      <w:pPr>
        <w:pStyle w:val="pj"/>
      </w:pPr>
      <w:r>
        <w:t>5. При заполнении формы коды указываются в соответствии со справочниками, используемыми в информационной системе, посредством которой представляется Форма, даты указываются в формате: «ДД.ММ.ГГГГ», где «ГГГГ» - год, «ММ» - месяц, «ДД» - день.</w:t>
      </w:r>
    </w:p>
    <w:p w:rsidR="00B54A9B" w:rsidRDefault="00B54A9B" w:rsidP="00B54A9B">
      <w:pPr>
        <w:pStyle w:val="pj"/>
      </w:pPr>
      <w:r>
        <w:t>6. Номера счетов в Форме и Пояснении указываются в соответствии с Типовым планом счетов бухгалтерского учета в банках второго уровня, ипотечных организациях, акционерном обществе «Банк Развития Казахстана» и филиалах банков-нерезидентов Республики Казахстан, утвержденным постановлением Правления Национального Банка Республики Казахстан от 31 января 2011 года № 3, зарегистрированным в Реестре государственной регистрации нормативных правовых актов под № 6793 (далее - Типовой план счетов банков).</w:t>
      </w:r>
    </w:p>
    <w:p w:rsidR="00B54A9B" w:rsidRDefault="00B54A9B" w:rsidP="00B54A9B">
      <w:pPr>
        <w:pStyle w:val="pj"/>
      </w:pPr>
      <w:r>
        <w:t>7.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B54A9B" w:rsidRDefault="00B54A9B" w:rsidP="00B54A9B">
      <w:pPr>
        <w:pStyle w:val="pc"/>
      </w:pPr>
      <w:r>
        <w:rPr>
          <w:rStyle w:val="s1"/>
        </w:rPr>
        <w:t> </w:t>
      </w:r>
    </w:p>
    <w:p w:rsidR="00B54A9B" w:rsidRDefault="00B54A9B" w:rsidP="00B54A9B">
      <w:pPr>
        <w:pStyle w:val="pc"/>
      </w:pPr>
      <w:r>
        <w:rPr>
          <w:rStyle w:val="s1"/>
        </w:rPr>
        <w:t> </w:t>
      </w:r>
    </w:p>
    <w:p w:rsidR="00B54A9B" w:rsidRDefault="00B54A9B" w:rsidP="00B54A9B">
      <w:pPr>
        <w:pStyle w:val="pc"/>
      </w:pPr>
      <w:r>
        <w:rPr>
          <w:rStyle w:val="s1"/>
        </w:rPr>
        <w:t>Глава 2. Пояснение по заполнению Формы</w:t>
      </w:r>
    </w:p>
    <w:p w:rsidR="00B54A9B" w:rsidRDefault="00B54A9B" w:rsidP="00B54A9B">
      <w:pPr>
        <w:pStyle w:val="pj"/>
      </w:pPr>
      <w:r>
        <w:t> </w:t>
      </w:r>
    </w:p>
    <w:p w:rsidR="00B54A9B" w:rsidRDefault="00B54A9B" w:rsidP="00B54A9B">
      <w:pPr>
        <w:pStyle w:val="pj"/>
      </w:pPr>
      <w:r>
        <w:t>8. В Форме указываются сведения о крупных дебиторах и сведения о прочих активах, подлежащих классификации по стадиям обесценения согласно Международным стандартам финансовой отчетности (IFRS) 9 «Финансовые инструменты» в соответствии с внутренней Методикой расчета провизий (резервов) банка, не включенных в другие формы отчетов, предусмотренные настоящим постановлением.</w:t>
      </w:r>
    </w:p>
    <w:p w:rsidR="00B54A9B" w:rsidRDefault="00B54A9B" w:rsidP="00B54A9B">
      <w:pPr>
        <w:pStyle w:val="pj"/>
      </w:pPr>
      <w:r>
        <w:t>9. В строках 2.1, 2.2 и 3 таблицы 1 значения выбираются из справочников, размещенных в информационной системе, посредством которой представляется Форма.</w:t>
      </w:r>
    </w:p>
    <w:p w:rsidR="00B54A9B" w:rsidRDefault="00B54A9B" w:rsidP="00B54A9B">
      <w:pPr>
        <w:pStyle w:val="pj"/>
      </w:pPr>
      <w:r>
        <w:lastRenderedPageBreak/>
        <w:t>10. В строках 2.2 и 2.3 таблицы 1 указываются номера счетов в соответствии с Типовым планом счетов банков, на которых учитываются суммы прочих классифицируемых активов, и соответствующие им стоимостные значения на отчетную дату. Если стоимостное значение равно нулю, показатели по строкам 2.1, 2.2 и 2.3 таблицы 1 не представляются.</w:t>
      </w:r>
    </w:p>
    <w:p w:rsidR="00B54A9B" w:rsidRDefault="00B54A9B" w:rsidP="00B54A9B">
      <w:pPr>
        <w:pStyle w:val="pj"/>
      </w:pPr>
      <w:r>
        <w:t>Размер резервов (провизий) указывается в абсолютном значении как положительное число.</w:t>
      </w:r>
    </w:p>
    <w:p w:rsidR="00B54A9B" w:rsidRDefault="00B54A9B" w:rsidP="00B54A9B">
      <w:pPr>
        <w:pStyle w:val="pj"/>
      </w:pPr>
      <w:r>
        <w:t>11. В строке 3 таблицы 1 указывается стадия кредитного риска, к которой отнесены прочие классифицируемые активы по состоянию на отчетную дату в соответствии с Международным стандартом финансовой отчетности (IFRS) 9 «Финансовые инструменты».</w:t>
      </w:r>
    </w:p>
    <w:p w:rsidR="00B54A9B" w:rsidRDefault="00B54A9B" w:rsidP="00B54A9B">
      <w:pPr>
        <w:pStyle w:val="pj"/>
      </w:pPr>
      <w:r>
        <w:t>12. В строках 2.2, 2.4, 2.5, 3, 6.1, 6.2 и 7 таблицы 2 значения выбираются из справочников, размещенных в информационной системе, посредством которой представляется Форма.</w:t>
      </w:r>
    </w:p>
    <w:p w:rsidR="00B54A9B" w:rsidRDefault="00B54A9B" w:rsidP="00B54A9B">
      <w:pPr>
        <w:pStyle w:val="pj"/>
      </w:pPr>
      <w:r>
        <w:t>13. В таблице 2 указываются сведения о крупных дебиторах банка, соответствующих следующим условиям:</w:t>
      </w:r>
    </w:p>
    <w:p w:rsidR="00B54A9B" w:rsidRDefault="00B54A9B" w:rsidP="00B54A9B">
      <w:pPr>
        <w:pStyle w:val="pj"/>
      </w:pPr>
      <w:r>
        <w:t>на отчетную дату определен контрагент по дебиторской задолженности;</w:t>
      </w:r>
    </w:p>
    <w:p w:rsidR="00B54A9B" w:rsidRDefault="00B54A9B" w:rsidP="00B54A9B">
      <w:pPr>
        <w:pStyle w:val="pj"/>
      </w:pPr>
      <w:r>
        <w:t>контрагент не является лицом, связанным с банком особыми отношениями;</w:t>
      </w:r>
    </w:p>
    <w:p w:rsidR="00B54A9B" w:rsidRDefault="00B54A9B" w:rsidP="00B54A9B">
      <w:pPr>
        <w:pStyle w:val="pj"/>
      </w:pPr>
      <w:r>
        <w:t>требования к контрагенту возникли вследствие заключения одной или нескольких из следующих операций:</w:t>
      </w:r>
    </w:p>
    <w:p w:rsidR="00B54A9B" w:rsidRDefault="00B54A9B" w:rsidP="00B54A9B">
      <w:pPr>
        <w:pStyle w:val="pj"/>
      </w:pPr>
      <w:r>
        <w:t>продажи, покупки, переуступки прав требования по займам;</w:t>
      </w:r>
    </w:p>
    <w:p w:rsidR="00B54A9B" w:rsidRDefault="00B54A9B" w:rsidP="00B54A9B">
      <w:pPr>
        <w:pStyle w:val="pj"/>
      </w:pPr>
      <w:proofErr w:type="spellStart"/>
      <w:r>
        <w:t>реклассификации</w:t>
      </w:r>
      <w:proofErr w:type="spellEnd"/>
      <w:r>
        <w:t xml:space="preserve"> займа в дебиторскую задолженность;</w:t>
      </w:r>
    </w:p>
    <w:p w:rsidR="00B54A9B" w:rsidRDefault="00B54A9B" w:rsidP="00B54A9B">
      <w:pPr>
        <w:pStyle w:val="pj"/>
      </w:pPr>
      <w:r>
        <w:t>продажи взысканного залогового имущества;</w:t>
      </w:r>
    </w:p>
    <w:p w:rsidR="00B54A9B" w:rsidRDefault="00B54A9B" w:rsidP="00B54A9B">
      <w:pPr>
        <w:pStyle w:val="pj"/>
      </w:pPr>
      <w:r>
        <w:t>прочих операций с заемщиком банка второго уровня, за исключением сумм, отраженных на отчетную дату на счетах 1740, 1741 и группы 1400 в соответствии с Типовым планом счетов банков;</w:t>
      </w:r>
    </w:p>
    <w:p w:rsidR="00B54A9B" w:rsidRDefault="00B54A9B" w:rsidP="00B54A9B">
      <w:pPr>
        <w:pStyle w:val="pj"/>
      </w:pPr>
      <w:r>
        <w:t>исполнения банком второго уровня обязательств по выпущенным и подтвержденным гарантиям и аккредитивам.</w:t>
      </w:r>
    </w:p>
    <w:p w:rsidR="00B54A9B" w:rsidRDefault="00B54A9B" w:rsidP="00B54A9B">
      <w:pPr>
        <w:pStyle w:val="pj"/>
      </w:pPr>
      <w:r>
        <w:t>14. При заполнении таблицы 2 банки второго уровня раскрывают 25 (двадцать пять) крупнейших дебиторов банка второго уровня, к которым у банка второго уровня имеется наибольшая сумма требований.</w:t>
      </w:r>
    </w:p>
    <w:p w:rsidR="00B54A9B" w:rsidRDefault="00B54A9B" w:rsidP="00B54A9B">
      <w:pPr>
        <w:pStyle w:val="pj"/>
      </w:pPr>
      <w:r>
        <w:t>15. Справочники в строке 2 таблицы 2 ведутся банками второго уровня, соответствующая информация в справочниках обновляется банками второго уровня самостоятельно по мере необходимости.</w:t>
      </w:r>
    </w:p>
    <w:p w:rsidR="00B54A9B" w:rsidRDefault="00B54A9B" w:rsidP="00B54A9B">
      <w:pPr>
        <w:pStyle w:val="pj"/>
      </w:pPr>
      <w:r>
        <w:t>16. В строке 2.1 таблицы 2 указывается наименование дебитора в соответствии со справочником, который ведется банком второго уровня.</w:t>
      </w:r>
    </w:p>
    <w:p w:rsidR="00B54A9B" w:rsidRDefault="00B54A9B" w:rsidP="00B54A9B">
      <w:pPr>
        <w:pStyle w:val="pj"/>
      </w:pPr>
      <w:r>
        <w:t>Для идентификации контрагентов в строках 2.2 и 2.3 таблицы 2 указываются следующие виды идентификаторов и их значения:</w:t>
      </w:r>
    </w:p>
    <w:p w:rsidR="00B54A9B" w:rsidRDefault="00B54A9B" w:rsidP="00B54A9B">
      <w:pPr>
        <w:pStyle w:val="pj"/>
      </w:pPr>
      <w:r>
        <w:t>по резидентам Республики Казахстан: для юридического лица - бизнес-идентификационный номер; для физического лица, в том числе индивидуального предпринимателя - индивидуальный идентификационный номер;</w:t>
      </w:r>
    </w:p>
    <w:p w:rsidR="00B54A9B" w:rsidRDefault="00B54A9B" w:rsidP="00B54A9B">
      <w:pPr>
        <w:pStyle w:val="pj"/>
      </w:pPr>
      <w:r>
        <w:t>по нерезидентам Республики Казахстан: для юридического лица - банковский идентификационный код, присвоенный контрагенту банка в соответствии с международным стандартом ISO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Standartization</w:t>
      </w:r>
      <w:proofErr w:type="spellEnd"/>
      <w:r>
        <w:t xml:space="preserve">) 9362: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(далее - банковский идентификационный код); для физического лица, в том числе индивидуального предпринимателя, и для юридического лица (при отсутствии у него банковского идентификационного кода) - альтернативный идентификационный номер, сформированный отчитывающимся банком по алгоритму, установленному для информационной системы, посредством которой представляется Форма.</w:t>
      </w:r>
    </w:p>
    <w:p w:rsidR="00B54A9B" w:rsidRDefault="00B54A9B" w:rsidP="00B54A9B">
      <w:pPr>
        <w:pStyle w:val="pj"/>
      </w:pPr>
      <w:r>
        <w:t>17. В строке 2.4 таблицы 2 по дебитору, являющемуся резидентом Республики Казахстан, указывается значение «1», по дебитору, являющемуся нерезидентом Республики Казахстан, указывается значение «2».</w:t>
      </w:r>
    </w:p>
    <w:p w:rsidR="00B54A9B" w:rsidRDefault="00B54A9B" w:rsidP="00B54A9B">
      <w:pPr>
        <w:pStyle w:val="pj"/>
      </w:pPr>
      <w:r>
        <w:lastRenderedPageBreak/>
        <w:t>18. В строке 4 таблицы 2 по дебиторской задолженности, выраженной в национальной валюте, указывается значение «1», в иных случаях указывается «0».</w:t>
      </w:r>
    </w:p>
    <w:p w:rsidR="00B54A9B" w:rsidRDefault="00B54A9B" w:rsidP="00B54A9B">
      <w:pPr>
        <w:pStyle w:val="pj"/>
      </w:pPr>
      <w:r>
        <w:t>19. В строках 6.2 и 6.3 таблицы 2 указываются номера счетов в соответствии с Типовым планом счетов банков, на которых учитываются суммы дебиторской задолженности и соответствующие им стоимостные значения на отчетную дату.</w:t>
      </w:r>
    </w:p>
    <w:p w:rsidR="00B54A9B" w:rsidRDefault="00B54A9B" w:rsidP="00B54A9B">
      <w:pPr>
        <w:pStyle w:val="pj"/>
      </w:pPr>
      <w:r>
        <w:t>Если стоимостное значение равно нулю, показатели по строкам 6.1, 6.2 и 6.3 таблицы 2 не представляются.</w:t>
      </w:r>
    </w:p>
    <w:p w:rsidR="00B54A9B" w:rsidRDefault="00B54A9B" w:rsidP="00B54A9B">
      <w:pPr>
        <w:pStyle w:val="pj"/>
      </w:pPr>
      <w:r>
        <w:t>Размер резервов (провизий) указывается в абсолютном значении как положительное число.</w:t>
      </w:r>
    </w:p>
    <w:p w:rsidR="00B54A9B" w:rsidRDefault="00B54A9B" w:rsidP="00B54A9B">
      <w:pPr>
        <w:pStyle w:val="pj"/>
      </w:pPr>
      <w:r>
        <w:t>20. В строке 7 таблицы 2 указывается стадия кредитного риска, к которой отнесена дебиторская задолженность по состоянию на отчетную дату в соответствии с Международным стандартом финансовой отчетности (IFRS) 9 «Финансовые инструменты».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9B"/>
    <w:rsid w:val="00244A30"/>
    <w:rsid w:val="00B5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4B00-50A8-4CA6-B768-89C53FB3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4A9B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B54A9B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4A9B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B54A9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B54A9B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B54A9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03931.540000%20" TargetMode="External"/><Relationship Id="rId4" Type="http://schemas.openxmlformats.org/officeDocument/2006/relationships/hyperlink" Target="jl:1003548.1500650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2022-02-14T09:23:00Z</dcterms:created>
  <dcterms:modified xsi:type="dcterms:W3CDTF">2022-02-14T09:23:00Z</dcterms:modified>
</cp:coreProperties>
</file>