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00" w:rsidRDefault="00D54200" w:rsidP="00D54200">
      <w:pPr>
        <w:pStyle w:val="pr"/>
      </w:pPr>
      <w:r>
        <w:t>Приложение</w:t>
      </w:r>
    </w:p>
    <w:p w:rsidR="00D54200" w:rsidRDefault="00D54200" w:rsidP="00D54200">
      <w:pPr>
        <w:pStyle w:val="pr"/>
      </w:pPr>
      <w:r>
        <w:t>к форме отчета о структуре</w:t>
      </w:r>
    </w:p>
    <w:p w:rsidR="00D54200" w:rsidRDefault="00D54200" w:rsidP="00D54200">
      <w:pPr>
        <w:pStyle w:val="pr"/>
      </w:pPr>
      <w:r>
        <w:t>портфеля ценных бумаг</w:t>
      </w:r>
    </w:p>
    <w:p w:rsidR="00D54200" w:rsidRDefault="00D54200" w:rsidP="00D54200">
      <w:pPr>
        <w:pStyle w:val="pj"/>
      </w:pPr>
      <w:r>
        <w:t> </w:t>
      </w:r>
    </w:p>
    <w:p w:rsidR="00D54200" w:rsidRDefault="00D54200" w:rsidP="00D54200">
      <w:pPr>
        <w:pStyle w:val="pc"/>
      </w:pPr>
      <w:r>
        <w:t> </w:t>
      </w:r>
    </w:p>
    <w:p w:rsidR="00D54200" w:rsidRDefault="00D54200" w:rsidP="00D54200">
      <w:pPr>
        <w:pStyle w:val="pc"/>
      </w:pPr>
      <w:r>
        <w:t>Пояснение по заполнению формы административных данных</w:t>
      </w:r>
    </w:p>
    <w:p w:rsidR="00D54200" w:rsidRDefault="00D54200" w:rsidP="00D54200">
      <w:pPr>
        <w:pStyle w:val="pc"/>
      </w:pPr>
      <w:r>
        <w:t> </w:t>
      </w:r>
    </w:p>
    <w:p w:rsidR="00D54200" w:rsidRDefault="00D54200" w:rsidP="00D54200">
      <w:pPr>
        <w:pStyle w:val="pc"/>
      </w:pPr>
      <w:r>
        <w:t>Отчет о структуре портфеля ценных бумаг</w:t>
      </w:r>
    </w:p>
    <w:p w:rsidR="00D54200" w:rsidRDefault="00D54200" w:rsidP="00D54200">
      <w:pPr>
        <w:pStyle w:val="pc"/>
      </w:pPr>
      <w:r>
        <w:t>(индекс - PORTF, периодичность - ежемесячная)</w:t>
      </w:r>
    </w:p>
    <w:p w:rsidR="00D54200" w:rsidRDefault="00D54200" w:rsidP="00D54200">
      <w:pPr>
        <w:pStyle w:val="pc"/>
      </w:pPr>
      <w:r>
        <w:rPr>
          <w:rStyle w:val="s1"/>
        </w:rPr>
        <w:t> </w:t>
      </w:r>
    </w:p>
    <w:p w:rsidR="00D54200" w:rsidRDefault="00D54200" w:rsidP="00D54200">
      <w:pPr>
        <w:pStyle w:val="pc"/>
      </w:pPr>
      <w:r>
        <w:rPr>
          <w:rStyle w:val="s1"/>
        </w:rPr>
        <w:t> </w:t>
      </w:r>
    </w:p>
    <w:p w:rsidR="00D54200" w:rsidRDefault="00D54200" w:rsidP="00D54200">
      <w:pPr>
        <w:pStyle w:val="pc"/>
      </w:pPr>
      <w:r>
        <w:rPr>
          <w:rStyle w:val="s1"/>
        </w:rPr>
        <w:t>Глава 1. Общие положения</w:t>
      </w:r>
    </w:p>
    <w:p w:rsidR="00D54200" w:rsidRDefault="00D54200" w:rsidP="00D54200">
      <w:pPr>
        <w:pStyle w:val="pj"/>
      </w:pPr>
      <w:r>
        <w:t> </w:t>
      </w:r>
    </w:p>
    <w:p w:rsidR="00D54200" w:rsidRDefault="00D54200" w:rsidP="00D54200">
      <w:pPr>
        <w:pStyle w:val="pj"/>
      </w:pPr>
      <w:r>
        <w:t>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портфеля ценных бумаг» (далее - Форма).</w:t>
      </w:r>
    </w:p>
    <w:p w:rsidR="00D54200" w:rsidRDefault="00D54200" w:rsidP="00D54200">
      <w:pPr>
        <w:pStyle w:val="pj"/>
      </w:pPr>
      <w:r>
        <w:t xml:space="preserve">2. Форма разработана в соответствии с </w:t>
      </w:r>
      <w:hyperlink r:id="rId4" w:history="1">
        <w:r>
          <w:rPr>
            <w:rStyle w:val="a3"/>
            <w:color w:val="000080"/>
          </w:rPr>
          <w:t>подпунктом 65-2) части второй статьи 15</w:t>
        </w:r>
      </w:hyperlink>
      <w:r>
        <w:t xml:space="preserve"> Закона Республики Казахстан от 30 марта 1995 года «О Национальном Банке Республики Казахстан» и </w:t>
      </w:r>
      <w:hyperlink r:id="rId5" w:history="1">
        <w:r>
          <w:rPr>
            <w:rStyle w:val="a3"/>
            <w:color w:val="000080"/>
          </w:rPr>
          <w:t>пунктом 1 статьи 54</w:t>
        </w:r>
      </w:hyperlink>
      <w:r>
        <w:t xml:space="preserve"> Закона Республики Казахстан от 31 августа 1995 года «О банках и банковской деятельности в Республике Казахстан».</w:t>
      </w:r>
    </w:p>
    <w:p w:rsidR="00D54200" w:rsidRDefault="00D54200" w:rsidP="00D54200">
      <w:pPr>
        <w:pStyle w:val="pj"/>
      </w:pPr>
      <w:r>
        <w:t>3. Форма составляется банками второго уровня ежемесячно по состоянию на конец отчетного месяца.</w:t>
      </w:r>
    </w:p>
    <w:p w:rsidR="00D54200" w:rsidRDefault="00D54200" w:rsidP="00D54200">
      <w:pPr>
        <w:pStyle w:val="pj"/>
      </w:pPr>
      <w:r>
        <w:t>Единицей измерения, используемой при заполнении Формы, является тенге. Стоимостные показатели указываются в числах с двумя знаками после запятой.</w:t>
      </w:r>
    </w:p>
    <w:p w:rsidR="00D54200" w:rsidRDefault="00D54200" w:rsidP="00D54200">
      <w:pPr>
        <w:pStyle w:val="pj"/>
      </w:pPr>
      <w:r>
        <w:t>4. Форму подписывают руководитель или лицо, на которое возложена функция по подписанию отчета, и исполнитель.</w:t>
      </w:r>
    </w:p>
    <w:p w:rsidR="00D54200" w:rsidRDefault="00D54200" w:rsidP="00D54200">
      <w:pPr>
        <w:pStyle w:val="pj"/>
      </w:pPr>
      <w:r>
        <w:t>5. При заполнении формы коды указываются в соответствии со справочниками, используемыми в информационной системе, посредством которой представляется Форма, даты указываются в формате: «ДД.ММ.ГГГГ», где «ГГГГ» - год, «ММ» - месяц, «ДД» - день.</w:t>
      </w:r>
    </w:p>
    <w:p w:rsidR="00D54200" w:rsidRDefault="00D54200" w:rsidP="00D54200">
      <w:pPr>
        <w:pStyle w:val="pj"/>
      </w:pPr>
      <w:r>
        <w:t>6.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 банков).</w:t>
      </w:r>
    </w:p>
    <w:p w:rsidR="00D54200" w:rsidRDefault="00D54200" w:rsidP="00D54200">
      <w:pPr>
        <w:pStyle w:val="pj"/>
      </w:pPr>
      <w:r>
        <w:t>7. Все показатели являются обязательными для заполнения, за исключением указанных в Пояснении случаев, когда показатель не представляется.</w:t>
      </w:r>
    </w:p>
    <w:p w:rsidR="00D54200" w:rsidRDefault="00D54200" w:rsidP="00D54200">
      <w:pPr>
        <w:pStyle w:val="pc"/>
      </w:pPr>
      <w:r>
        <w:rPr>
          <w:rStyle w:val="s1"/>
        </w:rPr>
        <w:t> </w:t>
      </w:r>
    </w:p>
    <w:p w:rsidR="00D54200" w:rsidRDefault="00D54200" w:rsidP="00D54200">
      <w:pPr>
        <w:pStyle w:val="pc"/>
      </w:pPr>
      <w:r>
        <w:rPr>
          <w:rStyle w:val="s1"/>
        </w:rPr>
        <w:t> </w:t>
      </w:r>
    </w:p>
    <w:p w:rsidR="00D54200" w:rsidRDefault="00D54200" w:rsidP="00D54200">
      <w:pPr>
        <w:pStyle w:val="pc"/>
      </w:pPr>
      <w:r>
        <w:rPr>
          <w:rStyle w:val="s1"/>
        </w:rPr>
        <w:t>Глава 2. Пояснение по заполнению Формы</w:t>
      </w:r>
    </w:p>
    <w:p w:rsidR="00D54200" w:rsidRDefault="00D54200" w:rsidP="00D54200">
      <w:pPr>
        <w:pStyle w:val="pj"/>
      </w:pPr>
      <w:r>
        <w:t> </w:t>
      </w:r>
    </w:p>
    <w:p w:rsidR="00D54200" w:rsidRDefault="00D54200" w:rsidP="00D54200">
      <w:pPr>
        <w:pStyle w:val="pj"/>
      </w:pPr>
      <w:r>
        <w:t>8. В Форме указываются сведения о вложениях банка в долговые и долевые ценные бумаги, за исключением вложений в акции (доли участия в уставных капиталах) дочерних и ассоциированных организаций и прочего участия в уставных капиталах юридических лиц, сведения по которым указываются в форме отчета об инвестициях банка в капитал других юридических лиц согласно приложению 7 к настоящему постановлению.</w:t>
      </w:r>
    </w:p>
    <w:p w:rsidR="00D54200" w:rsidRDefault="00D54200" w:rsidP="00D54200">
      <w:pPr>
        <w:pStyle w:val="pj"/>
      </w:pPr>
      <w:r>
        <w:t>9. В строках 1, 3 и 8 таблицы 1 и строках 1, 2, 4.1, 4.2, 7, 8 и 9 таблицы 2 значения выбираются из справочников, размещенных в информационной системе, посредством которой представляется Форма.</w:t>
      </w:r>
    </w:p>
    <w:p w:rsidR="00D54200" w:rsidRDefault="00D54200" w:rsidP="00D54200">
      <w:pPr>
        <w:pStyle w:val="pj"/>
      </w:pPr>
      <w:r>
        <w:lastRenderedPageBreak/>
        <w:t>10. Таблица 1 Формы заполняется отдельно по каждой проведенной в отчетном месяце транзакции с ценными бумагами.</w:t>
      </w:r>
    </w:p>
    <w:p w:rsidR="00D54200" w:rsidRDefault="00D54200" w:rsidP="00D54200">
      <w:pPr>
        <w:pStyle w:val="pj"/>
      </w:pPr>
      <w:r>
        <w:t>Таблица 2 Формы заполняется отдельно по каждой ценной бумаге, имеющейся в портфеле банка на конец отчетного месяца.</w:t>
      </w:r>
    </w:p>
    <w:p w:rsidR="00D54200" w:rsidRDefault="00D54200" w:rsidP="00D54200">
      <w:pPr>
        <w:pStyle w:val="pj"/>
      </w:pPr>
      <w:r>
        <w:t>11. В строках 1 таблицы 1 и таблицы 2 указывается международный идентификационный код ценной бумаги (ISIN).</w:t>
      </w:r>
    </w:p>
    <w:p w:rsidR="00D54200" w:rsidRDefault="00D54200" w:rsidP="00D54200">
      <w:pPr>
        <w:pStyle w:val="pj"/>
      </w:pPr>
      <w:r>
        <w:t xml:space="preserve">12. В строке 2 таблицы 1 указывается </w:t>
      </w:r>
      <w:proofErr w:type="spellStart"/>
      <w:r>
        <w:t>референс</w:t>
      </w:r>
      <w:proofErr w:type="spellEnd"/>
      <w:r>
        <w:t xml:space="preserve"> (код) транзакции, который служит уникальным идентификатором транзакции в информационной системе отчитывающегося банка.</w:t>
      </w:r>
    </w:p>
    <w:p w:rsidR="00D54200" w:rsidRDefault="00D54200" w:rsidP="00D54200">
      <w:pPr>
        <w:pStyle w:val="pj"/>
      </w:pPr>
      <w:r>
        <w:t>13. В строке 3 таблицы 1 указываются виды операций, в соответствии со справочником, который ведется и пополняется (обновляется) банком по мере необходимости.</w:t>
      </w:r>
    </w:p>
    <w:p w:rsidR="00D54200" w:rsidRDefault="00D54200" w:rsidP="00D54200">
      <w:pPr>
        <w:pStyle w:val="pj"/>
      </w:pPr>
      <w:r>
        <w:t>14. В строке 4 таблицы 1 по ценным бумагам, ранее принятым в качестве залога и перешедшим в собственность банка, указывается значение «1», в иных случаях - значение «0».</w:t>
      </w:r>
    </w:p>
    <w:p w:rsidR="00D54200" w:rsidRDefault="00D54200" w:rsidP="00D54200">
      <w:pPr>
        <w:pStyle w:val="pj"/>
      </w:pPr>
      <w:r>
        <w:t>Если в строке 4 таблицы 1 указано значение «1», то в качестве даты транзакции в строке 5 таблицы 1 указывается дата перехода ценных бумаг в собственность банка, представляющего отчетность.</w:t>
      </w:r>
    </w:p>
    <w:p w:rsidR="00D54200" w:rsidRDefault="00D54200" w:rsidP="00D54200">
      <w:pPr>
        <w:pStyle w:val="pj"/>
      </w:pPr>
      <w:r>
        <w:t>15. В строке 6 таблицы 1 допускается указание дробного числа (для инструментов участия в уставных капиталах), которое представляется в десятичном виде, с двумя знаками после запятой.</w:t>
      </w:r>
    </w:p>
    <w:p w:rsidR="00D54200" w:rsidRDefault="00D54200" w:rsidP="00D54200">
      <w:pPr>
        <w:pStyle w:val="pj"/>
      </w:pPr>
      <w:r>
        <w:t>16. В строке 7 таблицы 1 по облигациям указывается номинальная стоимость, по акциям - покупная стоимость. Показатель стоимости указывается в тенге (эквивалент стоимости в тенге для ценных бумаг, номинал которых выражен в иностранной валюте, указывается в пересчете по рыночному курсу обмена валют на дату транзакции, определенному в порядке, предусмотренном пунктом 1 постановления Правления Национального Банка Республики Казахстан от 25 января 2013 года № 15 и приказа Министра финансов Республики Казахстан от 22 февраля 2013 года № 99 «О порядке определения рыночного курса обмена валюты», зарегистрированных в Реестре государственной регистрации нормативных правовых актов под № 8378).</w:t>
      </w:r>
    </w:p>
    <w:p w:rsidR="00D54200" w:rsidRDefault="00D54200" w:rsidP="00D54200">
      <w:pPr>
        <w:pStyle w:val="pj"/>
      </w:pPr>
      <w:r>
        <w:t>17. В строке 8 таблицы 1 и строках 7 и 8 таблицы 2 указывается рейтинг, присвоенный одним из рейтинговых агентств, в соответствии с постановлением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w:t>
      </w:r>
    </w:p>
    <w:p w:rsidR="00D54200" w:rsidRDefault="00D54200" w:rsidP="00D54200">
      <w:pPr>
        <w:pStyle w:val="pj"/>
      </w:pPr>
      <w:r>
        <w:t>При наличии рейтингов от нескольких рейтинговых агентств указывается наиболее актуальный по дате присвоения рейтинг. Если даты присвоения рейтингов совпадают, указывается минимальный рейтинг. Одной ценной бумаге, одному эмитенту соответствует не более одного актуального значения рейтинга.</w:t>
      </w:r>
    </w:p>
    <w:p w:rsidR="00D54200" w:rsidRDefault="00D54200" w:rsidP="00D54200">
      <w:pPr>
        <w:pStyle w:val="pj"/>
      </w:pPr>
      <w:r>
        <w:t>Значения рейтингов в строке 8 таблицы 1 и строках 7 и 8 таблицы 2 не указываются по государственным ценным бумагам Республики Казахстан, выпущенным Правительством Республики Казахстан, Национальным Банком Республики Казахстан и местными исполнительными органами.</w:t>
      </w:r>
    </w:p>
    <w:p w:rsidR="00D54200" w:rsidRDefault="00D54200" w:rsidP="00D54200">
      <w:pPr>
        <w:pStyle w:val="pj"/>
      </w:pPr>
      <w:r>
        <w:t>18. В строке 2 таблицы 2 указывается вид портфеля, в котором учитываются ценные бумаги по состоянию на отчетную дату.</w:t>
      </w:r>
    </w:p>
    <w:p w:rsidR="00D54200" w:rsidRDefault="00D54200" w:rsidP="00D54200">
      <w:pPr>
        <w:pStyle w:val="pj"/>
      </w:pPr>
      <w:r>
        <w:t>19. В строках 4.2 и 4.3 таблицы 2 указываются номера счетов в соответствии с Типовым планом счетов банков, на которых учитываются суммы по данной ценной бумаге, и соответствующие им стоимостные значения на отчетную дату.</w:t>
      </w:r>
    </w:p>
    <w:p w:rsidR="00D54200" w:rsidRDefault="00D54200" w:rsidP="00D54200">
      <w:pPr>
        <w:pStyle w:val="pj"/>
      </w:pPr>
      <w:r>
        <w:lastRenderedPageBreak/>
        <w:t>По ценным бумагам, учитываемым по справедливой стоимости через прочий совокупный доход, также указываются резервы (провизии) под ожидаемые кредитные убытки, отраженные на счетах 3 класса в соответствии с Типовым планом счетов банков.</w:t>
      </w:r>
    </w:p>
    <w:p w:rsidR="00D54200" w:rsidRDefault="00D54200" w:rsidP="00D54200">
      <w:pPr>
        <w:pStyle w:val="pj"/>
      </w:pPr>
      <w:r>
        <w:t>Размер резервов (провизий) указывается в абсолютном значении как положительное число.</w:t>
      </w:r>
    </w:p>
    <w:p w:rsidR="00D54200" w:rsidRDefault="00D54200" w:rsidP="00D54200">
      <w:pPr>
        <w:pStyle w:val="pj"/>
      </w:pPr>
      <w:r>
        <w:t>Если стоимостное значение равно нулю, показатели по строкам 4.1, 4.2 и 4.3 таблицы 2 не представляются.</w:t>
      </w:r>
    </w:p>
    <w:p w:rsidR="00D54200" w:rsidRDefault="00D54200" w:rsidP="00D54200">
      <w:pPr>
        <w:pStyle w:val="pj"/>
      </w:pPr>
      <w:r>
        <w:t>20. В строках 5.2 и 6.2 таблицы 2 указывается балансовая стоимость ценных бумаг на отчетную дату, включая стоимость приобретения, дисконт (премию), начисленное вознаграждение, положительную (отрицательную) корректировку (по ценным бумагам, учитываемым по справедливой стоимости), резервы (провизии), сформированные в соответствии с международными стандартами финансовой отчетности (по ценным бумагам, учитываемым по амортизированной стоимости).</w:t>
      </w:r>
    </w:p>
    <w:p w:rsidR="00D54200" w:rsidRDefault="00D54200" w:rsidP="00D54200">
      <w:pPr>
        <w:pStyle w:val="pj"/>
      </w:pPr>
      <w:r>
        <w:t>Показатели в строках 5.1 и 5.2 таблицы 2 включают, в том числе, значения показателей, указанных в строках 6.1 и 6.2 таблицы 2.</w:t>
      </w:r>
    </w:p>
    <w:p w:rsidR="00D54200" w:rsidRDefault="00D54200" w:rsidP="00D54200">
      <w:pPr>
        <w:pStyle w:val="pj"/>
      </w:pPr>
      <w:r>
        <w:t>21. В строке 9 таблицы 2 указывается стадия кредитного риска, к которой отнесены ценные бумаги по состоянию на отчетную дату в соответствии с Международным стандартом финансовой отчетности (IFRS) 9 «Финансовые инструменты».</w:t>
      </w:r>
    </w:p>
    <w:p w:rsidR="00D54200" w:rsidRDefault="00D54200" w:rsidP="00D54200">
      <w:pPr>
        <w:pStyle w:val="pj"/>
      </w:pPr>
      <w:r>
        <w:t>22. По строке 10 таблицы 2 указывается дата, по состоянию на которую представляются соответствующие данные.</w:t>
      </w:r>
    </w:p>
    <w:p w:rsidR="00244A30" w:rsidRDefault="00244A30">
      <w:bookmarkStart w:id="0" w:name="_GoBack"/>
      <w:bookmarkEnd w:id="0"/>
    </w:p>
    <w:sectPr w:rsidR="0024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00"/>
    <w:rsid w:val="00244A30"/>
    <w:rsid w:val="00D5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570C-3E87-4447-8DD7-051B1E3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54200"/>
    <w:rPr>
      <w:rFonts w:ascii="Times New Roman" w:hAnsi="Times New Roman" w:cs="Times New Roman" w:hint="default"/>
      <w:color w:val="333399"/>
      <w:u w:val="single"/>
    </w:rPr>
  </w:style>
  <w:style w:type="paragraph" w:customStyle="1" w:styleId="pr">
    <w:name w:val="pr"/>
    <w:basedOn w:val="a"/>
    <w:rsid w:val="00D54200"/>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D54200"/>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D54200"/>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1">
    <w:name w:val="s1"/>
    <w:rsid w:val="00D54200"/>
    <w:rPr>
      <w:rFonts w:ascii="Times New Roman" w:hAnsi="Times New Roman" w:cs="Times New Roman" w:hint="default"/>
      <w:b/>
      <w:bCs/>
      <w:color w:val="000000"/>
    </w:rPr>
  </w:style>
  <w:style w:type="character" w:customStyle="1" w:styleId="s2">
    <w:name w:val="s2"/>
    <w:rsid w:val="00D5420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03931.540000%20" TargetMode="External"/><Relationship Id="rId4" Type="http://schemas.openxmlformats.org/officeDocument/2006/relationships/hyperlink" Target="jl:1003548.15006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2022-02-14T09:22:00Z</dcterms:created>
  <dcterms:modified xsi:type="dcterms:W3CDTF">2022-02-14T09:22:00Z</dcterms:modified>
</cp:coreProperties>
</file>