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36" w:rsidRDefault="00D40236" w:rsidP="00D40236">
      <w:pPr>
        <w:pStyle w:val="pr"/>
      </w:pPr>
      <w:r>
        <w:t>Приложение</w:t>
      </w:r>
    </w:p>
    <w:p w:rsidR="00D40236" w:rsidRDefault="00D40236" w:rsidP="00D40236">
      <w:pPr>
        <w:pStyle w:val="pr"/>
      </w:pPr>
      <w:r>
        <w:t>к форме отчета по объемам и</w:t>
      </w:r>
    </w:p>
    <w:p w:rsidR="00D40236" w:rsidRDefault="00D40236" w:rsidP="00D40236">
      <w:pPr>
        <w:pStyle w:val="pr"/>
      </w:pPr>
      <w:r>
        <w:t>ставкам вознаграждений</w:t>
      </w:r>
    </w:p>
    <w:p w:rsidR="00D40236" w:rsidRDefault="00D40236" w:rsidP="00D40236">
      <w:pPr>
        <w:pStyle w:val="pr"/>
      </w:pPr>
      <w:r>
        <w:t>депозитов физических лиц</w:t>
      </w:r>
    </w:p>
    <w:p w:rsidR="00D40236" w:rsidRDefault="00D40236" w:rsidP="00D40236">
      <w:pPr>
        <w:pStyle w:val="pj"/>
      </w:pPr>
      <w:r>
        <w:t> </w:t>
      </w:r>
    </w:p>
    <w:p w:rsidR="00D40236" w:rsidRDefault="00D40236" w:rsidP="00D40236">
      <w:pPr>
        <w:pStyle w:val="pj"/>
      </w:pPr>
      <w:r>
        <w:t> </w:t>
      </w:r>
    </w:p>
    <w:p w:rsidR="00D40236" w:rsidRDefault="00D40236" w:rsidP="00D40236">
      <w:pPr>
        <w:pStyle w:val="pc"/>
      </w:pPr>
      <w:r>
        <w:t>Пояснение по заполнению формы административных данных</w:t>
      </w:r>
    </w:p>
    <w:p w:rsidR="00D40236" w:rsidRDefault="00D40236" w:rsidP="00D40236">
      <w:pPr>
        <w:pStyle w:val="pc"/>
      </w:pPr>
      <w:r>
        <w:t> </w:t>
      </w:r>
    </w:p>
    <w:p w:rsidR="00D40236" w:rsidRDefault="00D40236" w:rsidP="00D40236">
      <w:pPr>
        <w:pStyle w:val="pc"/>
      </w:pPr>
      <w:r>
        <w:t>Отчет по объемам и ставкам вознаграждений депозитов физических лиц</w:t>
      </w:r>
    </w:p>
    <w:p w:rsidR="00D40236" w:rsidRDefault="00D40236" w:rsidP="00D40236">
      <w:pPr>
        <w:pStyle w:val="pc"/>
      </w:pPr>
      <w:r>
        <w:t>(индекс - INDDEP, периодичность - ежемесячная)</w:t>
      </w:r>
    </w:p>
    <w:p w:rsidR="00D40236" w:rsidRDefault="00D40236" w:rsidP="00D40236">
      <w:pPr>
        <w:pStyle w:val="pc"/>
      </w:pPr>
      <w:r>
        <w:rPr>
          <w:rStyle w:val="s1"/>
        </w:rPr>
        <w:t> </w:t>
      </w:r>
    </w:p>
    <w:p w:rsidR="00D40236" w:rsidRDefault="00D40236" w:rsidP="00D40236">
      <w:pPr>
        <w:pStyle w:val="pc"/>
      </w:pPr>
      <w:r>
        <w:rPr>
          <w:rStyle w:val="s1"/>
        </w:rPr>
        <w:t> </w:t>
      </w:r>
    </w:p>
    <w:p w:rsidR="00D40236" w:rsidRDefault="00D40236" w:rsidP="00D40236">
      <w:pPr>
        <w:pStyle w:val="pc"/>
      </w:pPr>
      <w:r>
        <w:rPr>
          <w:rStyle w:val="s1"/>
        </w:rPr>
        <w:t>Глава 1. Общие пол</w:t>
      </w:r>
      <w:bookmarkStart w:id="0" w:name="_GoBack"/>
      <w:bookmarkEnd w:id="0"/>
      <w:r>
        <w:rPr>
          <w:rStyle w:val="s1"/>
        </w:rPr>
        <w:t>ожения</w:t>
      </w:r>
    </w:p>
    <w:p w:rsidR="00D40236" w:rsidRDefault="00D40236" w:rsidP="00D40236">
      <w:pPr>
        <w:pStyle w:val="pj"/>
      </w:pPr>
      <w:r>
        <w:t> </w:t>
      </w:r>
    </w:p>
    <w:p w:rsidR="00D40236" w:rsidRDefault="00D40236" w:rsidP="00D40236">
      <w:pPr>
        <w:pStyle w:val="pj"/>
      </w:pPr>
      <w:r>
        <w:t>1. Настоящее Пояснение (далее - Пояснение) определяет единые требования по заполнению формы, предназначенной для сбора административных данных, «Отчет по объемам и ставкам вознаграждений депозитов физических лиц» (далее - Форма).</w:t>
      </w:r>
    </w:p>
    <w:p w:rsidR="00D40236" w:rsidRDefault="00D40236" w:rsidP="00D40236">
      <w:pPr>
        <w:pStyle w:val="pj"/>
      </w:pPr>
      <w:r>
        <w:t xml:space="preserve">2. Форма разработана в соответствии с </w:t>
      </w:r>
      <w:hyperlink r:id="rId4" w:history="1">
        <w:r>
          <w:rPr>
            <w:rStyle w:val="a3"/>
            <w:color w:val="000080"/>
          </w:rPr>
          <w:t>подпунктом 65-2) части второй статьи 15</w:t>
        </w:r>
      </w:hyperlink>
      <w:r>
        <w:t xml:space="preserve"> Закона Республики Казахстан от 30 марта 1995 года «О Национальном Банке Республики Казахстан» и </w:t>
      </w:r>
      <w:hyperlink r:id="rId5" w:history="1">
        <w:r>
          <w:rPr>
            <w:rStyle w:val="a3"/>
            <w:color w:val="000080"/>
          </w:rPr>
          <w:t>пунктом 1 статьи 54</w:t>
        </w:r>
      </w:hyperlink>
      <w:r>
        <w:t xml:space="preserve"> Закона Республики Казахстан от 31 августа 1995 года «О банках и банковской деятельности в Республике Казахстан».</w:t>
      </w:r>
    </w:p>
    <w:p w:rsidR="00D40236" w:rsidRDefault="00D40236" w:rsidP="00D40236">
      <w:pPr>
        <w:pStyle w:val="pj"/>
      </w:pPr>
      <w:r>
        <w:t>3. Форма составляется банками второго уровня, являющимися участниками системы обязательного гарантирования депозитов, ежемесячно по состоянию на конец отчетного месяца.</w:t>
      </w:r>
    </w:p>
    <w:p w:rsidR="00D40236" w:rsidRDefault="00D40236" w:rsidP="00D40236">
      <w:pPr>
        <w:pStyle w:val="pj"/>
      </w:pPr>
      <w:r>
        <w:t>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p w:rsidR="00D40236" w:rsidRDefault="00D40236" w:rsidP="00D40236">
      <w:pPr>
        <w:pStyle w:val="pj"/>
      </w:pPr>
      <w:r>
        <w:t>4. Вклады (депозиты) распределяются по срокам на основании договоров банковского вклада с клиентами. По срокам вклады (депозиты) классифицируются на вклады (депозиты):</w:t>
      </w:r>
    </w:p>
    <w:p w:rsidR="00D40236" w:rsidRDefault="00D40236" w:rsidP="00D40236">
      <w:pPr>
        <w:pStyle w:val="pj"/>
      </w:pPr>
      <w:r>
        <w:t>до 3 (трех) месяцев включительно;</w:t>
      </w:r>
    </w:p>
    <w:p w:rsidR="00D40236" w:rsidRDefault="00D40236" w:rsidP="00D40236">
      <w:pPr>
        <w:pStyle w:val="pj"/>
      </w:pPr>
      <w:r>
        <w:t>от 3 (трех) до 6 (шести) месяцев включительно;</w:t>
      </w:r>
    </w:p>
    <w:p w:rsidR="00D40236" w:rsidRDefault="00D40236" w:rsidP="00D40236">
      <w:pPr>
        <w:pStyle w:val="pj"/>
      </w:pPr>
      <w:r>
        <w:t>от 6 (шести) до 12 (двенадцати) месяцев;</w:t>
      </w:r>
    </w:p>
    <w:p w:rsidR="00D40236" w:rsidRDefault="00D40236" w:rsidP="00D40236">
      <w:pPr>
        <w:pStyle w:val="pj"/>
      </w:pPr>
      <w:r>
        <w:t>12 (двенадцать) месяцев;</w:t>
      </w:r>
    </w:p>
    <w:p w:rsidR="00D40236" w:rsidRDefault="00D40236" w:rsidP="00D40236">
      <w:pPr>
        <w:pStyle w:val="pj"/>
      </w:pPr>
      <w:r>
        <w:t>свыше 12 (двенадцати) месяцев;</w:t>
      </w:r>
    </w:p>
    <w:p w:rsidR="00D40236" w:rsidRDefault="00D40236" w:rsidP="00D40236">
      <w:pPr>
        <w:pStyle w:val="pj"/>
      </w:pPr>
      <w:r>
        <w:t>без установленного срока (текущие счета, вклады до востребования, условные вклады).</w:t>
      </w:r>
    </w:p>
    <w:p w:rsidR="00D40236" w:rsidRDefault="00D40236" w:rsidP="00D40236">
      <w:pPr>
        <w:pStyle w:val="pj"/>
      </w:pPr>
      <w:r>
        <w:t>5. Форму подписывают руководитель или лицо, на которое возложена функция по подписанию отчета, и исполнитель.</w:t>
      </w:r>
    </w:p>
    <w:p w:rsidR="00D40236" w:rsidRDefault="00D40236" w:rsidP="00D40236">
      <w:pPr>
        <w:pStyle w:val="pc"/>
      </w:pPr>
      <w:r>
        <w:rPr>
          <w:rStyle w:val="s1"/>
        </w:rPr>
        <w:t> </w:t>
      </w:r>
    </w:p>
    <w:p w:rsidR="00D40236" w:rsidRDefault="00D40236" w:rsidP="00D40236">
      <w:pPr>
        <w:pStyle w:val="pc"/>
      </w:pPr>
      <w:r>
        <w:rPr>
          <w:rStyle w:val="s1"/>
        </w:rPr>
        <w:t> </w:t>
      </w:r>
    </w:p>
    <w:p w:rsidR="00D40236" w:rsidRDefault="00D40236" w:rsidP="00D40236">
      <w:pPr>
        <w:pStyle w:val="pc"/>
      </w:pPr>
      <w:r>
        <w:rPr>
          <w:rStyle w:val="s1"/>
        </w:rPr>
        <w:t>Глава 2. Пояснение по заполнению Формы</w:t>
      </w:r>
    </w:p>
    <w:p w:rsidR="00D40236" w:rsidRDefault="00D40236" w:rsidP="00D40236">
      <w:pPr>
        <w:pStyle w:val="pj"/>
      </w:pPr>
      <w:r>
        <w:t> </w:t>
      </w:r>
    </w:p>
    <w:p w:rsidR="00D40236" w:rsidRDefault="00D40236" w:rsidP="00D40236">
      <w:pPr>
        <w:pStyle w:val="pj"/>
      </w:pPr>
      <w:r>
        <w:t>6. При заполнении таблицы 1 банки второго уровня раскрывают сведения о вкладах (депозитах) физических лиц, в том числе с нулевыми остатками.</w:t>
      </w:r>
    </w:p>
    <w:p w:rsidR="00D40236" w:rsidRDefault="00D40236" w:rsidP="00D40236">
      <w:pPr>
        <w:pStyle w:val="pj"/>
      </w:pPr>
      <w:r>
        <w:t>7. По депозитам в иностранной валюте суммы пересчитываются по рыночному курсу обмена валют, определенному в порядке, предусмотренном пунктом 1 постановления Правления Национального Банка Республики Казахстан от 25 января 2013 года № 15 и приказа Министра финансов Республики Казахстан от 22 февраля 2013 года № 99 «О порядке определения рыночного курса обмена валюты», зарегистрированных в Реестре государственной регистрации нормативных правовых актов под № 8378 (далее - Постановление № 15 и Приказ № 99), на отчетную дату.</w:t>
      </w:r>
    </w:p>
    <w:p w:rsidR="00D40236" w:rsidRDefault="00D40236" w:rsidP="00D40236">
      <w:pPr>
        <w:pStyle w:val="pj"/>
      </w:pPr>
      <w:r>
        <w:lastRenderedPageBreak/>
        <w:t>8. При распределении депозитов по группам в зависимости от суммы депозита используются данные по состоянию на конец отчетного периода.</w:t>
      </w:r>
    </w:p>
    <w:p w:rsidR="00D40236" w:rsidRDefault="00D40236" w:rsidP="00D40236">
      <w:pPr>
        <w:pStyle w:val="pj"/>
      </w:pPr>
      <w:r>
        <w:t>9. По графам 3 и 10 таблицы 1 указываются совокупные суммы депозитов и количество счетов, открытых физическими лицами в тенге и (или) в иностранной валюте.</w:t>
      </w:r>
    </w:p>
    <w:p w:rsidR="00D40236" w:rsidRDefault="00D40236" w:rsidP="00D40236">
      <w:pPr>
        <w:pStyle w:val="pj"/>
      </w:pPr>
      <w:r>
        <w:t>10. В графах 4, 5, 6, 7, 8, 9, 11, 12, 13, 14, 15 и 16 таблицы 1 указываются совокупные суммы депозитов и количество счетов, открытых физическими лицами в тенге и в иностранной валюте, в разбивке по сроку (отсутствию срока).</w:t>
      </w:r>
    </w:p>
    <w:p w:rsidR="00D40236" w:rsidRDefault="00D40236" w:rsidP="00D40236">
      <w:pPr>
        <w:pStyle w:val="pj"/>
      </w:pPr>
      <w:r>
        <w:t>11. В графах 9 и 16 таблицы 1, кроме текущих счетов, вкладов до востребования и условных вкладов, с учетом наличия ограничений в законодательстве Республики Казахстан указываются вклады, по которым срок договора истек, но вклад не востребован клиентом, при этом:</w:t>
      </w:r>
    </w:p>
    <w:p w:rsidR="00D40236" w:rsidRDefault="00D40236" w:rsidP="00D40236">
      <w:pPr>
        <w:pStyle w:val="pj"/>
      </w:pPr>
      <w:r>
        <w:t>1) клиент является бездействующим налогоплательщиком или имеет задолженность по налогам и социальным платежам, на счете клиента имеются ограничения (инкассовые распоряжения, постановления о приостановлении расходных операций), выставленные налоговыми органами Республики Казахстан;</w:t>
      </w:r>
    </w:p>
    <w:p w:rsidR="00D40236" w:rsidRDefault="00D40236" w:rsidP="00D40236">
      <w:pPr>
        <w:pStyle w:val="pj"/>
      </w:pPr>
      <w:r>
        <w:t>2) на счет клиента предъявлены требования третьих лиц об изъятии денег с банковского счета и (или) наложении ареста на деньги, находящиеся на банковском счете;</w:t>
      </w:r>
    </w:p>
    <w:p w:rsidR="00D40236" w:rsidRDefault="00D40236" w:rsidP="00D40236">
      <w:pPr>
        <w:pStyle w:val="pj"/>
      </w:pPr>
      <w:r>
        <w:t>3) банк пролонгирует данный вклад на условиях «вклада до востребования».</w:t>
      </w:r>
    </w:p>
    <w:p w:rsidR="00D40236" w:rsidRDefault="00D40236" w:rsidP="00D40236">
      <w:pPr>
        <w:pStyle w:val="pj"/>
      </w:pPr>
      <w:r>
        <w:t>12. В строке 3 таблицы 1 указываются сведения о вкладах,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 или предусмотрены премии государства.</w:t>
      </w:r>
    </w:p>
    <w:p w:rsidR="00D40236" w:rsidRDefault="00D40236" w:rsidP="00D40236">
      <w:pPr>
        <w:pStyle w:val="pj"/>
      </w:pPr>
      <w:r>
        <w:t>13. В строке 4 таблицы 1 указываются сведения о депозитах, вознаграждение по которым начисляется по плавающей процентной ставке.</w:t>
      </w:r>
    </w:p>
    <w:p w:rsidR="00D40236" w:rsidRDefault="00D40236" w:rsidP="00D40236">
      <w:pPr>
        <w:pStyle w:val="pj"/>
      </w:pPr>
      <w:r>
        <w:t>14. Строки «</w:t>
      </w:r>
      <w:proofErr w:type="spellStart"/>
      <w:r>
        <w:t>Справочно</w:t>
      </w:r>
      <w:proofErr w:type="spellEnd"/>
      <w:r>
        <w:t>: Вклады (депозиты) лиц, связанных с банком особыми отношениями» уже включены в соответствующие строки 1.1.1.1, 1.1.1.2, 1.1.2.1, 1.1.2.2., 1.1.3.1, 1.1.3.2, 1.1.4, 1.1.5, 2.1.1, 2.1.2, 2.2, 2.3, 2.4, 2.5, 3, 4.1 и 4.2 таблицы 1.</w:t>
      </w:r>
    </w:p>
    <w:p w:rsidR="00D40236" w:rsidRDefault="00D40236" w:rsidP="00D40236">
      <w:pPr>
        <w:pStyle w:val="pj"/>
      </w:pPr>
      <w:r>
        <w:t>Признак связанности лица с банком особыми отношениями определяется статьей 40 Закона Республики Казахстан от 31 августа 1995 года «О банках и банковской деятельности в Республике Казахстан», статьей 12-1 Закона Республики Казахстан от 22 апреля 1998 года «О товариществах с ограниченной и дополнительной ответственностью» и статьей 64 Закона Республики Казахстан от 13 мая 2003 года «Об акционерных обществах».</w:t>
      </w:r>
    </w:p>
    <w:p w:rsidR="00D40236" w:rsidRDefault="00D40236" w:rsidP="00D40236">
      <w:pPr>
        <w:pStyle w:val="pj"/>
      </w:pPr>
      <w:r>
        <w:t>15. В таблице 2 указываются обороты по вкладам (депозитам) физических лиц за отчетный месяц.</w:t>
      </w:r>
    </w:p>
    <w:p w:rsidR="00D40236" w:rsidRDefault="00D40236" w:rsidP="00D40236">
      <w:pPr>
        <w:pStyle w:val="pj"/>
      </w:pPr>
      <w:r>
        <w:t xml:space="preserve">16. Если в течение отчетного месяца по депозитам в иностранной валюте проводились операции </w:t>
      </w:r>
      <w:proofErr w:type="spellStart"/>
      <w:r>
        <w:t>пролонгирования</w:t>
      </w:r>
      <w:proofErr w:type="spellEnd"/>
      <w:r>
        <w:t>, пополнения, частичного снятия, предусмотренные в отчете, суммы пересчитываются по рыночному курсу обмена валют, определенному в порядке, предусмотренном пунктом 1 Постановления № 15 и Приказа № 99, на дату проведения операций с иностранной валютой.</w:t>
      </w:r>
    </w:p>
    <w:p w:rsidR="00D40236" w:rsidRDefault="00D40236" w:rsidP="00D40236">
      <w:pPr>
        <w:pStyle w:val="pj"/>
      </w:pPr>
      <w:r>
        <w:t>17. В графах 3 и 4 таблицы 2 указываются сумма депозитов и количество счетов, открытых физическими лицами за отчетный месяц, в разбивке по сроку.</w:t>
      </w:r>
    </w:p>
    <w:p w:rsidR="00D40236" w:rsidRDefault="00D40236" w:rsidP="00D40236">
      <w:pPr>
        <w:pStyle w:val="pj"/>
      </w:pPr>
      <w:r>
        <w:t>18. В графах 5 и 6 таблицы 2 указываются количество счетов и сумма депозитов, сроки по которым пролонгированы в отчетном месяце.</w:t>
      </w:r>
    </w:p>
    <w:p w:rsidR="00D40236" w:rsidRDefault="00D40236" w:rsidP="00D40236">
      <w:pPr>
        <w:pStyle w:val="pj"/>
      </w:pPr>
      <w:r>
        <w:t xml:space="preserve">19. В графах 7 и 8 таблицы 2 указываются количество счетов и сумма депозитов, пополненных клиентами и (или) третьими лицами в отчетном месяце (за исключением капитализации). При этом в графах 7 и 8 таблицы 2 не указывается возврат денег на счета клиента банка второго уровня, списанных ранее в </w:t>
      </w:r>
      <w:proofErr w:type="spellStart"/>
      <w:r>
        <w:t>безакцептном</w:t>
      </w:r>
      <w:proofErr w:type="spellEnd"/>
      <w:r>
        <w:t xml:space="preserve"> порядке в целях погашения задолженности.</w:t>
      </w:r>
    </w:p>
    <w:p w:rsidR="00D40236" w:rsidRDefault="00D40236" w:rsidP="00D40236">
      <w:pPr>
        <w:pStyle w:val="pj"/>
      </w:pPr>
      <w:r>
        <w:t xml:space="preserve">20. В графах 9 и 10 таблицы 2 указываются количество счетов и сумма депозитов, с которых в отчетном месяце деньги частично изымались, в том числе по поручению клиента банка, его доверенного лица, по требованию третьих лиц на основании заключенных </w:t>
      </w:r>
      <w:r>
        <w:lastRenderedPageBreak/>
        <w:t>договоров, в соответствии с инкассовыми распоряжениями органов государственных доходов и судебных исполнителей.</w:t>
      </w:r>
    </w:p>
    <w:p w:rsidR="00D40236" w:rsidRDefault="00D40236" w:rsidP="00D40236">
      <w:pPr>
        <w:pStyle w:val="pj"/>
      </w:pPr>
      <w:r>
        <w:t>21. В графах 11 и 12 таблицы 2 указываются количество счетов и сумма депозитов, закрытых в отчетном месяце в связи с истечением срока договора, в том числе и текущие счета.</w:t>
      </w:r>
    </w:p>
    <w:p w:rsidR="00D40236" w:rsidRDefault="00D40236" w:rsidP="00D40236">
      <w:pPr>
        <w:pStyle w:val="pj"/>
      </w:pPr>
      <w:r>
        <w:t>22. В строках 13 и 14 таблицы 2 указываются количество счетов и сумма депозитов, досрочно закрытых в отчетном месяце.</w:t>
      </w:r>
    </w:p>
    <w:p w:rsidR="00D40236" w:rsidRDefault="00D40236" w:rsidP="00D40236">
      <w:pPr>
        <w:pStyle w:val="pj"/>
      </w:pPr>
      <w:r>
        <w:t>23. В строке 1 таблицы 3 указывается общая сумма возмещения по всем вкладам (депозитам) физических лиц банка второго уровня, подлежащая выплате Фондом, без учета встречных требований банка второго уровня к депозиторам.</w:t>
      </w:r>
    </w:p>
    <w:p w:rsidR="00D40236" w:rsidRDefault="00D40236" w:rsidP="00D40236">
      <w:pPr>
        <w:pStyle w:val="pj"/>
      </w:pPr>
      <w:r>
        <w:t>24. В строке 2 таблицы 3 указывается общая сумма возмещения по всем депозитам физических лиц банка, подлежащая выплате Фондом, с учетом (за вычетом) общей суммы встречных требований банка второго уровня к депозиторам.</w:t>
      </w:r>
    </w:p>
    <w:p w:rsidR="00D40236" w:rsidRDefault="00D40236" w:rsidP="00D40236">
      <w:pPr>
        <w:pStyle w:val="pj"/>
      </w:pPr>
      <w:r>
        <w:t>25. В строке 3 таблицы 3 указывается итоговое количество физических лиц, являющихся клиентами-депозиторами банка.</w:t>
      </w:r>
    </w:p>
    <w:p w:rsidR="00D40236" w:rsidRDefault="00D40236" w:rsidP="00D40236">
      <w:pPr>
        <w:pStyle w:val="pj"/>
      </w:pPr>
      <w:r>
        <w:t>26. В строке 3.1 таблицы 3 указывается количество клиентов с нулевым остатком по всем счетам. Если у клиента банка имеются несколько счетов в банке и один из них с нулевым остатком, то при заполнении указанной строки такие клиенты, имеющие нулевой остаток лишь по отдельным счетам, не учитываются.</w:t>
      </w:r>
    </w:p>
    <w:p w:rsidR="00D40236" w:rsidRDefault="00D40236" w:rsidP="00D40236">
      <w:pPr>
        <w:pStyle w:val="pj"/>
      </w:pPr>
      <w:r>
        <w:t>27. В строке 4 таблицы 3 указывается итоговое количество счетов физических лиц с нулевыми остатками.</w:t>
      </w:r>
    </w:p>
    <w:p w:rsidR="00D40236" w:rsidRDefault="00D40236" w:rsidP="00D40236">
      <w:pPr>
        <w:pStyle w:val="pj"/>
      </w:pPr>
      <w:r>
        <w:t>28. В таблице 4 указываются сумма и количество счетов по вкладам (депозитам) физических лиц в разбивке по областям, согласно соответствующим филиалам банка (относительно расположения филиалов банка), в тенге и в иностранной валюте. При отсутствии депозитов в филиалах, соответствующие ячейки отчета представляются с нулевыми остатками.</w:t>
      </w:r>
    </w:p>
    <w:p w:rsidR="00D40236" w:rsidRDefault="00D40236" w:rsidP="00D40236">
      <w:pPr>
        <w:pStyle w:val="pj"/>
      </w:pPr>
      <w:r>
        <w:t>29. Таблица 5 отчета заполняется по привлечённым вкладам (депозитам) физических лиц с фиксированной процентной ставкой банков второго уровня и текущим счетам, за период с первого по последнее (включительно) число отчетного месяца.</w:t>
      </w:r>
    </w:p>
    <w:p w:rsidR="00D40236" w:rsidRDefault="00D40236" w:rsidP="00D40236">
      <w:pPr>
        <w:pStyle w:val="pj"/>
      </w:pPr>
      <w:r>
        <w:t>30. По вновь привлеченным мультивалютным депозитам физических лиц банк второго уровня в сведениях указывает максимальные ставки вознаграждения по каждому виду валют.</w:t>
      </w:r>
    </w:p>
    <w:p w:rsidR="00D40236" w:rsidRDefault="00D40236" w:rsidP="00D40236">
      <w:pPr>
        <w:pStyle w:val="pj"/>
      </w:pPr>
      <w:r>
        <w:t>31. При пролонгации договора банковского вклада (счета) банк второго уровня в сведениях указывает максимальные ставки вознаграждения по продленному договору банковского вклада (счета).</w:t>
      </w:r>
    </w:p>
    <w:p w:rsidR="00D40236" w:rsidRDefault="00D40236" w:rsidP="00D40236">
      <w:pPr>
        <w:pStyle w:val="pj"/>
      </w:pPr>
      <w:r>
        <w:t>32. В графе 3 таблицы 5 указывается объем депозитов банка второго уровня, привлеченных за отчетный месяц по каждой категории депозита с фиксированной процентной ставкой. При расчете объема вновь привлеченных депозитов за отчетный месяц учитываются все притоки по вновь привлеченному депозиту за отчетный месяц.</w:t>
      </w:r>
    </w:p>
    <w:p w:rsidR="00D40236" w:rsidRDefault="00D40236" w:rsidP="00D40236">
      <w:pPr>
        <w:pStyle w:val="pj"/>
      </w:pPr>
      <w:r>
        <w:t>33. Вновь привлеченные депозиты в иностранной валюте пересчитываются по рыночному курсу обмена валют, определенному в порядке, предусмотренном пунктом 1 Постановления № 15 и Приказа № 99, на дату привлечения депозита в иностранной валюте.</w:t>
      </w:r>
    </w:p>
    <w:p w:rsidR="00D40236" w:rsidRDefault="00D40236" w:rsidP="00D40236">
      <w:pPr>
        <w:pStyle w:val="pj"/>
      </w:pPr>
      <w:r>
        <w:t>34. В графе 4 таблицы 5 указывается максимальная годовая эффективная ставка вознаграждения внутри каждой категории депозита, привлеченного в течение отчетного месяца, в том числе в зависимости от срока депозита (где это указано).</w:t>
      </w:r>
    </w:p>
    <w:p w:rsidR="00D40236" w:rsidRDefault="00D40236" w:rsidP="00D40236">
      <w:pPr>
        <w:pStyle w:val="pj"/>
      </w:pPr>
      <w:r>
        <w:t>35. В графе 5 таблицы 5 указывается средневзвешенная годовая эффективная ставка вознаграждения, которая рассчитывается отдельно по каждой категории депозита, привлеченного в течение отчетного месяца, в том числе в зависимости от срока депозита (где это указано) по следующей формуле:</w:t>
      </w:r>
    </w:p>
    <w:p w:rsidR="00D40236" w:rsidRDefault="00D40236" w:rsidP="00D40236">
      <w:pPr>
        <w:pStyle w:val="pc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102pt;visibility:visible">
            <v:imagedata r:id="rId6" r:href="rId7"/>
          </v:shape>
        </w:pict>
      </w:r>
    </w:p>
    <w:p w:rsidR="00D40236" w:rsidRDefault="00D40236" w:rsidP="00D40236">
      <w:pPr>
        <w:pStyle w:val="pj"/>
      </w:pPr>
      <w:r>
        <w:t>где:</w:t>
      </w:r>
    </w:p>
    <w:p w:rsidR="00D40236" w:rsidRDefault="00D40236" w:rsidP="00D40236">
      <w:pPr>
        <w:pStyle w:val="pj"/>
      </w:pPr>
      <w:r>
        <w:t xml:space="preserve">ГЭСВ ср. </w:t>
      </w:r>
      <w:proofErr w:type="spellStart"/>
      <w:r>
        <w:t>вз</w:t>
      </w:r>
      <w:proofErr w:type="spellEnd"/>
      <w:r>
        <w:t>. - средневзвешенная годовая эффективная ставка вознаграждения по определенной категории депозита;</w:t>
      </w:r>
    </w:p>
    <w:p w:rsidR="00D40236" w:rsidRDefault="00D40236" w:rsidP="00D40236">
      <w:pPr>
        <w:pStyle w:val="pj"/>
      </w:pPr>
      <w:proofErr w:type="spellStart"/>
      <w:r>
        <w:t>ГЭСВi</w:t>
      </w:r>
      <w:proofErr w:type="spellEnd"/>
      <w:r>
        <w:t xml:space="preserve"> - годовая эффективная ставка вознаграждения по определенной категории депозита;</w:t>
      </w:r>
    </w:p>
    <w:p w:rsidR="00D40236" w:rsidRDefault="00D40236" w:rsidP="00D40236">
      <w:pPr>
        <w:pStyle w:val="pj"/>
      </w:pPr>
      <w:proofErr w:type="spellStart"/>
      <w:r>
        <w:t>Vi</w:t>
      </w:r>
      <w:proofErr w:type="spellEnd"/>
      <w:r>
        <w:t xml:space="preserve"> - сумма вновь привлеченных депозитов (все притоки) за отчетный месяц по каждой категории депозита с фиксированной процентной ставкой, привлеченных по одинаковой </w:t>
      </w:r>
      <w:proofErr w:type="spellStart"/>
      <w:r>
        <w:t>ГЭСВi</w:t>
      </w:r>
      <w:proofErr w:type="spellEnd"/>
      <w:r>
        <w:t>, без учета вознаграждения (за исключением капитализированной суммы вознаграждения).</w:t>
      </w:r>
    </w:p>
    <w:p w:rsidR="00D40236" w:rsidRDefault="00D40236" w:rsidP="00D40236">
      <w:pPr>
        <w:pStyle w:val="pj"/>
      </w:pPr>
      <w:r>
        <w:t>При расчете суммы вновь привлеченных депозитов за отчетный месяц учитываются все притоки по вновь привлеченному депозиту за отчетный месяц.</w:t>
      </w:r>
    </w:p>
    <w:p w:rsidR="00D40236" w:rsidRDefault="00D40236" w:rsidP="00D40236">
      <w:pPr>
        <w:pStyle w:val="pj"/>
      </w:pPr>
      <w:r>
        <w:t>36. Если при расчете годовой эффективной ставки вознаграждения полученное число имеет более одного десятичного знака, оно подлежит округлению до десятых долей следующим образом:</w:t>
      </w:r>
    </w:p>
    <w:p w:rsidR="00D40236" w:rsidRDefault="00D40236" w:rsidP="00D40236">
      <w:pPr>
        <w:pStyle w:val="pj"/>
      </w:pPr>
      <w:r>
        <w:t>если сотая доля больше или равна 5 (пяти), десятая доля увеличивается на 1 (один), все следующие за ней знаки исключаются;</w:t>
      </w:r>
    </w:p>
    <w:p w:rsidR="00D40236" w:rsidRDefault="00D40236" w:rsidP="00D40236">
      <w:pPr>
        <w:pStyle w:val="pj"/>
      </w:pPr>
      <w:r>
        <w:t>если сотая доля меньше 5 (пяти), десятая доля остается без изменений, все следующие за ней знаки исключаются.</w:t>
      </w:r>
    </w:p>
    <w:p w:rsidR="00D40236" w:rsidRDefault="00D40236" w:rsidP="00D40236">
      <w:pPr>
        <w:pStyle w:val="pj"/>
      </w:pPr>
      <w:r>
        <w:t>37. Таблица 6 заполняется по привлечённым вкладам (депозитам) физических лиц в национальной валюте с плавающей процентной ставкой банков второго уровня, за период с первого по последнее (включительно) число отчетного месяца.</w:t>
      </w:r>
    </w:p>
    <w:p w:rsidR="00D40236" w:rsidRDefault="00D40236" w:rsidP="00D40236">
      <w:pPr>
        <w:pStyle w:val="pj"/>
      </w:pPr>
      <w:r>
        <w:t xml:space="preserve">38. Для заполнения графы 3 таблицы 6 используются следующие источники информации о </w:t>
      </w:r>
      <w:proofErr w:type="spellStart"/>
      <w:r>
        <w:t>бенчмарках</w:t>
      </w:r>
      <w:proofErr w:type="spellEnd"/>
      <w:r>
        <w:t xml:space="preserve"> (индикаторах рынка для сопоставления со ставками вознаграждения):</w:t>
      </w:r>
    </w:p>
    <w:p w:rsidR="00D40236" w:rsidRDefault="00D40236" w:rsidP="00D40236">
      <w:pPr>
        <w:pStyle w:val="pj"/>
      </w:pPr>
      <w:r>
        <w:t xml:space="preserve">по базовой ставке Национального Банка Республики Казахстан - данные, публикуемые на официальном </w:t>
      </w:r>
      <w:proofErr w:type="spellStart"/>
      <w:r>
        <w:t>интернет-ресурсе</w:t>
      </w:r>
      <w:proofErr w:type="spellEnd"/>
      <w:r>
        <w:t xml:space="preserve"> Национального Банка Республики Казахстан;</w:t>
      </w:r>
    </w:p>
    <w:p w:rsidR="00D40236" w:rsidRDefault="00D40236" w:rsidP="00D40236">
      <w:pPr>
        <w:pStyle w:val="pj"/>
      </w:pPr>
      <w:r>
        <w:t xml:space="preserve">по уровню инфляции - данные, публикуемые на официальном </w:t>
      </w:r>
      <w:proofErr w:type="spellStart"/>
      <w:r>
        <w:t>интернет-ресурсе</w:t>
      </w:r>
      <w:proofErr w:type="spellEnd"/>
      <w:r>
        <w:t xml:space="preserve"> Бюро национальной статистики Агентства по стратегическому планированию и реформам Республики Казахстан;</w:t>
      </w:r>
    </w:p>
    <w:p w:rsidR="00D40236" w:rsidRDefault="00D40236" w:rsidP="00D40236">
      <w:pPr>
        <w:pStyle w:val="pj"/>
      </w:pPr>
      <w:r>
        <w:t xml:space="preserve">по ставкам денежного рынка - данные, публикуемые на официальном </w:t>
      </w:r>
      <w:proofErr w:type="spellStart"/>
      <w:r>
        <w:t>интернет-ресурсе</w:t>
      </w:r>
      <w:proofErr w:type="spellEnd"/>
      <w:r>
        <w:t xml:space="preserve"> акционерного общества «Казахстанская фондовая биржа».</w:t>
      </w:r>
    </w:p>
    <w:p w:rsidR="00D40236" w:rsidRDefault="00D40236" w:rsidP="00D40236">
      <w:pPr>
        <w:pStyle w:val="pj"/>
      </w:pPr>
      <w:r>
        <w:t>39. В графе 4 таблицы 6 указывается объем депозитов банка, привлеченный за отчетный месяц по каждой категории депозита с плавающей процентной ставкой. При расчете объема вновь привлеченных депозитов за отчетный месяц учитываются все притоки по вновь привлеченному депозиту за отчетный месяц.</w:t>
      </w:r>
    </w:p>
    <w:p w:rsidR="00D40236" w:rsidRDefault="00D40236" w:rsidP="00D40236">
      <w:pPr>
        <w:pStyle w:val="pj"/>
      </w:pPr>
      <w:r>
        <w:t>40. В графе 5 таблицы 6 указывается значение ставки процентного спрэда, который рассчитывается и устанавливается банком второго уровня самостоятельно по каждой категории депозита с плавающей процентной ставкой.</w:t>
      </w:r>
    </w:p>
    <w:p w:rsidR="00D40236" w:rsidRDefault="00D40236" w:rsidP="00D40236">
      <w:pPr>
        <w:pStyle w:val="pj"/>
      </w:pPr>
      <w:r>
        <w:t>41. В графе 6 таблицы 6 указывается максимальная годовая эффективная ставка вознаграждения внутри каждой категории депозита, привлеченного в течение отчетного месяца.</w:t>
      </w:r>
    </w:p>
    <w:p w:rsidR="00D40236" w:rsidRDefault="00D40236" w:rsidP="00D40236">
      <w:pPr>
        <w:pStyle w:val="pj"/>
      </w:pPr>
      <w:r>
        <w:t>42. При отсутствии депозитов по одной или нескольким категориям, графы и соответствующие строки не подлежат заполнению.</w:t>
      </w:r>
    </w:p>
    <w:p w:rsidR="00D40236" w:rsidRDefault="00D40236" w:rsidP="00D40236">
      <w:pPr>
        <w:pStyle w:val="pj"/>
      </w:pPr>
      <w:r>
        <w:t>43. В графе 2 таблицы 7 указывается наличие или отсутствие агентской сети для привлечения вкладов (депозитов) физических лиц (да или нет).</w:t>
      </w:r>
    </w:p>
    <w:p w:rsidR="00D40236" w:rsidRDefault="00D40236" w:rsidP="00D40236">
      <w:pPr>
        <w:pStyle w:val="pj"/>
      </w:pPr>
      <w:r>
        <w:lastRenderedPageBreak/>
        <w:t>44. При отсутствии сведений (то есть указание «нет» в графе 2 таблицы 7), графы 3, 4, 5 и 6 таблицы 7 не заполняются.</w:t>
      </w:r>
    </w:p>
    <w:p w:rsidR="00D40236" w:rsidRDefault="00D40236" w:rsidP="00D40236">
      <w:pPr>
        <w:pStyle w:val="pj"/>
      </w:pPr>
      <w:r>
        <w:t>45. В графе 3 указывается количество агентов-физических лиц, с которыми у банка второго уровня заключены договоры (соглашения) по привлечению депозитов физических лиц.</w:t>
      </w:r>
    </w:p>
    <w:p w:rsidR="00D40236" w:rsidRDefault="00D40236" w:rsidP="00D40236">
      <w:pPr>
        <w:pStyle w:val="pj"/>
      </w:pPr>
      <w:r>
        <w:t>46. В графе 4 таблицы 7 указывается количество агентов-юридических лиц, с которыми у банка второго уровня заключены договоры (соглашения) по привлечению депозитов физических лиц.</w:t>
      </w:r>
    </w:p>
    <w:p w:rsidR="00D40236" w:rsidRDefault="00D40236" w:rsidP="00D40236">
      <w:pPr>
        <w:pStyle w:val="pj"/>
      </w:pPr>
      <w:r>
        <w:t>47. В графе 5 таблицы 7 указываются данные о наличии или отсутствии фактов привлечения банком второго уровня депозитов физических лиц посредством услуг агента (да или нет).</w:t>
      </w:r>
    </w:p>
    <w:p w:rsidR="00D40236" w:rsidRDefault="00D40236" w:rsidP="00D40236">
      <w:pPr>
        <w:pStyle w:val="pj"/>
      </w:pPr>
      <w:r>
        <w:t>48. В графе 6 таблицы 7 указывается привлечение депозитов физических лиц посредством жилищного строительного сберегательного банка и (или) Национального оператора почты (выбирается из списка).</w:t>
      </w:r>
    </w:p>
    <w:p w:rsidR="00D40236" w:rsidRDefault="00D40236" w:rsidP="00D40236">
      <w:pPr>
        <w:pStyle w:val="pj"/>
      </w:pPr>
      <w:bookmarkStart w:id="1" w:name="SUB15"/>
      <w:bookmarkEnd w:id="1"/>
      <w:r>
        <w:t> </w:t>
      </w:r>
    </w:p>
    <w:p w:rsidR="00244A30" w:rsidRDefault="00244A30"/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36"/>
    <w:rsid w:val="00244A30"/>
    <w:rsid w:val="00D4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4ABE0-7F8D-4823-B307-F2D48CBA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236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D40236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D40236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D4023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rsid w:val="00D40236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D40236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AppData/Local/ITS.Paragraph/DocumentsCache/042394/04239445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l:1003931.540000%20" TargetMode="External"/><Relationship Id="rId4" Type="http://schemas.openxmlformats.org/officeDocument/2006/relationships/hyperlink" Target="jl:1003548.15006502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1974</Words>
  <Characters>11252</Characters>
  <Application>Microsoft Office Word</Application>
  <DocSecurity>0</DocSecurity>
  <Lines>93</Lines>
  <Paragraphs>26</Paragraphs>
  <ScaleCrop>false</ScaleCrop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2022-02-14T09:27:00Z</dcterms:created>
  <dcterms:modified xsi:type="dcterms:W3CDTF">2022-02-14T09:27:00Z</dcterms:modified>
</cp:coreProperties>
</file>