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7B" w:rsidRDefault="00C2617B" w:rsidP="00C2617B">
      <w:pPr>
        <w:pStyle w:val="pr"/>
      </w:pPr>
      <w:r>
        <w:t>Приложение</w:t>
      </w:r>
    </w:p>
    <w:p w:rsidR="00C2617B" w:rsidRDefault="00C2617B" w:rsidP="00C2617B">
      <w:pPr>
        <w:pStyle w:val="pr"/>
      </w:pPr>
      <w:r>
        <w:t xml:space="preserve">к форме отчета по счетам и </w:t>
      </w:r>
    </w:p>
    <w:p w:rsidR="00C2617B" w:rsidRDefault="00C2617B" w:rsidP="00C2617B">
      <w:pPr>
        <w:pStyle w:val="pr"/>
      </w:pPr>
      <w:r>
        <w:t>вкладам клиентов-резидентов</w:t>
      </w:r>
    </w:p>
    <w:p w:rsidR="00C2617B" w:rsidRDefault="00C2617B" w:rsidP="00C2617B">
      <w:pPr>
        <w:pStyle w:val="pr"/>
      </w:pPr>
      <w:r>
        <w:t> </w:t>
      </w:r>
    </w:p>
    <w:p w:rsidR="00C2617B" w:rsidRDefault="00C2617B" w:rsidP="00C2617B">
      <w:pPr>
        <w:pStyle w:val="pr"/>
      </w:pPr>
      <w:r>
        <w:t> </w:t>
      </w:r>
    </w:p>
    <w:p w:rsidR="00C2617B" w:rsidRDefault="00C2617B" w:rsidP="00C2617B">
      <w:pPr>
        <w:pStyle w:val="pc"/>
      </w:pPr>
      <w:r>
        <w:t>Пояснение по заполнению формы административных данных</w:t>
      </w:r>
    </w:p>
    <w:p w:rsidR="00C2617B" w:rsidRDefault="00C2617B" w:rsidP="00C2617B">
      <w:pPr>
        <w:pStyle w:val="pc"/>
      </w:pPr>
      <w:r>
        <w:t> </w:t>
      </w:r>
    </w:p>
    <w:p w:rsidR="00C2617B" w:rsidRDefault="00C2617B" w:rsidP="00C2617B">
      <w:pPr>
        <w:pStyle w:val="pc"/>
      </w:pPr>
      <w:r>
        <w:t>Отчет по счетам и вкладам клиентов-резидентов</w:t>
      </w:r>
    </w:p>
    <w:p w:rsidR="00C2617B" w:rsidRDefault="00C2617B" w:rsidP="00C2617B">
      <w:pPr>
        <w:pStyle w:val="pc"/>
      </w:pPr>
      <w:r>
        <w:t>(индекс - RESDEP, периодичность - ежемесячная)</w:t>
      </w:r>
    </w:p>
    <w:p w:rsidR="00C2617B" w:rsidRDefault="00C2617B" w:rsidP="00C2617B">
      <w:pPr>
        <w:pStyle w:val="pc"/>
      </w:pPr>
      <w:r>
        <w:rPr>
          <w:rStyle w:val="s1"/>
        </w:rPr>
        <w:t> </w:t>
      </w:r>
    </w:p>
    <w:p w:rsidR="00C2617B" w:rsidRDefault="00C2617B" w:rsidP="00C2617B">
      <w:pPr>
        <w:pStyle w:val="pc"/>
      </w:pPr>
      <w:r>
        <w:rPr>
          <w:rStyle w:val="s1"/>
        </w:rPr>
        <w:t> </w:t>
      </w:r>
    </w:p>
    <w:p w:rsidR="00C2617B" w:rsidRDefault="00C2617B" w:rsidP="00C2617B">
      <w:pPr>
        <w:pStyle w:val="pc"/>
      </w:pPr>
      <w:r>
        <w:rPr>
          <w:rStyle w:val="s1"/>
        </w:rPr>
        <w:t>Глава 1. Общие положения</w:t>
      </w:r>
    </w:p>
    <w:p w:rsidR="00C2617B" w:rsidRDefault="00C2617B" w:rsidP="00C2617B">
      <w:pPr>
        <w:pStyle w:val="pj"/>
      </w:pPr>
      <w:r>
        <w:t> </w:t>
      </w:r>
    </w:p>
    <w:p w:rsidR="00C2617B" w:rsidRDefault="00C2617B" w:rsidP="00C2617B">
      <w:pPr>
        <w:pStyle w:val="pj"/>
      </w:pPr>
      <w:r>
        <w:t>1. Настоящее Пояснение (далее - Пояснение) определяет единые требования по заполнению формы, предназначенной для сбора административных данных, «Отчет по счетам и вкладам клиентов-резидентов» (далее - Форма).</w:t>
      </w:r>
    </w:p>
    <w:p w:rsidR="00C2617B" w:rsidRDefault="00C2617B" w:rsidP="00C2617B">
      <w:pPr>
        <w:pStyle w:val="pj"/>
      </w:pPr>
      <w:r>
        <w:t xml:space="preserve">2. Форма разработана в соответствии с </w:t>
      </w:r>
      <w:hyperlink r:id="rId4" w:history="1">
        <w:r>
          <w:rPr>
            <w:rStyle w:val="a3"/>
            <w:color w:val="000080"/>
          </w:rPr>
          <w:t>подпунктом 65-2) части второй статьи 15</w:t>
        </w:r>
      </w:hyperlink>
      <w:r>
        <w:t xml:space="preserve"> Закона Республики Казахстан от 30 марта 1995 года «О Национальном Банке Республики Казахстан» и </w:t>
      </w:r>
      <w:hyperlink r:id="rId5" w:history="1">
        <w:r>
          <w:rPr>
            <w:rStyle w:val="a3"/>
            <w:color w:val="000080"/>
          </w:rPr>
          <w:t>пунктом 1 статьи 54</w:t>
        </w:r>
      </w:hyperlink>
      <w:r>
        <w:t xml:space="preserve"> Закона Республики Казахстан от 31 августа 1995 года «О банках и банковской деятельности в Республике Казахстан».</w:t>
      </w:r>
    </w:p>
    <w:p w:rsidR="00C2617B" w:rsidRDefault="00C2617B" w:rsidP="00C2617B">
      <w:pPr>
        <w:pStyle w:val="pj"/>
      </w:pPr>
      <w:r>
        <w:t>3. Форма составляется банками второго уровня ежемесячно по состоянию на конец отчетного месяца.</w:t>
      </w:r>
    </w:p>
    <w:p w:rsidR="00C2617B" w:rsidRDefault="00C2617B" w:rsidP="00C2617B">
      <w:pPr>
        <w:pStyle w:val="pj"/>
      </w:pPr>
      <w:r>
        <w:t>Единицей измерения для стоимостных показателей Формы является тенге. Стоимостные показатели указываются в числах с двумя знаками после запятой.</w:t>
      </w:r>
    </w:p>
    <w:p w:rsidR="00C2617B" w:rsidRDefault="00C2617B" w:rsidP="00C2617B">
      <w:pPr>
        <w:pStyle w:val="pj"/>
      </w:pPr>
      <w:r>
        <w:t>4. Форму подписывают руководитель или лицо, на которое возложена функция по подписанию отчета, и исполнитель.</w:t>
      </w:r>
    </w:p>
    <w:p w:rsidR="00C2617B" w:rsidRDefault="00C2617B" w:rsidP="00C2617B">
      <w:pPr>
        <w:pStyle w:val="pj"/>
      </w:pPr>
      <w:r>
        <w:t>5. При заполнении формы коды указываются в соответствии со справочниками, используемыми в информационной системе, посредством которой представляется Форма, даты указываются в формате: «ДД.ММ.ГГГГ», где «ГГГГ» - год, «ММ» - месяц, «ДД» - день.</w:t>
      </w:r>
    </w:p>
    <w:p w:rsidR="00C2617B" w:rsidRDefault="00C2617B" w:rsidP="00C2617B">
      <w:pPr>
        <w:pStyle w:val="pj"/>
      </w:pPr>
      <w:r>
        <w:t>6. Все показатели являются обязательными для заполнения, за исключением указанных в Пояснении случаев, когда показатель не представляется.</w:t>
      </w:r>
    </w:p>
    <w:p w:rsidR="00C2617B" w:rsidRDefault="00C2617B" w:rsidP="00C2617B">
      <w:pPr>
        <w:pStyle w:val="pc"/>
      </w:pPr>
      <w:r>
        <w:rPr>
          <w:rStyle w:val="s1"/>
        </w:rPr>
        <w:t> </w:t>
      </w:r>
    </w:p>
    <w:p w:rsidR="00C2617B" w:rsidRDefault="00C2617B" w:rsidP="00C2617B">
      <w:pPr>
        <w:pStyle w:val="pc"/>
      </w:pPr>
      <w:r>
        <w:rPr>
          <w:rStyle w:val="s1"/>
        </w:rPr>
        <w:t> </w:t>
      </w:r>
    </w:p>
    <w:p w:rsidR="00C2617B" w:rsidRDefault="00C2617B" w:rsidP="00C2617B">
      <w:pPr>
        <w:pStyle w:val="pc"/>
      </w:pPr>
      <w:r>
        <w:rPr>
          <w:rStyle w:val="s1"/>
        </w:rPr>
        <w:t>Глава 2. Пояснение по заполнению Формы</w:t>
      </w:r>
    </w:p>
    <w:p w:rsidR="00C2617B" w:rsidRDefault="00C2617B" w:rsidP="00C2617B">
      <w:pPr>
        <w:pStyle w:val="pj"/>
      </w:pPr>
      <w:r>
        <w:t> </w:t>
      </w:r>
    </w:p>
    <w:p w:rsidR="00C2617B" w:rsidRDefault="00C2617B" w:rsidP="00C2617B">
      <w:pPr>
        <w:pStyle w:val="pj"/>
      </w:pPr>
      <w:r>
        <w:t>7. В строках 2.1, 2.2, 3.1, 3.2 и 3.3 значения выбираются из справочников, размещенных в информационной системе, посредством которой представляется Форма.</w:t>
      </w:r>
    </w:p>
    <w:p w:rsidR="00C2617B" w:rsidRDefault="00C2617B" w:rsidP="00C2617B">
      <w:pPr>
        <w:pStyle w:val="pj"/>
      </w:pPr>
      <w:r>
        <w:t>8. При заполнении Формы банки второго уровня раскрывают сведения о счетах и вкладах клиентов-резидентов.</w:t>
      </w:r>
    </w:p>
    <w:p w:rsidR="00C2617B" w:rsidRDefault="00C2617B" w:rsidP="00C2617B">
      <w:pPr>
        <w:pStyle w:val="pj"/>
      </w:pPr>
      <w:r>
        <w:t>9. Информация указывается по счетам и вкладам клиентов-резидентов Республики Казахстан, отнесенных к секторам экономики «6», «7», «8» или «9», в разбивке по сроку (отсутствию срока), областям, согласно соответствующим филиалам банка (относительно расположения филиалов банка), в тенге и в иностранной валюте.</w:t>
      </w:r>
    </w:p>
    <w:p w:rsidR="00C2617B" w:rsidRDefault="00C2617B" w:rsidP="00C2617B">
      <w:pPr>
        <w:pStyle w:val="pj"/>
      </w:pPr>
      <w:r>
        <w:t>Код сектора экономики указывается в соответствии со следующей кодификацией:</w:t>
      </w:r>
    </w:p>
    <w:p w:rsidR="00C2617B" w:rsidRDefault="00C2617B" w:rsidP="00C2617B">
      <w:pPr>
        <w:pStyle w:val="pj"/>
      </w:pPr>
      <w:r>
        <w:t>код «6» - государственные нефинансовые организации;</w:t>
      </w:r>
    </w:p>
    <w:p w:rsidR="00C2617B" w:rsidRDefault="00C2617B" w:rsidP="00C2617B">
      <w:pPr>
        <w:pStyle w:val="pj"/>
      </w:pPr>
      <w:r>
        <w:t>код «7» - негосударственные нефинансовые организации;</w:t>
      </w:r>
    </w:p>
    <w:p w:rsidR="00C2617B" w:rsidRDefault="00C2617B" w:rsidP="00C2617B">
      <w:pPr>
        <w:pStyle w:val="pj"/>
      </w:pPr>
      <w:r>
        <w:t>код «8» - некоммерческие организации, обслуживающие домашние хозяйства;</w:t>
      </w:r>
    </w:p>
    <w:p w:rsidR="00C2617B" w:rsidRDefault="00C2617B" w:rsidP="00C2617B">
      <w:pPr>
        <w:pStyle w:val="pj"/>
      </w:pPr>
      <w:r>
        <w:t>код «9» - домашние хозяйства.</w:t>
      </w:r>
    </w:p>
    <w:p w:rsidR="00C2617B" w:rsidRDefault="00C2617B" w:rsidP="00C2617B">
      <w:pPr>
        <w:pStyle w:val="pj"/>
      </w:pPr>
      <w:r>
        <w:t>10. В строке 2.1 указывается код «1», если контрагентом (вкладчиком) является юридическое лицо, код «2», если контрагентом (вкладчиком) является физическое лицо (включая индивидуальных предпринимателей).</w:t>
      </w:r>
    </w:p>
    <w:p w:rsidR="00C2617B" w:rsidRDefault="00C2617B" w:rsidP="00C2617B">
      <w:pPr>
        <w:pStyle w:val="pj"/>
      </w:pPr>
      <w:r>
        <w:lastRenderedPageBreak/>
        <w:t>11. В строке 2.2 указывается регион филиала банка второго уровня, обслуживающего счет.</w:t>
      </w:r>
    </w:p>
    <w:p w:rsidR="00C2617B" w:rsidRDefault="00C2617B" w:rsidP="00C2617B">
      <w:pPr>
        <w:pStyle w:val="pj"/>
      </w:pPr>
      <w:r>
        <w:t>12. В строке 3.3 счета, вклады распределяются по срокам на основании договоров банковского вклада с клиентами.</w:t>
      </w:r>
    </w:p>
    <w:p w:rsidR="00C2617B" w:rsidRDefault="00C2617B" w:rsidP="00C2617B">
      <w:pPr>
        <w:pStyle w:val="pj"/>
      </w:pPr>
      <w:r>
        <w:t>13. В строке 3.4 отражаются средневзвешенные ставки вознаграждения по договорам по фактически привлеченным суммам денег на счета, вклады клиентов-резидентов за отчетный месяц.</w:t>
      </w:r>
    </w:p>
    <w:p w:rsidR="00C2617B" w:rsidRDefault="00C2617B" w:rsidP="00C2617B">
      <w:pPr>
        <w:pStyle w:val="pj"/>
      </w:pPr>
      <w:r>
        <w:t xml:space="preserve">14. Если в течение отчетного месяца по счетам, вкладам в иностранной валюте проводились операции </w:t>
      </w:r>
      <w:proofErr w:type="spellStart"/>
      <w:r>
        <w:t>пролонгирования</w:t>
      </w:r>
      <w:proofErr w:type="spellEnd"/>
      <w:r>
        <w:t>, пополнения, частичного снятия, суммы поступления, выбытия в строках 3.5 и 3.6 соответственно пересчитываются по рыночному курсу обмена валют, определенному в порядке, предусмотренном пунктом 1 постановления Правления Национального Банка Республики Казахстан от 25 января 2013 года № 15 и приказа Министра финансов Республики Казахстан от 22 февраля 2013 года № 99 «О порядке определения рыночного курса обмена валюты», зарегистрированных в Реестре государственной регистрации нормативных правовых актов под № 8378 (далее - Постановление № 15 и Приказ № 99), на дату проведения операций с иностранной валютой.</w:t>
      </w:r>
    </w:p>
    <w:p w:rsidR="00C2617B" w:rsidRDefault="00C2617B" w:rsidP="00C2617B">
      <w:pPr>
        <w:pStyle w:val="pj"/>
      </w:pPr>
      <w:r>
        <w:t>15. В строке 3.7 по счетам, вкладам в иностранной валюте суммы пересчитываются по рыночному курсу обмена валют, определенному в порядке, предусмотренном пунктом 1 Постановления № 15 и Приказа № 99, на отчетную дату.</w:t>
      </w:r>
    </w:p>
    <w:p w:rsidR="00C2617B" w:rsidRDefault="00C2617B" w:rsidP="00C2617B">
      <w:pPr>
        <w:pStyle w:val="pj"/>
      </w:pPr>
      <w:r>
        <w:t>В строке 3.7 указывается сумма обязательств банка по счетам, вкладам на конец отчетного периода, без учета начисленного вознаграждения.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7B"/>
    <w:rsid w:val="00244A30"/>
    <w:rsid w:val="00C2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AA0C-D0D6-436C-B5FE-E3B466FE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617B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C2617B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C2617B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C2617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rsid w:val="00C2617B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C2617B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1003931.540000%20" TargetMode="External"/><Relationship Id="rId4" Type="http://schemas.openxmlformats.org/officeDocument/2006/relationships/hyperlink" Target="jl:1003548.15006502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2022-02-14T09:25:00Z</dcterms:created>
  <dcterms:modified xsi:type="dcterms:W3CDTF">2022-02-14T09:25:00Z</dcterms:modified>
</cp:coreProperties>
</file>