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38" w:rsidRDefault="00C83B38" w:rsidP="00C83B38">
      <w:pPr>
        <w:pStyle w:val="pr"/>
      </w:pP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мен</w:t>
      </w:r>
    </w:p>
    <w:p w:rsidR="00C83B38" w:rsidRDefault="00C83B38" w:rsidP="00C83B38">
      <w:pPr>
        <w:pStyle w:val="pr"/>
      </w:pP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нысанына</w:t>
      </w:r>
      <w:proofErr w:type="spellEnd"/>
    </w:p>
    <w:p w:rsidR="00C83B38" w:rsidRDefault="00C83B38" w:rsidP="00C83B38">
      <w:pPr>
        <w:pStyle w:val="pr"/>
      </w:pPr>
      <w:proofErr w:type="spellStart"/>
      <w:r>
        <w:t>қосымша</w:t>
      </w:r>
      <w:proofErr w:type="spellEnd"/>
    </w:p>
    <w:p w:rsidR="00C83B38" w:rsidRDefault="00C83B38" w:rsidP="00C83B38">
      <w:pPr>
        <w:pStyle w:val="pc"/>
      </w:pPr>
      <w:r>
        <w:t> </w:t>
      </w:r>
    </w:p>
    <w:p w:rsidR="00C83B38" w:rsidRDefault="00C83B38" w:rsidP="00C83B38">
      <w:pPr>
        <w:pStyle w:val="pc"/>
      </w:pPr>
      <w:r>
        <w:t> </w:t>
      </w:r>
    </w:p>
    <w:p w:rsidR="00C83B38" w:rsidRDefault="00C83B38" w:rsidP="00C83B38">
      <w:pPr>
        <w:pStyle w:val="pc"/>
      </w:pPr>
      <w:proofErr w:type="spellStart"/>
      <w:r>
        <w:rPr>
          <w:b/>
          <w:bCs/>
        </w:rPr>
        <w:t>Әкімшілік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деректер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нысанын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  <w:r>
        <w:rPr>
          <w:b/>
          <w:bCs/>
        </w:rPr>
        <w:t xml:space="preserve"> </w:t>
      </w:r>
    </w:p>
    <w:p w:rsidR="00C83B38" w:rsidRDefault="00C83B38" w:rsidP="00C83B38">
      <w:pPr>
        <w:pStyle w:val="pc"/>
      </w:pPr>
      <w:proofErr w:type="spellStart"/>
      <w:r>
        <w:rPr>
          <w:b/>
          <w:bCs/>
        </w:rPr>
        <w:t>Өзге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сыныпталатын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активтер</w:t>
      </w:r>
      <w:proofErr w:type="spellEnd"/>
      <w:r>
        <w:rPr>
          <w:b/>
          <w:bCs/>
        </w:rPr>
        <w:t xml:space="preserve"> мен </w:t>
      </w:r>
      <w:proofErr w:type="spellStart"/>
      <w:r>
        <w:rPr>
          <w:b/>
          <w:bCs/>
        </w:rPr>
        <w:t>ірі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дебиторлар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C83B38" w:rsidRDefault="00C83B38" w:rsidP="00C83B38">
      <w:pPr>
        <w:pStyle w:val="pc"/>
      </w:pPr>
      <w:r>
        <w:rPr>
          <w:b/>
          <w:bCs/>
        </w:rPr>
        <w:t>(</w:t>
      </w:r>
      <w:proofErr w:type="spellStart"/>
      <w:r>
        <w:rPr>
          <w:b/>
          <w:bCs/>
        </w:rPr>
        <w:t>индексі</w:t>
      </w:r>
      <w:proofErr w:type="spellEnd"/>
      <w:r>
        <w:rPr>
          <w:b/>
          <w:bCs/>
        </w:rPr>
        <w:t xml:space="preserve"> - DEBTORS, </w:t>
      </w:r>
      <w:proofErr w:type="spellStart"/>
      <w:r>
        <w:rPr>
          <w:b/>
          <w:bCs/>
        </w:rPr>
        <w:t>кезеңділігі</w:t>
      </w:r>
      <w:proofErr w:type="spellEnd"/>
      <w:r>
        <w:rPr>
          <w:b/>
          <w:bCs/>
        </w:rPr>
        <w:t xml:space="preserve"> - ай </w:t>
      </w:r>
      <w:proofErr w:type="spellStart"/>
      <w:r>
        <w:rPr>
          <w:b/>
          <w:bCs/>
        </w:rPr>
        <w:t>сайын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тоқсан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сайын</w:t>
      </w:r>
      <w:proofErr w:type="spellEnd"/>
      <w:r>
        <w:rPr>
          <w:b/>
          <w:bCs/>
        </w:rPr>
        <w:t>)</w:t>
      </w:r>
    </w:p>
    <w:p w:rsidR="00C83B38" w:rsidRDefault="00C83B38" w:rsidP="00C83B38">
      <w:pPr>
        <w:pStyle w:val="pc"/>
      </w:pPr>
      <w:r>
        <w:t> </w:t>
      </w:r>
      <w:bookmarkStart w:id="0" w:name="_GoBack"/>
      <w:bookmarkEnd w:id="0"/>
    </w:p>
    <w:p w:rsidR="00C83B38" w:rsidRDefault="00C83B38" w:rsidP="00C83B38">
      <w:pPr>
        <w:pStyle w:val="pc"/>
      </w:pPr>
      <w:r>
        <w:t> </w:t>
      </w:r>
    </w:p>
    <w:p w:rsidR="00C83B38" w:rsidRDefault="00C83B38" w:rsidP="00C83B38">
      <w:pPr>
        <w:pStyle w:val="pc"/>
      </w:pPr>
      <w:r>
        <w:rPr>
          <w:b/>
          <w:bCs/>
        </w:rPr>
        <w:t xml:space="preserve">1-тарау.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ережелер</w:t>
      </w:r>
      <w:proofErr w:type="spellEnd"/>
    </w:p>
    <w:p w:rsidR="00C83B38" w:rsidRDefault="00C83B38" w:rsidP="00C83B38">
      <w:pPr>
        <w:pStyle w:val="pj"/>
      </w:pPr>
      <w:r>
        <w:t> </w:t>
      </w:r>
    </w:p>
    <w:p w:rsidR="00C83B38" w:rsidRDefault="00C83B38" w:rsidP="00C83B38">
      <w:pPr>
        <w:pStyle w:val="pj"/>
      </w:pPr>
      <w:r>
        <w:t xml:space="preserve">1. Осы </w:t>
      </w:r>
      <w:proofErr w:type="spellStart"/>
      <w:r>
        <w:t>түсіндірме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Түсіндірме</w:t>
      </w:r>
      <w:proofErr w:type="spellEnd"/>
      <w:r>
        <w:t>) «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мен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»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нысанын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Нысан</w:t>
      </w:r>
      <w:proofErr w:type="spellEnd"/>
      <w:r>
        <w:t xml:space="preserve">)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2. </w:t>
      </w:r>
      <w:proofErr w:type="spellStart"/>
      <w:r>
        <w:t>Нысан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15-бабы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бөлігінің</w:t>
      </w:r>
      <w:proofErr w:type="spellEnd"/>
      <w:r>
        <w:t xml:space="preserve"> 65-2)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 xml:space="preserve"> 54-бабының 1-тармағына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3.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Нысанды</w:t>
      </w:r>
      <w:proofErr w:type="spellEnd"/>
      <w:r>
        <w:t xml:space="preserve"> ай </w:t>
      </w:r>
      <w:proofErr w:type="spellStart"/>
      <w:r>
        <w:t>сайын</w:t>
      </w:r>
      <w:proofErr w:type="spellEnd"/>
      <w:r>
        <w:t xml:space="preserve"> (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), </w:t>
      </w:r>
      <w:proofErr w:type="spellStart"/>
      <w:r>
        <w:t>тоқсан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(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)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>.</w:t>
      </w:r>
    </w:p>
    <w:p w:rsidR="00C83B38" w:rsidRDefault="00C83B38" w:rsidP="00C83B38">
      <w:pPr>
        <w:pStyle w:val="pj"/>
      </w:pP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өлшем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үтірден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таңбалы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4.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5.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кодтар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анықтамалықтарға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күндер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форматта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: «ЖЖЖЖ.КК.АА», </w:t>
      </w:r>
      <w:proofErr w:type="spellStart"/>
      <w:r>
        <w:t>мұнда</w:t>
      </w:r>
      <w:proofErr w:type="spellEnd"/>
      <w:r>
        <w:t xml:space="preserve"> «ЖЖЖЖ» - </w:t>
      </w:r>
      <w:proofErr w:type="spellStart"/>
      <w:r>
        <w:t>жылы</w:t>
      </w:r>
      <w:proofErr w:type="spellEnd"/>
      <w:r>
        <w:t xml:space="preserve">, «КК» - </w:t>
      </w:r>
      <w:proofErr w:type="spellStart"/>
      <w:r>
        <w:t>күні</w:t>
      </w:r>
      <w:proofErr w:type="spellEnd"/>
      <w:r>
        <w:t xml:space="preserve">, «АА» - </w:t>
      </w:r>
      <w:proofErr w:type="spellStart"/>
      <w:r>
        <w:t>айы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6. </w:t>
      </w:r>
      <w:proofErr w:type="spellStart"/>
      <w:r>
        <w:t>Нысан</w:t>
      </w:r>
      <w:proofErr w:type="spellEnd"/>
      <w:r>
        <w:t xml:space="preserve"> мен </w:t>
      </w:r>
      <w:proofErr w:type="spellStart"/>
      <w:r>
        <w:t>Түсіндірмедегі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6793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2011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қаңтардағы</w:t>
      </w:r>
      <w:proofErr w:type="spellEnd"/>
      <w:r>
        <w:t xml:space="preserve"> № 3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банктердегі</w:t>
      </w:r>
      <w:proofErr w:type="spellEnd"/>
      <w:r>
        <w:t xml:space="preserve">, </w:t>
      </w:r>
      <w:proofErr w:type="spellStart"/>
      <w:r>
        <w:t>ипотекалық</w:t>
      </w:r>
      <w:proofErr w:type="spellEnd"/>
      <w:r>
        <w:t xml:space="preserve"> </w:t>
      </w:r>
      <w:proofErr w:type="spellStart"/>
      <w:r>
        <w:t>ұйымдардағы</w:t>
      </w:r>
      <w:proofErr w:type="spellEnd"/>
      <w:r>
        <w:t>, «</w:t>
      </w:r>
      <w:proofErr w:type="spellStart"/>
      <w:r>
        <w:t>Қазақстанның</w:t>
      </w:r>
      <w:proofErr w:type="spellEnd"/>
      <w:r>
        <w:t xml:space="preserve"> Даму </w:t>
      </w:r>
      <w:proofErr w:type="spellStart"/>
      <w:r>
        <w:t>Банкі</w:t>
      </w:r>
      <w:proofErr w:type="spellEnd"/>
      <w:r>
        <w:t xml:space="preserve">» </w:t>
      </w:r>
      <w:proofErr w:type="spellStart"/>
      <w:r>
        <w:t>акционерлік</w:t>
      </w:r>
      <w:proofErr w:type="spellEnd"/>
      <w:r>
        <w:t xml:space="preserve"> </w:t>
      </w:r>
      <w:proofErr w:type="spellStart"/>
      <w:r>
        <w:t>қоғамындағы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бейрезидент-банктердің</w:t>
      </w:r>
      <w:proofErr w:type="spellEnd"/>
      <w:r>
        <w:t xml:space="preserve"> </w:t>
      </w:r>
      <w:proofErr w:type="spellStart"/>
      <w:r>
        <w:t>филиалдарындағы</w:t>
      </w:r>
      <w:proofErr w:type="spellEnd"/>
      <w:r>
        <w:t xml:space="preserve">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есептің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7. </w:t>
      </w:r>
      <w:proofErr w:type="spellStart"/>
      <w:r>
        <w:t>Түсіндірмеде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көрсеткіш</w:t>
      </w:r>
      <w:proofErr w:type="spellEnd"/>
      <w:r>
        <w:t xml:space="preserve"> </w:t>
      </w:r>
      <w:proofErr w:type="spellStart"/>
      <w:r>
        <w:t>ұсынылмайтын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толтырылуы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C83B38" w:rsidRDefault="00C83B38" w:rsidP="00C83B38">
      <w:pPr>
        <w:pStyle w:val="pc"/>
      </w:pPr>
      <w:r>
        <w:t> </w:t>
      </w:r>
    </w:p>
    <w:p w:rsidR="00C83B38" w:rsidRDefault="00C83B38" w:rsidP="00C83B38">
      <w:pPr>
        <w:pStyle w:val="pc"/>
      </w:pPr>
      <w:r>
        <w:t> </w:t>
      </w:r>
    </w:p>
    <w:p w:rsidR="00C83B38" w:rsidRDefault="00C83B38" w:rsidP="00C83B38">
      <w:pPr>
        <w:pStyle w:val="pc"/>
      </w:pPr>
      <w:r>
        <w:rPr>
          <w:b/>
          <w:bCs/>
        </w:rPr>
        <w:t xml:space="preserve">2-тарау. </w:t>
      </w:r>
      <w:proofErr w:type="spellStart"/>
      <w:r>
        <w:rPr>
          <w:b/>
          <w:bCs/>
        </w:rPr>
        <w:t>Нысанды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C83B38" w:rsidRDefault="00C83B38" w:rsidP="00C83B38">
      <w:pPr>
        <w:pStyle w:val="pc"/>
      </w:pPr>
      <w:r>
        <w:t> </w:t>
      </w:r>
    </w:p>
    <w:p w:rsidR="00C83B38" w:rsidRDefault="00C83B38" w:rsidP="00C83B38">
      <w:pPr>
        <w:pStyle w:val="pj"/>
      </w:pPr>
      <w:r>
        <w:t xml:space="preserve">8.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осы </w:t>
      </w:r>
      <w:proofErr w:type="spellStart"/>
      <w:r>
        <w:t>қаулыда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есептердің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нысандарына</w:t>
      </w:r>
      <w:proofErr w:type="spellEnd"/>
      <w:r>
        <w:t xml:space="preserve"> </w:t>
      </w:r>
      <w:proofErr w:type="spellStart"/>
      <w:r>
        <w:t>енгізілмеген</w:t>
      </w:r>
      <w:proofErr w:type="spellEnd"/>
      <w:r>
        <w:t xml:space="preserve"> банк </w:t>
      </w:r>
      <w:proofErr w:type="spellStart"/>
      <w:r>
        <w:t>провизияларын</w:t>
      </w:r>
      <w:proofErr w:type="spellEnd"/>
      <w:r>
        <w:t xml:space="preserve"> (</w:t>
      </w:r>
      <w:proofErr w:type="spellStart"/>
      <w:r>
        <w:t>резервтерін</w:t>
      </w:r>
      <w:proofErr w:type="spellEnd"/>
      <w:r>
        <w:t xml:space="preserve">) </w:t>
      </w:r>
      <w:proofErr w:type="spellStart"/>
      <w:r>
        <w:t>есептеудің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әдістемесіне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«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» 9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стандарттарына</w:t>
      </w:r>
      <w:proofErr w:type="spellEnd"/>
      <w:r>
        <w:t xml:space="preserve"> (IFRS)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құнсыздану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жіктелуге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9. 1-кестенің 2.1, 2.2 </w:t>
      </w:r>
      <w:proofErr w:type="spellStart"/>
      <w:r>
        <w:t>және</w:t>
      </w:r>
      <w:proofErr w:type="spellEnd"/>
      <w:r>
        <w:t xml:space="preserve"> 3-жолдарында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анықтамалықтардан</w:t>
      </w:r>
      <w:proofErr w:type="spellEnd"/>
      <w:r>
        <w:t xml:space="preserve"> </w:t>
      </w:r>
      <w:proofErr w:type="spellStart"/>
      <w:r>
        <w:t>таңдалады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10. 1-кестенің 2.2 </w:t>
      </w:r>
      <w:proofErr w:type="spellStart"/>
      <w:r>
        <w:t>және</w:t>
      </w:r>
      <w:proofErr w:type="spellEnd"/>
      <w:r>
        <w:t xml:space="preserve"> 2.3-жолдарында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активтердің</w:t>
      </w:r>
      <w:proofErr w:type="spellEnd"/>
      <w:r>
        <w:t xml:space="preserve"> </w:t>
      </w:r>
      <w:proofErr w:type="spellStart"/>
      <w:r>
        <w:t>сомалары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lastRenderedPageBreak/>
        <w:t>күнгі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нөлге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1-кестенің 2.1, 2.2 </w:t>
      </w:r>
      <w:proofErr w:type="spellStart"/>
      <w:r>
        <w:t>және</w:t>
      </w:r>
      <w:proofErr w:type="spellEnd"/>
      <w:r>
        <w:t xml:space="preserve"> 2.3-жолдары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C83B38" w:rsidRDefault="00C83B38" w:rsidP="00C83B38">
      <w:pPr>
        <w:pStyle w:val="pj"/>
      </w:pPr>
      <w:proofErr w:type="spellStart"/>
      <w:r>
        <w:t>Резервтердің</w:t>
      </w:r>
      <w:proofErr w:type="spellEnd"/>
      <w:r>
        <w:t xml:space="preserve"> (</w:t>
      </w:r>
      <w:proofErr w:type="spellStart"/>
      <w:r>
        <w:t>провизиялардың</w:t>
      </w:r>
      <w:proofErr w:type="spellEnd"/>
      <w:r>
        <w:t xml:space="preserve">)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абсолюттік</w:t>
      </w:r>
      <w:proofErr w:type="spellEnd"/>
      <w:r>
        <w:t xml:space="preserve"> </w:t>
      </w:r>
      <w:proofErr w:type="spellStart"/>
      <w:r>
        <w:t>мәнде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сан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>11. 1-кестенің 3-жолында «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» 9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стандартына</w:t>
      </w:r>
      <w:proofErr w:type="spellEnd"/>
      <w:r>
        <w:t xml:space="preserve"> (IFRS)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күнгі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жіктелетін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жатқызылған</w:t>
      </w:r>
      <w:proofErr w:type="spellEnd"/>
      <w:r>
        <w:t xml:space="preserve">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тәуекелдің</w:t>
      </w:r>
      <w:proofErr w:type="spellEnd"/>
      <w:r>
        <w:t xml:space="preserve"> </w:t>
      </w:r>
      <w:proofErr w:type="spellStart"/>
      <w:r>
        <w:t>сатысы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12. 2-кестенің 2.2, 2.4, 2.5, 3, 6.1, 6.2 </w:t>
      </w:r>
      <w:proofErr w:type="spellStart"/>
      <w:r>
        <w:t>және</w:t>
      </w:r>
      <w:proofErr w:type="spellEnd"/>
      <w:r>
        <w:t xml:space="preserve"> 7-жолдарында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анықтамалықтардан</w:t>
      </w:r>
      <w:proofErr w:type="spellEnd"/>
      <w:r>
        <w:t xml:space="preserve"> </w:t>
      </w:r>
      <w:proofErr w:type="spellStart"/>
      <w:r>
        <w:t>таңдалады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13. 2-кестеде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талаптарға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:</w:t>
      </w:r>
    </w:p>
    <w:p w:rsidR="00C83B38" w:rsidRDefault="00C83B38" w:rsidP="00C83B38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дебиторлық</w:t>
      </w:r>
      <w:proofErr w:type="spellEnd"/>
      <w:r>
        <w:t xml:space="preserve"> </w:t>
      </w:r>
      <w:proofErr w:type="spellStart"/>
      <w:r>
        <w:t>берешек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контрагент </w:t>
      </w:r>
      <w:proofErr w:type="spellStart"/>
      <w:r>
        <w:t>анықталған</w:t>
      </w:r>
      <w:proofErr w:type="spellEnd"/>
      <w:r>
        <w:t>;</w:t>
      </w:r>
    </w:p>
    <w:p w:rsidR="00C83B38" w:rsidRDefault="00C83B38" w:rsidP="00C83B38">
      <w:pPr>
        <w:pStyle w:val="pj"/>
      </w:pPr>
      <w:r>
        <w:t xml:space="preserve">контрагент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табылмайды</w:t>
      </w:r>
      <w:proofErr w:type="spellEnd"/>
      <w:r>
        <w:t>;</w:t>
      </w:r>
    </w:p>
    <w:p w:rsidR="00C83B38" w:rsidRDefault="00C83B38" w:rsidP="00C83B38">
      <w:pPr>
        <w:pStyle w:val="pj"/>
      </w:pPr>
      <w:proofErr w:type="spellStart"/>
      <w:r>
        <w:t>контрагентке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операциялардың</w:t>
      </w:r>
      <w:proofErr w:type="spellEnd"/>
      <w:r>
        <w:t xml:space="preserve"> </w:t>
      </w:r>
      <w:proofErr w:type="spellStart"/>
      <w:r>
        <w:t>біреуін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бірнешеуін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салдарынан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>:</w:t>
      </w:r>
    </w:p>
    <w:p w:rsidR="00C83B38" w:rsidRDefault="00C83B38" w:rsidP="00C83B38">
      <w:pPr>
        <w:pStyle w:val="pj"/>
      </w:pP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құқықтарын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қайта</w:t>
      </w:r>
      <w:proofErr w:type="spellEnd"/>
      <w:r>
        <w:t xml:space="preserve"> беру;</w:t>
      </w:r>
    </w:p>
    <w:p w:rsidR="00C83B38" w:rsidRDefault="00C83B38" w:rsidP="00C83B38">
      <w:pPr>
        <w:pStyle w:val="pj"/>
      </w:pPr>
      <w:proofErr w:type="spellStart"/>
      <w:r>
        <w:t>қарызды</w:t>
      </w:r>
      <w:proofErr w:type="spellEnd"/>
      <w:r>
        <w:t xml:space="preserve"> </w:t>
      </w:r>
      <w:proofErr w:type="spellStart"/>
      <w:r>
        <w:t>дебиторлық</w:t>
      </w:r>
      <w:proofErr w:type="spellEnd"/>
      <w:r>
        <w:t xml:space="preserve"> </w:t>
      </w:r>
      <w:proofErr w:type="spellStart"/>
      <w:r>
        <w:t>берешекке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жіктеу</w:t>
      </w:r>
      <w:proofErr w:type="spellEnd"/>
      <w:r>
        <w:t>;</w:t>
      </w:r>
    </w:p>
    <w:p w:rsidR="00C83B38" w:rsidRDefault="00C83B38" w:rsidP="00C83B38">
      <w:pPr>
        <w:pStyle w:val="pj"/>
      </w:pPr>
      <w:proofErr w:type="spellStart"/>
      <w:r>
        <w:t>өндіріп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кепіл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>;</w:t>
      </w:r>
    </w:p>
    <w:p w:rsidR="00C83B38" w:rsidRDefault="00C83B38" w:rsidP="00C83B38">
      <w:pPr>
        <w:pStyle w:val="pj"/>
      </w:pP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1740, 1741 </w:t>
      </w:r>
      <w:proofErr w:type="spellStart"/>
      <w:r>
        <w:t>және</w:t>
      </w:r>
      <w:proofErr w:type="spellEnd"/>
      <w:r>
        <w:t xml:space="preserve"> 1400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шоттарында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сомаларды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алушысымен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операциялар</w:t>
      </w:r>
      <w:proofErr w:type="spellEnd"/>
      <w:r>
        <w:t>;</w:t>
      </w:r>
    </w:p>
    <w:p w:rsidR="00C83B38" w:rsidRDefault="00C83B38" w:rsidP="00C83B38">
      <w:pPr>
        <w:pStyle w:val="pj"/>
      </w:pP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расталған</w:t>
      </w:r>
      <w:proofErr w:type="spellEnd"/>
      <w:r>
        <w:t xml:space="preserve"> </w:t>
      </w:r>
      <w:proofErr w:type="spellStart"/>
      <w:r>
        <w:t>кепілдіктер</w:t>
      </w:r>
      <w:proofErr w:type="spellEnd"/>
      <w:r>
        <w:t xml:space="preserve"> мен </w:t>
      </w:r>
      <w:proofErr w:type="spellStart"/>
      <w:r>
        <w:t>аккредитивтер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міндеттемелерді</w:t>
      </w:r>
      <w:proofErr w:type="spellEnd"/>
      <w:r>
        <w:t xml:space="preserve"> </w:t>
      </w:r>
      <w:proofErr w:type="spellStart"/>
      <w:r>
        <w:t>орындауы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14. 2-кестені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</w:t>
      </w:r>
      <w:proofErr w:type="spellEnd"/>
      <w:r>
        <w:t xml:space="preserve"> </w:t>
      </w:r>
      <w:proofErr w:type="spellStart"/>
      <w:r>
        <w:t>талаптардың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бар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25 (</w:t>
      </w:r>
      <w:proofErr w:type="spellStart"/>
      <w:r>
        <w:t>жиырма</w:t>
      </w:r>
      <w:proofErr w:type="spellEnd"/>
      <w:r>
        <w:t xml:space="preserve"> бес)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дебиторларын</w:t>
      </w:r>
      <w:proofErr w:type="spellEnd"/>
      <w:r>
        <w:t xml:space="preserve"> </w:t>
      </w:r>
      <w:proofErr w:type="spellStart"/>
      <w:r>
        <w:t>ашады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15. 2-кестенің 2-жолындағы </w:t>
      </w:r>
      <w:proofErr w:type="spellStart"/>
      <w:r>
        <w:t>анықтамалықтарды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жүргізеді</w:t>
      </w:r>
      <w:proofErr w:type="spellEnd"/>
      <w:r>
        <w:t xml:space="preserve">, </w:t>
      </w:r>
      <w:proofErr w:type="spellStart"/>
      <w:r>
        <w:t>анықтамалықтардағы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қажеттілігіне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жаңартады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16. 2-кестенің 2.1-жолында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банк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анықтамалыққа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дебитордың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proofErr w:type="spellStart"/>
      <w:r>
        <w:t>Контрагенттерді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2-кестенің 2.2 </w:t>
      </w:r>
      <w:proofErr w:type="spellStart"/>
      <w:r>
        <w:t>және</w:t>
      </w:r>
      <w:proofErr w:type="spellEnd"/>
      <w:r>
        <w:t xml:space="preserve"> 2.3-жолдарында </w:t>
      </w:r>
      <w:proofErr w:type="spellStart"/>
      <w:r>
        <w:t>сәйкестендіргіштердің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:</w:t>
      </w:r>
    </w:p>
    <w:p w:rsidR="00C83B38" w:rsidRDefault="00C83B38" w:rsidP="00C83B38">
      <w:pPr>
        <w:pStyle w:val="pj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резиденттері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: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-бизнес-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;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дара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;</w:t>
      </w:r>
    </w:p>
    <w:p w:rsidR="00C83B38" w:rsidRDefault="00C83B38" w:rsidP="00C83B38">
      <w:pPr>
        <w:pStyle w:val="pj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: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-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стандартына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контрагентіне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коды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коды),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дара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(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коды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-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алгоритм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банк </w:t>
      </w:r>
      <w:proofErr w:type="spellStart"/>
      <w:r>
        <w:t>қалыптастырған</w:t>
      </w:r>
      <w:proofErr w:type="spellEnd"/>
      <w:r>
        <w:t xml:space="preserve"> </w:t>
      </w:r>
      <w:proofErr w:type="spellStart"/>
      <w:r>
        <w:t>баламалы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17. 2-кестенің 2.4-жолында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резиденті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дебитор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дебитор </w:t>
      </w:r>
      <w:proofErr w:type="spellStart"/>
      <w:r>
        <w:t>бойынша</w:t>
      </w:r>
      <w:proofErr w:type="spellEnd"/>
      <w:r>
        <w:t xml:space="preserve"> «2»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18. 2-кестенің 4-жолында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валютамен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дебиторлық</w:t>
      </w:r>
      <w:proofErr w:type="spellEnd"/>
      <w:r>
        <w:t xml:space="preserve"> </w:t>
      </w:r>
      <w:proofErr w:type="spellStart"/>
      <w:r>
        <w:t>берешек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 xml:space="preserve">19. 2-кестенің 6.2 </w:t>
      </w:r>
      <w:proofErr w:type="spellStart"/>
      <w:r>
        <w:t>және</w:t>
      </w:r>
      <w:proofErr w:type="spellEnd"/>
      <w:r>
        <w:t xml:space="preserve"> 6.3-жолдарында </w:t>
      </w:r>
      <w:proofErr w:type="spellStart"/>
      <w:r>
        <w:t>дебиторлық</w:t>
      </w:r>
      <w:proofErr w:type="spellEnd"/>
      <w:r>
        <w:t xml:space="preserve"> </w:t>
      </w:r>
      <w:proofErr w:type="spellStart"/>
      <w:r>
        <w:t>берешек</w:t>
      </w:r>
      <w:proofErr w:type="spellEnd"/>
      <w:r>
        <w:t xml:space="preserve"> </w:t>
      </w:r>
      <w:proofErr w:type="spellStart"/>
      <w:r>
        <w:t>сомалары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күнгі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ескерілетін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нөлге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2-кестенің 6.1, 6.2 </w:t>
      </w:r>
      <w:proofErr w:type="spellStart"/>
      <w:r>
        <w:t>және</w:t>
      </w:r>
      <w:proofErr w:type="spellEnd"/>
      <w:r>
        <w:t xml:space="preserve"> 6.3-жолдары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C83B38" w:rsidRDefault="00C83B38" w:rsidP="00C83B38">
      <w:pPr>
        <w:pStyle w:val="pj"/>
      </w:pPr>
      <w:proofErr w:type="spellStart"/>
      <w:r>
        <w:lastRenderedPageBreak/>
        <w:t>Резервтердің</w:t>
      </w:r>
      <w:proofErr w:type="spellEnd"/>
      <w:r>
        <w:t xml:space="preserve"> (</w:t>
      </w:r>
      <w:proofErr w:type="spellStart"/>
      <w:r>
        <w:t>провизиялардың</w:t>
      </w:r>
      <w:proofErr w:type="spellEnd"/>
      <w:r>
        <w:t xml:space="preserve">)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абсолюттік</w:t>
      </w:r>
      <w:proofErr w:type="spellEnd"/>
      <w:r>
        <w:t xml:space="preserve"> </w:t>
      </w:r>
      <w:proofErr w:type="spellStart"/>
      <w:r>
        <w:t>мәнде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сан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j"/>
      </w:pPr>
      <w:r>
        <w:t>20. 2-кестенің 7-жолында «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» 9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стандартына</w:t>
      </w:r>
      <w:proofErr w:type="spellEnd"/>
      <w:r>
        <w:t xml:space="preserve"> (IFRS)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күнгі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дебиторлық</w:t>
      </w:r>
      <w:proofErr w:type="spellEnd"/>
      <w:r>
        <w:t xml:space="preserve"> </w:t>
      </w:r>
      <w:proofErr w:type="spellStart"/>
      <w:r>
        <w:t>берешек</w:t>
      </w:r>
      <w:proofErr w:type="spellEnd"/>
      <w:r>
        <w:t xml:space="preserve"> </w:t>
      </w:r>
      <w:proofErr w:type="spellStart"/>
      <w:r>
        <w:t>жатқызылған</w:t>
      </w:r>
      <w:proofErr w:type="spellEnd"/>
      <w:r>
        <w:t xml:space="preserve">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тәуекелдің</w:t>
      </w:r>
      <w:proofErr w:type="spellEnd"/>
      <w:r>
        <w:t xml:space="preserve"> </w:t>
      </w:r>
      <w:proofErr w:type="spellStart"/>
      <w:r>
        <w:t>сатысы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C83B38" w:rsidRDefault="00C83B38" w:rsidP="00C83B38">
      <w:pPr>
        <w:pStyle w:val="pc"/>
      </w:pPr>
      <w:r>
        <w:t> </w:t>
      </w:r>
    </w:p>
    <w:p w:rsidR="002875F1" w:rsidRDefault="002875F1"/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8"/>
    <w:rsid w:val="002875F1"/>
    <w:rsid w:val="00C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248A-4AA5-4254-983F-FD83DBF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C83B38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C83B3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C83B3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2022-02-14T09:37:00Z</dcterms:created>
  <dcterms:modified xsi:type="dcterms:W3CDTF">2022-02-14T09:37:00Z</dcterms:modified>
</cp:coreProperties>
</file>