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56" w:rsidRDefault="006B5E56" w:rsidP="006B5E56">
      <w:pPr>
        <w:pStyle w:val="pr"/>
      </w:pPr>
      <w:r>
        <w:t>Тартылған ақшаның негізгі</w:t>
      </w:r>
    </w:p>
    <w:p w:rsidR="006B5E56" w:rsidRDefault="006B5E56" w:rsidP="006B5E56">
      <w:pPr>
        <w:pStyle w:val="pr"/>
      </w:pPr>
      <w:r>
        <w:t>көздері туралы есеп</w:t>
      </w:r>
    </w:p>
    <w:p w:rsidR="006B5E56" w:rsidRDefault="006B5E56" w:rsidP="006B5E56">
      <w:pPr>
        <w:pStyle w:val="pr"/>
      </w:pPr>
      <w:r>
        <w:t>нысанына қосымша</w:t>
      </w:r>
    </w:p>
    <w:p w:rsidR="006B5E56" w:rsidRDefault="006B5E56" w:rsidP="006B5E56">
      <w:pPr>
        <w:pStyle w:val="pc"/>
      </w:pPr>
      <w:r>
        <w:t> </w:t>
      </w:r>
    </w:p>
    <w:p w:rsidR="006B5E56" w:rsidRDefault="006B5E56" w:rsidP="006B5E56">
      <w:pPr>
        <w:pStyle w:val="pc"/>
      </w:pPr>
      <w:r>
        <w:t> </w:t>
      </w:r>
      <w:bookmarkStart w:id="0" w:name="_GoBack"/>
      <w:bookmarkEnd w:id="0"/>
    </w:p>
    <w:p w:rsidR="006B5E56" w:rsidRDefault="006B5E56" w:rsidP="006B5E56">
      <w:pPr>
        <w:pStyle w:val="pc"/>
      </w:pPr>
      <w:r>
        <w:rPr>
          <w:b/>
          <w:bCs/>
        </w:rPr>
        <w:t>Әкімшілік деректерді толтыру бойынша түсіндірме</w:t>
      </w:r>
    </w:p>
    <w:p w:rsidR="006B5E56" w:rsidRDefault="006B5E56" w:rsidP="006B5E56">
      <w:pPr>
        <w:pStyle w:val="pc"/>
      </w:pPr>
      <w:r>
        <w:rPr>
          <w:b/>
          <w:bCs/>
        </w:rPr>
        <w:t xml:space="preserve">Тартылған ақшаның негізгі көздері туралы есеп </w:t>
      </w:r>
    </w:p>
    <w:p w:rsidR="006B5E56" w:rsidRDefault="006B5E56" w:rsidP="006B5E56">
      <w:pPr>
        <w:pStyle w:val="pc"/>
      </w:pPr>
      <w:r w:rsidRPr="00E04B9A">
        <w:rPr>
          <w:b/>
          <w:bCs/>
        </w:rPr>
        <w:t>(</w:t>
      </w:r>
      <w:r>
        <w:rPr>
          <w:b/>
          <w:bCs/>
        </w:rPr>
        <w:t>индексі</w:t>
      </w:r>
      <w:r w:rsidRPr="00E04B9A">
        <w:rPr>
          <w:b/>
          <w:bCs/>
        </w:rPr>
        <w:t xml:space="preserve"> - </w:t>
      </w:r>
      <w:r>
        <w:rPr>
          <w:b/>
          <w:bCs/>
          <w:lang w:val="en-US"/>
        </w:rPr>
        <w:t>FUND</w:t>
      </w:r>
      <w:r w:rsidRPr="00E04B9A">
        <w:rPr>
          <w:b/>
          <w:bCs/>
        </w:rPr>
        <w:t xml:space="preserve">, </w:t>
      </w:r>
      <w:r>
        <w:rPr>
          <w:b/>
          <w:bCs/>
        </w:rPr>
        <w:t>кезеңділігі</w:t>
      </w:r>
      <w:r w:rsidRPr="00E04B9A">
        <w:rPr>
          <w:b/>
          <w:bCs/>
        </w:rPr>
        <w:t xml:space="preserve"> - </w:t>
      </w:r>
      <w:r>
        <w:rPr>
          <w:b/>
          <w:bCs/>
        </w:rPr>
        <w:t>ай сайын</w:t>
      </w:r>
      <w:r w:rsidRPr="00E04B9A">
        <w:rPr>
          <w:b/>
          <w:bCs/>
        </w:rPr>
        <w:t>)</w:t>
      </w:r>
    </w:p>
    <w:p w:rsidR="006B5E56" w:rsidRDefault="006B5E56" w:rsidP="006B5E56">
      <w:pPr>
        <w:pStyle w:val="pc"/>
      </w:pPr>
      <w:r>
        <w:t> </w:t>
      </w:r>
    </w:p>
    <w:p w:rsidR="006B5E56" w:rsidRDefault="006B5E56" w:rsidP="006B5E56">
      <w:pPr>
        <w:pStyle w:val="pc"/>
      </w:pPr>
      <w:r>
        <w:t> </w:t>
      </w:r>
    </w:p>
    <w:p w:rsidR="006B5E56" w:rsidRDefault="006B5E56" w:rsidP="006B5E56">
      <w:pPr>
        <w:pStyle w:val="pc"/>
      </w:pPr>
      <w:r>
        <w:rPr>
          <w:b/>
          <w:bCs/>
        </w:rPr>
        <w:t>1-тарау. Жалпы ережелер</w:t>
      </w:r>
    </w:p>
    <w:p w:rsidR="006B5E56" w:rsidRDefault="006B5E56" w:rsidP="006B5E56">
      <w:pPr>
        <w:pStyle w:val="pc"/>
      </w:pPr>
      <w:r>
        <w:t> </w:t>
      </w:r>
    </w:p>
    <w:p w:rsidR="006B5E56" w:rsidRDefault="006B5E56" w:rsidP="006B5E56">
      <w:pPr>
        <w:pStyle w:val="pj"/>
      </w:pPr>
      <w:r>
        <w:t>1. Осы түсіндірме (бұдан әрі - Түсіндірме) «Тартылған ақшаның негізгі көздері туралы есеп» әкімшілік деректерді жинауға арналған нысанды (бұдан әрі - Нысан) толтыру бойынша бірыңғай талаптарды айқындайды.</w:t>
      </w:r>
    </w:p>
    <w:p w:rsidR="006B5E56" w:rsidRDefault="006B5E56" w:rsidP="006B5E56">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6B5E56" w:rsidRDefault="006B5E56" w:rsidP="006B5E56">
      <w:pPr>
        <w:pStyle w:val="pj"/>
      </w:pPr>
      <w:r>
        <w:t>3. Нысанды екінші деңгейдегі банктер ай сайын есепті кезеңнің соңындағы жағдай бойынша жасайды.</w:t>
      </w:r>
    </w:p>
    <w:p w:rsidR="006B5E56" w:rsidRDefault="006B5E56" w:rsidP="006B5E56">
      <w:pPr>
        <w:pStyle w:val="pj"/>
      </w:pPr>
      <w: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6B5E56" w:rsidRDefault="006B5E56" w:rsidP="006B5E56">
      <w:pPr>
        <w:pStyle w:val="pj"/>
      </w:pPr>
      <w:r>
        <w:t>4. Нысанға басшы немесе есепке қол қою функциясы жүктелген адам және орындаушы қол қояды.</w:t>
      </w:r>
    </w:p>
    <w:p w:rsidR="006B5E56" w:rsidRDefault="006B5E56" w:rsidP="006B5E56">
      <w:pPr>
        <w:pStyle w:val="pj"/>
      </w:pPr>
      <w: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6B5E56" w:rsidRDefault="006B5E56" w:rsidP="006B5E56">
      <w:pPr>
        <w:pStyle w:val="pj"/>
      </w:pPr>
      <w:r>
        <w:t>6. Нысан мен Түсіндірмедегі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жоспарына) сәйкес көрсетіледі.</w:t>
      </w:r>
    </w:p>
    <w:p w:rsidR="006B5E56" w:rsidRDefault="006B5E56" w:rsidP="006B5E56">
      <w:pPr>
        <w:pStyle w:val="pj"/>
      </w:pPr>
      <w:r>
        <w:t>7. Түсіндірмеде көрсетілген көрсеткіш ұсынылмайтын жағдайларды қоспағанда, барлық көрсеткіштер толтырылуы міндетті болып табылады.</w:t>
      </w:r>
    </w:p>
    <w:p w:rsidR="006B5E56" w:rsidRDefault="006B5E56" w:rsidP="006B5E56">
      <w:pPr>
        <w:pStyle w:val="pc"/>
      </w:pPr>
      <w:r>
        <w:t> </w:t>
      </w:r>
    </w:p>
    <w:p w:rsidR="006B5E56" w:rsidRDefault="006B5E56" w:rsidP="006B5E56">
      <w:pPr>
        <w:pStyle w:val="pc"/>
      </w:pPr>
      <w:r>
        <w:t> </w:t>
      </w:r>
    </w:p>
    <w:p w:rsidR="006B5E56" w:rsidRDefault="006B5E56" w:rsidP="006B5E56">
      <w:pPr>
        <w:pStyle w:val="pc"/>
      </w:pPr>
      <w:r>
        <w:rPr>
          <w:b/>
          <w:bCs/>
        </w:rPr>
        <w:t>2-тарау. Нысанды толтыру бойынша түсіндірме</w:t>
      </w:r>
    </w:p>
    <w:p w:rsidR="006B5E56" w:rsidRDefault="006B5E56" w:rsidP="006B5E56">
      <w:pPr>
        <w:pStyle w:val="pc"/>
      </w:pPr>
      <w:r>
        <w:t> </w:t>
      </w:r>
    </w:p>
    <w:p w:rsidR="006B5E56" w:rsidRDefault="006B5E56" w:rsidP="006B5E56">
      <w:pPr>
        <w:pStyle w:val="pj"/>
      </w:pPr>
      <w:r>
        <w:t>8. Нысанда банктің ең ірі депозиторлары (кредиторлары) - жеке және заңды тұлғалар туралы мәліметтер көрсетіледі, олардың алдындағы банк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p w:rsidR="006B5E56" w:rsidRDefault="006B5E56" w:rsidP="006B5E56">
      <w:pPr>
        <w:pStyle w:val="pj"/>
      </w:pPr>
      <w:r>
        <w:t>Егер заңды тұлғаны, оның ірі қатысушыларын және (немесе) еншілес ұйымдарын қамтитын байланысты тұлғалар тобы банктің депозиторлары (кредиторлары) болып табылса, онда банктің ірі депозиторы (кредиторы) мәртебесін айқындау мақсатында аталған тұлғалар алдындағы банк міндеттемелерінің жиынтық сомасы қаралады.</w:t>
      </w:r>
    </w:p>
    <w:p w:rsidR="006B5E56" w:rsidRDefault="006B5E56" w:rsidP="006B5E56">
      <w:pPr>
        <w:pStyle w:val="pj"/>
      </w:pPr>
      <w:r>
        <w:lastRenderedPageBreak/>
        <w:t>Егер бір заңды тұлғаның бірнеше филиалы банктің депозиторлары (кредиторлары) болып табылса, онда нысанда осы заңды тұлға бойынша жиынтығында міндеттемелер сомасы көрсетіледі.</w:t>
      </w:r>
    </w:p>
    <w:p w:rsidR="006B5E56" w:rsidRDefault="006B5E56" w:rsidP="006B5E56">
      <w:pPr>
        <w:pStyle w:val="pj"/>
      </w:pPr>
      <w:r>
        <w:t>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банк тартқан ақшаның баланстық құны көрсетіледі.</w:t>
      </w:r>
    </w:p>
    <w:p w:rsidR="006B5E56" w:rsidRDefault="006B5E56" w:rsidP="006B5E56">
      <w:pPr>
        <w:pStyle w:val="pj"/>
      </w:pPr>
      <w:r>
        <w:t>10. 2.2, 2.4, 2.5, 2.6, 3, 5.2 және 5.4-жолдарда мәндер Нысан ұсынылатын ақпараттық жүйеде орналастырылған анықтамалықтардан таңдалады.</w:t>
      </w:r>
    </w:p>
    <w:p w:rsidR="006B5E56" w:rsidRDefault="006B5E56" w:rsidP="006B5E56">
      <w:pPr>
        <w:pStyle w:val="pj"/>
      </w:pPr>
      <w:r>
        <w:t>11. Егер банктің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rsidR="006B5E56" w:rsidRDefault="006B5E56" w:rsidP="006B5E56">
      <w:pPr>
        <w:pStyle w:val="pj"/>
      </w:pPr>
      <w:r>
        <w:t>12.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банк әрбір күнтізбелік айдың басындағы жағдай бойынша жаңартады.</w:t>
      </w:r>
    </w:p>
    <w:p w:rsidR="006B5E56" w:rsidRDefault="006B5E56" w:rsidP="006B5E56">
      <w:pPr>
        <w:pStyle w:val="pj"/>
      </w:pPr>
      <w:r>
        <w:t>13. Банктің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p w:rsidR="006B5E56" w:rsidRDefault="006B5E56" w:rsidP="006B5E56">
      <w:pPr>
        <w:pStyle w:val="pj"/>
      </w:pPr>
      <w:r>
        <w:t>14. 2.1-жолда есеп беретін банк жүргізетін анықтамалыққа сәйкес контрагенттің (депозитордың, кредитордың) атауы көрсетіледі. Жеке тұлғалар бойынша 2.1-жолдағы көрсеткіш ұсынылмайды.</w:t>
      </w:r>
    </w:p>
    <w:p w:rsidR="006B5E56" w:rsidRDefault="006B5E56" w:rsidP="006B5E56">
      <w:pPr>
        <w:pStyle w:val="pj"/>
      </w:pPr>
      <w:r>
        <w:t>Банктің ірі депозиторларын (кредиторларын) сәйкестендіру үшін 2.2 және 2.3-жолдарда сәйкестендіргіштердің мынадай түрлері және олардың мәндері көрсетіледі:</w:t>
      </w:r>
    </w:p>
    <w:p w:rsidR="006B5E56" w:rsidRDefault="006B5E56" w:rsidP="006B5E56">
      <w:pPr>
        <w:pStyle w:val="pj"/>
      </w:pPr>
      <w:r>
        <w:t>Қазақстан Республикасының резиденттері бойынша: заңды тұлға үшін -бизнес-сәйкестендіру нөмірі; жеке тұлға, оның ішінде дара кәсіпкер үшін - жеке сәйкестендіру нөмірі;</w:t>
      </w:r>
    </w:p>
    <w:p w:rsidR="006B5E56" w:rsidRDefault="006B5E56" w:rsidP="006B5E56">
      <w:pPr>
        <w:pStyle w:val="pj"/>
      </w:pPr>
      <w:r>
        <w:t>Қазақстан Республикасының бейрезиденттері бойынша: заңды тұлға үшін - ISO (International Organization for Standartization) 9362: Bank Identifier Code халықаралық стандартына сәйкес банктің контрагентіне берілген банктік сәйкестендіру коды (бұдан әрі - банктік сәйкестендіру коды), жеке тұлға, оның ішінде дара кәсіпкер үшін және заңды тұлға үшін (банктік сәйкестендіру коды болмаған кезде) - Нысан ұсынылатын ақпараттық жүйе үшін белгіленген алгоритм бойынша есеп беретін банк қалыптастырған баламалы сәйкестендіру нөмірі.</w:t>
      </w:r>
    </w:p>
    <w:p w:rsidR="006B5E56" w:rsidRDefault="006B5E56" w:rsidP="006B5E56">
      <w:pPr>
        <w:pStyle w:val="pj"/>
      </w:pPr>
      <w:r>
        <w:t>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p w:rsidR="006B5E56" w:rsidRDefault="006B5E56" w:rsidP="006B5E56">
      <w:pPr>
        <w:pStyle w:val="pj"/>
      </w:pPr>
      <w:r>
        <w:t>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6B5E56" w:rsidRDefault="006B5E56" w:rsidP="006B5E56">
      <w:pPr>
        <w:pStyle w:val="pj"/>
      </w:pPr>
      <w:r>
        <w:t>17. 2.7-жолда контрагент тиесілі топтың (ол бар болса) жоғарғы деңгейдегі компанияның атауы көрсетіледі.</w:t>
      </w:r>
    </w:p>
    <w:p w:rsidR="006B5E56" w:rsidRDefault="006B5E56" w:rsidP="006B5E56">
      <w:pPr>
        <w:pStyle w:val="pj"/>
      </w:pPr>
      <w:r>
        <w:t>18. 4-жолда міндеттемелер бойынша ұлттық валютада «1» мәні көрсетіледі, өзге жағдайларда «0» көрсетіледі.</w:t>
      </w:r>
    </w:p>
    <w:p w:rsidR="006B5E56" w:rsidRDefault="006B5E56" w:rsidP="006B5E56">
      <w:pPr>
        <w:pStyle w:val="pj"/>
      </w:pPr>
      <w:r>
        <w:t>19. 5-жолда есептелген сыйақыны, оң (теріс) түзетулерді, дисконттар мен сыйақыларды ескере отырып, банк тартқан ақшаның баланстық құны көрсетіледі.</w:t>
      </w:r>
    </w:p>
    <w:p w:rsidR="006B5E56" w:rsidRDefault="006B5E56" w:rsidP="006B5E56">
      <w:pPr>
        <w:pStyle w:val="pj"/>
      </w:pPr>
      <w:r>
        <w:t>20. 5-жолдағы мән 5.1-жолдағы мәнді қамтиды.</w:t>
      </w:r>
    </w:p>
    <w:p w:rsidR="006B5E56" w:rsidRDefault="006B5E56" w:rsidP="006B5E56">
      <w:pPr>
        <w:pStyle w:val="pj"/>
      </w:pPr>
      <w:r>
        <w:lastRenderedPageBreak/>
        <w:t>21. Ислам банктері 5-жолды банктердің үлгі шот жоспарына сәйкес 7830 «Инвестициялық депозит туралы шарт бойынша міндеттемелер» баланстық шотындағы қалдықтарды ескере отырып толтырады.</w:t>
      </w:r>
    </w:p>
    <w:p w:rsidR="006B5E56" w:rsidRDefault="006B5E56" w:rsidP="006B5E56">
      <w:pPr>
        <w:pStyle w:val="pj"/>
      </w:pPr>
      <w:r>
        <w:t>22. 5.1-жолдағы көрсеткіш баланстық құнға енгізілген дисконт болмаған кезде ұсынылмайды.</w:t>
      </w:r>
    </w:p>
    <w:p w:rsidR="002875F1" w:rsidRDefault="002875F1"/>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56"/>
    <w:rsid w:val="002875F1"/>
    <w:rsid w:val="006B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77000-DDE0-4424-B3FD-5DB81E29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6B5E56"/>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6B5E56"/>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6B5E56"/>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2022-02-14T09:40:00Z</dcterms:created>
  <dcterms:modified xsi:type="dcterms:W3CDTF">2022-02-14T09:40:00Z</dcterms:modified>
</cp:coreProperties>
</file>