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F3" w:rsidRDefault="00047EF3" w:rsidP="00047EF3">
      <w:pPr>
        <w:pStyle w:val="pr"/>
      </w:pPr>
      <w:r>
        <w:t>Резидент-к</w:t>
      </w:r>
      <w:bookmarkStart w:id="0" w:name="_GoBack"/>
      <w:bookmarkEnd w:id="0"/>
      <w:r>
        <w:t>лиенттердің</w:t>
      </w:r>
    </w:p>
    <w:p w:rsidR="00047EF3" w:rsidRDefault="00047EF3" w:rsidP="00047EF3">
      <w:pPr>
        <w:pStyle w:val="pr"/>
      </w:pPr>
      <w:r>
        <w:t>шоттары мен салымдары</w:t>
      </w:r>
    </w:p>
    <w:p w:rsidR="00047EF3" w:rsidRDefault="00047EF3" w:rsidP="00047EF3">
      <w:pPr>
        <w:pStyle w:val="pr"/>
      </w:pPr>
      <w:r>
        <w:t>бойынша есеп</w:t>
      </w:r>
    </w:p>
    <w:p w:rsidR="00047EF3" w:rsidRDefault="00047EF3" w:rsidP="00047EF3">
      <w:pPr>
        <w:pStyle w:val="pr"/>
      </w:pPr>
      <w:r>
        <w:t>нысанына қосымша</w:t>
      </w:r>
    </w:p>
    <w:p w:rsidR="00047EF3" w:rsidRDefault="00047EF3" w:rsidP="00047EF3">
      <w:pPr>
        <w:pStyle w:val="pc"/>
      </w:pPr>
      <w:r>
        <w:t> </w:t>
      </w:r>
    </w:p>
    <w:p w:rsidR="00047EF3" w:rsidRDefault="00047EF3" w:rsidP="00047EF3">
      <w:pPr>
        <w:pStyle w:val="pc"/>
      </w:pPr>
      <w:r>
        <w:t> </w:t>
      </w:r>
    </w:p>
    <w:p w:rsidR="00047EF3" w:rsidRDefault="00047EF3" w:rsidP="00047EF3">
      <w:pPr>
        <w:pStyle w:val="pc"/>
      </w:pPr>
      <w:r>
        <w:rPr>
          <w:b/>
          <w:bCs/>
        </w:rPr>
        <w:t xml:space="preserve">Резидент-клиенттердің шоттары мен салымдары бойынша есеп әкімшілік деректер нысанын толтыру бойынша түсіндірме </w:t>
      </w:r>
    </w:p>
    <w:p w:rsidR="00047EF3" w:rsidRDefault="00047EF3" w:rsidP="00047EF3">
      <w:pPr>
        <w:pStyle w:val="pc"/>
      </w:pPr>
      <w:r w:rsidRPr="00E04B9A">
        <w:rPr>
          <w:b/>
          <w:bCs/>
        </w:rPr>
        <w:t>(</w:t>
      </w:r>
      <w:r>
        <w:rPr>
          <w:b/>
          <w:bCs/>
        </w:rPr>
        <w:t>индексі</w:t>
      </w:r>
      <w:r w:rsidRPr="00E04B9A">
        <w:rPr>
          <w:b/>
          <w:bCs/>
        </w:rPr>
        <w:t xml:space="preserve"> - </w:t>
      </w:r>
      <w:r>
        <w:rPr>
          <w:b/>
          <w:bCs/>
          <w:lang w:val="en-US"/>
        </w:rPr>
        <w:t>RESDEP</w:t>
      </w:r>
      <w:r w:rsidRPr="00E04B9A">
        <w:rPr>
          <w:b/>
          <w:bCs/>
        </w:rPr>
        <w:t xml:space="preserve">, </w:t>
      </w:r>
      <w:r>
        <w:rPr>
          <w:b/>
          <w:bCs/>
        </w:rPr>
        <w:t>кезеңділігі</w:t>
      </w:r>
      <w:r w:rsidRPr="00E04B9A">
        <w:rPr>
          <w:b/>
          <w:bCs/>
        </w:rPr>
        <w:t xml:space="preserve"> - </w:t>
      </w:r>
      <w:r>
        <w:rPr>
          <w:b/>
          <w:bCs/>
        </w:rPr>
        <w:t>ай сайын</w:t>
      </w:r>
      <w:r w:rsidRPr="00E04B9A">
        <w:rPr>
          <w:b/>
          <w:bCs/>
        </w:rPr>
        <w:t>)</w:t>
      </w:r>
    </w:p>
    <w:p w:rsidR="00047EF3" w:rsidRDefault="00047EF3" w:rsidP="00047EF3">
      <w:pPr>
        <w:pStyle w:val="pc"/>
      </w:pPr>
      <w:r>
        <w:t> </w:t>
      </w:r>
    </w:p>
    <w:p w:rsidR="00047EF3" w:rsidRDefault="00047EF3" w:rsidP="00047EF3">
      <w:pPr>
        <w:pStyle w:val="pc"/>
      </w:pPr>
      <w:r>
        <w:t> </w:t>
      </w:r>
    </w:p>
    <w:p w:rsidR="00047EF3" w:rsidRDefault="00047EF3" w:rsidP="00047EF3">
      <w:pPr>
        <w:pStyle w:val="pc"/>
      </w:pPr>
      <w:r>
        <w:rPr>
          <w:b/>
          <w:bCs/>
        </w:rPr>
        <w:t>1-тарау. Жалпы ережелер</w:t>
      </w:r>
    </w:p>
    <w:p w:rsidR="00047EF3" w:rsidRDefault="00047EF3" w:rsidP="00047EF3">
      <w:pPr>
        <w:pStyle w:val="pc"/>
      </w:pPr>
      <w:r>
        <w:t> </w:t>
      </w:r>
    </w:p>
    <w:p w:rsidR="00047EF3" w:rsidRDefault="00047EF3" w:rsidP="00047EF3">
      <w:pPr>
        <w:pStyle w:val="pj"/>
      </w:pPr>
      <w:r>
        <w:t>1. Осы түсіндірме (бұдан әрі - Түсіндірме) «Резидент-клиенттердің шоттары мен салымдары бойынша есеп» әкімшілік деректерді жинауға арналған нысанды (бұдан әрі - Нысан) толтыру бойынша бірыңғай талаптарды айқындайды.</w:t>
      </w:r>
    </w:p>
    <w:p w:rsidR="00047EF3" w:rsidRDefault="00047EF3" w:rsidP="00047EF3">
      <w:pPr>
        <w:pStyle w:val="pj"/>
      </w:pPr>
      <w:r>
        <w:t>2. Нысан «Қазақстан Республикасының Ұлттық Банкі туралы» 1995 жылғы 30 наурыздағы Қазақстан Республикасы Заңының 15-бабы екінші бөлігінің 65-2) тармақшасына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047EF3" w:rsidRDefault="00047EF3" w:rsidP="00047EF3">
      <w:pPr>
        <w:pStyle w:val="pj"/>
      </w:pPr>
      <w:r>
        <w:t>3. Нысанды екінші деңгейдегі банктер есепті айдың соңындағы жағдай бойынша ай сайын жасайды.</w:t>
      </w:r>
    </w:p>
    <w:p w:rsidR="00047EF3" w:rsidRDefault="00047EF3" w:rsidP="00047EF3">
      <w:pPr>
        <w:pStyle w:val="pj"/>
      </w:pPr>
      <w:r>
        <w:t>Нысанның құндық көрсеткіштері үшін өлшем бірлігі теңге болып табылады. Құндық көрсеткіштер үтірден кейін екі таңбалы сандармен көрсетіледі.</w:t>
      </w:r>
    </w:p>
    <w:p w:rsidR="00047EF3" w:rsidRDefault="00047EF3" w:rsidP="00047EF3">
      <w:pPr>
        <w:pStyle w:val="pj"/>
      </w:pPr>
      <w:r>
        <w:t>4. Нысанға басшы немесе есепке қол қою функциясы жүктелген адам және орындаушы қол қояды.</w:t>
      </w:r>
    </w:p>
    <w:p w:rsidR="00047EF3" w:rsidRDefault="00047EF3" w:rsidP="00047EF3">
      <w:pPr>
        <w:pStyle w:val="pj"/>
      </w:pPr>
      <w:r>
        <w:t>5. Нысанды толтыру кезінде кодтар нысан берілетін ақпараттық жүйеде пайдаланылатын анықтамалықтарға сәйкес көрсетіледі, күні «КК.ММ. ЖЖЖЖ», мұнда «ЖЖЖЖ» - жыл, «ММ» - ай, «КК» - күн.</w:t>
      </w:r>
    </w:p>
    <w:p w:rsidR="00047EF3" w:rsidRDefault="00047EF3" w:rsidP="00047EF3">
      <w:pPr>
        <w:pStyle w:val="pj"/>
      </w:pPr>
      <w:r>
        <w:t>6. Түсіндірмеде көрсетілген көрсеткіш ұсынылмайтын жағдайларды қоспағанда, барлық көрсеткіштер толтырылуы міндетті болып табылады.</w:t>
      </w:r>
    </w:p>
    <w:p w:rsidR="00047EF3" w:rsidRDefault="00047EF3" w:rsidP="00047EF3">
      <w:pPr>
        <w:pStyle w:val="pc"/>
      </w:pPr>
      <w:r>
        <w:t> </w:t>
      </w:r>
    </w:p>
    <w:p w:rsidR="00047EF3" w:rsidRDefault="00047EF3" w:rsidP="00047EF3">
      <w:pPr>
        <w:pStyle w:val="pc"/>
      </w:pPr>
      <w:r>
        <w:t> </w:t>
      </w:r>
    </w:p>
    <w:p w:rsidR="00047EF3" w:rsidRDefault="00047EF3" w:rsidP="00047EF3">
      <w:pPr>
        <w:pStyle w:val="pc"/>
      </w:pPr>
      <w:r>
        <w:rPr>
          <w:b/>
          <w:bCs/>
        </w:rPr>
        <w:t>2-тарау. Нысанды толтыру бойынша түсіндірме</w:t>
      </w:r>
    </w:p>
    <w:p w:rsidR="00047EF3" w:rsidRDefault="00047EF3" w:rsidP="00047EF3">
      <w:pPr>
        <w:pStyle w:val="pc"/>
      </w:pPr>
      <w:r>
        <w:t> </w:t>
      </w:r>
    </w:p>
    <w:p w:rsidR="00047EF3" w:rsidRDefault="00047EF3" w:rsidP="00047EF3">
      <w:pPr>
        <w:pStyle w:val="pj"/>
      </w:pPr>
      <w:r>
        <w:t>7. 2.1, 2.2, 3.1, 3.2 және 3.3-жолдарда мәндер Нысан ұсынылатын ақпараттық жүйеде орналастырылған анықтамалықтардан таңдап алынады.</w:t>
      </w:r>
    </w:p>
    <w:p w:rsidR="00047EF3" w:rsidRDefault="00047EF3" w:rsidP="00047EF3">
      <w:pPr>
        <w:pStyle w:val="pj"/>
      </w:pPr>
      <w:r>
        <w:t>8. Нысанды толтыру кезінде екінші деңгейдегі банктер резидент-клиенттердің шоттары мен салымдары туралы мәліметтерді ашады.</w:t>
      </w:r>
    </w:p>
    <w:p w:rsidR="00047EF3" w:rsidRDefault="00047EF3" w:rsidP="00047EF3">
      <w:pPr>
        <w:pStyle w:val="pj"/>
      </w:pPr>
      <w:r>
        <w:t>9. Ақпарат Қазақстан Республикасының резидент-клиенттерінің «6», «7», «8» немесе «9» экономика секторларына тиесілі шоттары мен салымдары бойынша, мерзімі (мерзімінің болмауы) бойынша, банктің тиісті филиалдарына сәйкес (банк филиалдарының орналасуына қатысты) облыстар бойынша бөліне отырып, теңгемен және шетел валютасымен көрсетіледі.</w:t>
      </w:r>
    </w:p>
    <w:p w:rsidR="00047EF3" w:rsidRDefault="00047EF3" w:rsidP="00047EF3">
      <w:pPr>
        <w:pStyle w:val="pj"/>
      </w:pPr>
      <w:r>
        <w:t>Экономика секторының коды мынадай кодификацияға сәйкес көрсетіледі:</w:t>
      </w:r>
    </w:p>
    <w:p w:rsidR="00047EF3" w:rsidRDefault="00047EF3" w:rsidP="00047EF3">
      <w:pPr>
        <w:pStyle w:val="pj"/>
      </w:pPr>
      <w:r>
        <w:t>«6» коды - мемлекеттік қаржылық емес ұйымдар;</w:t>
      </w:r>
    </w:p>
    <w:p w:rsidR="00047EF3" w:rsidRDefault="00047EF3" w:rsidP="00047EF3">
      <w:pPr>
        <w:pStyle w:val="pj"/>
      </w:pPr>
      <w:r>
        <w:t>«7» коды - мемлекеттік емес қаржылық емес ұйымдар;</w:t>
      </w:r>
    </w:p>
    <w:p w:rsidR="00047EF3" w:rsidRDefault="00047EF3" w:rsidP="00047EF3">
      <w:pPr>
        <w:pStyle w:val="pj"/>
      </w:pPr>
      <w:r>
        <w:t>«8» коды - үй шаруашылықтарына қызмет көрсететін коммерциялық емес ұйымдар;</w:t>
      </w:r>
    </w:p>
    <w:p w:rsidR="00047EF3" w:rsidRDefault="00047EF3" w:rsidP="00047EF3">
      <w:pPr>
        <w:pStyle w:val="pj"/>
      </w:pPr>
      <w:r>
        <w:t>«9» коды - үй шаруашылықтары.</w:t>
      </w:r>
    </w:p>
    <w:p w:rsidR="00047EF3" w:rsidRDefault="00047EF3" w:rsidP="00047EF3">
      <w:pPr>
        <w:pStyle w:val="pj"/>
      </w:pPr>
      <w:r>
        <w:lastRenderedPageBreak/>
        <w:t>10. 2.1-жолда, егер контрагент (салымшы) заңды тұлға болып табылса, «1» коды, егер контрагент (салымшы) жеке тұлға (дара кәсіпкерлерді қоса алғанда) болып табылса, «2» коды көрсетіледі.</w:t>
      </w:r>
    </w:p>
    <w:p w:rsidR="00047EF3" w:rsidRDefault="00047EF3" w:rsidP="00047EF3">
      <w:pPr>
        <w:pStyle w:val="pj"/>
      </w:pPr>
      <w:r>
        <w:t>11. 2.2-жолда шотқа қызмет көрсететін екінші деңгейдегі банк филиалының өңірі көрсетіледі.</w:t>
      </w:r>
    </w:p>
    <w:p w:rsidR="00047EF3" w:rsidRDefault="00047EF3" w:rsidP="00047EF3">
      <w:pPr>
        <w:pStyle w:val="pj"/>
      </w:pPr>
      <w:r>
        <w:t>12. Шоттың 3.3-жолында салымдар клиенттермен жасалған банктік салым шарттары негізінде мерзімі бойынша бөлінеді.</w:t>
      </w:r>
    </w:p>
    <w:p w:rsidR="00047EF3" w:rsidRDefault="00047EF3" w:rsidP="00047EF3">
      <w:pPr>
        <w:pStyle w:val="pj"/>
      </w:pPr>
      <w:r>
        <w:t>13. 3.4-жолда есепті айда резидент-клиенттердің шоттарына, салымдарына нақты тартылған ақша сомасы бойынша шарттар бойынша орташа алынған сыйақы мөлшерлемелері көрсетіледі.</w:t>
      </w:r>
    </w:p>
    <w:p w:rsidR="00047EF3" w:rsidRDefault="00047EF3" w:rsidP="00047EF3">
      <w:pPr>
        <w:pStyle w:val="pj"/>
      </w:pPr>
      <w:r>
        <w:t>14. Егер есепті ай ішінде шетел валютасындағы шоттар, салымдар бойынша ұзарту, толықтыру, ішінара алу операциялары жүргізілген болса, 3.5 және 3.6-жолдардағы түскен, шыққан сомалар нормативтік құқықтық актілерді мемлекеттік тіркеу тізілімінде № 8378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шетел валютасымен операциялар жүргізу күніне қайта есептеледі.</w:t>
      </w:r>
    </w:p>
    <w:p w:rsidR="00047EF3" w:rsidRDefault="00047EF3" w:rsidP="00047EF3">
      <w:pPr>
        <w:pStyle w:val="pj"/>
      </w:pPr>
      <w:r>
        <w:t>15. 3.7-жолда шетел валютасындағы шоттар, салымдар бойынша сомалар есепті күнге № 15 қаулының және № 99 бұйрықтың 1-тармағында көзделген тәртіппен айқындалған валюталарды айырбастаудың нарықтық бағамы бойынша қайта есептеледі.</w:t>
      </w:r>
    </w:p>
    <w:p w:rsidR="00047EF3" w:rsidRDefault="00047EF3" w:rsidP="00047EF3">
      <w:pPr>
        <w:pStyle w:val="pj"/>
      </w:pPr>
      <w:r>
        <w:t>3.7-жолда есептелген сыйақыны есепке алмағанда, есепті кезеңнің соңындағы шоттар, салымдар бойынша банк міндеттемелерінің сомасы көрсетіледі.</w:t>
      </w:r>
    </w:p>
    <w:p w:rsidR="002875F1" w:rsidRDefault="002875F1"/>
    <w:sectPr w:rsidR="0028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F3"/>
    <w:rsid w:val="00047EF3"/>
    <w:rsid w:val="0028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148CD-42F3-41E0-ABE3-EAB73401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047EF3"/>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047EF3"/>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047EF3"/>
    <w:pPr>
      <w:spacing w:after="0"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2022-02-14T09:39:00Z</dcterms:created>
  <dcterms:modified xsi:type="dcterms:W3CDTF">2022-02-14T09:40:00Z</dcterms:modified>
</cp:coreProperties>
</file>