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F8" w:rsidRDefault="009951F8" w:rsidP="009951F8">
      <w:pPr>
        <w:pStyle w:val="pr"/>
      </w:pPr>
      <w:r>
        <w:rPr>
          <w:rStyle w:val="s0"/>
        </w:rPr>
        <w:t>Приложение 34</w:t>
      </w:r>
    </w:p>
    <w:p w:rsidR="009951F8" w:rsidRDefault="009951F8" w:rsidP="009951F8">
      <w:pPr>
        <w:pStyle w:val="pr"/>
      </w:pPr>
      <w:r>
        <w:rPr>
          <w:rStyle w:val="s0"/>
        </w:rPr>
        <w:t xml:space="preserve">к </w:t>
      </w:r>
      <w:hyperlink r:id="rId4" w:history="1">
        <w:r>
          <w:rPr>
            <w:rStyle w:val="a3"/>
            <w:color w:val="000080"/>
          </w:rPr>
          <w:t>приказу</w:t>
        </w:r>
      </w:hyperlink>
      <w:r>
        <w:rPr>
          <w:rStyle w:val="s0"/>
        </w:rPr>
        <w:t xml:space="preserve"> руководителя</w:t>
      </w:r>
    </w:p>
    <w:p w:rsidR="009951F8" w:rsidRDefault="009951F8" w:rsidP="009951F8">
      <w:pPr>
        <w:pStyle w:val="pr"/>
      </w:pPr>
      <w:r>
        <w:rPr>
          <w:rStyle w:val="s0"/>
        </w:rPr>
        <w:t>Бюро национальной статистики</w:t>
      </w:r>
    </w:p>
    <w:p w:rsidR="009951F8" w:rsidRDefault="009951F8" w:rsidP="009951F8">
      <w:pPr>
        <w:pStyle w:val="pr"/>
      </w:pPr>
      <w:r>
        <w:rPr>
          <w:rStyle w:val="s0"/>
        </w:rPr>
        <w:t>Агентства по стратегическому</w:t>
      </w:r>
    </w:p>
    <w:p w:rsidR="009951F8" w:rsidRDefault="009951F8" w:rsidP="009951F8">
      <w:pPr>
        <w:pStyle w:val="pr"/>
      </w:pPr>
      <w:r>
        <w:rPr>
          <w:rStyle w:val="s0"/>
        </w:rPr>
        <w:t>планированию и реформам</w:t>
      </w:r>
    </w:p>
    <w:p w:rsidR="009951F8" w:rsidRDefault="009951F8" w:rsidP="009951F8">
      <w:pPr>
        <w:pStyle w:val="pr"/>
      </w:pPr>
      <w:r>
        <w:rPr>
          <w:rStyle w:val="s0"/>
        </w:rPr>
        <w:t>Республики Казахстан</w:t>
      </w:r>
    </w:p>
    <w:p w:rsidR="009951F8" w:rsidRDefault="009951F8" w:rsidP="009951F8">
      <w:pPr>
        <w:pStyle w:val="pr"/>
      </w:pPr>
      <w:r>
        <w:rPr>
          <w:rStyle w:val="s0"/>
        </w:rPr>
        <w:t>от 24 ноября 2021 года № 36</w:t>
      </w:r>
    </w:p>
    <w:p w:rsidR="009951F8" w:rsidRDefault="009951F8" w:rsidP="009951F8">
      <w:pPr>
        <w:pStyle w:val="pc"/>
      </w:pPr>
      <w:r>
        <w:t> </w:t>
      </w:r>
    </w:p>
    <w:p w:rsidR="009951F8" w:rsidRDefault="009951F8" w:rsidP="009951F8">
      <w:pPr>
        <w:pStyle w:val="pc"/>
      </w:pPr>
      <w:r>
        <w:t> </w:t>
      </w:r>
    </w:p>
    <w:p w:rsidR="009951F8" w:rsidRDefault="009951F8" w:rsidP="009951F8">
      <w:pPr>
        <w:pStyle w:val="pc"/>
      </w:pPr>
      <w:r>
        <w:rPr>
          <w:rStyle w:val="s1"/>
        </w:rPr>
        <w:t>Инструкция по заполнению статистической формы ведомственного статистического наблюдения</w:t>
      </w:r>
      <w:r>
        <w:rPr>
          <w:rStyle w:val="s1"/>
        </w:rPr>
        <w:br/>
        <w:t>«Отчет о требованиях и обязательствах по секторам экономики» (индекс СО, периодичность квартальная)</w:t>
      </w:r>
    </w:p>
    <w:p w:rsidR="009951F8" w:rsidRDefault="009951F8" w:rsidP="009951F8">
      <w:pPr>
        <w:pStyle w:val="pc"/>
      </w:pPr>
      <w:r>
        <w:t> </w:t>
      </w:r>
    </w:p>
    <w:p w:rsidR="009951F8" w:rsidRDefault="009951F8" w:rsidP="009951F8">
      <w:pPr>
        <w:pStyle w:val="pj"/>
      </w:pPr>
      <w:r>
        <w:rPr>
          <w:rStyle w:val="s0"/>
        </w:rPr>
        <w:t xml:space="preserve">1. Настоящая Инструкция по заполнению статистической формы ведомственного статистического наблюдения «Отчет о требованиях и обязательствах по секторам экономики» (индекс СО, периодичность квартальная) разработана Национальным Банком Республики Казахстан в соответствии с </w:t>
      </w:r>
      <w:bookmarkStart w:id="0" w:name="sub1005138435"/>
      <w:r>
        <w:rPr>
          <w:rStyle w:val="s2"/>
          <w:color w:val="000080"/>
        </w:rPr>
        <w:fldChar w:fldCharType="begin"/>
      </w:r>
      <w:r>
        <w:rPr>
          <w:rStyle w:val="s2"/>
          <w:color w:val="000080"/>
        </w:rPr>
        <w:instrText xml:space="preserve"> HYPERLINK "jl:1003548.80016 " </w:instrText>
      </w:r>
      <w:r>
        <w:rPr>
          <w:rStyle w:val="s2"/>
          <w:color w:val="000080"/>
        </w:rPr>
        <w:fldChar w:fldCharType="separate"/>
      </w:r>
      <w:r>
        <w:rPr>
          <w:rStyle w:val="a3"/>
          <w:color w:val="000080"/>
        </w:rPr>
        <w:t>подпунктом 16) статьи 8</w:t>
      </w:r>
      <w:r>
        <w:rPr>
          <w:rStyle w:val="s2"/>
          <w:color w:val="000080"/>
        </w:rPr>
        <w:fldChar w:fldCharType="end"/>
      </w:r>
      <w:bookmarkEnd w:id="0"/>
      <w:r>
        <w:rPr>
          <w:rStyle w:val="s0"/>
        </w:rPr>
        <w:t xml:space="preserve"> Закона Республики Казахстан «О Национальном Банке Республики Казахстан» и детализирует заполнение статистической формы ведомственного статистического наблюдения «Отчет о требованиях и обязательствах по секторам экономики» (индекс СО, периодичность квартальная) (далее – Статистическая форма).</w:t>
      </w:r>
    </w:p>
    <w:p w:rsidR="009951F8" w:rsidRDefault="009951F8" w:rsidP="009951F8">
      <w:pPr>
        <w:pStyle w:val="pj"/>
      </w:pPr>
      <w:r>
        <w:rPr>
          <w:rStyle w:val="s0"/>
        </w:rPr>
        <w:t>2. При заполнении Статистической формы для целей классификации институциональных единиц по секторам экономики применяется следующая структура секторов и подсекторов экономики:</w:t>
      </w:r>
    </w:p>
    <w:p w:rsidR="009951F8" w:rsidRDefault="009951F8" w:rsidP="009951F8">
      <w:pPr>
        <w:pStyle w:val="pj"/>
      </w:pPr>
      <w:r>
        <w:rPr>
          <w:rStyle w:val="s0"/>
        </w:rPr>
        <w:t>1) другие депозитные организации - институциональные единицы, основным видом деятельности которых является финансовое посредничество и обязательства которых имеют форму депозитов или их аналогов (близких заменителей депозитов, которые включаются в национальное определение широких денег);</w:t>
      </w:r>
    </w:p>
    <w:p w:rsidR="009951F8" w:rsidRDefault="009951F8" w:rsidP="009951F8">
      <w:pPr>
        <w:pStyle w:val="pj"/>
      </w:pPr>
      <w:r>
        <w:rPr>
          <w:rStyle w:val="s0"/>
        </w:rPr>
        <w:t>2) другие финансовые организации – все остальные институциональные единицы данного сектора, которые осуществляют посредническую либо вспомогательную финансовую деятельность, либо совмещают эти функции;</w:t>
      </w:r>
    </w:p>
    <w:p w:rsidR="009951F8" w:rsidRDefault="009951F8" w:rsidP="009951F8">
      <w:pPr>
        <w:pStyle w:val="pj"/>
      </w:pPr>
      <w:r>
        <w:rPr>
          <w:rStyle w:val="s0"/>
        </w:rPr>
        <w:t>3) Правительство Республики Казахстан - министерства, ведомства и агентства, финансируемые из средств республиканского бюджета, научно-исследовательские институты, институциональные единицы - агенты Правительства Республики Казахстан, фонды, контролируемые органами государственного управления и финансируемые из средств республиканского бюджета, а также другие организации, находящиеся под контролем государства, выполняющие функции, свойственные государственным органам и не занимающиеся рыночным производством;</w:t>
      </w:r>
    </w:p>
    <w:p w:rsidR="009951F8" w:rsidRDefault="009951F8" w:rsidP="009951F8">
      <w:pPr>
        <w:pStyle w:val="pj"/>
      </w:pPr>
      <w:r>
        <w:rPr>
          <w:rStyle w:val="s0"/>
        </w:rPr>
        <w:t>4) негосударственные нефинансовые организации – институциональные единицы, занимающиеся преимущественно рыночным производством и неконтролируемые органами государственного управления;</w:t>
      </w:r>
    </w:p>
    <w:p w:rsidR="009951F8" w:rsidRDefault="009951F8" w:rsidP="009951F8">
      <w:pPr>
        <w:pStyle w:val="pj"/>
      </w:pPr>
      <w:r>
        <w:rPr>
          <w:rStyle w:val="s0"/>
        </w:rPr>
        <w:t>5) государственные нефинансовые организации – институциональные единицы, занимающиеся преимущественно рыночным производством и контролируемые органами государственного управления;</w:t>
      </w:r>
    </w:p>
    <w:p w:rsidR="009951F8" w:rsidRDefault="009951F8" w:rsidP="009951F8">
      <w:pPr>
        <w:pStyle w:val="pj"/>
      </w:pPr>
      <w:r>
        <w:rPr>
          <w:rStyle w:val="s0"/>
        </w:rPr>
        <w:t>6) центральный (национальный) банк - институциональная единица, которая осуществляет контроль над ключевыми аспектами финансовой системы;</w:t>
      </w:r>
    </w:p>
    <w:p w:rsidR="009951F8" w:rsidRDefault="009951F8" w:rsidP="009951F8">
      <w:pPr>
        <w:pStyle w:val="pj"/>
      </w:pPr>
      <w:r>
        <w:rPr>
          <w:rStyle w:val="s0"/>
        </w:rPr>
        <w:t>7) региональные и местные органы управления - институциональные единицы, осуществляющие функции управления на уровне области, города и района, и организации, финансируемые из средств местных бюджетов;</w:t>
      </w:r>
    </w:p>
    <w:p w:rsidR="009951F8" w:rsidRDefault="009951F8" w:rsidP="009951F8">
      <w:pPr>
        <w:pStyle w:val="pj"/>
      </w:pPr>
      <w:r>
        <w:rPr>
          <w:rStyle w:val="s0"/>
        </w:rPr>
        <w:t xml:space="preserve">8) домашние хозяйства - институциональные единицы, состоящие из физических лиц, а также из небольших групп физических лиц (семьи), проживающих совместно, </w:t>
      </w:r>
      <w:r>
        <w:rPr>
          <w:rStyle w:val="s0"/>
        </w:rPr>
        <w:lastRenderedPageBreak/>
        <w:t>объединяющих (полностью или частично) свои доходы и имущество, и совместно потребляющих определенные виды товаров и услуг (жилье, продукты питания и другое);</w:t>
      </w:r>
    </w:p>
    <w:p w:rsidR="009951F8" w:rsidRDefault="009951F8" w:rsidP="009951F8">
      <w:pPr>
        <w:pStyle w:val="pj"/>
      </w:pPr>
      <w:r>
        <w:rPr>
          <w:rStyle w:val="s0"/>
        </w:rPr>
        <w:t>9) некоммерческие организации, обслуживающие домашние хозяйства - институциональные единицы, которые предоставляют товары и (или) услуги своим членам или другим домашним хозяйствам безвозмездно, финансируются за счет регулярных членских взносов, и товары и (или) услуги предоставляются ими по ценам, не являющимся экономически значимыми.</w:t>
      </w:r>
    </w:p>
    <w:p w:rsidR="009951F8" w:rsidRDefault="009951F8" w:rsidP="009951F8">
      <w:pPr>
        <w:pStyle w:val="pj"/>
      </w:pPr>
      <w:r>
        <w:rPr>
          <w:rStyle w:val="s0"/>
        </w:rPr>
        <w:t xml:space="preserve">Определения «резидент» и «нерезидент» применяются в соответствии с </w:t>
      </w:r>
      <w:hyperlink r:id="rId5" w:history="1">
        <w:r>
          <w:rPr>
            <w:rStyle w:val="a3"/>
            <w:color w:val="000080"/>
          </w:rPr>
          <w:t>Законом</w:t>
        </w:r>
      </w:hyperlink>
      <w:r>
        <w:rPr>
          <w:rStyle w:val="s0"/>
        </w:rPr>
        <w:t xml:space="preserve"> Республики Казахстан «О валютном регулировании и валютном контроле».</w:t>
      </w:r>
    </w:p>
    <w:p w:rsidR="009951F8" w:rsidRDefault="009951F8" w:rsidP="009951F8">
      <w:pPr>
        <w:pStyle w:val="pj"/>
      </w:pPr>
      <w:r>
        <w:rPr>
          <w:rStyle w:val="s0"/>
        </w:rPr>
        <w:t>3. Статистическая форма заполняется ежеквартально страховыми (перестраховочными) организациями, исламскими страховыми (перестраховочными) организациями (далее – страховые организации), осуществляющими деятельность на территории Республики Казахстан.</w:t>
      </w:r>
    </w:p>
    <w:p w:rsidR="009951F8" w:rsidRDefault="009951F8" w:rsidP="009951F8">
      <w:pPr>
        <w:pStyle w:val="pj"/>
      </w:pPr>
      <w:r>
        <w:rPr>
          <w:rStyle w:val="s0"/>
        </w:rPr>
        <w:t>Сумма при заполнении Статистической формы указывается в тысячах тенге. Сумма менее пятисот тенге в Статистической форме округляется до нуля, а сумма, равная пятистам тенге и выше, округляется до одной тысячи тенге.</w:t>
      </w:r>
    </w:p>
    <w:p w:rsidR="009951F8" w:rsidRDefault="009951F8" w:rsidP="009951F8">
      <w:pPr>
        <w:pStyle w:val="pj"/>
      </w:pPr>
      <w:r>
        <w:rPr>
          <w:rStyle w:val="s0"/>
        </w:rPr>
        <w:t>4. Страховые организации представляют Статистическую форму в электронном виде с соблюдением процедур подтверждения электронной цифровой подписи в Национальный Банк Республики Казахстан (далее – уполномоченный орган) - ежеквартально, в срок до двадцать пятого числа (включительно) месяца после отчетного периода. Если срок представления Статистической формы приходится на нерабочий день, датой представления Статистической формы считается следующий за ним рабочий день.</w:t>
      </w:r>
    </w:p>
    <w:p w:rsidR="009951F8" w:rsidRDefault="009951F8" w:rsidP="009951F8">
      <w:pPr>
        <w:pStyle w:val="pj"/>
      </w:pPr>
      <w:r>
        <w:rPr>
          <w:rStyle w:val="s0"/>
        </w:rPr>
        <w:t>5. При необходимости внесения изменений и (или) дополнений в первичные статистические данные по Статистической форме, страховые организации в течение трех рабочих дней после истечения срока, установленного пунктом 4 настоящей Инструкции представляют в уполномоченный орган исправленные первичные статистические данные по Статистической форме и письменное ходатайство с указанием причин необходимости внесения в них изменений и (или) дополнений.</w:t>
      </w:r>
    </w:p>
    <w:p w:rsidR="009951F8" w:rsidRDefault="009951F8" w:rsidP="009951F8">
      <w:pPr>
        <w:pStyle w:val="pj"/>
      </w:pPr>
      <w:r>
        <w:rPr>
          <w:rStyle w:val="s0"/>
        </w:rPr>
        <w:t>6. Заполнение символов и шифров Статистической формы осуществляется следующим образом:</w:t>
      </w:r>
    </w:p>
    <w:p w:rsidR="009951F8" w:rsidRDefault="009951F8" w:rsidP="009951F8">
      <w:pPr>
        <w:pStyle w:val="pj"/>
      </w:pPr>
      <w:r>
        <w:rPr>
          <w:rStyle w:val="s0"/>
        </w:rPr>
        <w:t>1) наименования основных статей и их номера соответствуют наименованиям и номерам основных статей бухгалтерского баланса страховых организаций;</w:t>
      </w:r>
    </w:p>
    <w:p w:rsidR="009951F8" w:rsidRDefault="009951F8" w:rsidP="009951F8">
      <w:pPr>
        <w:pStyle w:val="pj"/>
      </w:pPr>
      <w:r>
        <w:rPr>
          <w:rStyle w:val="s0"/>
        </w:rPr>
        <w:t>2) раздел 1 отражает статьи активов бухгалтерского баланса страховых организаций;</w:t>
      </w:r>
    </w:p>
    <w:p w:rsidR="009951F8" w:rsidRDefault="009951F8" w:rsidP="009951F8">
      <w:pPr>
        <w:pStyle w:val="pj"/>
      </w:pPr>
      <w:r>
        <w:rPr>
          <w:rStyle w:val="s0"/>
        </w:rPr>
        <w:t>3) раздел 2 отражает статьи обязательств бухгалтерского баланса страховых организаций;</w:t>
      </w:r>
    </w:p>
    <w:p w:rsidR="009951F8" w:rsidRDefault="009951F8" w:rsidP="009951F8">
      <w:pPr>
        <w:pStyle w:val="pj"/>
      </w:pPr>
      <w:r>
        <w:rPr>
          <w:rStyle w:val="s0"/>
        </w:rPr>
        <w:t>4) раздел 3 отражает статьи капитала бухгалтерского баланса страховых организаций.</w:t>
      </w:r>
    </w:p>
    <w:p w:rsidR="009951F8" w:rsidRDefault="009951F8" w:rsidP="009951F8">
      <w:pPr>
        <w:pStyle w:val="pj"/>
      </w:pPr>
      <w:r>
        <w:rPr>
          <w:rStyle w:val="s0"/>
        </w:rPr>
        <w:t>7. Коды строк показателей разделов Статистической формы представлены в следующей структуре:</w:t>
      </w:r>
    </w:p>
    <w:p w:rsidR="009951F8" w:rsidRDefault="009951F8" w:rsidP="009951F8">
      <w:pPr>
        <w:pStyle w:val="pj"/>
      </w:pPr>
      <w:r>
        <w:rPr>
          <w:rStyle w:val="s0"/>
        </w:rPr>
        <w:t>1) первая цифра (число) - порядковый номер раздела;</w:t>
      </w:r>
    </w:p>
    <w:p w:rsidR="009951F8" w:rsidRDefault="009951F8" w:rsidP="009951F8">
      <w:pPr>
        <w:pStyle w:val="pj"/>
      </w:pPr>
      <w:r>
        <w:rPr>
          <w:rStyle w:val="s0"/>
        </w:rPr>
        <w:t xml:space="preserve">2) вторая цифра (число) состоит из двух цифр – признака </w:t>
      </w:r>
      <w:proofErr w:type="spellStart"/>
      <w:r>
        <w:rPr>
          <w:rStyle w:val="s0"/>
        </w:rPr>
        <w:t>резидентства</w:t>
      </w:r>
      <w:proofErr w:type="spellEnd"/>
      <w:r>
        <w:rPr>
          <w:rStyle w:val="s0"/>
        </w:rPr>
        <w:t xml:space="preserve"> и сектора экономики (первая цифра – признак </w:t>
      </w:r>
      <w:proofErr w:type="spellStart"/>
      <w:r>
        <w:rPr>
          <w:rStyle w:val="s0"/>
        </w:rPr>
        <w:t>резидентства</w:t>
      </w:r>
      <w:proofErr w:type="spellEnd"/>
      <w:r>
        <w:rPr>
          <w:rStyle w:val="s0"/>
        </w:rPr>
        <w:t>, вторая цифра – сектор экономики);</w:t>
      </w:r>
    </w:p>
    <w:p w:rsidR="009951F8" w:rsidRDefault="009951F8" w:rsidP="009951F8">
      <w:pPr>
        <w:pStyle w:val="pj"/>
      </w:pPr>
      <w:r>
        <w:rPr>
          <w:rStyle w:val="s0"/>
        </w:rPr>
        <w:t>3) последняя цифра (число) – порядковый номер подраздела.</w:t>
      </w:r>
    </w:p>
    <w:p w:rsidR="009951F8" w:rsidRDefault="009951F8" w:rsidP="009951F8">
      <w:pPr>
        <w:pStyle w:val="pj"/>
      </w:pPr>
      <w:r>
        <w:rPr>
          <w:rStyle w:val="s0"/>
        </w:rPr>
        <w:t>Пример: код строки 15.15.07, где первая цифра «15» – порядковый номер раздела, вторая цифра «15» - резидент, другие финансовые организации и третья цифра «07» – порядковый номер подраздела.</w:t>
      </w:r>
    </w:p>
    <w:p w:rsidR="009951F8" w:rsidRDefault="009951F8" w:rsidP="009951F8">
      <w:pPr>
        <w:pStyle w:val="pj"/>
      </w:pPr>
      <w:r>
        <w:rPr>
          <w:rStyle w:val="s0"/>
        </w:rPr>
        <w:t>Требования и обязательства по отношению к нерезидентам по секторам экономики не разделяются. В данном случае вместо кода сектора экономики по отношению к нерезиденту проставляется «0».</w:t>
      </w:r>
    </w:p>
    <w:p w:rsidR="009951F8" w:rsidRDefault="009951F8" w:rsidP="009951F8">
      <w:pPr>
        <w:pStyle w:val="pj"/>
      </w:pPr>
      <w:r>
        <w:rPr>
          <w:rStyle w:val="s0"/>
        </w:rPr>
        <w:t>8. При заполнении Статистической формы учитывается следующее:</w:t>
      </w:r>
    </w:p>
    <w:p w:rsidR="009951F8" w:rsidRDefault="009951F8" w:rsidP="009951F8">
      <w:pPr>
        <w:pStyle w:val="pj"/>
      </w:pPr>
      <w:r>
        <w:rPr>
          <w:rStyle w:val="s0"/>
        </w:rPr>
        <w:t>1) данные по статьям соответствуют данным аналогичных статей бухгалтерского баланса страховых организаций на ту же отчетную дату, представляемого страховыми организациями в уполномоченный орган;</w:t>
      </w:r>
    </w:p>
    <w:p w:rsidR="009951F8" w:rsidRDefault="009951F8" w:rsidP="009951F8">
      <w:pPr>
        <w:pStyle w:val="pj"/>
      </w:pPr>
      <w:r>
        <w:rPr>
          <w:rStyle w:val="s0"/>
        </w:rPr>
        <w:lastRenderedPageBreak/>
        <w:t>2) общий объем активов включает в себя итоговые данные всех статей активов и соответствует общей сумме активов бухгалтерского баланса страховых организаций на ту же отчетную дату, представляемого страховыми организациями в уполномоченный орган;</w:t>
      </w:r>
    </w:p>
    <w:p w:rsidR="009951F8" w:rsidRDefault="009951F8" w:rsidP="009951F8">
      <w:pPr>
        <w:pStyle w:val="pj"/>
      </w:pPr>
      <w:r>
        <w:rPr>
          <w:rStyle w:val="s0"/>
        </w:rPr>
        <w:t>3) общий объем обязательств включает в себя итоговые данные всех статей обязательств и соответствует общей сумме обязательств бухгалтерского баланса страховых организаций на ту же отчетную дату, представляемого страховыми организациями в уполномоченный орган;</w:t>
      </w:r>
    </w:p>
    <w:p w:rsidR="009951F8" w:rsidRDefault="009951F8" w:rsidP="009951F8">
      <w:pPr>
        <w:pStyle w:val="pj"/>
      </w:pPr>
      <w:r>
        <w:rPr>
          <w:rStyle w:val="s0"/>
        </w:rPr>
        <w:t>4) общий объем капитала включает в себя итоговые данные всех статей капитала и соответствует сумме капитала бухгалтерского баланса страховых организаций на ту же отчетную дату, представляемого страховыми организациями в уполномоченный орган.</w:t>
      </w:r>
    </w:p>
    <w:p w:rsidR="009951F8" w:rsidRDefault="009951F8" w:rsidP="009951F8">
      <w:pPr>
        <w:pStyle w:val="pj"/>
      </w:pPr>
      <w:r>
        <w:rPr>
          <w:rStyle w:val="s0"/>
        </w:rPr>
        <w:t xml:space="preserve">9. Арифметико-логический контроль </w:t>
      </w:r>
      <w:proofErr w:type="gramStart"/>
      <w:r>
        <w:rPr>
          <w:rStyle w:val="s0"/>
        </w:rPr>
        <w:t>для страховых организации</w:t>
      </w:r>
      <w:proofErr w:type="gramEnd"/>
      <w:r>
        <w:rPr>
          <w:rStyle w:val="s0"/>
        </w:rPr>
        <w:t>:</w:t>
      </w:r>
    </w:p>
    <w:p w:rsidR="009951F8" w:rsidRDefault="009951F8" w:rsidP="009951F8">
      <w:pPr>
        <w:pStyle w:val="pj"/>
      </w:pPr>
      <w:r>
        <w:rPr>
          <w:rStyle w:val="s0"/>
        </w:rPr>
        <w:t>1) данные по графе 1 по всем строкам равны сумме данных по графам 2, 3;</w:t>
      </w:r>
    </w:p>
    <w:p w:rsidR="009951F8" w:rsidRDefault="009951F8" w:rsidP="009951F8">
      <w:pPr>
        <w:pStyle w:val="pj"/>
      </w:pPr>
      <w:r>
        <w:rPr>
          <w:rStyle w:val="s0"/>
        </w:rPr>
        <w:t>2) показатель «итого активы» по строке 30 равен сумме показателей по строкам с 2 по 29;</w:t>
      </w:r>
    </w:p>
    <w:p w:rsidR="009951F8" w:rsidRDefault="009951F8" w:rsidP="009951F8">
      <w:pPr>
        <w:pStyle w:val="pj"/>
      </w:pPr>
      <w:r>
        <w:rPr>
          <w:rStyle w:val="s0"/>
        </w:rPr>
        <w:t>3) показатель «итого обязательства» по строке 51 равен сумме показателей по строкам с 31 по 50;</w:t>
      </w:r>
    </w:p>
    <w:p w:rsidR="009951F8" w:rsidRDefault="009951F8" w:rsidP="009951F8">
      <w:pPr>
        <w:pStyle w:val="pj"/>
      </w:pPr>
      <w:r>
        <w:rPr>
          <w:rStyle w:val="s0"/>
        </w:rPr>
        <w:t>4) показатель «итого капитал» по строке 61 равен сумме показателей по строкам 52, 54, 55, 56, 57, 58, 59 и 60 за минусом строки 53;</w:t>
      </w:r>
    </w:p>
    <w:p w:rsidR="009951F8" w:rsidRDefault="009951F8" w:rsidP="009951F8">
      <w:pPr>
        <w:pStyle w:val="pj"/>
      </w:pPr>
      <w:r>
        <w:rPr>
          <w:rStyle w:val="s0"/>
        </w:rPr>
        <w:t>5) показатель «итого капитал и обязательства» по строке 62 равен сумме показателей по строкам 51 и 61;</w:t>
      </w:r>
    </w:p>
    <w:p w:rsidR="009951F8" w:rsidRDefault="009951F8" w:rsidP="009951F8">
      <w:pPr>
        <w:pStyle w:val="pj"/>
      </w:pPr>
      <w:r>
        <w:rPr>
          <w:rStyle w:val="s0"/>
        </w:rPr>
        <w:t>6) сумма показателей «итого активы» по строке 30 и «итого капитал и обязательства» по строке 62 равны.</w:t>
      </w:r>
    </w:p>
    <w:p w:rsidR="00AA60C1" w:rsidRDefault="00AA60C1">
      <w:bookmarkStart w:id="1" w:name="_GoBack"/>
      <w:bookmarkEnd w:id="1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F8"/>
    <w:rsid w:val="009951F8"/>
    <w:rsid w:val="00A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4E655-3F36-43A9-BEC0-A49AF0B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1F8"/>
    <w:rPr>
      <w:color w:val="333399"/>
      <w:u w:val="single"/>
    </w:rPr>
  </w:style>
  <w:style w:type="paragraph" w:customStyle="1" w:styleId="pc">
    <w:name w:val="pc"/>
    <w:basedOn w:val="a"/>
    <w:rsid w:val="009951F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951F8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951F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9951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951F8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9951F8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3740496.0%20" TargetMode="External"/><Relationship Id="rId4" Type="http://schemas.openxmlformats.org/officeDocument/2006/relationships/hyperlink" Target="jl:39543164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2022-02-14T09:13:00Z</dcterms:created>
  <dcterms:modified xsi:type="dcterms:W3CDTF">2022-02-14T09:13:00Z</dcterms:modified>
</cp:coreProperties>
</file>