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E1" w:rsidRPr="00787C02" w:rsidRDefault="009D2DE1" w:rsidP="009D2DE1">
      <w:pPr>
        <w:pageBreakBefore/>
        <w:ind w:firstLine="403"/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Приложение</w:t>
      </w:r>
    </w:p>
    <w:p w:rsidR="009D2DE1" w:rsidRPr="00787C02" w:rsidRDefault="009D2DE1" w:rsidP="009D2DE1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 xml:space="preserve">к форме отчета </w:t>
      </w:r>
      <w:r w:rsidRPr="00787C02">
        <w:rPr>
          <w:bCs/>
          <w:sz w:val="28"/>
          <w:szCs w:val="28"/>
        </w:rPr>
        <w:t xml:space="preserve">о структуре </w:t>
      </w:r>
    </w:p>
    <w:p w:rsidR="009D2DE1" w:rsidRPr="00787C02" w:rsidRDefault="009D2DE1" w:rsidP="009D2DE1">
      <w:pPr>
        <w:jc w:val="right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портфеля ценных бумаг</w:t>
      </w: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Пояснение по заполнению формы административных данных</w:t>
      </w: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Отчет о структуре портфеля ценных бумаг</w:t>
      </w:r>
      <w:bookmarkStart w:id="0" w:name="_GoBack"/>
      <w:bookmarkEnd w:id="0"/>
      <w:r w:rsidRPr="00787C02">
        <w:rPr>
          <w:bCs/>
          <w:sz w:val="28"/>
          <w:szCs w:val="28"/>
        </w:rPr>
        <w:br/>
        <w:t>(индекс – FBN_PORTF_04, периодичность – ежемесячная)</w:t>
      </w: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bCs/>
          <w:sz w:val="28"/>
          <w:szCs w:val="28"/>
        </w:rPr>
      </w:pPr>
    </w:p>
    <w:p w:rsidR="009D2DE1" w:rsidRPr="00787C02" w:rsidRDefault="009D2DE1" w:rsidP="009D2DE1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t>Глава 1. Общие положения</w:t>
      </w:r>
    </w:p>
    <w:p w:rsidR="009D2DE1" w:rsidRPr="00787C02" w:rsidRDefault="009D2DE1" w:rsidP="009D2DE1">
      <w:pPr>
        <w:jc w:val="center"/>
        <w:rPr>
          <w:sz w:val="28"/>
          <w:szCs w:val="28"/>
        </w:rPr>
      </w:pP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Настоящее пояснение (далее – Пояснение) определяет единые требования по заполнению формы,</w:t>
      </w:r>
      <w:r w:rsidRPr="00787C02">
        <w:rPr>
          <w:bCs/>
          <w:sz w:val="28"/>
          <w:szCs w:val="28"/>
        </w:rPr>
        <w:t xml:space="preserve"> предназначенной для сбора административных данных,</w:t>
      </w:r>
      <w:r w:rsidRPr="00787C02">
        <w:rPr>
          <w:sz w:val="28"/>
          <w:szCs w:val="28"/>
        </w:rPr>
        <w:t xml:space="preserve"> «Отчет о структуре портфеля ценных бумаг» (далее – Форма).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Форма разработана в соответствии с подпунктом 65-2) части второй статьи 15 Закона Республики Казахстан «О Национальном Банке Республики Казахстан» и пунктом 1 статьи 54 Закона Республики Казахстан «О банках и банковской деятельности в Республике Казахстан».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Форма составляется филиалами банков-нерезидентов Республики Казахстан ежемесячно по состоянию на конец отчетного месяца.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Сведения </w:t>
      </w:r>
      <w:r w:rsidRPr="00787C02">
        <w:rPr>
          <w:sz w:val="28"/>
          <w:szCs w:val="28"/>
          <w:lang w:val="kk-KZ"/>
        </w:rPr>
        <w:t>составляются</w:t>
      </w:r>
      <w:r w:rsidRPr="00787C02">
        <w:rPr>
          <w:sz w:val="28"/>
          <w:szCs w:val="28"/>
        </w:rPr>
        <w:t xml:space="preserve"> в тенге. Стоимостные показатели указываются в числах с двумя знаками после запятой.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Форму подписывают руководитель или лицо, на которое возложена функция по подписанию отчета, и исполнитель.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При заполнении Формы коды указываются в соответствии со справочниками, используемыми в информационной системе «Веб-портал Национального Банка Республики Казахстан», даты указываются в формате: «ДД.ММ.ГГГГ», где «ГГГГ» – год, «ММ» – месяц, «ДД» – день.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– Типовой план счетов).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9D2DE1" w:rsidRPr="00787C02" w:rsidRDefault="009D2DE1" w:rsidP="009D2DE1">
      <w:pPr>
        <w:jc w:val="center"/>
        <w:rPr>
          <w:sz w:val="28"/>
          <w:szCs w:val="28"/>
        </w:rPr>
      </w:pPr>
    </w:p>
    <w:p w:rsidR="009D2DE1" w:rsidRPr="00787C02" w:rsidRDefault="009D2DE1" w:rsidP="009D2DE1">
      <w:pPr>
        <w:jc w:val="center"/>
        <w:rPr>
          <w:sz w:val="28"/>
          <w:szCs w:val="28"/>
        </w:rPr>
      </w:pPr>
    </w:p>
    <w:p w:rsidR="009D2DE1" w:rsidRPr="00787C02" w:rsidRDefault="009D2DE1" w:rsidP="009D2DE1">
      <w:pPr>
        <w:jc w:val="center"/>
        <w:rPr>
          <w:sz w:val="28"/>
          <w:szCs w:val="28"/>
        </w:rPr>
      </w:pPr>
      <w:r w:rsidRPr="00787C02">
        <w:rPr>
          <w:bCs/>
          <w:sz w:val="28"/>
          <w:szCs w:val="28"/>
        </w:rPr>
        <w:lastRenderedPageBreak/>
        <w:t>Глава 2. Пояснение по заполнению Формы</w:t>
      </w:r>
    </w:p>
    <w:p w:rsidR="009D2DE1" w:rsidRPr="00787C02" w:rsidRDefault="009D2DE1" w:rsidP="009D2DE1">
      <w:pPr>
        <w:jc w:val="center"/>
        <w:rPr>
          <w:sz w:val="28"/>
          <w:szCs w:val="28"/>
        </w:rPr>
      </w:pP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8. В Форме указываются сведения о вложениях филиала банка-нерезидента Республики Казахстан в долговые и долевые ценные бумаги, за исключением вложений в акции (доли участия в уставных капиталах) дочерних и ассоциированных организаций и прочего участия в уставных капиталах юридических лиц, сведения по которым указываются в форме отчета об инвестициях филиала банка-нерезидента Республики Казахстан в капитал других юридических лиц.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9. В строках 1, 3 и 8 таблицы 1 и строках 1, 2, 4.1, 4.2, 7, 8 и 9 таблицы 2 значения выбираются из справочников, размещенных в информационной системе «Веб-портал Национального Банка Республики Казахстан». 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10. </w:t>
      </w:r>
      <w:bookmarkStart w:id="1" w:name="_Hlk45728655"/>
      <w:bookmarkEnd w:id="1"/>
      <w:r w:rsidRPr="00787C02">
        <w:rPr>
          <w:sz w:val="28"/>
          <w:szCs w:val="28"/>
        </w:rPr>
        <w:t>Таблица 1 Формы заполняется отдельно по каждой проведенной в отчетном месяце транзакции с ценными бумагами.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Таблица 2 Формы заполняется отдельно по каждой ценной бумаге, имеющейся в портфеле филиала банка-нерезидента Республики Казахстан на конец отчетного месяца.</w:t>
      </w:r>
    </w:p>
    <w:p w:rsidR="009D2DE1" w:rsidRPr="00787C02" w:rsidRDefault="009D2DE1" w:rsidP="009D2DE1">
      <w:pPr>
        <w:ind w:firstLine="708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11. В строках 1 таблицы 1 и таблицы 2 </w:t>
      </w:r>
      <w:r w:rsidRPr="00787C02">
        <w:rPr>
          <w:sz w:val="28"/>
          <w:szCs w:val="28"/>
          <w:lang w:val="kk-KZ"/>
        </w:rPr>
        <w:t>указывается</w:t>
      </w:r>
      <w:r w:rsidRPr="00787C02">
        <w:rPr>
          <w:sz w:val="28"/>
          <w:szCs w:val="28"/>
        </w:rPr>
        <w:t xml:space="preserve"> </w:t>
      </w:r>
      <w:r w:rsidRPr="00787C02">
        <w:rPr>
          <w:bCs/>
          <w:sz w:val="28"/>
          <w:szCs w:val="28"/>
        </w:rPr>
        <w:t xml:space="preserve">международный идентификационный номер ценной бумаги (код </w:t>
      </w:r>
      <w:r w:rsidRPr="00787C02">
        <w:rPr>
          <w:bCs/>
          <w:sz w:val="28"/>
          <w:szCs w:val="28"/>
          <w:lang w:val="en-US"/>
        </w:rPr>
        <w:t>ISIN</w:t>
      </w:r>
      <w:r w:rsidRPr="00787C02">
        <w:rPr>
          <w:bCs/>
          <w:sz w:val="28"/>
          <w:szCs w:val="28"/>
        </w:rPr>
        <w:t>).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bCs/>
          <w:sz w:val="28"/>
          <w:szCs w:val="28"/>
        </w:rPr>
        <w:t xml:space="preserve">12. В строке 2 таблицы 1 указывается </w:t>
      </w:r>
      <w:proofErr w:type="spellStart"/>
      <w:r w:rsidRPr="00787C02">
        <w:rPr>
          <w:bCs/>
          <w:sz w:val="28"/>
          <w:szCs w:val="28"/>
        </w:rPr>
        <w:t>референс</w:t>
      </w:r>
      <w:proofErr w:type="spellEnd"/>
      <w:r w:rsidRPr="00787C02">
        <w:rPr>
          <w:bCs/>
          <w:sz w:val="28"/>
          <w:szCs w:val="28"/>
        </w:rPr>
        <w:t xml:space="preserve"> (код) транзакции, который </w:t>
      </w:r>
      <w:r w:rsidRPr="00787C02">
        <w:rPr>
          <w:sz w:val="28"/>
          <w:szCs w:val="28"/>
        </w:rPr>
        <w:t>служит уникальным идентификатором транзакции в информационной системе отчитывающегося филиала банка-нерезидента Республики Казахстан.</w:t>
      </w:r>
    </w:p>
    <w:p w:rsidR="009D2DE1" w:rsidRPr="00787C02" w:rsidRDefault="009D2DE1" w:rsidP="009D2DE1">
      <w:pPr>
        <w:ind w:firstLine="708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13. В строке 4 таблицы 1 по ценным бумагам, ранее принятым в качестве залога и перешедшим в собственность </w:t>
      </w:r>
      <w:r w:rsidRPr="00787C02">
        <w:rPr>
          <w:sz w:val="28"/>
          <w:szCs w:val="28"/>
        </w:rPr>
        <w:t>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, </w:t>
      </w:r>
      <w:r w:rsidRPr="00787C02">
        <w:rPr>
          <w:sz w:val="28"/>
          <w:szCs w:val="28"/>
          <w:lang w:val="kk-KZ"/>
        </w:rPr>
        <w:t>указывается</w:t>
      </w:r>
      <w:r w:rsidRPr="00787C02">
        <w:rPr>
          <w:sz w:val="28"/>
          <w:szCs w:val="28"/>
        </w:rPr>
        <w:t xml:space="preserve"> </w:t>
      </w:r>
      <w:r w:rsidRPr="00787C02">
        <w:rPr>
          <w:bCs/>
          <w:sz w:val="28"/>
          <w:szCs w:val="28"/>
        </w:rPr>
        <w:t>значение «1», в иных случаях – значение «0».</w:t>
      </w:r>
    </w:p>
    <w:p w:rsidR="009D2DE1" w:rsidRPr="00787C02" w:rsidRDefault="009D2DE1" w:rsidP="009D2DE1">
      <w:pPr>
        <w:ind w:firstLine="708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Если в строке 4 таблицы 1 указано значение «1», то в качестве даты транзакции в строке 5 таблицы 1 указывается дата перехода ценных бумаг в собственность филиала банка-нерезидента Республики Казахстан, представляющего отчетность.</w:t>
      </w:r>
    </w:p>
    <w:p w:rsidR="009D2DE1" w:rsidRPr="00787C02" w:rsidRDefault="009D2DE1" w:rsidP="009D2DE1">
      <w:pPr>
        <w:ind w:firstLine="708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14. В строке 6 таблицы 1 допускается указание дробного числа (для инструментов </w:t>
      </w:r>
      <w:r w:rsidRPr="00787C02">
        <w:rPr>
          <w:sz w:val="28"/>
          <w:szCs w:val="28"/>
        </w:rPr>
        <w:t>участия в уставных капиталах</w:t>
      </w:r>
      <w:r w:rsidRPr="00787C02">
        <w:rPr>
          <w:bCs/>
          <w:sz w:val="28"/>
          <w:szCs w:val="28"/>
        </w:rPr>
        <w:t xml:space="preserve">), которое </w:t>
      </w:r>
      <w:r w:rsidRPr="00787C02">
        <w:rPr>
          <w:bCs/>
          <w:sz w:val="28"/>
          <w:szCs w:val="28"/>
          <w:lang w:val="kk-KZ"/>
        </w:rPr>
        <w:t>представляется</w:t>
      </w:r>
      <w:r w:rsidRPr="00787C02">
        <w:rPr>
          <w:bCs/>
          <w:sz w:val="28"/>
          <w:szCs w:val="28"/>
        </w:rPr>
        <w:t xml:space="preserve"> в десятичном виде, с двумя знаками после запятой.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bCs/>
          <w:sz w:val="28"/>
          <w:szCs w:val="28"/>
        </w:rPr>
        <w:t xml:space="preserve">15. В строке 7 таблицы 1 по облигациям </w:t>
      </w:r>
      <w:r w:rsidRPr="00787C02">
        <w:rPr>
          <w:sz w:val="28"/>
          <w:szCs w:val="28"/>
          <w:lang w:val="kk-KZ"/>
        </w:rPr>
        <w:t>указывается</w:t>
      </w:r>
      <w:r w:rsidRPr="00787C02">
        <w:rPr>
          <w:sz w:val="28"/>
          <w:szCs w:val="28"/>
        </w:rPr>
        <w:t xml:space="preserve"> номинальная стоимость, по акциям – покупная стоимость. Показатель стоимости указывается в тенге (эквивалент стоимости в тенге для ценных бумаг, номинал которых выражен в иностранной валюте, указывается в пересчете по рыночному курсу обмена валют на дату транзакции,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8378).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16. В строке 8 таблицы 1 и строках 7 и 8 таблицы 2 указывается рейтинг, присвоенный одним из рейтинговых агентств, в соответствии с </w:t>
      </w:r>
      <w:r w:rsidRPr="00787C02">
        <w:rPr>
          <w:sz w:val="28"/>
          <w:szCs w:val="28"/>
        </w:rPr>
        <w:lastRenderedPageBreak/>
        <w:t>постановлением Правления Национального Банка Республики Казахстан от 24 декабря 2012 года № 385 «Об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рейтинг», зарегистрированным в Реестре государственной регистрации нормативных правовых актов под № 8318.</w:t>
      </w:r>
    </w:p>
    <w:p w:rsidR="009D2DE1" w:rsidRPr="00787C02" w:rsidRDefault="009D2DE1" w:rsidP="009D2DE1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При наличии рейтингов от нескольких рейтинговых агентств </w:t>
      </w:r>
      <w:r w:rsidRPr="00787C02">
        <w:rPr>
          <w:sz w:val="28"/>
          <w:szCs w:val="28"/>
          <w:lang w:val="kk-KZ"/>
        </w:rPr>
        <w:t>указывается</w:t>
      </w:r>
      <w:r w:rsidRPr="00787C02">
        <w:rPr>
          <w:sz w:val="28"/>
          <w:szCs w:val="28"/>
        </w:rPr>
        <w:t xml:space="preserve"> наиболее актуальный по дате присвоения рейтинг. Если даты присвоения рейтингов совпадают, указывается минимальный рейтинг. Одной ценной бумаге, одному эмитенту соответствует не более одного актуального значения рейтинга.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Значения рейтингов в строке 8 таблицы 1 и строках 7 и 8 таблицы 2 не указываются по государственным ценным бумагам Республики Казахстан, выпущенным Правительством Республики Казахстан, Национальным Банком Республики Казахстан и местными исполнительными органами.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17. В строке 2 таблицы 2 указывается вид портфеля, в котором учитываются ценные бумаги по состоянию на отчетную дату.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18. В строках 4.2 и 4.3 таблицы 2 </w:t>
      </w:r>
      <w:r w:rsidRPr="00787C02">
        <w:rPr>
          <w:sz w:val="28"/>
          <w:szCs w:val="28"/>
          <w:lang w:val="kk-KZ"/>
        </w:rPr>
        <w:t>указываются</w:t>
      </w:r>
      <w:r w:rsidRPr="00787C02">
        <w:rPr>
          <w:sz w:val="28"/>
          <w:szCs w:val="28"/>
        </w:rPr>
        <w:t xml:space="preserve"> номера счетов в соответствии с Типовым планом счетов, на которых учитываются суммы по данной ценной бумаге, и соответствующие им стоимостные значения на отчетную дату. 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 ценным бумагам, учитываемым по справедливой стоимости через прочий совокупный доход, также указываются резервы (провизии) под ожидаемые кредитные убытки, отраженные на счетах 3 класса в соответствии с Типовым планом счетов.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Размер резервов (провизий) указывается в абсолютном значении как положительное число. </w:t>
      </w:r>
    </w:p>
    <w:p w:rsidR="009D2DE1" w:rsidRPr="00787C02" w:rsidRDefault="009D2DE1" w:rsidP="009D2DE1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Если стоимостное значение равно нулю, показатели по строкам 4.1, 4.2 и 4.3 таблицы 2 не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>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19. В строках 5.2 и 6.2 таблицы 2 указывается балансовая стоимость ценных бумаг на отчетную дату, включая стоимость приобретения, дисконт (премию), начисленное вознаграждение, положительную (отрицательную) корректировку (по ценным бумагам, учитываемым по справедливой стоимости), резервы (провизии), сформированные в соответствии с международными стандартами финансовой отчетности (по ценным бумагам, учитываемым по амортизированной стоимости). 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Показатели в строках 5.1 и 5.2 таблицы 2 включают, в том числе, значения показателей, </w:t>
      </w:r>
      <w:r w:rsidRPr="00787C02">
        <w:rPr>
          <w:sz w:val="28"/>
          <w:szCs w:val="28"/>
          <w:lang w:val="kk-KZ"/>
        </w:rPr>
        <w:t>указанных</w:t>
      </w:r>
      <w:r w:rsidRPr="00787C02">
        <w:rPr>
          <w:sz w:val="28"/>
          <w:szCs w:val="28"/>
        </w:rPr>
        <w:t xml:space="preserve"> в строках 6.1 и 6.2 таблицы 2.</w:t>
      </w:r>
    </w:p>
    <w:p w:rsidR="009D2DE1" w:rsidRPr="00787C02" w:rsidRDefault="009D2DE1" w:rsidP="009D2DE1">
      <w:pPr>
        <w:ind w:firstLine="708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  <w:lang w:val="kk-KZ"/>
        </w:rPr>
        <w:t>20</w:t>
      </w:r>
      <w:r w:rsidRPr="00787C02">
        <w:rPr>
          <w:sz w:val="28"/>
          <w:szCs w:val="28"/>
        </w:rPr>
        <w:t xml:space="preserve">. В строке 9 таблицы 2 указывается </w:t>
      </w:r>
      <w:r w:rsidRPr="00787C02">
        <w:rPr>
          <w:sz w:val="28"/>
          <w:szCs w:val="28"/>
          <w:lang w:val="kk-KZ"/>
        </w:rPr>
        <w:t xml:space="preserve">стадия кредитного риска, к которой отнесены ценные бумаги по состоянию на отчетную дату в соответствии с Международным стандартом финансовой отчетности </w:t>
      </w:r>
      <w:r w:rsidRPr="00787C02">
        <w:rPr>
          <w:sz w:val="28"/>
          <w:szCs w:val="28"/>
          <w:lang w:val="kk-KZ"/>
        </w:rPr>
        <w:lastRenderedPageBreak/>
        <w:t>(</w:t>
      </w:r>
      <w:r w:rsidRPr="00787C02">
        <w:rPr>
          <w:rFonts w:eastAsia="Calibri"/>
          <w:sz w:val="28"/>
          <w:szCs w:val="28"/>
          <w:lang w:val="en-US" w:eastAsia="en-US"/>
        </w:rPr>
        <w:t>International</w:t>
      </w:r>
      <w:r w:rsidRPr="00787C02">
        <w:rPr>
          <w:rFonts w:eastAsia="Calibri"/>
          <w:sz w:val="28"/>
          <w:szCs w:val="28"/>
          <w:lang w:eastAsia="en-US"/>
        </w:rPr>
        <w:t xml:space="preserve"> </w:t>
      </w:r>
      <w:r w:rsidRPr="00787C02">
        <w:rPr>
          <w:rFonts w:eastAsia="Calibri"/>
          <w:sz w:val="28"/>
          <w:szCs w:val="28"/>
          <w:lang w:val="en-US" w:eastAsia="en-US"/>
        </w:rPr>
        <w:t>Financial</w:t>
      </w:r>
      <w:r w:rsidRPr="00787C02">
        <w:rPr>
          <w:rFonts w:eastAsia="Calibri"/>
          <w:sz w:val="28"/>
          <w:szCs w:val="28"/>
          <w:lang w:eastAsia="en-US"/>
        </w:rPr>
        <w:t xml:space="preserve"> </w:t>
      </w:r>
      <w:r w:rsidRPr="00787C02">
        <w:rPr>
          <w:rFonts w:eastAsia="Calibri"/>
          <w:sz w:val="28"/>
          <w:szCs w:val="28"/>
          <w:lang w:val="en-US" w:eastAsia="en-US"/>
        </w:rPr>
        <w:t>Reporting</w:t>
      </w:r>
      <w:r w:rsidRPr="00787C02">
        <w:rPr>
          <w:rFonts w:eastAsia="Calibri"/>
          <w:sz w:val="28"/>
          <w:szCs w:val="28"/>
          <w:lang w:eastAsia="en-US"/>
        </w:rPr>
        <w:t xml:space="preserve"> </w:t>
      </w:r>
      <w:r w:rsidRPr="00787C02">
        <w:rPr>
          <w:rFonts w:eastAsia="Calibri"/>
          <w:sz w:val="28"/>
          <w:szCs w:val="28"/>
          <w:lang w:val="en-US" w:eastAsia="en-US"/>
        </w:rPr>
        <w:t>Standards</w:t>
      </w:r>
      <w:r w:rsidRPr="00787C02">
        <w:rPr>
          <w:rFonts w:eastAsia="Calibri"/>
          <w:sz w:val="28"/>
          <w:szCs w:val="28"/>
          <w:lang w:eastAsia="en-US"/>
        </w:rPr>
        <w:t xml:space="preserve"> – </w:t>
      </w:r>
      <w:r w:rsidRPr="00787C02">
        <w:rPr>
          <w:sz w:val="28"/>
          <w:szCs w:val="28"/>
          <w:lang w:val="kk-KZ"/>
        </w:rPr>
        <w:t>IFRS) 9 «Финансовые инструменты».</w:t>
      </w:r>
    </w:p>
    <w:p w:rsidR="009D2DE1" w:rsidRPr="00787C02" w:rsidRDefault="009D2DE1" w:rsidP="009D2DE1">
      <w:pPr>
        <w:ind w:firstLine="709"/>
        <w:rPr>
          <w:sz w:val="28"/>
          <w:szCs w:val="28"/>
        </w:rPr>
      </w:pPr>
      <w:r w:rsidRPr="00787C02">
        <w:rPr>
          <w:sz w:val="28"/>
          <w:szCs w:val="28"/>
        </w:rPr>
        <w:t xml:space="preserve">21. По строке 10 таблицы 2 указывается дата, по состоянию на которую </w:t>
      </w:r>
      <w:r w:rsidRPr="00787C02">
        <w:rPr>
          <w:sz w:val="28"/>
          <w:szCs w:val="28"/>
          <w:lang w:val="kk-KZ"/>
        </w:rPr>
        <w:t>представляются</w:t>
      </w:r>
      <w:r w:rsidRPr="00787C02">
        <w:rPr>
          <w:sz w:val="28"/>
          <w:szCs w:val="28"/>
        </w:rPr>
        <w:t xml:space="preserve"> соответствующие данные.</w:t>
      </w:r>
      <w:bookmarkStart w:id="2" w:name="SUB6"/>
      <w:bookmarkEnd w:id="2"/>
    </w:p>
    <w:p w:rsidR="00657B9C" w:rsidRPr="009D2DE1" w:rsidRDefault="00657B9C" w:rsidP="009D2DE1">
      <w:pPr>
        <w:rPr>
          <w:rFonts w:eastAsia="Calibri"/>
          <w:sz w:val="28"/>
          <w:szCs w:val="22"/>
          <w:lang w:eastAsia="en-US"/>
        </w:rPr>
      </w:pPr>
    </w:p>
    <w:sectPr w:rsidR="00657B9C" w:rsidRPr="009D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E1"/>
    <w:rsid w:val="00657B9C"/>
    <w:rsid w:val="009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AE87"/>
  <w15:chartTrackingRefBased/>
  <w15:docId w15:val="{399502A4-0D8C-49F3-ADE5-BA68701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2022-02-14T09:48:00Z</dcterms:created>
  <dcterms:modified xsi:type="dcterms:W3CDTF">2022-02-14T09:49:00Z</dcterms:modified>
</cp:coreProperties>
</file>