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8" w:rsidRPr="00787C02" w:rsidRDefault="006D4558" w:rsidP="006D4558">
      <w:pPr>
        <w:ind w:left="5812" w:firstLine="2126"/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Приложение к форме сведений об изменениях в финансовых активах и пассивах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Пояснение по заполнению формы административных данных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Сведения об изменениях в финансовых активах и пассивах</w:t>
      </w:r>
    </w:p>
    <w:p w:rsidR="006D4558" w:rsidRPr="00787C02" w:rsidRDefault="006D4558" w:rsidP="006D4558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(индекс – FA_INTFLOWS-11</w:t>
      </w:r>
      <w:r w:rsidRPr="00787C02">
        <w:rPr>
          <w:rFonts w:eastAsia="Calibri"/>
          <w:sz w:val="28"/>
          <w:szCs w:val="22"/>
          <w:lang w:val="en-US" w:eastAsia="en-US"/>
        </w:rPr>
        <w:t>SB</w:t>
      </w:r>
      <w:r w:rsidRPr="00787C02">
        <w:rPr>
          <w:rFonts w:eastAsia="Calibri"/>
          <w:sz w:val="28"/>
          <w:szCs w:val="22"/>
          <w:lang w:eastAsia="en-US"/>
        </w:rPr>
        <w:t>, периодичность – ежегодная)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Глава 1. Общие положения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1.</w:t>
      </w:r>
      <w:r w:rsidRPr="00787C02">
        <w:rPr>
          <w:rFonts w:eastAsia="Calibri"/>
          <w:sz w:val="28"/>
          <w:szCs w:val="22"/>
          <w:lang w:eastAsia="en-US"/>
        </w:rPr>
        <w:tab/>
        <w:t>Настоящее пояснение (далее – Пояснение) определяет единые требования по заполнению формы, предназначенной для сбора административных данных, «Сведения об изменениях в финансовых активах и пассивах» (далее – Форма).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2.</w:t>
      </w:r>
      <w:r w:rsidRPr="00787C02">
        <w:rPr>
          <w:rFonts w:eastAsia="Calibri"/>
          <w:sz w:val="28"/>
          <w:szCs w:val="22"/>
          <w:lang w:eastAsia="en-US"/>
        </w:rPr>
        <w:tab/>
        <w:t>Форма разработана в соответствии с подпунктом 69) части второй статьи 15 Закона Республики Казахстан «О Национальном Банке Республики Казахстан».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3.</w:t>
      </w:r>
      <w:r w:rsidRPr="00787C02">
        <w:rPr>
          <w:rFonts w:eastAsia="Calibri"/>
          <w:sz w:val="28"/>
          <w:szCs w:val="22"/>
          <w:lang w:eastAsia="en-US"/>
        </w:rPr>
        <w:tab/>
        <w:t>Форма составляется ежегодно, заполняется за отчетный год.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4.</w:t>
      </w:r>
      <w:r w:rsidRPr="00787C02">
        <w:rPr>
          <w:rFonts w:eastAsia="Calibri"/>
          <w:sz w:val="28"/>
          <w:szCs w:val="22"/>
          <w:lang w:eastAsia="en-US"/>
        </w:rPr>
        <w:tab/>
        <w:t>Форму подписывают руководитель или лицо, на которое возложена функция по подписанию отчета, и исполнитель.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Глава 2. Пояснение по заполнению Формы</w:t>
      </w:r>
    </w:p>
    <w:p w:rsidR="006D4558" w:rsidRPr="00787C02" w:rsidRDefault="006D4558" w:rsidP="006D4558">
      <w:pPr>
        <w:rPr>
          <w:rFonts w:eastAsia="Calibri"/>
          <w:sz w:val="28"/>
          <w:szCs w:val="22"/>
          <w:lang w:eastAsia="en-US"/>
        </w:rPr>
      </w:pP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5.</w:t>
      </w:r>
      <w:r w:rsidRPr="00787C02">
        <w:rPr>
          <w:rFonts w:eastAsia="Calibri"/>
          <w:sz w:val="28"/>
          <w:szCs w:val="22"/>
          <w:lang w:eastAsia="en-US"/>
        </w:rPr>
        <w:tab/>
        <w:t xml:space="preserve">В Форме указываются сведения об изменениях за отчетный период на балансовых счетах первого и второго класса счетов Типового плана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утвержденного постановлением Правления Национального Банка Республики Казахстан от 31 января 2011 года № 3, зарегистрированным в Реестре государственной регистрации нормативных правовых актов под № 6793, отражающих наличие у респондента требований или обязательств по отношениям с резидентами Республики Казахстан. 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6.</w:t>
      </w:r>
      <w:r w:rsidRPr="00787C02">
        <w:rPr>
          <w:rFonts w:eastAsia="Calibri"/>
          <w:sz w:val="28"/>
          <w:szCs w:val="22"/>
          <w:lang w:eastAsia="en-US"/>
        </w:rPr>
        <w:tab/>
        <w:t>Строки 1, 2, и 3 заполняются в соответствии со справочниками, используемыми в информационной системе «Веб-портал Национального Банка Республики Казахстан».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7.</w:t>
      </w:r>
      <w:r w:rsidRPr="00787C02">
        <w:rPr>
          <w:rFonts w:eastAsia="Calibri"/>
          <w:sz w:val="28"/>
          <w:szCs w:val="22"/>
          <w:lang w:eastAsia="en-US"/>
        </w:rPr>
        <w:tab/>
      </w:r>
      <w:proofErr w:type="gramStart"/>
      <w:r w:rsidRPr="00787C02">
        <w:rPr>
          <w:rFonts w:eastAsia="Calibri"/>
          <w:sz w:val="28"/>
          <w:szCs w:val="22"/>
          <w:lang w:eastAsia="en-US"/>
        </w:rPr>
        <w:t>В</w:t>
      </w:r>
      <w:proofErr w:type="gramEnd"/>
      <w:r w:rsidRPr="00787C02">
        <w:rPr>
          <w:rFonts w:eastAsia="Calibri"/>
          <w:sz w:val="28"/>
          <w:szCs w:val="22"/>
          <w:lang w:eastAsia="en-US"/>
        </w:rPr>
        <w:t xml:space="preserve"> строках 4, 5 и 6 указывается сумма в тенге в формате числа с двумя знаками после запятой. 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8. В строке 4 отражаются изменения в результате проведения операций – </w:t>
      </w:r>
      <w:r w:rsidRPr="00787C02">
        <w:rPr>
          <w:rFonts w:eastAsia="Calibri"/>
          <w:sz w:val="28"/>
          <w:szCs w:val="28"/>
          <w:lang w:eastAsia="en-US"/>
        </w:rPr>
        <w:t xml:space="preserve">финансовые потоки, которые возникают по взаимному согласию </w:t>
      </w:r>
      <w:r w:rsidRPr="00787C02">
        <w:rPr>
          <w:rFonts w:eastAsia="Calibri"/>
          <w:sz w:val="28"/>
          <w:szCs w:val="22"/>
          <w:lang w:eastAsia="en-US"/>
        </w:rPr>
        <w:t>институциональных</w:t>
      </w:r>
      <w:r w:rsidRPr="00787C02">
        <w:rPr>
          <w:rFonts w:eastAsia="Calibri"/>
          <w:sz w:val="28"/>
          <w:szCs w:val="28"/>
          <w:lang w:eastAsia="en-US"/>
        </w:rPr>
        <w:t xml:space="preserve"> единиц в результате создания, ликвидации или перехода прав собственности на финансовые активы или пассивы. Переход права собственности происходит путем продажи, передачи или освобождения в иной форме от всех прав, обязательств и рисков, связанных с финансовым активом или пассивом.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9. В строке 5 отражается переоценка стоимости – финансовые потоки, возникающие в результате изменений рыночной стоимости и (или) изменений обменного курса национальной валюты к иностранным валютам, сказывающихся на стоимости активов и пассивов, выраженных в иностранной валюте.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C02">
        <w:rPr>
          <w:rFonts w:eastAsia="Calibri"/>
          <w:sz w:val="28"/>
          <w:szCs w:val="28"/>
          <w:lang w:eastAsia="en-US"/>
        </w:rPr>
        <w:t>10. В строке 6 отражаются другие изменения – финансовые потоки, возникающие вследствие изменений в активах и пассивах, кроме изменений в результате проведения операций и переоценки стоимости, отражаемых в строках 4 и 5. Эта категория включает одностороннее списание требований, изменение классификации активов и пассивов.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11. Сумма строк 4, 5 и 6 равна разнице между остатками на соответствующем балансовом счете на конец отчетного периода и на конец предыдущего отчетного периода.</w:t>
      </w:r>
    </w:p>
    <w:p w:rsidR="006D4558" w:rsidRPr="00787C02" w:rsidRDefault="006D4558" w:rsidP="006D4558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12.</w:t>
      </w:r>
      <w:r w:rsidRPr="00787C02">
        <w:rPr>
          <w:rFonts w:eastAsia="Calibri"/>
          <w:sz w:val="28"/>
          <w:szCs w:val="22"/>
          <w:lang w:eastAsia="en-US"/>
        </w:rPr>
        <w:tab/>
        <w:t>Строка 7 заполняется при наличии ненулевого значения в строке 6.</w:t>
      </w: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58"/>
    <w:rsid w:val="00657B9C"/>
    <w:rsid w:val="006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1002-3F26-47AC-BFD9-BEE11F3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2022-02-14T09:46:00Z</dcterms:created>
  <dcterms:modified xsi:type="dcterms:W3CDTF">2022-02-14T09:46:00Z</dcterms:modified>
</cp:coreProperties>
</file>