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C4" w:rsidRPr="009206A5" w:rsidRDefault="00E72EC4" w:rsidP="00E72EC4">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t xml:space="preserve">Экономика секторлары бойынша </w:t>
      </w:r>
    </w:p>
    <w:p w:rsidR="00E72EC4" w:rsidRPr="009206A5" w:rsidRDefault="00E72EC4" w:rsidP="00E72EC4">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t xml:space="preserve">талаптар мен міндеттемелер туралы </w:t>
      </w:r>
    </w:p>
    <w:p w:rsidR="00E72EC4" w:rsidRPr="009206A5" w:rsidRDefault="00E72EC4" w:rsidP="00E72EC4">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t xml:space="preserve">мәліметтертердің нысанына </w:t>
      </w:r>
    </w:p>
    <w:p w:rsidR="00E72EC4" w:rsidRPr="009206A5" w:rsidRDefault="00E72EC4" w:rsidP="00E72EC4">
      <w:pPr>
        <w:widowControl w:val="0"/>
        <w:overflowPunct w:val="0"/>
        <w:autoSpaceDE w:val="0"/>
        <w:autoSpaceDN w:val="0"/>
        <w:adjustRightInd w:val="0"/>
        <w:jc w:val="right"/>
        <w:rPr>
          <w:color w:val="000000" w:themeColor="text1"/>
          <w:sz w:val="28"/>
          <w:szCs w:val="28"/>
          <w:lang w:val="kk-KZ"/>
        </w:rPr>
      </w:pPr>
      <w:r w:rsidRPr="009206A5">
        <w:rPr>
          <w:color w:val="000000" w:themeColor="text1"/>
          <w:sz w:val="28"/>
          <w:szCs w:val="28"/>
          <w:lang w:val="kk-KZ"/>
        </w:rPr>
        <w:t>қосымша</w:t>
      </w:r>
    </w:p>
    <w:p w:rsidR="00E72EC4" w:rsidRPr="009206A5" w:rsidRDefault="00E72EC4" w:rsidP="00E72EC4">
      <w:pPr>
        <w:widowControl w:val="0"/>
        <w:overflowPunct w:val="0"/>
        <w:autoSpaceDE w:val="0"/>
        <w:autoSpaceDN w:val="0"/>
        <w:adjustRightInd w:val="0"/>
        <w:rPr>
          <w:color w:val="000000" w:themeColor="text1"/>
          <w:sz w:val="28"/>
          <w:szCs w:val="28"/>
          <w:lang w:val="kk-KZ"/>
        </w:rPr>
      </w:pPr>
    </w:p>
    <w:p w:rsidR="00E72EC4" w:rsidRPr="009206A5" w:rsidRDefault="00E72EC4" w:rsidP="00E72EC4">
      <w:pPr>
        <w:widowControl w:val="0"/>
        <w:overflowPunct w:val="0"/>
        <w:autoSpaceDE w:val="0"/>
        <w:autoSpaceDN w:val="0"/>
        <w:adjustRightInd w:val="0"/>
        <w:rPr>
          <w:color w:val="000000" w:themeColor="text1"/>
          <w:sz w:val="28"/>
          <w:szCs w:val="28"/>
          <w:lang w:val="kk-KZ"/>
        </w:rPr>
      </w:pP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Әкімшілік деректерді жинауға арналған нысанды толтыру бойынша түсіндірме</w:t>
      </w:r>
      <w:bookmarkStart w:id="0" w:name="_GoBack"/>
      <w:bookmarkEnd w:id="0"/>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 xml:space="preserve">Экономика секторлары бойынша талаптар мен </w:t>
      </w: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міндеттемелер туралы мәліметтер</w:t>
      </w: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(индекс – СО (ФН), мерзімділігі – тоқсандық)</w:t>
      </w: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r w:rsidRPr="009206A5">
        <w:rPr>
          <w:color w:val="000000" w:themeColor="text1"/>
          <w:sz w:val="28"/>
          <w:szCs w:val="28"/>
          <w:lang w:val="kk-KZ"/>
        </w:rPr>
        <w:t>1-тарау. Жалпы ережелер</w:t>
      </w:r>
    </w:p>
    <w:p w:rsidR="00E72EC4" w:rsidRPr="009206A5" w:rsidRDefault="00E72EC4" w:rsidP="00E72EC4">
      <w:pPr>
        <w:widowControl w:val="0"/>
        <w:overflowPunct w:val="0"/>
        <w:autoSpaceDE w:val="0"/>
        <w:autoSpaceDN w:val="0"/>
        <w:adjustRightInd w:val="0"/>
        <w:jc w:val="center"/>
        <w:rPr>
          <w:color w:val="000000" w:themeColor="text1"/>
          <w:sz w:val="28"/>
          <w:szCs w:val="28"/>
          <w:lang w:val="kk-KZ"/>
        </w:rPr>
      </w:pP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Осы түсіндірме «Экономика секторлары бойынша талаптар мен міндеттемелер туралы мәліметтерді» әкімшілік деректерін жинауға арналған нысанды (бұдан әрі – Нысан) толтыру бойынша бірыңғай талаптарды айқындайды.</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Нысан «Қазақстан Республикасының Ұлттық Банкі туралы» </w:t>
      </w:r>
      <w:r w:rsidRPr="009206A5">
        <w:rPr>
          <w:color w:val="000000" w:themeColor="text1"/>
          <w:sz w:val="28"/>
          <w:szCs w:val="28"/>
          <w:lang w:val="kk-KZ"/>
        </w:rPr>
        <w:br/>
        <w:t>1995 жылғы 30 наурыздағы Қазақстан Республикасы Заңының 15-бабы екінші бөлігінің 69) тармақшасына сәйкес әзірленді.</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Нысанды Қазақстан Республикасының бейрезидент сақтандыру (қайта сақтандыру) ұйымдарының филиалдары тоқсан сайын жасайды. Нысан есепті кезең соңындағы жағдай бойынша жасалады.</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Нысанда сома мың теңгемен көрсетіледі. Бес жүз теңгеден аз сома нөлге дейін дөңгелектенеді, ал бес жүз теңгеге тең және одан көп сома мың теңгеге дейін дөңгелектенеді.</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Нысанға басшы, бас бухгалтер немесе қол қоюға уәкілетті адамдар және орындаушы қол қояды.</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2-тарау. Нысанды толтыру бойынша түсіндірме</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Статистикалық нысанның символдары мен шифрларын толтыру мынадай түрде жүзеге асырылады:</w:t>
      </w:r>
    </w:p>
    <w:p w:rsidR="00E72EC4" w:rsidRPr="009206A5" w:rsidRDefault="00E72EC4" w:rsidP="00E72EC4">
      <w:pPr>
        <w:pStyle w:val="a3"/>
        <w:widowControl w:val="0"/>
        <w:numPr>
          <w:ilvl w:val="0"/>
          <w:numId w:val="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негізгі баптардың атаулары мен олардың нөмірлері Нормативтік құқықтық актілерді мемлекеттік тіркеу тізілімінде №21278 болып тіркелген Қазақстан Республикасы Ұлттық Банкі Басқармасының 2020 жылғы </w:t>
      </w:r>
      <w:r w:rsidRPr="009206A5">
        <w:rPr>
          <w:color w:val="000000" w:themeColor="text1"/>
          <w:sz w:val="28"/>
          <w:szCs w:val="28"/>
          <w:lang w:val="kk-KZ"/>
        </w:rPr>
        <w:br/>
        <w:t xml:space="preserve">21 қыркүйектегі № 107 Қаулысымен бекітілген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w:t>
      </w:r>
      <w:r w:rsidRPr="009206A5">
        <w:rPr>
          <w:color w:val="000000" w:themeColor="text1"/>
          <w:sz w:val="28"/>
          <w:szCs w:val="28"/>
          <w:lang w:val="kk-KZ"/>
        </w:rPr>
        <w:lastRenderedPageBreak/>
        <w:t xml:space="preserve">бухгалтерлік есепке алу деректері бойынша есептiлiкті ұсыну қағидаларына </w:t>
      </w:r>
      <w:r w:rsidRPr="009206A5">
        <w:rPr>
          <w:color w:val="000000" w:themeColor="text1"/>
          <w:sz w:val="28"/>
          <w:szCs w:val="28"/>
          <w:lang w:val="kk-KZ"/>
        </w:rPr>
        <w:br/>
        <w:t>8-қосымшасына сәйкес Қазақстан Республикасы бейрезидент-сақтандыру (қайта сақтандыру) ұйымдары филиалдарының талаптар мен міндеттемелер бойынша есептің негізгі баптарының атаулары мен нөмірлеріне сай келеді;</w:t>
      </w:r>
    </w:p>
    <w:p w:rsidR="00E72EC4" w:rsidRPr="009206A5" w:rsidRDefault="00E72EC4" w:rsidP="00E72EC4">
      <w:pPr>
        <w:pStyle w:val="a3"/>
        <w:widowControl w:val="0"/>
        <w:numPr>
          <w:ilvl w:val="0"/>
          <w:numId w:val="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1-бөлімде Қазақстан Республикасының бейрезидент - сақтандыру (қайта сақтандыру) ұйымдарының филиалдарының активтері мен міндеттемелері туралы есеп активтерінің баптары көрсетіледі;</w:t>
      </w:r>
    </w:p>
    <w:p w:rsidR="00E72EC4" w:rsidRPr="009206A5" w:rsidRDefault="00E72EC4" w:rsidP="00E72EC4">
      <w:pPr>
        <w:pStyle w:val="a3"/>
        <w:widowControl w:val="0"/>
        <w:numPr>
          <w:ilvl w:val="0"/>
          <w:numId w:val="2"/>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2-бөлімде Қазақстан Республикасының бейрезидент - сақтандыру (қайта сақтандыру) ұйымдарының филиалдарының активтері мен міндеттемелері туралы есептің міндеттемелері көрсетілген;</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 бөлімдері көрсеткіштерінің жол кодтары мынадай құрылымда берілген:</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 бірінші цифр (сан) - бөлімнің реттік нөмірі;</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 екінші цифр (сан) екі цифрдан тұрады – резиденттік белгісі және экономика секторы (бірінші цифр - резиденттік белгісі, екінші цифр - экономика секторы);</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3) соңғы цифр (сан) – кіші бөлімнің реттік нөмірі.</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Мысал: 15.15.07 – жолдың коды, мұндағы бірінші цифр «15» - бөлімнің реттік нөмірі, екінші цифр «15» – резидент, басқа қаржы ұйымдары және үшінші цифр «07» - кіші бөлімнің реттік нөмірі.</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Экономика секторлары бойынша бейрезиденттерге қатысты талаптар мен міндеттемелер бөлінбейді және бейрезидентке қатысты экономика секторының коды бойынша «0» қойылады.</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Нысанды толтыру кезінде мыналар ескеріледі:</w:t>
      </w:r>
    </w:p>
    <w:p w:rsidR="00E72EC4" w:rsidRPr="009206A5" w:rsidRDefault="00E72EC4" w:rsidP="00E72EC4">
      <w:pPr>
        <w:pStyle w:val="a3"/>
        <w:widowControl w:val="0"/>
        <w:numPr>
          <w:ilvl w:val="0"/>
          <w:numId w:val="3"/>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баптар бойынша деректер Қазақстан Республикасының бейрезидент сақтандыру (қайта сақтандыру) ұйымы филиалының Қазақстан Республикасының Ұлттық Банкіне сол есепті күнге Қазақстан Республикасының бейрезидент сақтандыру (қайта сақтандыру) ұйымы филиалының тапсырған ұқсас активтер мен міндеттемелер туралы есептің баптарының деректеріне сәйкес келеді</w:t>
      </w:r>
    </w:p>
    <w:p w:rsidR="00E72EC4" w:rsidRPr="009206A5" w:rsidRDefault="00E72EC4" w:rsidP="00E72EC4">
      <w:pPr>
        <w:pStyle w:val="a3"/>
        <w:widowControl w:val="0"/>
        <w:numPr>
          <w:ilvl w:val="0"/>
          <w:numId w:val="3"/>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активтердің жалпы көлемі активтердің барлық баптарының қорытынды деректерін қамтиды және Қазақстан Республикасының бейрезидент сақтандыру (қайта сақтандыру) ұйымдары филиалдарының Қазақстан Республикасының Ұлттық Банкіне ұсынатын сол есепті күнге Қазақстан Республикасының бейрезидент сақтандыру (қайта сақтандыру) ұйымдары филиалдарының активтер мен міндеттемелер туралы есептің жалпы сомасына сәйкес келеді;</w:t>
      </w:r>
    </w:p>
    <w:p w:rsidR="00E72EC4" w:rsidRPr="009206A5" w:rsidRDefault="00E72EC4" w:rsidP="00E72EC4">
      <w:pPr>
        <w:pStyle w:val="a3"/>
        <w:widowControl w:val="0"/>
        <w:numPr>
          <w:ilvl w:val="0"/>
          <w:numId w:val="3"/>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міндеттемелердің жалпы көлемі міндеттемелердің барлық баптарының қорытынды деректерін қамтиды және Қазақстан Республикасының бейрезидент сақтандыру (қайта сақтандыру) ұйымдары филиалдарының Қазақстан Республикасының Ұлттық Банкіне ұсынатын сол есепті күнге Қазақстан Республикасының бейрезидент сақтандыру (қайта сақтандыру) ұйымдары филиалдарының активтер мен міндеттемелер туралы есептің жалпы сомасына сәйкес келеді;</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 xml:space="preserve">Қазақстан Республикасының бейрезидент - сақтандыру (қайта </w:t>
      </w:r>
      <w:r w:rsidRPr="009206A5">
        <w:rPr>
          <w:color w:val="000000" w:themeColor="text1"/>
          <w:sz w:val="28"/>
          <w:szCs w:val="28"/>
          <w:lang w:val="kk-KZ"/>
        </w:rPr>
        <w:lastRenderedPageBreak/>
        <w:t>сақтандыру) ұйымдарының филиалдары үшін арифметикалық-логикалық бақылау:</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1) 1-баған бойынша барлық жолдар бойынша деректер 2, 3-бағандар бойынша деректер сомасына тең;</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2) 31-жол бойынша «активтер жиынтығы» көрсеткіші 1-ден 30-ға дейінгі жолдар бойынша көрсеткіштер сомасына тең;</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3) 54-жол бойынша «Қазақстан Республикасының бейрезидент сақтандыру (қайта сақтандыру) ұйымы филиалының міндеттемесі, бас офисінің шоты, резервтері мен қызмет нәтижелері жиынтығы» көрсеткіші 32-ден 53-ке дейінгі жолдар бойынша көрсеткіштер сомасына тең;</w:t>
      </w:r>
    </w:p>
    <w:p w:rsidR="00E72EC4" w:rsidRPr="009206A5" w:rsidRDefault="00E72EC4" w:rsidP="00E72EC4">
      <w:pPr>
        <w:widowControl w:val="0"/>
        <w:overflowPunct w:val="0"/>
        <w:autoSpaceDE w:val="0"/>
        <w:autoSpaceDN w:val="0"/>
        <w:adjustRightInd w:val="0"/>
        <w:ind w:firstLine="709"/>
        <w:jc w:val="both"/>
        <w:rPr>
          <w:color w:val="000000" w:themeColor="text1"/>
          <w:sz w:val="28"/>
          <w:szCs w:val="28"/>
          <w:lang w:val="kk-KZ"/>
        </w:rPr>
      </w:pPr>
      <w:r w:rsidRPr="009206A5">
        <w:rPr>
          <w:color w:val="000000" w:themeColor="text1"/>
          <w:sz w:val="28"/>
          <w:szCs w:val="28"/>
          <w:lang w:val="kk-KZ"/>
        </w:rPr>
        <w:t xml:space="preserve">4) 31-жол бойынша «активтер жиынтығы» көрсеткішінің сомасы мен </w:t>
      </w:r>
      <w:r w:rsidRPr="009206A5">
        <w:rPr>
          <w:color w:val="000000" w:themeColor="text1"/>
          <w:sz w:val="28"/>
          <w:szCs w:val="28"/>
          <w:lang w:val="kk-KZ"/>
        </w:rPr>
        <w:br/>
        <w:t>54-жол бойынша «Қазақстан Республикасының бейрезидент сақтандыру (қайта сақтандыру) ұйымы филиалының міндеттемесі, бас офисінің шоты, резервтері мен қызмет нәтижелері жиынтығы» көрсеткіші тең.</w:t>
      </w:r>
    </w:p>
    <w:p w:rsidR="00E72EC4" w:rsidRPr="009206A5" w:rsidRDefault="00E72EC4" w:rsidP="00E72EC4">
      <w:pPr>
        <w:pStyle w:val="a3"/>
        <w:widowControl w:val="0"/>
        <w:numPr>
          <w:ilvl w:val="0"/>
          <w:numId w:val="1"/>
        </w:numPr>
        <w:tabs>
          <w:tab w:val="left" w:pos="1134"/>
        </w:tabs>
        <w:overflowPunct w:val="0"/>
        <w:autoSpaceDE w:val="0"/>
        <w:autoSpaceDN w:val="0"/>
        <w:adjustRightInd w:val="0"/>
        <w:ind w:left="0" w:firstLine="709"/>
        <w:jc w:val="both"/>
        <w:rPr>
          <w:color w:val="000000" w:themeColor="text1"/>
          <w:sz w:val="28"/>
          <w:szCs w:val="28"/>
          <w:lang w:val="kk-KZ"/>
        </w:rPr>
      </w:pPr>
      <w:r w:rsidRPr="009206A5">
        <w:rPr>
          <w:color w:val="000000" w:themeColor="text1"/>
          <w:sz w:val="28"/>
          <w:szCs w:val="28"/>
          <w:lang w:val="kk-KZ"/>
        </w:rPr>
        <w:t>Деректер болмаған кезде мәліметтер берілмейді.</w:t>
      </w:r>
    </w:p>
    <w:p w:rsidR="00E72EC4" w:rsidRPr="009206A5" w:rsidRDefault="00E72EC4" w:rsidP="00E72EC4">
      <w:pPr>
        <w:widowControl w:val="0"/>
        <w:overflowPunct w:val="0"/>
        <w:autoSpaceDE w:val="0"/>
        <w:autoSpaceDN w:val="0"/>
        <w:adjustRightInd w:val="0"/>
        <w:ind w:firstLine="709"/>
        <w:rPr>
          <w:color w:val="000000" w:themeColor="text1"/>
          <w:sz w:val="28"/>
          <w:szCs w:val="28"/>
          <w:lang w:val="kk-KZ"/>
        </w:rPr>
      </w:pPr>
    </w:p>
    <w:p w:rsidR="00E72EC4" w:rsidRPr="009206A5" w:rsidRDefault="00E72EC4" w:rsidP="00E72EC4">
      <w:pPr>
        <w:widowControl w:val="0"/>
        <w:overflowPunct w:val="0"/>
        <w:autoSpaceDE w:val="0"/>
        <w:autoSpaceDN w:val="0"/>
        <w:adjustRightInd w:val="0"/>
        <w:ind w:firstLine="709"/>
        <w:rPr>
          <w:color w:val="000000" w:themeColor="text1"/>
          <w:sz w:val="28"/>
          <w:szCs w:val="28"/>
          <w:lang w:val="kk-KZ"/>
        </w:rPr>
      </w:pPr>
    </w:p>
    <w:p w:rsidR="00637CDD" w:rsidRPr="00E72EC4" w:rsidRDefault="00637CDD">
      <w:pPr>
        <w:rPr>
          <w:lang w:val="kk-KZ"/>
        </w:rPr>
      </w:pPr>
    </w:p>
    <w:sectPr w:rsidR="00637CDD" w:rsidRPr="00E7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F21"/>
    <w:multiLevelType w:val="hybridMultilevel"/>
    <w:tmpl w:val="B9629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2A4321A"/>
    <w:multiLevelType w:val="hybridMultilevel"/>
    <w:tmpl w:val="AB58F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02E7F2F"/>
    <w:multiLevelType w:val="hybridMultilevel"/>
    <w:tmpl w:val="FACE7E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C4"/>
    <w:rsid w:val="00637CDD"/>
    <w:rsid w:val="00E7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2226-0F4B-40AE-B7C8-23D14C83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Use Case List Paragraph,NUMBERED PARAGRAPH,List Paragraph 1,маркированный,Citation List,Heading1,Colorful List - Accent 11"/>
    <w:basedOn w:val="a"/>
    <w:link w:val="a4"/>
    <w:uiPriority w:val="34"/>
    <w:qFormat/>
    <w:rsid w:val="00E72EC4"/>
    <w:pPr>
      <w:ind w:left="720"/>
      <w:contextualSpacing/>
    </w:pPr>
  </w:style>
  <w:style w:type="character" w:customStyle="1" w:styleId="a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3"/>
    <w:uiPriority w:val="34"/>
    <w:locked/>
    <w:rsid w:val="00E72E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2022-02-14T11:43:00Z</dcterms:created>
  <dcterms:modified xsi:type="dcterms:W3CDTF">2022-02-14T11:43:00Z</dcterms:modified>
</cp:coreProperties>
</file>