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778" w:rsidRDefault="00F34778" w:rsidP="00F34778">
      <w:pPr>
        <w:widowControl w:val="0"/>
        <w:tabs>
          <w:tab w:val="left" w:pos="7230"/>
        </w:tabs>
        <w:spacing w:after="0" w:line="240" w:lineRule="auto"/>
        <w:jc w:val="center"/>
        <w:rPr>
          <w:b/>
          <w:szCs w:val="28"/>
        </w:rPr>
      </w:pPr>
      <w:r w:rsidRPr="00133A83">
        <w:rPr>
          <w:b/>
          <w:szCs w:val="28"/>
        </w:rPr>
        <w:t>«</w:t>
      </w:r>
      <w:proofErr w:type="spellStart"/>
      <w:r w:rsidRPr="00133A83">
        <w:rPr>
          <w:b/>
          <w:szCs w:val="28"/>
        </w:rPr>
        <w:t>Қазақстан</w:t>
      </w:r>
      <w:proofErr w:type="spellEnd"/>
      <w:r w:rsidRPr="00133A83">
        <w:rPr>
          <w:b/>
          <w:szCs w:val="28"/>
        </w:rPr>
        <w:t xml:space="preserve"> </w:t>
      </w:r>
      <w:proofErr w:type="spellStart"/>
      <w:r w:rsidRPr="00133A83">
        <w:rPr>
          <w:b/>
          <w:szCs w:val="28"/>
        </w:rPr>
        <w:t>Республикасының</w:t>
      </w:r>
      <w:proofErr w:type="spellEnd"/>
      <w:r w:rsidRPr="00133A83">
        <w:rPr>
          <w:b/>
          <w:szCs w:val="28"/>
        </w:rPr>
        <w:t xml:space="preserve"> </w:t>
      </w:r>
      <w:proofErr w:type="spellStart"/>
      <w:r w:rsidRPr="00133A83">
        <w:rPr>
          <w:b/>
          <w:szCs w:val="28"/>
        </w:rPr>
        <w:t>қаржылық</w:t>
      </w:r>
      <w:proofErr w:type="spellEnd"/>
      <w:r w:rsidRPr="00133A83">
        <w:rPr>
          <w:b/>
          <w:szCs w:val="28"/>
        </w:rPr>
        <w:t xml:space="preserve"> </w:t>
      </w:r>
      <w:proofErr w:type="spellStart"/>
      <w:r w:rsidRPr="00133A83">
        <w:rPr>
          <w:b/>
          <w:szCs w:val="28"/>
        </w:rPr>
        <w:t>тұрақтылығын</w:t>
      </w:r>
      <w:proofErr w:type="spellEnd"/>
      <w:r w:rsidRPr="00133A83">
        <w:rPr>
          <w:b/>
          <w:szCs w:val="28"/>
        </w:rPr>
        <w:t xml:space="preserve"> </w:t>
      </w:r>
      <w:proofErr w:type="spellStart"/>
      <w:r w:rsidRPr="00133A83">
        <w:rPr>
          <w:b/>
          <w:szCs w:val="28"/>
        </w:rPr>
        <w:t>қамтамасыз</w:t>
      </w:r>
      <w:proofErr w:type="spellEnd"/>
      <w:r w:rsidRPr="00133A83">
        <w:rPr>
          <w:b/>
          <w:szCs w:val="28"/>
        </w:rPr>
        <w:t xml:space="preserve"> </w:t>
      </w:r>
      <w:proofErr w:type="spellStart"/>
      <w:r w:rsidRPr="00133A83">
        <w:rPr>
          <w:b/>
          <w:szCs w:val="28"/>
        </w:rPr>
        <w:t>ету</w:t>
      </w:r>
      <w:proofErr w:type="spellEnd"/>
      <w:r w:rsidRPr="00133A83">
        <w:rPr>
          <w:b/>
          <w:szCs w:val="28"/>
        </w:rPr>
        <w:t xml:space="preserve"> </w:t>
      </w:r>
      <w:proofErr w:type="spellStart"/>
      <w:r w:rsidRPr="00133A83">
        <w:rPr>
          <w:b/>
          <w:szCs w:val="28"/>
        </w:rPr>
        <w:t>шаралары</w:t>
      </w:r>
      <w:proofErr w:type="spellEnd"/>
      <w:r w:rsidRPr="00133A83">
        <w:rPr>
          <w:b/>
          <w:szCs w:val="28"/>
        </w:rPr>
        <w:t xml:space="preserve"> </w:t>
      </w:r>
      <w:proofErr w:type="spellStart"/>
      <w:r w:rsidRPr="00133A83">
        <w:rPr>
          <w:b/>
          <w:szCs w:val="28"/>
        </w:rPr>
        <w:t>туралы</w:t>
      </w:r>
      <w:proofErr w:type="spellEnd"/>
      <w:r w:rsidRPr="00133A83">
        <w:rPr>
          <w:b/>
          <w:szCs w:val="28"/>
        </w:rPr>
        <w:t xml:space="preserve">» </w:t>
      </w:r>
    </w:p>
    <w:p w:rsidR="00F34778" w:rsidRPr="00133A83" w:rsidRDefault="00F34778" w:rsidP="00F34778">
      <w:pPr>
        <w:widowControl w:val="0"/>
        <w:tabs>
          <w:tab w:val="left" w:pos="7230"/>
        </w:tabs>
        <w:spacing w:after="0" w:line="240" w:lineRule="auto"/>
        <w:jc w:val="center"/>
        <w:rPr>
          <w:b/>
          <w:szCs w:val="28"/>
        </w:rPr>
      </w:pPr>
      <w:proofErr w:type="spellStart"/>
      <w:r w:rsidRPr="00133A83">
        <w:rPr>
          <w:b/>
          <w:szCs w:val="28"/>
        </w:rPr>
        <w:t>Қазақстан</w:t>
      </w:r>
      <w:proofErr w:type="spellEnd"/>
      <w:r w:rsidRPr="00133A83">
        <w:rPr>
          <w:b/>
          <w:szCs w:val="28"/>
        </w:rPr>
        <w:t xml:space="preserve"> </w:t>
      </w:r>
      <w:proofErr w:type="spellStart"/>
      <w:r w:rsidRPr="00133A83">
        <w:rPr>
          <w:b/>
          <w:szCs w:val="28"/>
        </w:rPr>
        <w:t>Республикасы</w:t>
      </w:r>
      <w:proofErr w:type="spellEnd"/>
      <w:r w:rsidRPr="00133A83">
        <w:rPr>
          <w:b/>
          <w:szCs w:val="28"/>
        </w:rPr>
        <w:t xml:space="preserve"> </w:t>
      </w:r>
      <w:proofErr w:type="spellStart"/>
      <w:r w:rsidRPr="00133A83">
        <w:rPr>
          <w:b/>
          <w:szCs w:val="28"/>
        </w:rPr>
        <w:t>Президентінің</w:t>
      </w:r>
      <w:proofErr w:type="spellEnd"/>
      <w:r w:rsidRPr="00133A83">
        <w:rPr>
          <w:b/>
          <w:szCs w:val="28"/>
        </w:rPr>
        <w:t xml:space="preserve"> 2022 </w:t>
      </w:r>
      <w:proofErr w:type="spellStart"/>
      <w:r w:rsidRPr="00133A83">
        <w:rPr>
          <w:b/>
          <w:szCs w:val="28"/>
        </w:rPr>
        <w:t>жылғы</w:t>
      </w:r>
      <w:proofErr w:type="spellEnd"/>
      <w:r w:rsidRPr="00133A83">
        <w:rPr>
          <w:b/>
          <w:szCs w:val="28"/>
        </w:rPr>
        <w:t xml:space="preserve"> 14 </w:t>
      </w:r>
      <w:proofErr w:type="spellStart"/>
      <w:r w:rsidRPr="00133A83">
        <w:rPr>
          <w:b/>
          <w:szCs w:val="28"/>
        </w:rPr>
        <w:t>наурыздағы</w:t>
      </w:r>
      <w:proofErr w:type="spellEnd"/>
      <w:r w:rsidRPr="00133A83">
        <w:rPr>
          <w:b/>
          <w:szCs w:val="28"/>
        </w:rPr>
        <w:t xml:space="preserve"> № 830 </w:t>
      </w:r>
      <w:proofErr w:type="spellStart"/>
      <w:r w:rsidRPr="00133A83">
        <w:rPr>
          <w:b/>
          <w:szCs w:val="28"/>
        </w:rPr>
        <w:t>Жарлығына</w:t>
      </w:r>
      <w:proofErr w:type="spellEnd"/>
    </w:p>
    <w:p w:rsidR="00F34778" w:rsidRPr="00133A83" w:rsidRDefault="00F34778" w:rsidP="00F34778">
      <w:pPr>
        <w:widowControl w:val="0"/>
        <w:tabs>
          <w:tab w:val="left" w:pos="7230"/>
        </w:tabs>
        <w:spacing w:after="0" w:line="240" w:lineRule="auto"/>
        <w:jc w:val="center"/>
        <w:rPr>
          <w:b/>
          <w:szCs w:val="28"/>
        </w:rPr>
      </w:pPr>
      <w:r>
        <w:rPr>
          <w:b/>
          <w:szCs w:val="28"/>
          <w:lang w:val="kk-KZ"/>
        </w:rPr>
        <w:t xml:space="preserve">өзгеріс пен </w:t>
      </w:r>
      <w:proofErr w:type="spellStart"/>
      <w:r w:rsidRPr="00133A83">
        <w:rPr>
          <w:b/>
          <w:szCs w:val="28"/>
        </w:rPr>
        <w:t>толықтыру</w:t>
      </w:r>
      <w:proofErr w:type="spellEnd"/>
      <w:r>
        <w:rPr>
          <w:b/>
          <w:szCs w:val="28"/>
          <w:lang w:val="kk-KZ"/>
        </w:rPr>
        <w:t>лар</w:t>
      </w:r>
      <w:r w:rsidRPr="00133A83">
        <w:rPr>
          <w:b/>
          <w:szCs w:val="28"/>
        </w:rPr>
        <w:t xml:space="preserve"> </w:t>
      </w:r>
      <w:proofErr w:type="spellStart"/>
      <w:r w:rsidRPr="00133A83">
        <w:rPr>
          <w:b/>
          <w:szCs w:val="28"/>
        </w:rPr>
        <w:t>енгізу</w:t>
      </w:r>
      <w:proofErr w:type="spellEnd"/>
      <w:r w:rsidRPr="00133A83">
        <w:rPr>
          <w:b/>
          <w:szCs w:val="28"/>
        </w:rPr>
        <w:t xml:space="preserve"> </w:t>
      </w:r>
      <w:proofErr w:type="spellStart"/>
      <w:r w:rsidRPr="00133A83">
        <w:rPr>
          <w:b/>
          <w:szCs w:val="28"/>
        </w:rPr>
        <w:t>туралы</w:t>
      </w:r>
      <w:proofErr w:type="spellEnd"/>
      <w:r>
        <w:rPr>
          <w:b/>
          <w:szCs w:val="28"/>
          <w:lang w:val="kk-KZ"/>
        </w:rPr>
        <w:t>»</w:t>
      </w:r>
      <w:r w:rsidRPr="00CD58D1">
        <w:rPr>
          <w:b/>
          <w:szCs w:val="28"/>
        </w:rPr>
        <w:t xml:space="preserve"> </w:t>
      </w:r>
      <w:proofErr w:type="spellStart"/>
      <w:r w:rsidRPr="00133A83">
        <w:rPr>
          <w:b/>
          <w:szCs w:val="28"/>
        </w:rPr>
        <w:t>Қазақстан</w:t>
      </w:r>
      <w:proofErr w:type="spellEnd"/>
      <w:r w:rsidRPr="00133A83">
        <w:rPr>
          <w:b/>
          <w:szCs w:val="28"/>
        </w:rPr>
        <w:t xml:space="preserve"> </w:t>
      </w:r>
      <w:proofErr w:type="spellStart"/>
      <w:r w:rsidRPr="00133A83">
        <w:rPr>
          <w:b/>
          <w:szCs w:val="28"/>
        </w:rPr>
        <w:t>Республикасы</w:t>
      </w:r>
      <w:proofErr w:type="spellEnd"/>
      <w:r w:rsidRPr="00133A83">
        <w:rPr>
          <w:b/>
          <w:szCs w:val="28"/>
        </w:rPr>
        <w:t xml:space="preserve"> </w:t>
      </w:r>
      <w:proofErr w:type="spellStart"/>
      <w:r w:rsidRPr="00133A83">
        <w:rPr>
          <w:b/>
          <w:szCs w:val="28"/>
        </w:rPr>
        <w:t>Президенті</w:t>
      </w:r>
      <w:proofErr w:type="spellEnd"/>
      <w:r>
        <w:rPr>
          <w:b/>
          <w:szCs w:val="28"/>
          <w:lang w:val="kk-KZ"/>
        </w:rPr>
        <w:t xml:space="preserve"> Жарлығының жобасына</w:t>
      </w:r>
    </w:p>
    <w:p w:rsidR="00F34778" w:rsidRDefault="00F34778" w:rsidP="00F34778">
      <w:pPr>
        <w:widowControl w:val="0"/>
        <w:tabs>
          <w:tab w:val="left" w:pos="7230"/>
        </w:tabs>
        <w:spacing w:after="0" w:line="240" w:lineRule="auto"/>
        <w:jc w:val="center"/>
        <w:rPr>
          <w:rFonts w:eastAsia="Times New Roman"/>
          <w:b/>
          <w:bCs/>
          <w:szCs w:val="28"/>
          <w:lang w:val="kk-KZ" w:eastAsia="ru-RU"/>
        </w:rPr>
      </w:pPr>
      <w:r w:rsidRPr="00D24DE0">
        <w:rPr>
          <w:rFonts w:eastAsia="Times New Roman"/>
          <w:b/>
          <w:bCs/>
          <w:szCs w:val="28"/>
          <w:lang w:eastAsia="ru-RU"/>
        </w:rPr>
        <w:t>С</w:t>
      </w:r>
      <w:r>
        <w:rPr>
          <w:rFonts w:eastAsia="Times New Roman"/>
          <w:b/>
          <w:bCs/>
          <w:szCs w:val="28"/>
          <w:lang w:val="kk-KZ" w:eastAsia="ru-RU"/>
        </w:rPr>
        <w:t>АЛЫСТЫРМАЛЫ КЕСТЕ</w:t>
      </w:r>
    </w:p>
    <w:p w:rsidR="00545920" w:rsidRPr="00D24DE0" w:rsidRDefault="00545920" w:rsidP="00545920">
      <w:pPr>
        <w:widowControl w:val="0"/>
        <w:tabs>
          <w:tab w:val="left" w:pos="7230"/>
        </w:tabs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</w:p>
    <w:tbl>
      <w:tblPr>
        <w:tblpPr w:leftFromText="180" w:rightFromText="180" w:vertAnchor="text" w:tblpX="-748" w:tblpY="1"/>
        <w:tblOverlap w:val="never"/>
        <w:tblW w:w="15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38"/>
        <w:gridCol w:w="4820"/>
        <w:gridCol w:w="4677"/>
        <w:gridCol w:w="3685"/>
      </w:tblGrid>
      <w:tr w:rsidR="00545920" w:rsidRPr="00D24DE0" w:rsidTr="00DC5151">
        <w:trPr>
          <w:trHeight w:val="562"/>
          <w:tblHeader/>
        </w:trPr>
        <w:tc>
          <w:tcPr>
            <w:tcW w:w="567" w:type="dxa"/>
            <w:tcBorders>
              <w:bottom w:val="single" w:sz="4" w:space="0" w:color="auto"/>
            </w:tcBorders>
          </w:tcPr>
          <w:p w:rsidR="00545920" w:rsidRPr="00D24DE0" w:rsidRDefault="00545920" w:rsidP="00EA5280">
            <w:pPr>
              <w:widowControl w:val="0"/>
              <w:tabs>
                <w:tab w:val="left" w:pos="7230"/>
              </w:tabs>
              <w:spacing w:after="0"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D24DE0">
              <w:rPr>
                <w:rFonts w:eastAsia="Times New Roman"/>
                <w:b/>
                <w:bCs/>
                <w:szCs w:val="28"/>
                <w:lang w:eastAsia="ru-RU"/>
              </w:rPr>
              <w:t>№ п/п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545920" w:rsidRPr="00D24DE0" w:rsidRDefault="00545920" w:rsidP="00EA5280">
            <w:pPr>
              <w:widowControl w:val="0"/>
              <w:tabs>
                <w:tab w:val="left" w:pos="7230"/>
              </w:tabs>
              <w:spacing w:after="0"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D24DE0">
              <w:rPr>
                <w:rFonts w:eastAsia="Times New Roman"/>
                <w:b/>
                <w:szCs w:val="28"/>
                <w:lang w:eastAsia="ru-RU"/>
              </w:rPr>
              <w:t>Структурный элемент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545920" w:rsidRPr="00D24DE0" w:rsidRDefault="00545920" w:rsidP="00EA5280">
            <w:pPr>
              <w:widowControl w:val="0"/>
              <w:tabs>
                <w:tab w:val="left" w:pos="7230"/>
              </w:tabs>
              <w:spacing w:after="0"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D24DE0">
              <w:rPr>
                <w:rFonts w:eastAsia="Times New Roman"/>
                <w:b/>
                <w:szCs w:val="28"/>
                <w:lang w:eastAsia="ru-RU"/>
              </w:rPr>
              <w:t xml:space="preserve">Действующая </w:t>
            </w:r>
          </w:p>
          <w:p w:rsidR="00545920" w:rsidRPr="00D24DE0" w:rsidRDefault="00545920" w:rsidP="00EA5280">
            <w:pPr>
              <w:widowControl w:val="0"/>
              <w:tabs>
                <w:tab w:val="left" w:pos="7230"/>
              </w:tabs>
              <w:spacing w:after="0"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D24DE0">
              <w:rPr>
                <w:rFonts w:eastAsia="Times New Roman"/>
                <w:b/>
                <w:szCs w:val="28"/>
                <w:lang w:eastAsia="ru-RU"/>
              </w:rPr>
              <w:t>редакция</w:t>
            </w:r>
          </w:p>
        </w:tc>
        <w:tc>
          <w:tcPr>
            <w:tcW w:w="4677" w:type="dxa"/>
            <w:tcBorders>
              <w:bottom w:val="single" w:sz="4" w:space="0" w:color="auto"/>
              <w:right w:val="single" w:sz="4" w:space="0" w:color="auto"/>
            </w:tcBorders>
          </w:tcPr>
          <w:p w:rsidR="00545920" w:rsidRPr="00D24DE0" w:rsidRDefault="00545920" w:rsidP="00EA5280">
            <w:pPr>
              <w:widowControl w:val="0"/>
              <w:tabs>
                <w:tab w:val="left" w:pos="7230"/>
              </w:tabs>
              <w:spacing w:after="0" w:line="240" w:lineRule="auto"/>
              <w:ind w:hanging="4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D24DE0">
              <w:rPr>
                <w:rFonts w:eastAsia="Times New Roman"/>
                <w:b/>
                <w:szCs w:val="28"/>
                <w:lang w:eastAsia="ru-RU"/>
              </w:rPr>
              <w:t>Предлагаемая</w:t>
            </w:r>
          </w:p>
          <w:p w:rsidR="00545920" w:rsidRPr="00D24DE0" w:rsidRDefault="00545920" w:rsidP="00EA5280">
            <w:pPr>
              <w:widowControl w:val="0"/>
              <w:tabs>
                <w:tab w:val="left" w:pos="7230"/>
              </w:tabs>
              <w:spacing w:after="0" w:line="240" w:lineRule="auto"/>
              <w:ind w:hanging="4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D24DE0">
              <w:rPr>
                <w:rFonts w:eastAsia="Times New Roman"/>
                <w:b/>
                <w:szCs w:val="28"/>
                <w:lang w:eastAsia="ru-RU"/>
              </w:rPr>
              <w:t>редакция</w:t>
            </w: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:rsidR="00545920" w:rsidRPr="00D24DE0" w:rsidRDefault="00545920" w:rsidP="00EA5280">
            <w:pPr>
              <w:widowControl w:val="0"/>
              <w:tabs>
                <w:tab w:val="left" w:pos="7230"/>
              </w:tabs>
              <w:spacing w:after="0" w:line="240" w:lineRule="auto"/>
              <w:jc w:val="center"/>
              <w:rPr>
                <w:b/>
                <w:szCs w:val="28"/>
              </w:rPr>
            </w:pPr>
            <w:r w:rsidRPr="00D24DE0">
              <w:rPr>
                <w:b/>
                <w:szCs w:val="28"/>
              </w:rPr>
              <w:t>Обоснование</w:t>
            </w:r>
          </w:p>
        </w:tc>
      </w:tr>
      <w:tr w:rsidR="00F34778" w:rsidRPr="00E67908" w:rsidTr="00DC5151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567" w:type="dxa"/>
            <w:shd w:val="clear" w:color="auto" w:fill="auto"/>
          </w:tcPr>
          <w:p w:rsidR="00F34778" w:rsidRPr="00D24DE0" w:rsidRDefault="00F34778" w:rsidP="00F34778">
            <w:pPr>
              <w:widowControl w:val="0"/>
              <w:tabs>
                <w:tab w:val="left" w:pos="7230"/>
              </w:tabs>
              <w:spacing w:after="0" w:line="240" w:lineRule="auto"/>
              <w:jc w:val="center"/>
              <w:rPr>
                <w:szCs w:val="28"/>
              </w:rPr>
            </w:pPr>
            <w:r w:rsidRPr="00D24DE0">
              <w:rPr>
                <w:szCs w:val="28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:rsidR="00F34778" w:rsidRPr="00D24DE0" w:rsidRDefault="00F34778" w:rsidP="00F34778">
            <w:pPr>
              <w:widowControl w:val="0"/>
              <w:tabs>
                <w:tab w:val="left" w:pos="7230"/>
              </w:tabs>
              <w:spacing w:after="0" w:line="240" w:lineRule="auto"/>
              <w:rPr>
                <w:rFonts w:eastAsia="Times New Roman"/>
                <w:bCs/>
                <w:szCs w:val="28"/>
                <w:lang w:eastAsia="ru-RU"/>
              </w:rPr>
            </w:pPr>
            <w:r w:rsidRPr="00AF20B3">
              <w:rPr>
                <w:rFonts w:eastAsia="Times New Roman"/>
                <w:bCs/>
                <w:szCs w:val="28"/>
                <w:lang w:eastAsia="ru-RU"/>
              </w:rPr>
              <w:t>1-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20B3">
              <w:rPr>
                <w:rFonts w:eastAsia="Times New Roman"/>
                <w:bCs/>
                <w:szCs w:val="28"/>
                <w:lang w:eastAsia="ru-RU"/>
              </w:rPr>
              <w:t>тармақтың</w:t>
            </w:r>
            <w:proofErr w:type="spellEnd"/>
            <w:r w:rsidRPr="00AF20B3">
              <w:rPr>
                <w:rFonts w:eastAsia="Times New Roman"/>
                <w:bCs/>
                <w:szCs w:val="28"/>
                <w:lang w:eastAsia="ru-RU"/>
              </w:rPr>
              <w:t xml:space="preserve"> 2-тармақшасы</w:t>
            </w:r>
          </w:p>
        </w:tc>
        <w:tc>
          <w:tcPr>
            <w:tcW w:w="4820" w:type="dxa"/>
            <w:shd w:val="clear" w:color="auto" w:fill="auto"/>
          </w:tcPr>
          <w:p w:rsidR="00F34778" w:rsidRPr="003C0EC8" w:rsidRDefault="00F34778" w:rsidP="00F34778">
            <w:pPr>
              <w:widowControl w:val="0"/>
              <w:tabs>
                <w:tab w:val="left" w:pos="7230"/>
              </w:tabs>
              <w:spacing w:after="0" w:line="240" w:lineRule="auto"/>
              <w:ind w:firstLine="310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  <w:r w:rsidRPr="003C0EC8">
              <w:rPr>
                <w:rFonts w:eastAsia="Times New Roman"/>
                <w:bCs/>
                <w:szCs w:val="28"/>
                <w:lang w:val="kk-KZ" w:eastAsia="ru-RU"/>
              </w:rPr>
              <w:t>1. Қазақстан Республикасынан:</w:t>
            </w:r>
          </w:p>
          <w:p w:rsidR="00F34778" w:rsidRPr="003C0EC8" w:rsidRDefault="00F34778" w:rsidP="00F34778">
            <w:pPr>
              <w:widowControl w:val="0"/>
              <w:tabs>
                <w:tab w:val="left" w:pos="7230"/>
              </w:tabs>
              <w:spacing w:after="0" w:line="240" w:lineRule="auto"/>
              <w:ind w:firstLine="310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  <w:r w:rsidRPr="003C0EC8">
              <w:rPr>
                <w:rFonts w:eastAsia="Times New Roman"/>
                <w:bCs/>
                <w:szCs w:val="28"/>
                <w:lang w:val="kk-KZ" w:eastAsia="ru-RU"/>
              </w:rPr>
              <w:t>...</w:t>
            </w:r>
          </w:p>
          <w:p w:rsidR="00F34778" w:rsidRPr="00C6611A" w:rsidRDefault="00F34778" w:rsidP="00F34778">
            <w:pPr>
              <w:widowControl w:val="0"/>
              <w:tabs>
                <w:tab w:val="left" w:pos="7230"/>
              </w:tabs>
              <w:spacing w:after="0" w:line="240" w:lineRule="auto"/>
              <w:ind w:firstLine="310"/>
              <w:jc w:val="both"/>
              <w:rPr>
                <w:rFonts w:eastAsia="Times New Roman"/>
                <w:b/>
                <w:bCs/>
                <w:szCs w:val="28"/>
                <w:lang w:val="kk-KZ" w:eastAsia="ru-RU"/>
              </w:rPr>
            </w:pPr>
            <w:r w:rsidRPr="003C0EC8">
              <w:rPr>
                <w:rFonts w:eastAsia="Times New Roman"/>
                <w:bCs/>
                <w:szCs w:val="28"/>
                <w:lang w:val="kk-KZ" w:eastAsia="ru-RU"/>
              </w:rPr>
              <w:t>2) Қазақстан Республикасының Ұлттық Банкі шығаратын аффинирленген алтынның 5, 10, 20, 50 және 100 грамм алтын құймаларын және алтыннан жасалған «ALTYN BARYS» және күмістен жасалған «KÚMIS BARYS» инвестициялық монеталарын, сондай-ақ 100 грамнан астам аффинирленген алтынды әкетуге тыйым салынсын.</w:t>
            </w:r>
          </w:p>
        </w:tc>
        <w:tc>
          <w:tcPr>
            <w:tcW w:w="4677" w:type="dxa"/>
            <w:shd w:val="clear" w:color="auto" w:fill="auto"/>
          </w:tcPr>
          <w:p w:rsidR="00F34778" w:rsidRPr="003C0EC8" w:rsidRDefault="00F34778" w:rsidP="00F34778">
            <w:pPr>
              <w:widowControl w:val="0"/>
              <w:tabs>
                <w:tab w:val="left" w:pos="7230"/>
              </w:tabs>
              <w:spacing w:after="0" w:line="240" w:lineRule="auto"/>
              <w:ind w:firstLine="310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  <w:r w:rsidRPr="003C0EC8">
              <w:rPr>
                <w:rFonts w:eastAsia="Times New Roman"/>
                <w:bCs/>
                <w:szCs w:val="28"/>
                <w:lang w:val="kk-KZ" w:eastAsia="ru-RU"/>
              </w:rPr>
              <w:t>1. Қазақстан Республикасынан:</w:t>
            </w:r>
          </w:p>
          <w:p w:rsidR="00F34778" w:rsidRPr="003C0EC8" w:rsidRDefault="00F34778" w:rsidP="00F34778">
            <w:pPr>
              <w:widowControl w:val="0"/>
              <w:tabs>
                <w:tab w:val="left" w:pos="7230"/>
              </w:tabs>
              <w:spacing w:after="0" w:line="240" w:lineRule="auto"/>
              <w:ind w:firstLine="310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  <w:r w:rsidRPr="003C0EC8">
              <w:rPr>
                <w:rFonts w:eastAsia="Times New Roman"/>
                <w:bCs/>
                <w:szCs w:val="28"/>
                <w:lang w:val="kk-KZ" w:eastAsia="ru-RU"/>
              </w:rPr>
              <w:t>...</w:t>
            </w:r>
          </w:p>
          <w:p w:rsidR="00F34778" w:rsidRPr="00C6611A" w:rsidRDefault="00F34778" w:rsidP="00F34778">
            <w:pPr>
              <w:widowControl w:val="0"/>
              <w:tabs>
                <w:tab w:val="left" w:pos="317"/>
                <w:tab w:val="left" w:pos="7230"/>
              </w:tabs>
              <w:spacing w:after="0" w:line="240" w:lineRule="auto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  <w:r w:rsidRPr="003C0EC8">
              <w:rPr>
                <w:b/>
                <w:szCs w:val="28"/>
                <w:lang w:val="kk-KZ"/>
              </w:rPr>
              <w:t xml:space="preserve">2) </w:t>
            </w:r>
            <w:r w:rsidRPr="003C0EC8">
              <w:rPr>
                <w:b/>
                <w:lang w:val="kk-KZ"/>
              </w:rPr>
              <w:t>аффинирленген алтынның 5, 10, 20, 50 және 100 грамм алтын құймаларын</w:t>
            </w:r>
            <w:r w:rsidRPr="003C0EC8">
              <w:rPr>
                <w:b/>
                <w:szCs w:val="28"/>
                <w:lang w:val="kk-KZ"/>
              </w:rPr>
              <w:t xml:space="preserve">, сондай-ақ 100 грамнан астам </w:t>
            </w:r>
            <w:r w:rsidRPr="003C0EC8">
              <w:rPr>
                <w:b/>
                <w:lang w:val="kk-KZ"/>
              </w:rPr>
              <w:t>аффинирленген алтынды әкетуге тыйым салынсын</w:t>
            </w:r>
            <w:r w:rsidRPr="003C0EC8">
              <w:rPr>
                <w:b/>
                <w:szCs w:val="28"/>
                <w:lang w:val="kk-KZ"/>
              </w:rPr>
              <w:t>.</w:t>
            </w:r>
          </w:p>
        </w:tc>
        <w:tc>
          <w:tcPr>
            <w:tcW w:w="3685" w:type="dxa"/>
          </w:tcPr>
          <w:p w:rsidR="00F34778" w:rsidRPr="00B40574" w:rsidRDefault="00B40574" w:rsidP="001C521C">
            <w:pPr>
              <w:widowControl w:val="0"/>
              <w:tabs>
                <w:tab w:val="left" w:pos="317"/>
                <w:tab w:val="left" w:pos="7230"/>
              </w:tabs>
              <w:spacing w:after="0" w:line="240" w:lineRule="auto"/>
              <w:ind w:firstLine="317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  <w:r w:rsidRPr="00B40574">
              <w:rPr>
                <w:rFonts w:eastAsia="Times New Roman"/>
                <w:bCs/>
                <w:szCs w:val="28"/>
                <w:lang w:val="kk-KZ" w:eastAsia="ru-RU"/>
              </w:rPr>
              <w:t xml:space="preserve">Инвестициялық монеталардың қазақстандық брендінің танылуын арттыру және ішкі және сыртқы нарықта сұранысты </w:t>
            </w:r>
            <w:r w:rsidR="00D21817">
              <w:rPr>
                <w:rFonts w:eastAsia="Times New Roman"/>
                <w:bCs/>
                <w:szCs w:val="28"/>
                <w:lang w:val="kk-KZ" w:eastAsia="ru-RU"/>
              </w:rPr>
              <w:t>ұлғайту</w:t>
            </w:r>
            <w:r w:rsidRPr="00B40574">
              <w:rPr>
                <w:rFonts w:eastAsia="Times New Roman"/>
                <w:bCs/>
                <w:szCs w:val="28"/>
                <w:lang w:val="kk-KZ" w:eastAsia="ru-RU"/>
              </w:rPr>
              <w:t xml:space="preserve"> мақсатында </w:t>
            </w:r>
            <w:r w:rsidR="001C521C">
              <w:rPr>
                <w:rFonts w:eastAsia="Times New Roman"/>
                <w:bCs/>
                <w:szCs w:val="28"/>
                <w:lang w:val="kk-KZ" w:eastAsia="ru-RU"/>
              </w:rPr>
              <w:t>әкетуге</w:t>
            </w:r>
            <w:r w:rsidR="00B858CC">
              <w:rPr>
                <w:rFonts w:eastAsia="Times New Roman"/>
                <w:bCs/>
                <w:szCs w:val="28"/>
                <w:lang w:val="kk-KZ" w:eastAsia="ru-RU"/>
              </w:rPr>
              <w:t xml:space="preserve"> </w:t>
            </w:r>
            <w:r w:rsidRPr="00B40574">
              <w:rPr>
                <w:rFonts w:eastAsia="Times New Roman"/>
                <w:bCs/>
                <w:szCs w:val="28"/>
                <w:lang w:val="kk-KZ" w:eastAsia="ru-RU"/>
              </w:rPr>
              <w:t>тыйым салынғандар қатарынан алтыннан жасалған «ALTYN BARYS»  және күмістен жасалған «KÚMIS BARYS» инвестициялық монеталарын алып тастау ұсынылады.</w:t>
            </w:r>
          </w:p>
        </w:tc>
      </w:tr>
      <w:tr w:rsidR="00F34778" w:rsidRPr="00E67908" w:rsidTr="00DC5151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567" w:type="dxa"/>
            <w:shd w:val="clear" w:color="auto" w:fill="auto"/>
          </w:tcPr>
          <w:p w:rsidR="00F34778" w:rsidRPr="009C0A72" w:rsidRDefault="00F34778" w:rsidP="00F34778">
            <w:pPr>
              <w:widowControl w:val="0"/>
              <w:tabs>
                <w:tab w:val="left" w:pos="7230"/>
              </w:tabs>
              <w:spacing w:after="0" w:line="240" w:lineRule="auto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:rsidR="00F34778" w:rsidRDefault="00F34778" w:rsidP="00F34778">
            <w:pPr>
              <w:widowControl w:val="0"/>
              <w:tabs>
                <w:tab w:val="left" w:pos="7230"/>
              </w:tabs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E08AD">
              <w:rPr>
                <w:rFonts w:eastAsia="Times New Roman"/>
                <w:bCs/>
                <w:szCs w:val="28"/>
                <w:lang w:eastAsia="ru-RU"/>
              </w:rPr>
              <w:t xml:space="preserve">1-1 </w:t>
            </w:r>
            <w:proofErr w:type="spellStart"/>
            <w:r w:rsidRPr="000E08AD">
              <w:rPr>
                <w:rFonts w:eastAsia="Times New Roman"/>
                <w:bCs/>
                <w:szCs w:val="28"/>
                <w:lang w:eastAsia="ru-RU"/>
              </w:rPr>
              <w:t>тармақ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F34778" w:rsidRPr="007F5721" w:rsidRDefault="00F34778" w:rsidP="00F34778">
            <w:pPr>
              <w:widowControl w:val="0"/>
              <w:tabs>
                <w:tab w:val="left" w:pos="7230"/>
              </w:tabs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1-1. Осы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Жарлықтың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1-тармағының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талаптары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>:</w:t>
            </w:r>
          </w:p>
          <w:p w:rsidR="00F34778" w:rsidRPr="007F5721" w:rsidRDefault="00F34778" w:rsidP="00F34778">
            <w:pPr>
              <w:widowControl w:val="0"/>
              <w:tabs>
                <w:tab w:val="left" w:pos="7230"/>
              </w:tabs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1) Қазақстан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Республикасы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Ұлттық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Банкінің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операцияларына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,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сондай-ақ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Қазақстан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Республикасы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Ұлттық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Банкінің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құрылымына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кіретін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lastRenderedPageBreak/>
              <w:t>ұйымдардың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операцияларына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>;</w:t>
            </w:r>
          </w:p>
          <w:p w:rsidR="00F34778" w:rsidRPr="007F5721" w:rsidRDefault="00F34778" w:rsidP="00F34778">
            <w:pPr>
              <w:widowControl w:val="0"/>
              <w:tabs>
                <w:tab w:val="left" w:pos="7230"/>
              </w:tabs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2)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Қазақстан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Республикасының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аумағына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Еуразиялық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экономикалық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одаққа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мүше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болып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табылмайтын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мемлекеттің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аумағынан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əкелінген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жəне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қайта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өңдеу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шарттары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туралы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құжат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жəне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мемлекеттік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бақылау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актісі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негізінде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«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кері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экспорт»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кедендік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рəсімімен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мəлімделетін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шетелдік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шикізатты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қайта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өңдеуден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кейін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алынған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аффинирленген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алтынды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əкетуге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>;</w:t>
            </w:r>
          </w:p>
          <w:p w:rsidR="00F34778" w:rsidRPr="007F5721" w:rsidRDefault="00F34778" w:rsidP="00F34778">
            <w:pPr>
              <w:widowControl w:val="0"/>
              <w:tabs>
                <w:tab w:val="left" w:pos="7230"/>
              </w:tabs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3)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Еуразиялық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экономикалық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одаққа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мүше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болып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табылатын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мемлекеттің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алыс-беріс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шикізатын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қайта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өңдегеннен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кейін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алынған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аффинирленген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алтынды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сол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Еуразиялық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экономикалық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одаққа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мүше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мемлекеттің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аумағына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аффинирленген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алтынды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кейіннен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əкете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отырып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(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қайта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өңдеу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шарттары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туралы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қорытынды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негізінде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)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əкетуге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>;</w:t>
            </w:r>
          </w:p>
          <w:p w:rsidR="00F34778" w:rsidRPr="007F5721" w:rsidRDefault="00F34778" w:rsidP="00F34778">
            <w:pPr>
              <w:widowControl w:val="0"/>
              <w:tabs>
                <w:tab w:val="left" w:pos="7230"/>
              </w:tabs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4)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екінші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деңгейдегі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банктердің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шетелдік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банкпен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жасасқан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тиісті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шарты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негізінде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жүзеге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асырылатын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төлемдік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емес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жəне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(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немесе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)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айналысқа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жарамсыз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қолма-қол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шетел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lastRenderedPageBreak/>
              <w:t>валютасын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əкетуіне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>;</w:t>
            </w:r>
          </w:p>
          <w:p w:rsidR="00F34778" w:rsidRPr="007F5721" w:rsidRDefault="00F34778" w:rsidP="00F34778">
            <w:pPr>
              <w:widowControl w:val="0"/>
              <w:tabs>
                <w:tab w:val="left" w:pos="7230"/>
              </w:tabs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5)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Қазақстан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Республикасы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Үкіметінің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hyperlink r:id="rId7" w:history="1">
              <w:proofErr w:type="spellStart"/>
              <w:r w:rsidRPr="007F5721">
                <w:rPr>
                  <w:rStyle w:val="aa"/>
                  <w:rFonts w:eastAsia="Times New Roman"/>
                  <w:bCs/>
                  <w:szCs w:val="28"/>
                  <w:lang w:eastAsia="ru-RU"/>
                </w:rPr>
                <w:t>жекелеген</w:t>
              </w:r>
              <w:proofErr w:type="spellEnd"/>
              <w:r w:rsidRPr="007F5721">
                <w:rPr>
                  <w:rStyle w:val="aa"/>
                  <w:rFonts w:eastAsia="Times New Roman"/>
                  <w:bCs/>
                  <w:szCs w:val="28"/>
                  <w:lang w:eastAsia="ru-RU"/>
                </w:rPr>
                <w:t xml:space="preserve"> </w:t>
              </w:r>
              <w:proofErr w:type="spellStart"/>
              <w:r w:rsidRPr="007F5721">
                <w:rPr>
                  <w:rStyle w:val="aa"/>
                  <w:rFonts w:eastAsia="Times New Roman"/>
                  <w:bCs/>
                  <w:szCs w:val="28"/>
                  <w:lang w:eastAsia="ru-RU"/>
                </w:rPr>
                <w:t>актілерінде</w:t>
              </w:r>
              <w:proofErr w:type="spellEnd"/>
            </w:hyperlink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айқындалатын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өзге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де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жағдайларға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қолданылмайды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деп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7F5721">
              <w:rPr>
                <w:rFonts w:eastAsia="Times New Roman"/>
                <w:bCs/>
                <w:szCs w:val="28"/>
                <w:lang w:eastAsia="ru-RU"/>
              </w:rPr>
              <w:t>белгіленсін</w:t>
            </w:r>
            <w:proofErr w:type="spellEnd"/>
            <w:r w:rsidRPr="007F5721">
              <w:rPr>
                <w:rFonts w:eastAsia="Times New Roman"/>
                <w:bCs/>
                <w:szCs w:val="28"/>
                <w:lang w:eastAsia="ru-RU"/>
              </w:rPr>
              <w:t>.</w:t>
            </w:r>
          </w:p>
          <w:p w:rsidR="00F34778" w:rsidRPr="001620E9" w:rsidRDefault="00F34778" w:rsidP="00F34778">
            <w:pPr>
              <w:widowControl w:val="0"/>
              <w:tabs>
                <w:tab w:val="left" w:pos="7230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F34778" w:rsidRPr="00AF1203" w:rsidRDefault="00F34778" w:rsidP="00F34778">
            <w:pPr>
              <w:widowControl w:val="0"/>
              <w:tabs>
                <w:tab w:val="left" w:pos="317"/>
                <w:tab w:val="left" w:pos="7230"/>
              </w:tabs>
              <w:spacing w:after="0" w:line="240" w:lineRule="auto"/>
              <w:ind w:firstLine="317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AF1203">
              <w:rPr>
                <w:rFonts w:eastAsia="Times New Roman"/>
                <w:bCs/>
                <w:szCs w:val="28"/>
                <w:lang w:eastAsia="ru-RU"/>
              </w:rPr>
              <w:lastRenderedPageBreak/>
              <w:t xml:space="preserve">1-1. Осы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Жарлықтың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1-тармағының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талаптары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>:</w:t>
            </w:r>
          </w:p>
          <w:p w:rsidR="00F34778" w:rsidRPr="00AF1203" w:rsidRDefault="00F34778" w:rsidP="00F34778">
            <w:pPr>
              <w:widowControl w:val="0"/>
              <w:tabs>
                <w:tab w:val="left" w:pos="317"/>
                <w:tab w:val="left" w:pos="7230"/>
              </w:tabs>
              <w:spacing w:after="0" w:line="240" w:lineRule="auto"/>
              <w:ind w:firstLine="317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1) Қазақстан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Республикасы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Ұлттық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Банкінің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операцияларына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,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сондай-ақ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Қазақстан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Республикасы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Ұлттық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Банкінің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құрылымына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lastRenderedPageBreak/>
              <w:t>кіретін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ұйымдардың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операцияларына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>;</w:t>
            </w:r>
          </w:p>
          <w:p w:rsidR="00F34778" w:rsidRPr="00AF1203" w:rsidRDefault="00F34778" w:rsidP="00F34778">
            <w:pPr>
              <w:widowControl w:val="0"/>
              <w:tabs>
                <w:tab w:val="left" w:pos="317"/>
                <w:tab w:val="left" w:pos="7230"/>
              </w:tabs>
              <w:spacing w:after="0" w:line="240" w:lineRule="auto"/>
              <w:ind w:firstLine="317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2)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Қазақстан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Республикасының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аумағына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Еуразиялық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экономикалық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одаққа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мүше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болып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табылмайтын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мемлекеттің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аумағынан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əкелінген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жəне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қайта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өңдеу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шарттары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туралы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құжат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жəне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мемлекеттік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бақылау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актісі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негізінде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«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кері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экспорт»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кедендік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рəсімімен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мəлімделетін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шетелдік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шикізатты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қайта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өңдеуден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кейін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алынған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аффинирленген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алтынды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əкетуге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>;</w:t>
            </w:r>
          </w:p>
          <w:p w:rsidR="00F34778" w:rsidRPr="00AF1203" w:rsidRDefault="00F34778" w:rsidP="00F34778">
            <w:pPr>
              <w:widowControl w:val="0"/>
              <w:tabs>
                <w:tab w:val="left" w:pos="317"/>
                <w:tab w:val="left" w:pos="7230"/>
              </w:tabs>
              <w:spacing w:after="0" w:line="240" w:lineRule="auto"/>
              <w:ind w:firstLine="317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3)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Еуразиялық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экономикалық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одаққа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мүше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болып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табылатын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мемлекеттің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алыс-беріс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шикізатын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қайта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өңдегеннен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кейін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алынған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аффинирленген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алтынды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сол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Еуразиялық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экономикалық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одаққа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мүше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мемлекеттің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аумағына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аффинирленген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алтынды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кейіннен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əкете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отырып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(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қайта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өңдеу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шарттары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туралы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қорытынды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негізінде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)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əкетуге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>;</w:t>
            </w:r>
          </w:p>
          <w:p w:rsidR="00F34778" w:rsidRDefault="00F34778" w:rsidP="00F34778">
            <w:pPr>
              <w:widowControl w:val="0"/>
              <w:tabs>
                <w:tab w:val="left" w:pos="317"/>
                <w:tab w:val="left" w:pos="7230"/>
              </w:tabs>
              <w:spacing w:after="0" w:line="240" w:lineRule="auto"/>
              <w:ind w:firstLine="317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4)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екінші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деңгейдегі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банктердің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шетелдік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банкпен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жасасқан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тиісті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шарты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негізінде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жүзеге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асырылатын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lastRenderedPageBreak/>
              <w:t>төлемдік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емес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жəне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(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немесе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)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айналысқа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жарамсыз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қолма-қол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шетел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валютасын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spellStart"/>
            <w:r w:rsidRPr="00AF1203">
              <w:rPr>
                <w:rFonts w:eastAsia="Times New Roman"/>
                <w:bCs/>
                <w:szCs w:val="28"/>
                <w:lang w:eastAsia="ru-RU"/>
              </w:rPr>
              <w:t>əкетуіне</w:t>
            </w:r>
            <w:proofErr w:type="spellEnd"/>
            <w:r w:rsidRPr="00AF1203">
              <w:rPr>
                <w:rFonts w:eastAsia="Times New Roman"/>
                <w:bCs/>
                <w:szCs w:val="28"/>
                <w:lang w:eastAsia="ru-RU"/>
              </w:rPr>
              <w:t>;</w:t>
            </w:r>
          </w:p>
          <w:p w:rsidR="00F34778" w:rsidRPr="003C0EC8" w:rsidRDefault="00F34778" w:rsidP="00F34778">
            <w:pPr>
              <w:widowControl w:val="0"/>
              <w:tabs>
                <w:tab w:val="left" w:pos="317"/>
                <w:tab w:val="left" w:pos="7230"/>
              </w:tabs>
              <w:spacing w:after="0" w:line="240" w:lineRule="auto"/>
              <w:ind w:firstLine="317"/>
              <w:jc w:val="both"/>
              <w:rPr>
                <w:b/>
                <w:bCs/>
                <w:szCs w:val="28"/>
                <w:lang w:val="kk-KZ"/>
              </w:rPr>
            </w:pPr>
            <w:r w:rsidRPr="003C0EC8">
              <w:rPr>
                <w:rFonts w:eastAsia="Times New Roman"/>
                <w:b/>
                <w:bCs/>
                <w:szCs w:val="28"/>
                <w:lang w:val="kk-KZ" w:eastAsia="ru-RU"/>
              </w:rPr>
              <w:t>4-1) екінші деңгейдегі банктердің Еуразиялық экономикалық одаққа мүше мемлекеттердің осы тармақтың 4) тармақшасында көрсетілмеген қолма-қол шетел валютасын әкетуіне;</w:t>
            </w:r>
          </w:p>
          <w:p w:rsidR="00A55E98" w:rsidRDefault="00A55E98" w:rsidP="00F34778">
            <w:pPr>
              <w:spacing w:after="0" w:line="240" w:lineRule="auto"/>
              <w:ind w:firstLine="317"/>
              <w:jc w:val="both"/>
              <w:rPr>
                <w:b/>
                <w:szCs w:val="28"/>
                <w:lang w:val="kk-KZ"/>
              </w:rPr>
            </w:pPr>
          </w:p>
          <w:p w:rsidR="00A55E98" w:rsidRDefault="00A55E98" w:rsidP="00F34778">
            <w:pPr>
              <w:spacing w:after="0" w:line="240" w:lineRule="auto"/>
              <w:ind w:firstLine="317"/>
              <w:jc w:val="both"/>
              <w:rPr>
                <w:b/>
                <w:szCs w:val="28"/>
                <w:lang w:val="kk-KZ"/>
              </w:rPr>
            </w:pPr>
          </w:p>
          <w:p w:rsidR="00A55E98" w:rsidRDefault="00A55E98" w:rsidP="00F34778">
            <w:pPr>
              <w:spacing w:after="0" w:line="240" w:lineRule="auto"/>
              <w:ind w:firstLine="317"/>
              <w:jc w:val="both"/>
              <w:rPr>
                <w:b/>
                <w:szCs w:val="28"/>
                <w:lang w:val="kk-KZ"/>
              </w:rPr>
            </w:pPr>
          </w:p>
          <w:p w:rsidR="00A55E98" w:rsidRDefault="00A55E98" w:rsidP="00F34778">
            <w:pPr>
              <w:spacing w:after="0" w:line="240" w:lineRule="auto"/>
              <w:ind w:firstLine="317"/>
              <w:jc w:val="both"/>
              <w:rPr>
                <w:b/>
                <w:szCs w:val="28"/>
                <w:lang w:val="kk-KZ"/>
              </w:rPr>
            </w:pPr>
          </w:p>
          <w:p w:rsidR="00A55E98" w:rsidRDefault="00A55E98" w:rsidP="00F34778">
            <w:pPr>
              <w:spacing w:after="0" w:line="240" w:lineRule="auto"/>
              <w:ind w:firstLine="317"/>
              <w:jc w:val="both"/>
              <w:rPr>
                <w:b/>
                <w:szCs w:val="28"/>
                <w:lang w:val="kk-KZ"/>
              </w:rPr>
            </w:pPr>
          </w:p>
          <w:p w:rsidR="00A55E98" w:rsidRDefault="00A55E98" w:rsidP="00F34778">
            <w:pPr>
              <w:spacing w:after="0" w:line="240" w:lineRule="auto"/>
              <w:ind w:firstLine="317"/>
              <w:jc w:val="both"/>
              <w:rPr>
                <w:b/>
                <w:szCs w:val="28"/>
                <w:lang w:val="kk-KZ"/>
              </w:rPr>
            </w:pPr>
          </w:p>
          <w:p w:rsidR="00A55E98" w:rsidRDefault="00A55E98" w:rsidP="00F34778">
            <w:pPr>
              <w:spacing w:after="0" w:line="240" w:lineRule="auto"/>
              <w:ind w:firstLine="317"/>
              <w:jc w:val="both"/>
              <w:rPr>
                <w:b/>
                <w:szCs w:val="28"/>
                <w:lang w:val="kk-KZ"/>
              </w:rPr>
            </w:pPr>
          </w:p>
          <w:p w:rsidR="00A55E98" w:rsidRDefault="00A55E98" w:rsidP="00F34778">
            <w:pPr>
              <w:spacing w:after="0" w:line="240" w:lineRule="auto"/>
              <w:ind w:firstLine="317"/>
              <w:jc w:val="both"/>
              <w:rPr>
                <w:b/>
                <w:szCs w:val="28"/>
                <w:lang w:val="kk-KZ"/>
              </w:rPr>
            </w:pPr>
          </w:p>
          <w:p w:rsidR="00A55E98" w:rsidRDefault="00A55E98" w:rsidP="00F34778">
            <w:pPr>
              <w:spacing w:after="0" w:line="240" w:lineRule="auto"/>
              <w:ind w:firstLine="317"/>
              <w:jc w:val="both"/>
              <w:rPr>
                <w:b/>
                <w:szCs w:val="28"/>
                <w:lang w:val="kk-KZ"/>
              </w:rPr>
            </w:pPr>
          </w:p>
          <w:p w:rsidR="00A55E98" w:rsidRDefault="00A55E98" w:rsidP="00F34778">
            <w:pPr>
              <w:spacing w:after="0" w:line="240" w:lineRule="auto"/>
              <w:ind w:firstLine="317"/>
              <w:jc w:val="both"/>
              <w:rPr>
                <w:b/>
                <w:szCs w:val="28"/>
                <w:lang w:val="kk-KZ"/>
              </w:rPr>
            </w:pPr>
          </w:p>
          <w:p w:rsidR="00A55E98" w:rsidRDefault="00A55E98" w:rsidP="00F34778">
            <w:pPr>
              <w:spacing w:after="0" w:line="240" w:lineRule="auto"/>
              <w:ind w:firstLine="317"/>
              <w:jc w:val="both"/>
              <w:rPr>
                <w:b/>
                <w:szCs w:val="28"/>
                <w:lang w:val="kk-KZ"/>
              </w:rPr>
            </w:pPr>
          </w:p>
          <w:p w:rsidR="00A55E98" w:rsidRDefault="00A55E98" w:rsidP="00F34778">
            <w:pPr>
              <w:spacing w:after="0" w:line="240" w:lineRule="auto"/>
              <w:ind w:firstLine="317"/>
              <w:jc w:val="both"/>
              <w:rPr>
                <w:b/>
                <w:szCs w:val="28"/>
                <w:lang w:val="kk-KZ"/>
              </w:rPr>
            </w:pPr>
          </w:p>
          <w:p w:rsidR="00A55E98" w:rsidRDefault="00A55E98" w:rsidP="00F34778">
            <w:pPr>
              <w:spacing w:after="0" w:line="240" w:lineRule="auto"/>
              <w:ind w:firstLine="317"/>
              <w:jc w:val="both"/>
              <w:rPr>
                <w:b/>
                <w:szCs w:val="28"/>
                <w:lang w:val="kk-KZ"/>
              </w:rPr>
            </w:pPr>
          </w:p>
          <w:p w:rsidR="00A55E98" w:rsidRDefault="00A55E98" w:rsidP="00F34778">
            <w:pPr>
              <w:spacing w:after="0" w:line="240" w:lineRule="auto"/>
              <w:ind w:firstLine="317"/>
              <w:jc w:val="both"/>
              <w:rPr>
                <w:b/>
                <w:szCs w:val="28"/>
                <w:lang w:val="kk-KZ"/>
              </w:rPr>
            </w:pPr>
          </w:p>
          <w:p w:rsidR="00E67908" w:rsidRDefault="00E67908" w:rsidP="00F34778">
            <w:pPr>
              <w:spacing w:after="0" w:line="240" w:lineRule="auto"/>
              <w:ind w:firstLine="317"/>
              <w:jc w:val="both"/>
              <w:rPr>
                <w:b/>
                <w:szCs w:val="28"/>
                <w:lang w:val="kk-KZ"/>
              </w:rPr>
            </w:pPr>
          </w:p>
          <w:p w:rsidR="00F34778" w:rsidRPr="004070FB" w:rsidRDefault="00F34778" w:rsidP="00F34778">
            <w:pPr>
              <w:spacing w:after="0" w:line="240" w:lineRule="auto"/>
              <w:ind w:firstLine="317"/>
              <w:jc w:val="both"/>
              <w:rPr>
                <w:b/>
                <w:szCs w:val="28"/>
                <w:lang w:val="kk-KZ"/>
              </w:rPr>
            </w:pPr>
            <w:r w:rsidRPr="004070FB">
              <w:rPr>
                <w:b/>
                <w:szCs w:val="28"/>
                <w:lang w:val="kk-KZ"/>
              </w:rPr>
              <w:t xml:space="preserve">4-2) екінші деңгейдегі банктердің Еуразиялық </w:t>
            </w:r>
            <w:r w:rsidRPr="004070FB">
              <w:rPr>
                <w:b/>
                <w:szCs w:val="28"/>
                <w:lang w:val="kk-KZ"/>
              </w:rPr>
              <w:lastRenderedPageBreak/>
              <w:t>экономикалық одаққа кірмейтін мемлекеттердің осы тармақтың 4) тармақшасында көрсетілмеген қолма-қол ұлттық валютасын Қазақстан Республикасының Ұлттық Банкімен келісім бойынша әкетуіне;</w:t>
            </w:r>
          </w:p>
          <w:p w:rsidR="00A55E98" w:rsidRDefault="00A55E98" w:rsidP="00F34778">
            <w:pPr>
              <w:widowControl w:val="0"/>
              <w:tabs>
                <w:tab w:val="left" w:pos="317"/>
                <w:tab w:val="left" w:pos="7230"/>
              </w:tabs>
              <w:spacing w:after="0" w:line="240" w:lineRule="auto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</w:p>
          <w:p w:rsidR="00A55E98" w:rsidRDefault="00A55E98" w:rsidP="00F34778">
            <w:pPr>
              <w:widowControl w:val="0"/>
              <w:tabs>
                <w:tab w:val="left" w:pos="317"/>
                <w:tab w:val="left" w:pos="7230"/>
              </w:tabs>
              <w:spacing w:after="0" w:line="240" w:lineRule="auto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</w:p>
          <w:p w:rsidR="00A55E98" w:rsidRDefault="00A55E98" w:rsidP="00F34778">
            <w:pPr>
              <w:widowControl w:val="0"/>
              <w:tabs>
                <w:tab w:val="left" w:pos="317"/>
                <w:tab w:val="left" w:pos="7230"/>
              </w:tabs>
              <w:spacing w:after="0" w:line="240" w:lineRule="auto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</w:p>
          <w:p w:rsidR="00A55E98" w:rsidRDefault="00A55E98" w:rsidP="00F34778">
            <w:pPr>
              <w:widowControl w:val="0"/>
              <w:tabs>
                <w:tab w:val="left" w:pos="317"/>
                <w:tab w:val="left" w:pos="7230"/>
              </w:tabs>
              <w:spacing w:after="0" w:line="240" w:lineRule="auto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</w:p>
          <w:p w:rsidR="00A55E98" w:rsidRDefault="00A55E98" w:rsidP="00F34778">
            <w:pPr>
              <w:widowControl w:val="0"/>
              <w:tabs>
                <w:tab w:val="left" w:pos="317"/>
                <w:tab w:val="left" w:pos="7230"/>
              </w:tabs>
              <w:spacing w:after="0" w:line="240" w:lineRule="auto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</w:p>
          <w:p w:rsidR="00A55E98" w:rsidRDefault="00A55E98" w:rsidP="00F34778">
            <w:pPr>
              <w:widowControl w:val="0"/>
              <w:tabs>
                <w:tab w:val="left" w:pos="317"/>
                <w:tab w:val="left" w:pos="7230"/>
              </w:tabs>
              <w:spacing w:after="0" w:line="240" w:lineRule="auto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</w:p>
          <w:p w:rsidR="00A55E98" w:rsidRDefault="00A55E98" w:rsidP="00F34778">
            <w:pPr>
              <w:widowControl w:val="0"/>
              <w:tabs>
                <w:tab w:val="left" w:pos="317"/>
                <w:tab w:val="left" w:pos="7230"/>
              </w:tabs>
              <w:spacing w:after="0" w:line="240" w:lineRule="auto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</w:p>
          <w:p w:rsidR="00F34778" w:rsidRPr="00083DD1" w:rsidRDefault="00F34778" w:rsidP="00A55E98">
            <w:pPr>
              <w:widowControl w:val="0"/>
              <w:tabs>
                <w:tab w:val="left" w:pos="317"/>
                <w:tab w:val="left" w:pos="7230"/>
              </w:tabs>
              <w:spacing w:after="0" w:line="240" w:lineRule="auto"/>
              <w:ind w:firstLine="317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  <w:r w:rsidRPr="00083DD1">
              <w:rPr>
                <w:rFonts w:eastAsia="Times New Roman"/>
                <w:bCs/>
                <w:szCs w:val="28"/>
                <w:lang w:val="kk-KZ" w:eastAsia="ru-RU"/>
              </w:rPr>
              <w:t xml:space="preserve">5) Қазақстан Республикасы Үкіметінің </w:t>
            </w:r>
            <w:hyperlink r:id="rId8" w:history="1">
              <w:r w:rsidRPr="00083DD1">
                <w:rPr>
                  <w:rStyle w:val="aa"/>
                  <w:rFonts w:eastAsia="Times New Roman"/>
                  <w:bCs/>
                  <w:szCs w:val="28"/>
                  <w:lang w:val="kk-KZ" w:eastAsia="ru-RU"/>
                </w:rPr>
                <w:t>жекелеген актілерінде</w:t>
              </w:r>
            </w:hyperlink>
            <w:r w:rsidRPr="00083DD1">
              <w:rPr>
                <w:rFonts w:eastAsia="Times New Roman"/>
                <w:bCs/>
                <w:szCs w:val="28"/>
                <w:lang w:val="kk-KZ" w:eastAsia="ru-RU"/>
              </w:rPr>
              <w:t xml:space="preserve"> айқындалатын өзге де жағдайларға қолданылмайды деп белгіленсін.</w:t>
            </w:r>
          </w:p>
        </w:tc>
        <w:tc>
          <w:tcPr>
            <w:tcW w:w="3685" w:type="dxa"/>
          </w:tcPr>
          <w:p w:rsidR="00A55E98" w:rsidRDefault="00A55E98" w:rsidP="00F34778">
            <w:pPr>
              <w:spacing w:after="0" w:line="240" w:lineRule="auto"/>
              <w:ind w:firstLine="567"/>
              <w:jc w:val="both"/>
              <w:rPr>
                <w:rFonts w:eastAsia="Times New Roman"/>
                <w:b/>
                <w:bCs/>
                <w:szCs w:val="28"/>
                <w:lang w:val="kk-KZ" w:eastAsia="ru-RU"/>
              </w:rPr>
            </w:pPr>
          </w:p>
          <w:p w:rsidR="00A55E98" w:rsidRDefault="00A55E98" w:rsidP="00F34778">
            <w:pPr>
              <w:spacing w:after="0" w:line="240" w:lineRule="auto"/>
              <w:ind w:firstLine="567"/>
              <w:jc w:val="both"/>
              <w:rPr>
                <w:rFonts w:eastAsia="Times New Roman"/>
                <w:b/>
                <w:bCs/>
                <w:szCs w:val="28"/>
                <w:lang w:val="kk-KZ" w:eastAsia="ru-RU"/>
              </w:rPr>
            </w:pPr>
          </w:p>
          <w:p w:rsidR="00A55E98" w:rsidRDefault="00A55E98" w:rsidP="00F34778">
            <w:pPr>
              <w:spacing w:after="0" w:line="240" w:lineRule="auto"/>
              <w:ind w:firstLine="567"/>
              <w:jc w:val="both"/>
              <w:rPr>
                <w:rFonts w:eastAsia="Times New Roman"/>
                <w:b/>
                <w:bCs/>
                <w:szCs w:val="28"/>
                <w:lang w:val="kk-KZ" w:eastAsia="ru-RU"/>
              </w:rPr>
            </w:pPr>
          </w:p>
          <w:p w:rsidR="00A55E98" w:rsidRDefault="00A55E98" w:rsidP="00F34778">
            <w:pPr>
              <w:spacing w:after="0" w:line="240" w:lineRule="auto"/>
              <w:ind w:firstLine="567"/>
              <w:jc w:val="both"/>
              <w:rPr>
                <w:rFonts w:eastAsia="Times New Roman"/>
                <w:b/>
                <w:bCs/>
                <w:szCs w:val="28"/>
                <w:lang w:val="kk-KZ" w:eastAsia="ru-RU"/>
              </w:rPr>
            </w:pPr>
          </w:p>
          <w:p w:rsidR="00A55E98" w:rsidRDefault="00A55E98" w:rsidP="00F34778">
            <w:pPr>
              <w:spacing w:after="0" w:line="240" w:lineRule="auto"/>
              <w:ind w:firstLine="567"/>
              <w:jc w:val="both"/>
              <w:rPr>
                <w:rFonts w:eastAsia="Times New Roman"/>
                <w:b/>
                <w:bCs/>
                <w:szCs w:val="28"/>
                <w:lang w:val="kk-KZ" w:eastAsia="ru-RU"/>
              </w:rPr>
            </w:pPr>
          </w:p>
          <w:p w:rsidR="00A55E98" w:rsidRDefault="00A55E98" w:rsidP="00F34778">
            <w:pPr>
              <w:spacing w:after="0" w:line="240" w:lineRule="auto"/>
              <w:ind w:firstLine="567"/>
              <w:jc w:val="both"/>
              <w:rPr>
                <w:rFonts w:eastAsia="Times New Roman"/>
                <w:b/>
                <w:bCs/>
                <w:szCs w:val="28"/>
                <w:lang w:val="kk-KZ" w:eastAsia="ru-RU"/>
              </w:rPr>
            </w:pPr>
          </w:p>
          <w:p w:rsidR="00A55E98" w:rsidRDefault="00A55E98" w:rsidP="00F34778">
            <w:pPr>
              <w:spacing w:after="0" w:line="240" w:lineRule="auto"/>
              <w:ind w:firstLine="567"/>
              <w:jc w:val="both"/>
              <w:rPr>
                <w:rFonts w:eastAsia="Times New Roman"/>
                <w:b/>
                <w:bCs/>
                <w:szCs w:val="28"/>
                <w:lang w:val="kk-KZ" w:eastAsia="ru-RU"/>
              </w:rPr>
            </w:pPr>
          </w:p>
          <w:p w:rsidR="00A55E98" w:rsidRDefault="00A55E98" w:rsidP="00F34778">
            <w:pPr>
              <w:spacing w:after="0" w:line="240" w:lineRule="auto"/>
              <w:ind w:firstLine="567"/>
              <w:jc w:val="both"/>
              <w:rPr>
                <w:rFonts w:eastAsia="Times New Roman"/>
                <w:b/>
                <w:bCs/>
                <w:szCs w:val="28"/>
                <w:lang w:val="kk-KZ" w:eastAsia="ru-RU"/>
              </w:rPr>
            </w:pPr>
          </w:p>
          <w:p w:rsidR="00A55E98" w:rsidRDefault="00A55E98" w:rsidP="00494A8A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</w:p>
          <w:p w:rsidR="00A55E98" w:rsidRDefault="00A55E98" w:rsidP="00494A8A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</w:p>
          <w:p w:rsidR="00A55E98" w:rsidRDefault="00A55E98" w:rsidP="00494A8A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</w:p>
          <w:p w:rsidR="00A55E98" w:rsidRDefault="00A55E98" w:rsidP="00494A8A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</w:p>
          <w:p w:rsidR="00A55E98" w:rsidRDefault="00A55E98" w:rsidP="00494A8A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</w:p>
          <w:p w:rsidR="00A55E98" w:rsidRDefault="00A55E98" w:rsidP="00494A8A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</w:p>
          <w:p w:rsidR="00A55E98" w:rsidRDefault="00A55E98" w:rsidP="00494A8A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</w:p>
          <w:p w:rsidR="00A55E98" w:rsidRDefault="00A55E98" w:rsidP="00494A8A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</w:p>
          <w:p w:rsidR="00A55E98" w:rsidRDefault="00A55E98" w:rsidP="00494A8A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</w:p>
          <w:p w:rsidR="00A55E98" w:rsidRDefault="00A55E98" w:rsidP="00494A8A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</w:p>
          <w:p w:rsidR="00A55E98" w:rsidRDefault="00A55E98" w:rsidP="00494A8A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</w:p>
          <w:p w:rsidR="00A55E98" w:rsidRDefault="00A55E98" w:rsidP="00494A8A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</w:p>
          <w:p w:rsidR="00A55E98" w:rsidRDefault="00A55E98" w:rsidP="00494A8A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</w:p>
          <w:p w:rsidR="00A55E98" w:rsidRDefault="00A55E98" w:rsidP="00494A8A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</w:p>
          <w:p w:rsidR="00A55E98" w:rsidRDefault="00A55E98" w:rsidP="00494A8A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</w:p>
          <w:p w:rsidR="00A55E98" w:rsidRDefault="00A55E98" w:rsidP="00494A8A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</w:p>
          <w:p w:rsidR="00A55E98" w:rsidRDefault="00A55E98" w:rsidP="00494A8A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</w:p>
          <w:p w:rsidR="00A55E98" w:rsidRDefault="00A55E98" w:rsidP="00494A8A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</w:p>
          <w:p w:rsidR="00A55E98" w:rsidRDefault="00A55E98" w:rsidP="00494A8A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</w:p>
          <w:p w:rsidR="00A55E98" w:rsidRDefault="00A55E98" w:rsidP="00494A8A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</w:p>
          <w:p w:rsidR="00A55E98" w:rsidRDefault="00A55E98" w:rsidP="00494A8A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</w:p>
          <w:p w:rsidR="00A55E98" w:rsidRDefault="00A55E98" w:rsidP="00494A8A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</w:p>
          <w:p w:rsidR="00A55E98" w:rsidRDefault="00A55E98" w:rsidP="00494A8A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</w:p>
          <w:p w:rsidR="00A55E98" w:rsidRDefault="00A55E98" w:rsidP="00494A8A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</w:p>
          <w:p w:rsidR="00A55E98" w:rsidRDefault="00A55E98" w:rsidP="00494A8A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</w:p>
          <w:p w:rsidR="00A55E98" w:rsidRDefault="00A55E98" w:rsidP="00494A8A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</w:p>
          <w:p w:rsidR="00A55E98" w:rsidRDefault="00A55E98" w:rsidP="00494A8A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</w:p>
          <w:p w:rsidR="00A55E98" w:rsidRDefault="00A55E98" w:rsidP="00494A8A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</w:p>
          <w:p w:rsidR="00F34778" w:rsidRDefault="00A55E98" w:rsidP="00494A8A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  <w:r w:rsidRPr="00A55E98">
              <w:rPr>
                <w:rFonts w:eastAsia="Times New Roman"/>
                <w:bCs/>
                <w:szCs w:val="28"/>
                <w:lang w:val="kk-KZ" w:eastAsia="ru-RU"/>
              </w:rPr>
              <w:t xml:space="preserve">Еуразиялық экономикалық одаққа мүше мемлекеттердің ұлттық валюталарының жекелеген түрлерін қолма-қол ақшасыз нысанға </w:t>
            </w:r>
            <w:r w:rsidR="00B858CC">
              <w:rPr>
                <w:rFonts w:eastAsia="Times New Roman"/>
                <w:bCs/>
                <w:szCs w:val="28"/>
                <w:lang w:val="kk-KZ" w:eastAsia="ru-RU"/>
              </w:rPr>
              <w:t>конвертациялау</w:t>
            </w:r>
            <w:r w:rsidRPr="00A55E98">
              <w:rPr>
                <w:rFonts w:eastAsia="Times New Roman"/>
                <w:bCs/>
                <w:szCs w:val="28"/>
                <w:lang w:val="kk-KZ" w:eastAsia="ru-RU"/>
              </w:rPr>
              <w:t xml:space="preserve"> және клиенттердің </w:t>
            </w:r>
            <w:r w:rsidR="00A23D9C" w:rsidRPr="00A55E98">
              <w:rPr>
                <w:rFonts w:eastAsia="Times New Roman"/>
                <w:bCs/>
                <w:szCs w:val="28"/>
                <w:lang w:val="kk-KZ" w:eastAsia="ru-RU"/>
              </w:rPr>
              <w:t xml:space="preserve"> </w:t>
            </w:r>
            <w:r w:rsidRPr="00A55E98">
              <w:rPr>
                <w:rFonts w:eastAsia="Times New Roman"/>
                <w:bCs/>
                <w:szCs w:val="28"/>
                <w:lang w:val="kk-KZ" w:eastAsia="ru-RU"/>
              </w:rPr>
              <w:t>сыртқы сауда шарттары бойынша төлемдерін орындау үшін олардың шетел банктеріндегі корреспонденттік шоттарын толықтыру мүмкіндігін белгілеу мақсатында екінші деңгей</w:t>
            </w:r>
            <w:r w:rsidR="00B858CC">
              <w:rPr>
                <w:rFonts w:eastAsia="Times New Roman"/>
                <w:bCs/>
                <w:szCs w:val="28"/>
                <w:lang w:val="kk-KZ" w:eastAsia="ru-RU"/>
              </w:rPr>
              <w:t>дегі</w:t>
            </w:r>
            <w:r w:rsidRPr="00A55E98">
              <w:rPr>
                <w:rFonts w:eastAsia="Times New Roman"/>
                <w:bCs/>
                <w:szCs w:val="28"/>
                <w:lang w:val="kk-KZ" w:eastAsia="ru-RU"/>
              </w:rPr>
              <w:t xml:space="preserve"> банктер</w:t>
            </w:r>
            <w:r w:rsidR="00B858CC">
              <w:rPr>
                <w:rFonts w:eastAsia="Times New Roman"/>
                <w:bCs/>
                <w:szCs w:val="28"/>
                <w:lang w:val="kk-KZ" w:eastAsia="ru-RU"/>
              </w:rPr>
              <w:t>ге</w:t>
            </w:r>
            <w:r w:rsidRPr="00A55E98">
              <w:rPr>
                <w:rFonts w:eastAsia="Times New Roman"/>
                <w:bCs/>
                <w:szCs w:val="28"/>
                <w:lang w:val="kk-KZ" w:eastAsia="ru-RU"/>
              </w:rPr>
              <w:t xml:space="preserve"> Еуразиялық экономикалық одаққа мүше мемлекеттердің </w:t>
            </w:r>
            <w:r w:rsidR="00B858CC" w:rsidRPr="00A55E98">
              <w:rPr>
                <w:rFonts w:eastAsia="Times New Roman"/>
                <w:bCs/>
                <w:szCs w:val="28"/>
                <w:lang w:val="kk-KZ" w:eastAsia="ru-RU"/>
              </w:rPr>
              <w:t xml:space="preserve"> қолма-қол </w:t>
            </w:r>
            <w:r w:rsidRPr="00A55E98">
              <w:rPr>
                <w:rFonts w:eastAsia="Times New Roman"/>
                <w:bCs/>
                <w:szCs w:val="28"/>
                <w:lang w:val="kk-KZ" w:eastAsia="ru-RU"/>
              </w:rPr>
              <w:t>ұлттық валютасындағы ақшаны</w:t>
            </w:r>
            <w:r w:rsidR="00B858CC">
              <w:rPr>
                <w:rFonts w:eastAsia="Times New Roman"/>
                <w:bCs/>
                <w:szCs w:val="28"/>
                <w:lang w:val="kk-KZ" w:eastAsia="ru-RU"/>
              </w:rPr>
              <w:t xml:space="preserve"> әкетуіне рұқсат беру ұсынылады</w:t>
            </w:r>
            <w:r w:rsidRPr="00A55E98">
              <w:rPr>
                <w:rFonts w:eastAsia="Times New Roman"/>
                <w:bCs/>
                <w:szCs w:val="28"/>
                <w:lang w:val="kk-KZ" w:eastAsia="ru-RU"/>
              </w:rPr>
              <w:t>.</w:t>
            </w:r>
          </w:p>
          <w:p w:rsidR="00A55E98" w:rsidRDefault="00A55E98" w:rsidP="00494A8A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</w:p>
          <w:p w:rsidR="00A55E98" w:rsidRPr="00B40574" w:rsidRDefault="00A55E98" w:rsidP="001C521C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val="kk-KZ" w:eastAsia="ru-RU"/>
              </w:rPr>
            </w:pPr>
            <w:bookmarkStart w:id="0" w:name="_GoBack"/>
            <w:bookmarkEnd w:id="0"/>
            <w:r w:rsidRPr="00A55E98">
              <w:rPr>
                <w:rFonts w:eastAsia="Times New Roman"/>
                <w:bCs/>
                <w:szCs w:val="28"/>
                <w:lang w:val="kk-KZ" w:eastAsia="ru-RU"/>
              </w:rPr>
              <w:t xml:space="preserve">Еуразиялық экономикалық одаққа мүше болып </w:t>
            </w:r>
            <w:r w:rsidRPr="00A55E98">
              <w:rPr>
                <w:rFonts w:eastAsia="Times New Roman"/>
                <w:bCs/>
                <w:szCs w:val="28"/>
                <w:lang w:val="kk-KZ" w:eastAsia="ru-RU"/>
              </w:rPr>
              <w:lastRenderedPageBreak/>
              <w:t>табылмайтын мемлекеттердің қолма-қол шетел валютасының екінші деңгейдегі банктерінде жинақталуының ықтимал тәуекелдерін оңтайландыру және ес</w:t>
            </w:r>
            <w:r w:rsidR="001C521C">
              <w:rPr>
                <w:rFonts w:eastAsia="Times New Roman"/>
                <w:bCs/>
                <w:szCs w:val="28"/>
                <w:lang w:val="kk-KZ" w:eastAsia="ru-RU"/>
              </w:rPr>
              <w:t>епке алу</w:t>
            </w:r>
            <w:r w:rsidRPr="00A55E98">
              <w:rPr>
                <w:rFonts w:eastAsia="Times New Roman"/>
                <w:bCs/>
                <w:szCs w:val="28"/>
                <w:lang w:val="kk-KZ" w:eastAsia="ru-RU"/>
              </w:rPr>
              <w:t xml:space="preserve"> мақсатында  Қазақстан Республикасының Ұлттық Банкімен келісім</w:t>
            </w:r>
            <w:r>
              <w:rPr>
                <w:rFonts w:eastAsia="Times New Roman"/>
                <w:bCs/>
                <w:szCs w:val="28"/>
                <w:lang w:val="kk-KZ" w:eastAsia="ru-RU"/>
              </w:rPr>
              <w:t xml:space="preserve"> бойынша</w:t>
            </w:r>
            <w:r w:rsidRPr="00A55E98">
              <w:rPr>
                <w:rFonts w:eastAsia="Times New Roman"/>
                <w:bCs/>
                <w:szCs w:val="28"/>
                <w:lang w:val="kk-KZ" w:eastAsia="ru-RU"/>
              </w:rPr>
              <w:t xml:space="preserve"> екінші деңгейдегі банк</w:t>
            </w:r>
            <w:r w:rsidR="001C521C">
              <w:rPr>
                <w:rFonts w:eastAsia="Times New Roman"/>
                <w:bCs/>
                <w:szCs w:val="28"/>
                <w:lang w:val="kk-KZ" w:eastAsia="ru-RU"/>
              </w:rPr>
              <w:t>тердің аталған шетел валютасын әкетуіне</w:t>
            </w:r>
            <w:r w:rsidRPr="00A55E98">
              <w:rPr>
                <w:rFonts w:eastAsia="Times New Roman"/>
                <w:bCs/>
                <w:szCs w:val="28"/>
                <w:lang w:val="kk-KZ" w:eastAsia="ru-RU"/>
              </w:rPr>
              <w:t xml:space="preserve"> рұқсат беру ұсынылады. </w:t>
            </w:r>
          </w:p>
        </w:tc>
      </w:tr>
    </w:tbl>
    <w:p w:rsidR="00D36047" w:rsidRPr="00B40574" w:rsidRDefault="00D36047" w:rsidP="003C597F">
      <w:pPr>
        <w:widowControl w:val="0"/>
        <w:spacing w:after="0" w:line="240" w:lineRule="auto"/>
        <w:rPr>
          <w:rFonts w:eastAsia="Times New Roman"/>
          <w:b/>
          <w:sz w:val="24"/>
          <w:szCs w:val="24"/>
          <w:lang w:val="kk-KZ" w:eastAsia="ru-RU"/>
        </w:rPr>
      </w:pPr>
    </w:p>
    <w:p w:rsidR="00F34778" w:rsidRPr="006A6B25" w:rsidRDefault="00D24DE0" w:rsidP="00F34778">
      <w:pPr>
        <w:widowControl w:val="0"/>
        <w:spacing w:after="0" w:line="240" w:lineRule="auto"/>
        <w:jc w:val="both"/>
        <w:rPr>
          <w:b/>
          <w:szCs w:val="28"/>
          <w:lang w:val="kk-KZ"/>
        </w:rPr>
      </w:pPr>
      <w:r w:rsidRPr="00B40574">
        <w:rPr>
          <w:rFonts w:eastAsia="Times New Roman"/>
          <w:b/>
          <w:szCs w:val="28"/>
          <w:lang w:val="kk-KZ" w:eastAsia="ru-RU"/>
        </w:rPr>
        <w:t xml:space="preserve">        </w:t>
      </w:r>
      <w:r w:rsidR="00F34778" w:rsidRPr="006A6B25">
        <w:rPr>
          <w:b/>
          <w:szCs w:val="28"/>
          <w:lang w:val="kk-KZ"/>
        </w:rPr>
        <w:t xml:space="preserve">Қазақстан Республикасы </w:t>
      </w:r>
    </w:p>
    <w:p w:rsidR="00F34778" w:rsidRPr="006A6B25" w:rsidRDefault="00F34778" w:rsidP="00F34778">
      <w:pPr>
        <w:widowControl w:val="0"/>
        <w:suppressAutoHyphens/>
        <w:spacing w:after="0" w:line="240" w:lineRule="auto"/>
        <w:ind w:firstLine="709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 xml:space="preserve">    </w:t>
      </w:r>
      <w:r w:rsidRPr="006A6B25">
        <w:rPr>
          <w:b/>
          <w:szCs w:val="28"/>
          <w:lang w:val="kk-KZ"/>
        </w:rPr>
        <w:t xml:space="preserve">Ұлттық Банкінің </w:t>
      </w:r>
    </w:p>
    <w:p w:rsidR="00D27CCE" w:rsidRPr="00F34778" w:rsidRDefault="00F34778" w:rsidP="00F34778">
      <w:pPr>
        <w:widowControl w:val="0"/>
        <w:suppressAutoHyphens/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>
        <w:rPr>
          <w:b/>
          <w:szCs w:val="28"/>
          <w:lang w:val="kk-KZ"/>
        </w:rPr>
        <w:t xml:space="preserve">        </w:t>
      </w:r>
      <w:r w:rsidRPr="006A6B25">
        <w:rPr>
          <w:b/>
          <w:szCs w:val="28"/>
          <w:lang w:val="kk-KZ"/>
        </w:rPr>
        <w:t xml:space="preserve">Төрағасы                           </w:t>
      </w:r>
      <w:r>
        <w:rPr>
          <w:b/>
          <w:szCs w:val="28"/>
          <w:lang w:val="kk-KZ"/>
        </w:rPr>
        <w:t xml:space="preserve">                                                      </w:t>
      </w:r>
      <w:r w:rsidRPr="006A6B25">
        <w:rPr>
          <w:b/>
          <w:szCs w:val="28"/>
          <w:lang w:val="kk-KZ"/>
        </w:rPr>
        <w:t xml:space="preserve">                                                Т. С</w:t>
      </w:r>
      <w:r>
        <w:rPr>
          <w:b/>
          <w:szCs w:val="28"/>
          <w:lang w:val="kk-KZ"/>
        </w:rPr>
        <w:t>ү</w:t>
      </w:r>
      <w:r w:rsidRPr="006A6B25">
        <w:rPr>
          <w:b/>
          <w:szCs w:val="28"/>
          <w:lang w:val="kk-KZ"/>
        </w:rPr>
        <w:t>лейменов</w:t>
      </w:r>
    </w:p>
    <w:sectPr w:rsidR="00D27CCE" w:rsidRPr="00F34778" w:rsidSect="00F34778">
      <w:headerReference w:type="default" r:id="rId9"/>
      <w:headerReference w:type="first" r:id="rId10"/>
      <w:pgSz w:w="16838" w:h="11906" w:orient="landscape"/>
      <w:pgMar w:top="709" w:right="851" w:bottom="1276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5C9" w:rsidRDefault="00EB05C9">
      <w:pPr>
        <w:spacing w:after="0" w:line="240" w:lineRule="auto"/>
      </w:pPr>
      <w:r>
        <w:separator/>
      </w:r>
    </w:p>
  </w:endnote>
  <w:endnote w:type="continuationSeparator" w:id="0">
    <w:p w:rsidR="00EB05C9" w:rsidRDefault="00EB0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5C9" w:rsidRDefault="00EB05C9">
      <w:pPr>
        <w:spacing w:after="0" w:line="240" w:lineRule="auto"/>
      </w:pPr>
      <w:r>
        <w:separator/>
      </w:r>
    </w:p>
  </w:footnote>
  <w:footnote w:type="continuationSeparator" w:id="0">
    <w:p w:rsidR="00EB05C9" w:rsidRDefault="00EB0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42C" w:rsidRDefault="00A7431F">
    <w:pPr>
      <w:pStyle w:val="a3"/>
      <w:jc w:val="center"/>
      <w:rPr>
        <w:sz w:val="24"/>
        <w:szCs w:val="24"/>
      </w:rPr>
    </w:pPr>
    <w:r>
      <w:rPr>
        <w:sz w:val="24"/>
        <w:szCs w:val="24"/>
      </w:rPr>
      <w:t>2</w:t>
    </w:r>
  </w:p>
  <w:p w:rsidR="000B742C" w:rsidRDefault="00E6790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31F" w:rsidRDefault="00A7431F">
    <w:pPr>
      <w:pStyle w:val="a3"/>
      <w:jc w:val="center"/>
    </w:pPr>
  </w:p>
  <w:p w:rsidR="00811778" w:rsidRDefault="008117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5460B"/>
    <w:multiLevelType w:val="hybridMultilevel"/>
    <w:tmpl w:val="29FACFA0"/>
    <w:lvl w:ilvl="0" w:tplc="714E27A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7F00774E"/>
    <w:multiLevelType w:val="hybridMultilevel"/>
    <w:tmpl w:val="B9349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920"/>
    <w:rsid w:val="00067B65"/>
    <w:rsid w:val="000720CB"/>
    <w:rsid w:val="00097E5A"/>
    <w:rsid w:val="001328CE"/>
    <w:rsid w:val="001700AD"/>
    <w:rsid w:val="001735D9"/>
    <w:rsid w:val="001C521C"/>
    <w:rsid w:val="00261CD1"/>
    <w:rsid w:val="00296C2A"/>
    <w:rsid w:val="002E4F2A"/>
    <w:rsid w:val="003057D1"/>
    <w:rsid w:val="00380ADD"/>
    <w:rsid w:val="00396598"/>
    <w:rsid w:val="003C597F"/>
    <w:rsid w:val="00494A8A"/>
    <w:rsid w:val="004C2331"/>
    <w:rsid w:val="0052076C"/>
    <w:rsid w:val="005456DA"/>
    <w:rsid w:val="00545920"/>
    <w:rsid w:val="00557030"/>
    <w:rsid w:val="0065203D"/>
    <w:rsid w:val="006A79DD"/>
    <w:rsid w:val="00713B57"/>
    <w:rsid w:val="007875BF"/>
    <w:rsid w:val="00811778"/>
    <w:rsid w:val="00826D34"/>
    <w:rsid w:val="008B1EBB"/>
    <w:rsid w:val="009518C4"/>
    <w:rsid w:val="009609E3"/>
    <w:rsid w:val="009C0A72"/>
    <w:rsid w:val="00A051D9"/>
    <w:rsid w:val="00A23D9C"/>
    <w:rsid w:val="00A249B1"/>
    <w:rsid w:val="00A55E98"/>
    <w:rsid w:val="00A7431F"/>
    <w:rsid w:val="00AA4607"/>
    <w:rsid w:val="00AB48BD"/>
    <w:rsid w:val="00B40574"/>
    <w:rsid w:val="00B44CDF"/>
    <w:rsid w:val="00B858CC"/>
    <w:rsid w:val="00C400C4"/>
    <w:rsid w:val="00C4489F"/>
    <w:rsid w:val="00CB273B"/>
    <w:rsid w:val="00D21817"/>
    <w:rsid w:val="00D24DE0"/>
    <w:rsid w:val="00D27CCE"/>
    <w:rsid w:val="00D36047"/>
    <w:rsid w:val="00D85339"/>
    <w:rsid w:val="00DC5151"/>
    <w:rsid w:val="00E43949"/>
    <w:rsid w:val="00E45500"/>
    <w:rsid w:val="00E67908"/>
    <w:rsid w:val="00EA5280"/>
    <w:rsid w:val="00EB05C9"/>
    <w:rsid w:val="00F34778"/>
    <w:rsid w:val="00F8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2F442"/>
  <w15:chartTrackingRefBased/>
  <w15:docId w15:val="{C1508CFA-4482-4AD9-996A-91735373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920"/>
    <w:pPr>
      <w:spacing w:after="200" w:line="276" w:lineRule="auto"/>
      <w:jc w:val="left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9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5920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81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1778"/>
    <w:rPr>
      <w:rFonts w:ascii="Times New Roman" w:eastAsia="Calibri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F82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82FDE"/>
    <w:rPr>
      <w:rFonts w:ascii="Segoe UI" w:eastAsia="Calibr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A528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347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9947725.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39947725.0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 Куанышева</dc:creator>
  <cp:keywords/>
  <dc:description/>
  <cp:lastModifiedBy>Нуржан Калдыбеков</cp:lastModifiedBy>
  <cp:revision>23</cp:revision>
  <cp:lastPrinted>2022-05-30T14:04:00Z</cp:lastPrinted>
  <dcterms:created xsi:type="dcterms:W3CDTF">2022-05-05T14:39:00Z</dcterms:created>
  <dcterms:modified xsi:type="dcterms:W3CDTF">2023-12-15T12:41:00Z</dcterms:modified>
</cp:coreProperties>
</file>