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8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332"/>
        <w:gridCol w:w="1805"/>
        <w:gridCol w:w="3971"/>
      </w:tblGrid>
      <w:tr w:rsidR="00F64049" w:rsidRPr="002D0C1E" w:rsidTr="00C83857">
        <w:trPr>
          <w:trHeight w:val="1973"/>
        </w:trPr>
        <w:tc>
          <w:tcPr>
            <w:tcW w:w="4332" w:type="dxa"/>
            <w:shd w:val="clear" w:color="auto" w:fill="auto"/>
          </w:tcPr>
          <w:p w:rsidR="00F64049" w:rsidRPr="00C359CD" w:rsidRDefault="00F64049" w:rsidP="00C83857">
            <w:pPr>
              <w:ind w:firstLine="173"/>
              <w:jc w:val="center"/>
              <w:rPr>
                <w:sz w:val="22"/>
                <w:szCs w:val="22"/>
              </w:rPr>
            </w:pPr>
          </w:p>
          <w:p w:rsidR="00F64049" w:rsidRPr="002D0C1E" w:rsidRDefault="00F64049" w:rsidP="00C83857">
            <w:pPr>
              <w:ind w:firstLine="173"/>
              <w:jc w:val="center"/>
              <w:rPr>
                <w:b/>
                <w:sz w:val="22"/>
                <w:szCs w:val="22"/>
                <w:lang w:val="kk-KZ"/>
              </w:rPr>
            </w:pPr>
            <w:r w:rsidRPr="002D0C1E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F64049" w:rsidRPr="002D0C1E" w:rsidRDefault="00F64049" w:rsidP="00C83857">
            <w:pPr>
              <w:ind w:firstLine="173"/>
              <w:jc w:val="center"/>
              <w:rPr>
                <w:b/>
                <w:sz w:val="22"/>
                <w:szCs w:val="22"/>
                <w:lang w:val="kk-KZ"/>
              </w:rPr>
            </w:pPr>
            <w:r w:rsidRPr="002D0C1E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F64049" w:rsidRPr="002D0C1E" w:rsidRDefault="00F64049" w:rsidP="00C83857">
            <w:pPr>
              <w:ind w:firstLine="173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F64049" w:rsidRPr="002D0C1E" w:rsidRDefault="00F64049" w:rsidP="00C83857">
            <w:pPr>
              <w:ind w:firstLine="173"/>
              <w:jc w:val="center"/>
              <w:rPr>
                <w:sz w:val="22"/>
                <w:szCs w:val="22"/>
                <w:lang w:val="kk-KZ"/>
              </w:rPr>
            </w:pPr>
            <w:r w:rsidRPr="002D0C1E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F64049" w:rsidRPr="002D04A6" w:rsidRDefault="00F64049" w:rsidP="00C83857">
            <w:pPr>
              <w:ind w:firstLine="173"/>
              <w:jc w:val="center"/>
              <w:rPr>
                <w:b/>
                <w:sz w:val="22"/>
                <w:szCs w:val="22"/>
              </w:rPr>
            </w:pPr>
            <w:r w:rsidRPr="002D0C1E">
              <w:rPr>
                <w:sz w:val="22"/>
                <w:szCs w:val="22"/>
                <w:lang w:val="kk-KZ"/>
              </w:rPr>
              <w:t>МЕМЛЕКЕТТІК</w:t>
            </w:r>
            <w:r w:rsidRPr="002D04A6">
              <w:rPr>
                <w:sz w:val="22"/>
                <w:szCs w:val="22"/>
              </w:rPr>
              <w:t xml:space="preserve"> </w:t>
            </w:r>
            <w:r w:rsidRPr="002D0C1E">
              <w:rPr>
                <w:sz w:val="22"/>
                <w:szCs w:val="22"/>
                <w:lang w:val="kk-KZ"/>
              </w:rPr>
              <w:t>МЕКЕМЕСІ</w:t>
            </w:r>
          </w:p>
          <w:p w:rsidR="00F64049" w:rsidRPr="002D04A6" w:rsidRDefault="00F64049" w:rsidP="00C83857">
            <w:pPr>
              <w:ind w:firstLine="17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:rsidR="00F64049" w:rsidRPr="002D0C1E" w:rsidRDefault="00F64049" w:rsidP="00C83857">
            <w:pPr>
              <w:ind w:firstLine="173"/>
              <w:jc w:val="center"/>
              <w:rPr>
                <w:sz w:val="22"/>
                <w:szCs w:val="22"/>
                <w:lang w:val="kk-KZ"/>
              </w:rPr>
            </w:pPr>
            <w:r w:rsidRPr="002D0C1E">
              <w:rPr>
                <w:noProof/>
              </w:rPr>
              <w:drawing>
                <wp:inline distT="0" distB="0" distL="0" distR="0" wp14:anchorId="529E68A7" wp14:editId="2221A5A9">
                  <wp:extent cx="965835" cy="10242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shd w:val="clear" w:color="auto" w:fill="auto"/>
          </w:tcPr>
          <w:p w:rsidR="00F64049" w:rsidRPr="002D0C1E" w:rsidRDefault="00F64049" w:rsidP="00C83857">
            <w:pPr>
              <w:ind w:firstLine="173"/>
              <w:jc w:val="center"/>
              <w:rPr>
                <w:b/>
                <w:sz w:val="22"/>
                <w:szCs w:val="22"/>
              </w:rPr>
            </w:pPr>
          </w:p>
          <w:p w:rsidR="00F64049" w:rsidRPr="002D0C1E" w:rsidRDefault="00F64049" w:rsidP="00C83857">
            <w:pPr>
              <w:ind w:firstLine="173"/>
              <w:jc w:val="center"/>
              <w:rPr>
                <w:sz w:val="22"/>
                <w:szCs w:val="22"/>
              </w:rPr>
            </w:pPr>
            <w:r w:rsidRPr="002D0C1E">
              <w:rPr>
                <w:sz w:val="22"/>
                <w:szCs w:val="22"/>
              </w:rPr>
              <w:t xml:space="preserve">РЕСПУБЛИКАНСКОЕ </w:t>
            </w:r>
          </w:p>
          <w:p w:rsidR="00F64049" w:rsidRPr="002D0C1E" w:rsidRDefault="00F64049" w:rsidP="00C83857">
            <w:pPr>
              <w:ind w:firstLine="173"/>
              <w:jc w:val="center"/>
              <w:rPr>
                <w:sz w:val="22"/>
                <w:szCs w:val="22"/>
              </w:rPr>
            </w:pPr>
            <w:r w:rsidRPr="002D0C1E">
              <w:rPr>
                <w:sz w:val="22"/>
                <w:szCs w:val="22"/>
              </w:rPr>
              <w:t>ГОСУДАР</w:t>
            </w:r>
            <w:r w:rsidRPr="002D0C1E">
              <w:rPr>
                <w:sz w:val="22"/>
                <w:szCs w:val="22"/>
                <w:lang w:val="kk-KZ"/>
              </w:rPr>
              <w:t>С</w:t>
            </w:r>
            <w:r w:rsidRPr="002D0C1E">
              <w:rPr>
                <w:sz w:val="22"/>
                <w:szCs w:val="22"/>
              </w:rPr>
              <w:t>ТВЕННОЕ УЧРЕЖДЕНИЕ</w:t>
            </w:r>
          </w:p>
          <w:p w:rsidR="00F64049" w:rsidRPr="002D0C1E" w:rsidRDefault="00F64049" w:rsidP="00C83857">
            <w:pPr>
              <w:ind w:firstLine="173"/>
              <w:jc w:val="center"/>
              <w:rPr>
                <w:b/>
                <w:sz w:val="22"/>
                <w:szCs w:val="22"/>
              </w:rPr>
            </w:pPr>
          </w:p>
          <w:p w:rsidR="00F64049" w:rsidRPr="002D0C1E" w:rsidRDefault="00F64049" w:rsidP="00C83857">
            <w:pPr>
              <w:ind w:firstLine="173"/>
              <w:jc w:val="center"/>
              <w:rPr>
                <w:b/>
                <w:sz w:val="22"/>
                <w:szCs w:val="22"/>
              </w:rPr>
            </w:pPr>
            <w:r w:rsidRPr="002D0C1E">
              <w:rPr>
                <w:b/>
                <w:sz w:val="22"/>
                <w:szCs w:val="22"/>
              </w:rPr>
              <w:t>«НАЦИОНАЛЬНЫЙ БАНК</w:t>
            </w:r>
          </w:p>
          <w:p w:rsidR="00F64049" w:rsidRPr="002D04A6" w:rsidRDefault="00F64049" w:rsidP="00C83857">
            <w:pPr>
              <w:ind w:firstLine="173"/>
              <w:jc w:val="center"/>
              <w:rPr>
                <w:b/>
                <w:sz w:val="22"/>
                <w:szCs w:val="22"/>
              </w:rPr>
            </w:pPr>
            <w:r w:rsidRPr="002D0C1E">
              <w:rPr>
                <w:b/>
                <w:sz w:val="22"/>
                <w:szCs w:val="22"/>
              </w:rPr>
              <w:t>РЕСПУБЛИКИ КАЗАХСТАН»</w:t>
            </w:r>
          </w:p>
          <w:p w:rsidR="00F64049" w:rsidRPr="002D04A6" w:rsidRDefault="00F64049" w:rsidP="00C83857">
            <w:pPr>
              <w:ind w:firstLine="173"/>
              <w:jc w:val="center"/>
              <w:rPr>
                <w:b/>
              </w:rPr>
            </w:pPr>
          </w:p>
        </w:tc>
      </w:tr>
      <w:tr w:rsidR="00F64049" w:rsidRPr="00C136A5" w:rsidTr="00C83857">
        <w:trPr>
          <w:trHeight w:val="739"/>
        </w:trPr>
        <w:tc>
          <w:tcPr>
            <w:tcW w:w="4332" w:type="dxa"/>
            <w:shd w:val="clear" w:color="auto" w:fill="auto"/>
          </w:tcPr>
          <w:p w:rsidR="00F64049" w:rsidRPr="00C136A5" w:rsidRDefault="00F64049" w:rsidP="00C83857">
            <w:pPr>
              <w:ind w:firstLine="173"/>
              <w:jc w:val="center"/>
              <w:rPr>
                <w:b/>
                <w:lang w:val="kk-KZ"/>
              </w:rPr>
            </w:pPr>
            <w:r w:rsidRPr="00C136A5">
              <w:rPr>
                <w:b/>
              </w:rPr>
              <w:t>БА</w:t>
            </w:r>
            <w:r w:rsidRPr="00C136A5">
              <w:rPr>
                <w:b/>
                <w:lang w:val="kk-KZ"/>
              </w:rPr>
              <w:t>СҚАРМАСЫНЫҢ</w:t>
            </w:r>
          </w:p>
          <w:p w:rsidR="00F64049" w:rsidRPr="00C136A5" w:rsidRDefault="00F64049" w:rsidP="00C83857">
            <w:pPr>
              <w:ind w:firstLine="173"/>
              <w:jc w:val="center"/>
              <w:rPr>
                <w:b/>
                <w:lang w:val="kk-KZ"/>
              </w:rPr>
            </w:pPr>
            <w:r w:rsidRPr="00C136A5">
              <w:rPr>
                <w:b/>
                <w:lang w:val="kk-KZ"/>
              </w:rPr>
              <w:t>ҚАУЛЫСЫ</w:t>
            </w:r>
          </w:p>
        </w:tc>
        <w:tc>
          <w:tcPr>
            <w:tcW w:w="1805" w:type="dxa"/>
            <w:shd w:val="clear" w:color="auto" w:fill="auto"/>
          </w:tcPr>
          <w:p w:rsidR="00F64049" w:rsidRPr="00C136A5" w:rsidRDefault="00F64049" w:rsidP="00C83857">
            <w:pPr>
              <w:ind w:left="158" w:firstLine="173"/>
              <w:rPr>
                <w:lang w:val="kk-KZ"/>
              </w:rPr>
            </w:pPr>
          </w:p>
        </w:tc>
        <w:tc>
          <w:tcPr>
            <w:tcW w:w="3971" w:type="dxa"/>
            <w:shd w:val="clear" w:color="auto" w:fill="auto"/>
          </w:tcPr>
          <w:p w:rsidR="00F64049" w:rsidRPr="00C136A5" w:rsidRDefault="00F64049" w:rsidP="00C83857">
            <w:pPr>
              <w:ind w:firstLine="173"/>
              <w:jc w:val="center"/>
              <w:rPr>
                <w:b/>
                <w:lang w:val="kk-KZ"/>
              </w:rPr>
            </w:pPr>
            <w:r w:rsidRPr="00C136A5">
              <w:rPr>
                <w:b/>
                <w:lang w:val="kk-KZ"/>
              </w:rPr>
              <w:t xml:space="preserve">ПОСТАНОВЛЕНИЕ </w:t>
            </w:r>
          </w:p>
          <w:p w:rsidR="00F64049" w:rsidRPr="00C136A5" w:rsidRDefault="00F64049" w:rsidP="00C83857">
            <w:pPr>
              <w:ind w:firstLine="173"/>
              <w:jc w:val="center"/>
              <w:rPr>
                <w:b/>
              </w:rPr>
            </w:pPr>
            <w:r w:rsidRPr="00C136A5">
              <w:rPr>
                <w:b/>
                <w:lang w:val="kk-KZ"/>
              </w:rPr>
              <w:t>ПРАВЛЕНИЯ</w:t>
            </w:r>
          </w:p>
        </w:tc>
      </w:tr>
      <w:tr w:rsidR="00F64049" w:rsidRPr="008C544A" w:rsidTr="00C83857">
        <w:trPr>
          <w:trHeight w:val="1151"/>
        </w:trPr>
        <w:tc>
          <w:tcPr>
            <w:tcW w:w="4332" w:type="dxa"/>
            <w:shd w:val="clear" w:color="auto" w:fill="auto"/>
          </w:tcPr>
          <w:p w:rsidR="00F64049" w:rsidRPr="008C544A" w:rsidRDefault="00F64049" w:rsidP="00C83857">
            <w:pPr>
              <w:ind w:firstLine="173"/>
              <w:jc w:val="center"/>
            </w:pPr>
          </w:p>
          <w:p w:rsidR="00F64049" w:rsidRDefault="00F64049" w:rsidP="00C83857">
            <w:pPr>
              <w:ind w:firstLine="173"/>
              <w:jc w:val="center"/>
            </w:pPr>
            <w:r>
              <w:t>__________</w:t>
            </w:r>
            <w:r w:rsidR="00AD4945">
              <w:t>__________</w:t>
            </w:r>
          </w:p>
          <w:p w:rsidR="00F64049" w:rsidRPr="008C544A" w:rsidRDefault="00F64049" w:rsidP="00C83857">
            <w:pPr>
              <w:ind w:firstLine="173"/>
              <w:jc w:val="center"/>
            </w:pPr>
          </w:p>
          <w:p w:rsidR="00F64049" w:rsidRPr="008C544A" w:rsidRDefault="00F64049" w:rsidP="00C83857">
            <w:pPr>
              <w:ind w:firstLine="173"/>
              <w:jc w:val="center"/>
            </w:pPr>
            <w:r>
              <w:rPr>
                <w:lang w:val="kk-KZ"/>
              </w:rPr>
              <w:t>Астана</w:t>
            </w:r>
            <w:r w:rsidRPr="008C544A">
              <w:t xml:space="preserve"> </w:t>
            </w:r>
            <w:proofErr w:type="spellStart"/>
            <w:r w:rsidRPr="008C544A">
              <w:t>қаласы</w:t>
            </w:r>
            <w:proofErr w:type="spellEnd"/>
          </w:p>
        </w:tc>
        <w:tc>
          <w:tcPr>
            <w:tcW w:w="1805" w:type="dxa"/>
            <w:shd w:val="clear" w:color="auto" w:fill="auto"/>
          </w:tcPr>
          <w:p w:rsidR="00F64049" w:rsidRPr="008C544A" w:rsidRDefault="00F64049" w:rsidP="00C83857">
            <w:pPr>
              <w:ind w:firstLine="173"/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F64049" w:rsidRPr="008C544A" w:rsidRDefault="00F64049" w:rsidP="00C83857">
            <w:pPr>
              <w:ind w:firstLine="173"/>
              <w:jc w:val="center"/>
            </w:pPr>
          </w:p>
          <w:p w:rsidR="00F64049" w:rsidRPr="005B3D9B" w:rsidRDefault="00F64049" w:rsidP="00C83857">
            <w:pPr>
              <w:ind w:firstLine="173"/>
              <w:jc w:val="center"/>
              <w:rPr>
                <w:lang w:val="en-US"/>
              </w:rPr>
            </w:pPr>
            <w:r w:rsidRPr="008C544A">
              <w:t>№</w:t>
            </w:r>
            <w:r>
              <w:t xml:space="preserve"> </w:t>
            </w:r>
            <w:r>
              <w:rPr>
                <w:lang w:val="en-US"/>
              </w:rPr>
              <w:t>___</w:t>
            </w:r>
          </w:p>
          <w:p w:rsidR="00F64049" w:rsidRDefault="00F64049" w:rsidP="00C83857">
            <w:pPr>
              <w:ind w:firstLine="173"/>
              <w:jc w:val="center"/>
            </w:pPr>
          </w:p>
          <w:p w:rsidR="00F64049" w:rsidRPr="008C544A" w:rsidRDefault="00F64049" w:rsidP="00C83857">
            <w:pPr>
              <w:ind w:firstLine="173"/>
              <w:jc w:val="center"/>
            </w:pPr>
            <w:r w:rsidRPr="008C544A">
              <w:t xml:space="preserve">город </w:t>
            </w:r>
            <w:r>
              <w:t>Астана</w:t>
            </w:r>
          </w:p>
        </w:tc>
      </w:tr>
    </w:tbl>
    <w:p w:rsidR="00F64049" w:rsidRDefault="00F64049" w:rsidP="00F64049">
      <w:pPr>
        <w:jc w:val="both"/>
        <w:rPr>
          <w:b/>
          <w:sz w:val="28"/>
          <w:szCs w:val="28"/>
        </w:rPr>
      </w:pPr>
    </w:p>
    <w:p w:rsidR="00ED6AB7" w:rsidRPr="00AD5727" w:rsidRDefault="00ED6AB7" w:rsidP="00F64049">
      <w:pPr>
        <w:jc w:val="both"/>
        <w:rPr>
          <w:b/>
          <w:sz w:val="28"/>
          <w:szCs w:val="28"/>
        </w:rPr>
      </w:pPr>
    </w:p>
    <w:p w:rsidR="00B07B2E" w:rsidRDefault="00B07B2E" w:rsidP="00F64049">
      <w:pPr>
        <w:rPr>
          <w:b/>
          <w:sz w:val="28"/>
          <w:szCs w:val="28"/>
        </w:rPr>
      </w:pPr>
    </w:p>
    <w:p w:rsidR="001145BC" w:rsidRPr="001145BC" w:rsidRDefault="001145BC" w:rsidP="001D6725">
      <w:pPr>
        <w:jc w:val="center"/>
        <w:rPr>
          <w:b/>
          <w:sz w:val="28"/>
          <w:szCs w:val="20"/>
          <w:lang w:val="kk-KZ"/>
        </w:rPr>
      </w:pPr>
      <w:r w:rsidRPr="001145BC">
        <w:rPr>
          <w:b/>
          <w:sz w:val="28"/>
          <w:szCs w:val="20"/>
          <w:lang w:val="kk-KZ"/>
        </w:rPr>
        <w:t>2011 жылғы үлгідегі және</w:t>
      </w:r>
      <w:r w:rsidR="001D6725">
        <w:rPr>
          <w:b/>
          <w:sz w:val="28"/>
          <w:szCs w:val="20"/>
          <w:lang w:val="kk-KZ"/>
        </w:rPr>
        <w:t xml:space="preserve"> </w:t>
      </w:r>
      <w:r w:rsidRPr="001145BC">
        <w:rPr>
          <w:b/>
          <w:sz w:val="28"/>
          <w:szCs w:val="20"/>
          <w:lang w:val="kk-KZ"/>
        </w:rPr>
        <w:t>2023 жылғы үлгідегі номиналы</w:t>
      </w:r>
    </w:p>
    <w:p w:rsidR="001145BC" w:rsidRPr="001145BC" w:rsidRDefault="001145BC" w:rsidP="001D6725">
      <w:pPr>
        <w:jc w:val="center"/>
        <w:rPr>
          <w:b/>
          <w:sz w:val="28"/>
          <w:szCs w:val="20"/>
          <w:lang w:val="kk-KZ"/>
        </w:rPr>
      </w:pPr>
      <w:r w:rsidRPr="001145BC">
        <w:rPr>
          <w:b/>
          <w:sz w:val="28"/>
          <w:szCs w:val="20"/>
          <w:lang w:val="kk-KZ"/>
        </w:rPr>
        <w:t xml:space="preserve">5 000 теңгелік банкноттарды ауыстыру </w:t>
      </w:r>
      <w:r w:rsidR="00C23F33" w:rsidRPr="001145BC">
        <w:rPr>
          <w:b/>
          <w:sz w:val="28"/>
          <w:szCs w:val="20"/>
          <w:lang w:val="kk-KZ"/>
        </w:rPr>
        <w:t>және</w:t>
      </w:r>
    </w:p>
    <w:p w:rsidR="001145BC" w:rsidRPr="001145BC" w:rsidRDefault="001145BC" w:rsidP="001D6725">
      <w:pPr>
        <w:jc w:val="center"/>
        <w:rPr>
          <w:b/>
          <w:sz w:val="28"/>
          <w:szCs w:val="20"/>
          <w:lang w:val="kk-KZ"/>
        </w:rPr>
      </w:pPr>
      <w:r w:rsidRPr="001145BC">
        <w:rPr>
          <w:b/>
          <w:sz w:val="28"/>
          <w:szCs w:val="20"/>
          <w:lang w:val="kk-KZ"/>
        </w:rPr>
        <w:t>олардың қатар айналыс кезеңін белгілеу туралы</w:t>
      </w:r>
    </w:p>
    <w:p w:rsidR="00BD0704" w:rsidRPr="00C23F33" w:rsidRDefault="001145BC" w:rsidP="00B07B2E">
      <w:pPr>
        <w:jc w:val="both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 xml:space="preserve"> </w:t>
      </w:r>
    </w:p>
    <w:p w:rsidR="00D51307" w:rsidRPr="00C23F33" w:rsidRDefault="00D51307" w:rsidP="007F61A1">
      <w:pPr>
        <w:ind w:firstLine="708"/>
        <w:jc w:val="both"/>
        <w:rPr>
          <w:sz w:val="28"/>
          <w:szCs w:val="28"/>
          <w:lang w:val="kk-KZ"/>
        </w:rPr>
      </w:pPr>
    </w:p>
    <w:p w:rsidR="007F61A1" w:rsidRPr="00D63A91" w:rsidRDefault="008832AE" w:rsidP="008832AE">
      <w:pPr>
        <w:ind w:firstLine="709"/>
        <w:jc w:val="both"/>
        <w:rPr>
          <w:sz w:val="28"/>
          <w:szCs w:val="20"/>
          <w:lang w:val="kk-KZ"/>
        </w:rPr>
      </w:pPr>
      <w:r w:rsidRPr="000F07CF">
        <w:rPr>
          <w:sz w:val="28"/>
          <w:szCs w:val="28"/>
          <w:lang w:val="kk-KZ"/>
        </w:rPr>
        <w:t xml:space="preserve">«Қазақстан Республикасының Ұлттық Банкі туралы» Қазақстан Республикасы Заңының 15-бабы үшінші бөлігінің </w:t>
      </w:r>
      <w:r>
        <w:rPr>
          <w:sz w:val="28"/>
          <w:szCs w:val="28"/>
          <w:lang w:val="kk-KZ"/>
        </w:rPr>
        <w:t>4</w:t>
      </w:r>
      <w:r w:rsidRPr="000F07CF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 xml:space="preserve">және 4-1) </w:t>
      </w:r>
      <w:r w:rsidRPr="000F07CF">
        <w:rPr>
          <w:sz w:val="28"/>
          <w:szCs w:val="28"/>
          <w:lang w:val="kk-KZ"/>
        </w:rPr>
        <w:t>тармақша</w:t>
      </w:r>
      <w:r>
        <w:rPr>
          <w:sz w:val="28"/>
          <w:szCs w:val="28"/>
          <w:lang w:val="kk-KZ"/>
        </w:rPr>
        <w:t>лар</w:t>
      </w:r>
      <w:r w:rsidRPr="000F07CF">
        <w:rPr>
          <w:sz w:val="28"/>
          <w:szCs w:val="28"/>
          <w:lang w:val="kk-KZ"/>
        </w:rPr>
        <w:t>ына</w:t>
      </w:r>
      <w:r w:rsidRPr="008832AE">
        <w:rPr>
          <w:sz w:val="28"/>
          <w:szCs w:val="28"/>
          <w:lang w:val="kk-KZ"/>
        </w:rPr>
        <w:t xml:space="preserve"> сәйкес</w:t>
      </w:r>
      <w:r w:rsidRPr="000F07CF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«</w:t>
      </w:r>
      <w:r w:rsidRPr="008832AE">
        <w:rPr>
          <w:sz w:val="28"/>
          <w:szCs w:val="28"/>
          <w:lang w:val="kk-KZ"/>
        </w:rPr>
        <w:t>Номиналы 5 000 теңгелік</w:t>
      </w:r>
      <w:r>
        <w:rPr>
          <w:sz w:val="28"/>
          <w:szCs w:val="28"/>
          <w:lang w:val="kk-KZ"/>
        </w:rPr>
        <w:t xml:space="preserve"> </w:t>
      </w:r>
      <w:r w:rsidRPr="008832AE">
        <w:rPr>
          <w:sz w:val="28"/>
          <w:szCs w:val="28"/>
          <w:lang w:val="kk-KZ"/>
        </w:rPr>
        <w:t>банкноттың жаңа дизайнын</w:t>
      </w:r>
      <w:r>
        <w:rPr>
          <w:sz w:val="28"/>
          <w:szCs w:val="28"/>
          <w:lang w:val="kk-KZ"/>
        </w:rPr>
        <w:t xml:space="preserve"> </w:t>
      </w:r>
      <w:r w:rsidRPr="008832AE">
        <w:rPr>
          <w:sz w:val="28"/>
          <w:szCs w:val="28"/>
          <w:lang w:val="kk-KZ"/>
        </w:rPr>
        <w:t>және оны айналысқа шығару</w:t>
      </w:r>
      <w:r>
        <w:rPr>
          <w:sz w:val="28"/>
          <w:szCs w:val="28"/>
          <w:lang w:val="kk-KZ"/>
        </w:rPr>
        <w:t xml:space="preserve"> </w:t>
      </w:r>
      <w:r w:rsidRPr="008832AE">
        <w:rPr>
          <w:sz w:val="28"/>
          <w:szCs w:val="28"/>
          <w:lang w:val="kk-KZ"/>
        </w:rPr>
        <w:t>күнін айқындау туралы</w:t>
      </w:r>
      <w:r>
        <w:rPr>
          <w:sz w:val="28"/>
          <w:szCs w:val="28"/>
          <w:lang w:val="kk-KZ"/>
        </w:rPr>
        <w:t xml:space="preserve">» </w:t>
      </w:r>
      <w:r w:rsidRPr="000F07CF">
        <w:rPr>
          <w:bCs/>
          <w:sz w:val="28"/>
          <w:szCs w:val="28"/>
          <w:lang w:val="kk-KZ"/>
        </w:rPr>
        <w:t>Қазақстан Республикасы Ұлттық Банкі Басқармасының 2023 жылғы</w:t>
      </w:r>
      <w:r>
        <w:rPr>
          <w:bCs/>
          <w:sz w:val="28"/>
          <w:szCs w:val="28"/>
          <w:lang w:val="kk-KZ"/>
        </w:rPr>
        <w:t xml:space="preserve"> 26 қыркүйектегі </w:t>
      </w:r>
      <w:r w:rsidRPr="000F07CF">
        <w:rPr>
          <w:bCs/>
          <w:sz w:val="28"/>
          <w:szCs w:val="28"/>
          <w:lang w:val="kk-KZ"/>
        </w:rPr>
        <w:t xml:space="preserve">№ </w:t>
      </w:r>
      <w:r>
        <w:rPr>
          <w:bCs/>
          <w:sz w:val="28"/>
          <w:szCs w:val="28"/>
          <w:lang w:val="kk-KZ"/>
        </w:rPr>
        <w:t>76</w:t>
      </w:r>
      <w:r w:rsidRPr="000F07CF">
        <w:rPr>
          <w:bCs/>
          <w:sz w:val="28"/>
          <w:szCs w:val="28"/>
          <w:lang w:val="kk-KZ"/>
        </w:rPr>
        <w:t xml:space="preserve"> қаулысын</w:t>
      </w:r>
      <w:r>
        <w:rPr>
          <w:bCs/>
          <w:sz w:val="28"/>
          <w:szCs w:val="28"/>
          <w:lang w:val="kk-KZ"/>
        </w:rPr>
        <w:t xml:space="preserve">ың қабылдануына байланысты </w:t>
      </w:r>
      <w:r w:rsidRPr="000F07CF">
        <w:rPr>
          <w:bCs/>
          <w:sz w:val="28"/>
          <w:szCs w:val="28"/>
          <w:lang w:val="kk-KZ"/>
        </w:rPr>
        <w:t xml:space="preserve">Қазақстан Республикасы Ұлттық Банкінің  Басқармасы </w:t>
      </w:r>
      <w:r w:rsidRPr="000F07CF">
        <w:rPr>
          <w:b/>
          <w:bCs/>
          <w:sz w:val="28"/>
          <w:szCs w:val="28"/>
          <w:lang w:val="kk-KZ"/>
        </w:rPr>
        <w:t>ҚАУЛЫ ЕТЕДІ</w:t>
      </w:r>
      <w:r w:rsidRPr="006F5F3E">
        <w:rPr>
          <w:bCs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="007F61A1" w:rsidRPr="00D63A91">
        <w:rPr>
          <w:sz w:val="28"/>
          <w:szCs w:val="20"/>
          <w:lang w:val="kk-KZ"/>
        </w:rPr>
        <w:t xml:space="preserve"> </w:t>
      </w:r>
    </w:p>
    <w:p w:rsidR="003602F7" w:rsidRPr="00D63A91" w:rsidRDefault="0007493F" w:rsidP="00F41796">
      <w:pPr>
        <w:ind w:firstLine="720"/>
        <w:jc w:val="both"/>
        <w:rPr>
          <w:sz w:val="28"/>
          <w:szCs w:val="28"/>
          <w:lang w:val="kk-KZ"/>
        </w:rPr>
      </w:pPr>
      <w:r w:rsidRPr="00D63A91">
        <w:rPr>
          <w:sz w:val="28"/>
          <w:szCs w:val="20"/>
          <w:lang w:val="kk-KZ"/>
        </w:rPr>
        <w:t xml:space="preserve">1. </w:t>
      </w:r>
      <w:r w:rsidR="008832AE" w:rsidRPr="00F045F2">
        <w:rPr>
          <w:sz w:val="28"/>
          <w:szCs w:val="20"/>
          <w:lang w:val="kk-KZ"/>
        </w:rPr>
        <w:t xml:space="preserve">2023 жылғы 25 желтоқсаннан бастап Қазақстан Республикасы ұлттық валютасының 2011 жылғы үлгідегі </w:t>
      </w:r>
      <w:r w:rsidR="00F045F2" w:rsidRPr="00F045F2">
        <w:rPr>
          <w:sz w:val="28"/>
          <w:szCs w:val="20"/>
          <w:lang w:val="kk-KZ"/>
        </w:rPr>
        <w:t xml:space="preserve">айналыстағы </w:t>
      </w:r>
      <w:r w:rsidR="008832AE" w:rsidRPr="00F045F2">
        <w:rPr>
          <w:sz w:val="28"/>
          <w:szCs w:val="20"/>
          <w:lang w:val="kk-KZ"/>
        </w:rPr>
        <w:t>номиналы</w:t>
      </w:r>
      <w:r w:rsidR="00F045F2" w:rsidRPr="00F045F2">
        <w:rPr>
          <w:sz w:val="28"/>
          <w:szCs w:val="20"/>
          <w:lang w:val="kk-KZ"/>
        </w:rPr>
        <w:t xml:space="preserve"> </w:t>
      </w:r>
      <w:r w:rsidR="008832AE" w:rsidRPr="00F045F2">
        <w:rPr>
          <w:sz w:val="28"/>
          <w:szCs w:val="20"/>
          <w:lang w:val="kk-KZ"/>
        </w:rPr>
        <w:t xml:space="preserve">5 000 теңгелік </w:t>
      </w:r>
      <w:r w:rsidR="00F045F2" w:rsidRPr="00F045F2">
        <w:rPr>
          <w:sz w:val="28"/>
          <w:szCs w:val="20"/>
          <w:lang w:val="kk-KZ"/>
        </w:rPr>
        <w:t>банкноттар</w:t>
      </w:r>
      <w:r w:rsidR="00A01018">
        <w:rPr>
          <w:sz w:val="28"/>
          <w:szCs w:val="20"/>
          <w:lang w:val="kk-KZ"/>
        </w:rPr>
        <w:t>ы</w:t>
      </w:r>
      <w:r w:rsidR="00F045F2" w:rsidRPr="00F045F2">
        <w:rPr>
          <w:sz w:val="28"/>
          <w:szCs w:val="20"/>
          <w:lang w:val="kk-KZ"/>
        </w:rPr>
        <w:t xml:space="preserve"> </w:t>
      </w:r>
      <w:r w:rsidR="008832AE" w:rsidRPr="00F045F2">
        <w:rPr>
          <w:sz w:val="28"/>
          <w:szCs w:val="20"/>
          <w:lang w:val="kk-KZ"/>
        </w:rPr>
        <w:t>(бұдан әрі – ескі үлгідегі банкнот) Қазақстан Республикасы</w:t>
      </w:r>
      <w:r w:rsidR="00F045F2" w:rsidRPr="00F045F2">
        <w:rPr>
          <w:sz w:val="28"/>
          <w:szCs w:val="20"/>
          <w:lang w:val="kk-KZ"/>
        </w:rPr>
        <w:t xml:space="preserve"> ұ</w:t>
      </w:r>
      <w:r w:rsidR="008832AE" w:rsidRPr="00F045F2">
        <w:rPr>
          <w:sz w:val="28"/>
          <w:szCs w:val="20"/>
          <w:lang w:val="kk-KZ"/>
        </w:rPr>
        <w:t>лттық валютасының 2023 жылғы үлгідегі дизайны өзгертілген номиналы 5 000 теңге</w:t>
      </w:r>
      <w:r w:rsidR="00F045F2" w:rsidRPr="00F045F2">
        <w:rPr>
          <w:sz w:val="28"/>
          <w:szCs w:val="20"/>
          <w:lang w:val="kk-KZ"/>
        </w:rPr>
        <w:t>лік банкноттар</w:t>
      </w:r>
      <w:r w:rsidR="00A01018">
        <w:rPr>
          <w:sz w:val="28"/>
          <w:szCs w:val="20"/>
          <w:lang w:val="kk-KZ"/>
        </w:rPr>
        <w:t>ын</w:t>
      </w:r>
      <w:r w:rsidR="00F045F2" w:rsidRPr="00F045F2">
        <w:rPr>
          <w:sz w:val="28"/>
          <w:szCs w:val="20"/>
          <w:lang w:val="kk-KZ"/>
        </w:rPr>
        <w:t>а</w:t>
      </w:r>
      <w:r w:rsidR="008832AE" w:rsidRPr="00F045F2">
        <w:rPr>
          <w:sz w:val="28"/>
          <w:szCs w:val="20"/>
          <w:lang w:val="kk-KZ"/>
        </w:rPr>
        <w:t xml:space="preserve"> (бұдан әрі – жаңа үлгідегі банкнот) ауыстыру баста</w:t>
      </w:r>
      <w:r w:rsidR="00F045F2" w:rsidRPr="00F045F2">
        <w:rPr>
          <w:sz w:val="28"/>
          <w:szCs w:val="20"/>
          <w:lang w:val="kk-KZ"/>
        </w:rPr>
        <w:t>лсын</w:t>
      </w:r>
      <w:r w:rsidR="008832AE" w:rsidRPr="00F045F2">
        <w:rPr>
          <w:sz w:val="28"/>
          <w:szCs w:val="20"/>
          <w:lang w:val="kk-KZ"/>
        </w:rPr>
        <w:t>.</w:t>
      </w:r>
      <w:r w:rsidR="008832AE">
        <w:rPr>
          <w:sz w:val="28"/>
          <w:szCs w:val="20"/>
          <w:lang w:val="kk-KZ"/>
        </w:rPr>
        <w:t xml:space="preserve"> </w:t>
      </w:r>
      <w:r w:rsidR="00F045F2">
        <w:rPr>
          <w:sz w:val="28"/>
          <w:szCs w:val="20"/>
          <w:lang w:val="kk-KZ"/>
        </w:rPr>
        <w:t xml:space="preserve"> </w:t>
      </w:r>
      <w:r w:rsidR="00A82327" w:rsidRPr="00D63A91">
        <w:rPr>
          <w:sz w:val="28"/>
          <w:szCs w:val="28"/>
          <w:lang w:val="kk-KZ"/>
        </w:rPr>
        <w:t xml:space="preserve"> </w:t>
      </w:r>
    </w:p>
    <w:p w:rsidR="00F41796" w:rsidRPr="00F045F2" w:rsidRDefault="00EF6EB9" w:rsidP="00F41796">
      <w:pPr>
        <w:ind w:firstLine="720"/>
        <w:jc w:val="both"/>
        <w:rPr>
          <w:sz w:val="28"/>
          <w:szCs w:val="28"/>
          <w:lang w:val="kk-KZ"/>
        </w:rPr>
      </w:pPr>
      <w:r w:rsidRPr="00D63A91">
        <w:rPr>
          <w:sz w:val="28"/>
          <w:szCs w:val="20"/>
          <w:lang w:val="kk-KZ"/>
        </w:rPr>
        <w:t xml:space="preserve">2. </w:t>
      </w:r>
      <w:r w:rsidR="00F045F2" w:rsidRPr="00F045F2">
        <w:rPr>
          <w:sz w:val="28"/>
          <w:szCs w:val="20"/>
          <w:lang w:val="kk-KZ"/>
        </w:rPr>
        <w:t>2023 жылғы 25 желтоқсаннан 2024 жылғы 24 желтоқсанға дейін ескі үлгідегі банкноттар мен жаңа үлгідегі банкноттардың қатар айналыс кезеңі белгіленсін.</w:t>
      </w:r>
      <w:r w:rsidR="00F045F2" w:rsidRPr="00F045F2">
        <w:rPr>
          <w:sz w:val="28"/>
          <w:szCs w:val="28"/>
          <w:lang w:val="kk-KZ"/>
        </w:rPr>
        <w:t xml:space="preserve"> </w:t>
      </w:r>
    </w:p>
    <w:p w:rsidR="00F045F2" w:rsidRPr="00306D8C" w:rsidRDefault="00EF6EB9" w:rsidP="00E72C4F">
      <w:pPr>
        <w:ind w:firstLine="708"/>
        <w:jc w:val="both"/>
        <w:rPr>
          <w:sz w:val="28"/>
          <w:szCs w:val="28"/>
          <w:lang w:val="kk-KZ"/>
        </w:rPr>
      </w:pPr>
      <w:r w:rsidRPr="00306D8C">
        <w:rPr>
          <w:sz w:val="28"/>
          <w:szCs w:val="28"/>
          <w:lang w:val="kk-KZ"/>
        </w:rPr>
        <w:t>3</w:t>
      </w:r>
      <w:r w:rsidR="00E72C4F" w:rsidRPr="00306D8C">
        <w:rPr>
          <w:sz w:val="28"/>
          <w:szCs w:val="28"/>
          <w:lang w:val="kk-KZ"/>
        </w:rPr>
        <w:t xml:space="preserve">. </w:t>
      </w:r>
      <w:r w:rsidR="00306D8C" w:rsidRPr="00306D8C">
        <w:rPr>
          <w:sz w:val="28"/>
          <w:szCs w:val="28"/>
          <w:lang w:val="kk-KZ"/>
        </w:rPr>
        <w:t>Жаңа үлгідегі банкноттар мен ескі үлгідегі банкноттар қатар айналыс кезеңінде заңды төлем құралы болып табылады</w:t>
      </w:r>
      <w:r w:rsidR="00E165DC">
        <w:rPr>
          <w:sz w:val="28"/>
          <w:szCs w:val="28"/>
          <w:lang w:val="kk-KZ"/>
        </w:rPr>
        <w:t xml:space="preserve">, </w:t>
      </w:r>
      <w:r w:rsidR="00306D8C" w:rsidRPr="00306D8C">
        <w:rPr>
          <w:sz w:val="28"/>
          <w:szCs w:val="28"/>
          <w:lang w:val="kk-KZ"/>
        </w:rPr>
        <w:t>Қазақстан Республикасының бүкіл аумағында төлемдер</w:t>
      </w:r>
      <w:r w:rsidR="00E165DC">
        <w:rPr>
          <w:sz w:val="28"/>
          <w:szCs w:val="28"/>
          <w:lang w:val="kk-KZ"/>
        </w:rPr>
        <w:t xml:space="preserve"> мен аударымдардың</w:t>
      </w:r>
      <w:r w:rsidR="00306D8C" w:rsidRPr="00306D8C">
        <w:rPr>
          <w:sz w:val="28"/>
          <w:szCs w:val="28"/>
          <w:lang w:val="kk-KZ"/>
        </w:rPr>
        <w:t xml:space="preserve"> барлық түрлері</w:t>
      </w:r>
      <w:r w:rsidR="00E165DC">
        <w:rPr>
          <w:sz w:val="28"/>
          <w:szCs w:val="28"/>
          <w:lang w:val="kk-KZ"/>
        </w:rPr>
        <w:t xml:space="preserve">н жүзеге асыру, </w:t>
      </w:r>
      <w:r w:rsidR="00E165DC" w:rsidRPr="00306D8C">
        <w:rPr>
          <w:sz w:val="28"/>
          <w:szCs w:val="28"/>
          <w:lang w:val="kk-KZ"/>
        </w:rPr>
        <w:t xml:space="preserve">банктік шоттарға есептеу үшін </w:t>
      </w:r>
      <w:r w:rsidR="00306D8C" w:rsidRPr="00306D8C">
        <w:rPr>
          <w:sz w:val="28"/>
          <w:szCs w:val="28"/>
          <w:lang w:val="kk-KZ"/>
        </w:rPr>
        <w:t xml:space="preserve">олардың белгіленген құны бойынша қабылдануға міндетті, </w:t>
      </w:r>
      <w:r w:rsidR="00E165DC">
        <w:rPr>
          <w:sz w:val="28"/>
          <w:szCs w:val="28"/>
          <w:lang w:val="kk-KZ"/>
        </w:rPr>
        <w:t xml:space="preserve">сондай-ақ </w:t>
      </w:r>
      <w:r w:rsidR="00E165DC" w:rsidRPr="00306D8C">
        <w:rPr>
          <w:sz w:val="28"/>
          <w:szCs w:val="28"/>
          <w:lang w:val="kk-KZ"/>
        </w:rPr>
        <w:t>Қазақстан Республикасы Ұлттық Банкінің, Ұлттық пошта операторының барлық филиалдарында</w:t>
      </w:r>
      <w:r w:rsidR="00E165DC">
        <w:rPr>
          <w:sz w:val="28"/>
          <w:szCs w:val="28"/>
          <w:lang w:val="kk-KZ"/>
        </w:rPr>
        <w:t>,</w:t>
      </w:r>
      <w:r w:rsidR="00E165DC" w:rsidRPr="00306D8C">
        <w:rPr>
          <w:sz w:val="28"/>
          <w:szCs w:val="28"/>
          <w:lang w:val="kk-KZ"/>
        </w:rPr>
        <w:t xml:space="preserve"> Қазақстан Республикасының екінші деңгейдегі банктерінде және Қазақстан Республикасының </w:t>
      </w:r>
      <w:r w:rsidR="00E165DC">
        <w:rPr>
          <w:sz w:val="28"/>
          <w:szCs w:val="28"/>
          <w:lang w:val="kk-KZ"/>
        </w:rPr>
        <w:t>бей</w:t>
      </w:r>
      <w:r w:rsidR="00E165DC" w:rsidRPr="00306D8C">
        <w:rPr>
          <w:sz w:val="28"/>
          <w:szCs w:val="28"/>
          <w:lang w:val="kk-KZ"/>
        </w:rPr>
        <w:t>резидент банктерінің филиалдарында</w:t>
      </w:r>
      <w:r w:rsidR="00E165DC">
        <w:rPr>
          <w:sz w:val="28"/>
          <w:szCs w:val="28"/>
          <w:lang w:val="kk-KZ"/>
        </w:rPr>
        <w:t xml:space="preserve"> </w:t>
      </w:r>
      <w:r w:rsidR="00E165DC" w:rsidRPr="00306D8C">
        <w:rPr>
          <w:sz w:val="28"/>
          <w:szCs w:val="28"/>
          <w:lang w:val="kk-KZ"/>
        </w:rPr>
        <w:t>шектеусіз ұсақта</w:t>
      </w:r>
      <w:r w:rsidR="00E165DC">
        <w:rPr>
          <w:sz w:val="28"/>
          <w:szCs w:val="28"/>
          <w:lang w:val="kk-KZ"/>
        </w:rPr>
        <w:t>ла</w:t>
      </w:r>
      <w:r w:rsidR="00E165DC" w:rsidRPr="00306D8C">
        <w:rPr>
          <w:sz w:val="28"/>
          <w:szCs w:val="28"/>
          <w:lang w:val="kk-KZ"/>
        </w:rPr>
        <w:t>ды және айырбасталады</w:t>
      </w:r>
      <w:r w:rsidR="00F045F2" w:rsidRPr="00306D8C">
        <w:rPr>
          <w:sz w:val="28"/>
          <w:szCs w:val="28"/>
          <w:lang w:val="kk-KZ"/>
        </w:rPr>
        <w:t>.</w:t>
      </w:r>
    </w:p>
    <w:p w:rsidR="00F41796" w:rsidRPr="00D63A91" w:rsidRDefault="008240F9" w:rsidP="006C5B57">
      <w:pPr>
        <w:pStyle w:val="pc"/>
        <w:ind w:firstLine="709"/>
        <w:jc w:val="both"/>
        <w:rPr>
          <w:sz w:val="28"/>
          <w:szCs w:val="28"/>
          <w:lang w:val="kk-KZ"/>
        </w:rPr>
      </w:pPr>
      <w:r w:rsidRPr="00E165DC">
        <w:rPr>
          <w:sz w:val="28"/>
          <w:szCs w:val="28"/>
          <w:lang w:val="kk-KZ"/>
        </w:rPr>
        <w:lastRenderedPageBreak/>
        <w:t xml:space="preserve">4. </w:t>
      </w:r>
      <w:r w:rsidR="00E165DC" w:rsidRPr="00E165DC">
        <w:rPr>
          <w:sz w:val="28"/>
          <w:szCs w:val="28"/>
          <w:lang w:val="kk-KZ"/>
        </w:rPr>
        <w:t xml:space="preserve">Осы қаулының 2-тармағында белгіленген ескі үлгідегі банкноттар мен жаңа үлгідегі банкноттардың қатар айналыс кезеңі аяқталғаннан кейін ескі үлгідегі банкноттар Қазақстан Республикасының бүкіл аумағындағы айналыстан алынады және </w:t>
      </w:r>
      <w:r w:rsidR="006C5B57">
        <w:rPr>
          <w:sz w:val="28"/>
          <w:szCs w:val="28"/>
          <w:lang w:val="kk-KZ"/>
        </w:rPr>
        <w:t>«</w:t>
      </w:r>
      <w:r w:rsidR="006C5B57" w:rsidRPr="00E165DC">
        <w:rPr>
          <w:color w:val="auto"/>
          <w:sz w:val="28"/>
          <w:szCs w:val="28"/>
          <w:lang w:val="kk-KZ"/>
        </w:rPr>
        <w:t>Қазақстан Республикасының ұлттық валютасының айналыстағы ақша белгiлерiнiң дизайны (нысаны) өзгерген кезде оларды ауыстыру қағидаларын бекіту туралы</w:t>
      </w:r>
      <w:r w:rsidR="006C5B57">
        <w:rPr>
          <w:color w:val="auto"/>
          <w:sz w:val="28"/>
          <w:szCs w:val="28"/>
          <w:lang w:val="kk-KZ"/>
        </w:rPr>
        <w:t xml:space="preserve">» </w:t>
      </w:r>
      <w:r w:rsidR="006C5B57" w:rsidRPr="00E165DC">
        <w:rPr>
          <w:color w:val="auto"/>
          <w:sz w:val="28"/>
          <w:szCs w:val="28"/>
          <w:lang w:val="kk-KZ"/>
        </w:rPr>
        <w:t xml:space="preserve">Қазақстан Республикасы Ұлттық Банкі Басқармасының 2015 жылғы 19 желтоқсандағы № 228 </w:t>
      </w:r>
      <w:r w:rsidR="006C5B57">
        <w:rPr>
          <w:color w:val="auto"/>
          <w:sz w:val="28"/>
          <w:szCs w:val="28"/>
          <w:lang w:val="kk-KZ"/>
        </w:rPr>
        <w:t>қ</w:t>
      </w:r>
      <w:r w:rsidR="006C5B57" w:rsidRPr="00E165DC">
        <w:rPr>
          <w:color w:val="auto"/>
          <w:sz w:val="28"/>
          <w:szCs w:val="28"/>
          <w:lang w:val="kk-KZ"/>
        </w:rPr>
        <w:t>аулысы</w:t>
      </w:r>
      <w:r w:rsidR="006C5B57">
        <w:rPr>
          <w:color w:val="auto"/>
          <w:sz w:val="28"/>
          <w:szCs w:val="28"/>
          <w:lang w:val="kk-KZ"/>
        </w:rPr>
        <w:t xml:space="preserve">нда </w:t>
      </w:r>
      <w:r w:rsidR="006C5B57" w:rsidRPr="00E165DC">
        <w:rPr>
          <w:sz w:val="28"/>
          <w:szCs w:val="28"/>
          <w:lang w:val="kk-KZ"/>
        </w:rPr>
        <w:t xml:space="preserve">(Нормативтік құқықтық актілерді мемлекеттік тіркеу тізілімінде № 12946 болып тіркелген) </w:t>
      </w:r>
      <w:r w:rsidR="006C5B57">
        <w:rPr>
          <w:sz w:val="28"/>
          <w:szCs w:val="28"/>
          <w:lang w:val="kk-KZ"/>
        </w:rPr>
        <w:t xml:space="preserve">белгіленген </w:t>
      </w:r>
      <w:r w:rsidR="00E165DC" w:rsidRPr="00E165DC">
        <w:rPr>
          <w:sz w:val="28"/>
          <w:szCs w:val="28"/>
          <w:lang w:val="kk-KZ"/>
        </w:rPr>
        <w:t>тәртіппен жаңа үлгідегі банкноттарға ауыстырылу</w:t>
      </w:r>
      <w:r w:rsidR="006C5B57">
        <w:rPr>
          <w:sz w:val="28"/>
          <w:szCs w:val="28"/>
          <w:lang w:val="kk-KZ"/>
        </w:rPr>
        <w:t xml:space="preserve">ға тиіс. </w:t>
      </w:r>
    </w:p>
    <w:p w:rsidR="006C5B57" w:rsidRPr="000F07CF" w:rsidRDefault="008240F9" w:rsidP="006C5B57">
      <w:pPr>
        <w:ind w:firstLine="720"/>
        <w:jc w:val="both"/>
        <w:rPr>
          <w:sz w:val="28"/>
          <w:szCs w:val="28"/>
          <w:lang w:val="kk-KZ"/>
        </w:rPr>
      </w:pPr>
      <w:r w:rsidRPr="00D63A91">
        <w:rPr>
          <w:sz w:val="28"/>
          <w:szCs w:val="28"/>
          <w:lang w:val="kk-KZ"/>
        </w:rPr>
        <w:t>5</w:t>
      </w:r>
      <w:r w:rsidR="00F46BFD" w:rsidRPr="00D63A91">
        <w:rPr>
          <w:sz w:val="28"/>
          <w:szCs w:val="28"/>
          <w:lang w:val="kk-KZ"/>
        </w:rPr>
        <w:t xml:space="preserve">. </w:t>
      </w:r>
      <w:r w:rsidR="006C5B57" w:rsidRPr="000F07CF">
        <w:rPr>
          <w:bCs/>
          <w:sz w:val="28"/>
          <w:szCs w:val="28"/>
          <w:lang w:val="kk-KZ"/>
        </w:rPr>
        <w:t xml:space="preserve">Қазақстан Республикасы Ұлттық Банкінің </w:t>
      </w:r>
      <w:r w:rsidR="006C5B57" w:rsidRPr="000F07CF">
        <w:rPr>
          <w:sz w:val="28"/>
          <w:szCs w:val="28"/>
          <w:lang w:val="kk-KZ"/>
        </w:rPr>
        <w:t>Қолма-қол ақша айналысы департам</w:t>
      </w:r>
      <w:bookmarkStart w:id="0" w:name="_GoBack"/>
      <w:bookmarkEnd w:id="0"/>
      <w:r w:rsidR="006C5B57" w:rsidRPr="000F07CF">
        <w:rPr>
          <w:sz w:val="28"/>
          <w:szCs w:val="28"/>
          <w:lang w:val="kk-KZ"/>
        </w:rPr>
        <w:t xml:space="preserve">енті </w:t>
      </w:r>
      <w:r w:rsidR="006C5B57" w:rsidRPr="000F07CF">
        <w:rPr>
          <w:bCs/>
          <w:sz w:val="28"/>
          <w:szCs w:val="28"/>
          <w:lang w:val="kk-KZ"/>
        </w:rPr>
        <w:t>Қазақстан Республикасы</w:t>
      </w:r>
      <w:r w:rsidR="006C5B57">
        <w:rPr>
          <w:bCs/>
          <w:sz w:val="28"/>
          <w:szCs w:val="28"/>
          <w:lang w:val="kk-KZ"/>
        </w:rPr>
        <w:t>ның заңнамасында</w:t>
      </w:r>
      <w:r w:rsidR="006C5B57" w:rsidRPr="000F07CF">
        <w:rPr>
          <w:bCs/>
          <w:sz w:val="28"/>
          <w:szCs w:val="28"/>
          <w:lang w:val="kk-KZ"/>
        </w:rPr>
        <w:t xml:space="preserve"> </w:t>
      </w:r>
      <w:r w:rsidR="006C5B57" w:rsidRPr="000F07CF">
        <w:rPr>
          <w:sz w:val="28"/>
          <w:szCs w:val="28"/>
          <w:lang w:val="kk-KZ"/>
        </w:rPr>
        <w:t>белгіленген тәртіппен:</w:t>
      </w:r>
    </w:p>
    <w:p w:rsidR="006C5B57" w:rsidRDefault="006C5B57" w:rsidP="006C5B57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0F07CF">
        <w:rPr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 </w:t>
      </w:r>
      <w:r w:rsidRPr="000F07CF">
        <w:rPr>
          <w:bCs/>
          <w:sz w:val="28"/>
          <w:szCs w:val="28"/>
          <w:lang w:val="kk-KZ"/>
        </w:rPr>
        <w:t xml:space="preserve">Қазақстан Республикасы Ұлттық Банкінің </w:t>
      </w:r>
      <w:r w:rsidRPr="0099694E">
        <w:rPr>
          <w:color w:val="000000" w:themeColor="text1"/>
          <w:sz w:val="28"/>
          <w:szCs w:val="28"/>
          <w:lang w:val="kk-KZ"/>
        </w:rPr>
        <w:t>З</w:t>
      </w:r>
      <w:r>
        <w:rPr>
          <w:color w:val="000000" w:themeColor="text1"/>
          <w:sz w:val="28"/>
          <w:szCs w:val="28"/>
          <w:lang w:val="kk-KZ"/>
        </w:rPr>
        <w:t xml:space="preserve">аң департаментімен бірлесіп </w:t>
      </w:r>
      <w:r w:rsidRPr="0099694E">
        <w:rPr>
          <w:color w:val="000000" w:themeColor="text1"/>
          <w:sz w:val="28"/>
          <w:szCs w:val="28"/>
          <w:lang w:val="kk-KZ"/>
        </w:rPr>
        <w:t>осы қаулыны Қазақстан Республикасының Әділет министрлігінде мемлекеттік тіркеуді</w:t>
      </w:r>
      <w:r>
        <w:rPr>
          <w:color w:val="000000" w:themeColor="text1"/>
          <w:sz w:val="28"/>
          <w:szCs w:val="28"/>
          <w:lang w:val="kk-KZ"/>
        </w:rPr>
        <w:t>;</w:t>
      </w:r>
    </w:p>
    <w:p w:rsidR="006C5B57" w:rsidRDefault="006C5B57" w:rsidP="006C5B57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0F07CF">
        <w:rPr>
          <w:sz w:val="28"/>
          <w:szCs w:val="28"/>
          <w:lang w:val="kk-KZ"/>
        </w:rPr>
        <w:t xml:space="preserve">2) </w:t>
      </w:r>
      <w:r w:rsidRPr="0099694E">
        <w:rPr>
          <w:color w:val="000000" w:themeColor="text1"/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орналастыруды;</w:t>
      </w:r>
    </w:p>
    <w:p w:rsidR="006C5B57" w:rsidRPr="000F07CF" w:rsidRDefault="006C5B57" w:rsidP="006C5B57">
      <w:pPr>
        <w:ind w:firstLine="708"/>
        <w:jc w:val="both"/>
        <w:rPr>
          <w:sz w:val="28"/>
          <w:szCs w:val="28"/>
          <w:lang w:val="kk-KZ"/>
        </w:rPr>
      </w:pPr>
      <w:r w:rsidRPr="0099694E">
        <w:rPr>
          <w:color w:val="000000" w:themeColor="text1"/>
          <w:sz w:val="28"/>
          <w:szCs w:val="28"/>
          <w:lang w:val="kk-KZ"/>
        </w:rPr>
        <w:t xml:space="preserve">3) осы қаулы мемлекеттік тіркелгеннен кейін он жұмыс күні ішінде </w:t>
      </w:r>
      <w:r w:rsidR="00AC6368" w:rsidRPr="0099694E">
        <w:rPr>
          <w:color w:val="000000" w:themeColor="text1"/>
          <w:sz w:val="28"/>
          <w:szCs w:val="28"/>
          <w:lang w:val="kk-KZ"/>
        </w:rPr>
        <w:t xml:space="preserve">Қазақстан Республикасы Ұлттық Банкінің </w:t>
      </w:r>
      <w:r w:rsidRPr="0099694E">
        <w:rPr>
          <w:color w:val="000000" w:themeColor="text1"/>
          <w:sz w:val="28"/>
          <w:szCs w:val="28"/>
          <w:lang w:val="kk-KZ"/>
        </w:rPr>
        <w:t xml:space="preserve">Заң департаментіне осы тармақтың </w:t>
      </w:r>
      <w:r w:rsidR="00AC6368">
        <w:rPr>
          <w:color w:val="000000" w:themeColor="text1"/>
          <w:sz w:val="28"/>
          <w:szCs w:val="28"/>
          <w:lang w:val="kk-KZ"/>
        </w:rPr>
        <w:br/>
      </w:r>
      <w:r w:rsidRPr="0099694E">
        <w:rPr>
          <w:color w:val="000000" w:themeColor="text1"/>
          <w:sz w:val="28"/>
          <w:szCs w:val="28"/>
          <w:lang w:val="kk-KZ"/>
        </w:rPr>
        <w:t>2) тармақшасында көзделген іс-шаралардың орындалуы туралы мәліметтерді ұсынуды қамтамасыз етсін.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</w:p>
    <w:p w:rsidR="006C5B57" w:rsidRPr="000F07CF" w:rsidRDefault="00806FFE" w:rsidP="00806FFE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6C5B57" w:rsidRPr="000F07CF">
        <w:rPr>
          <w:sz w:val="28"/>
          <w:szCs w:val="28"/>
          <w:lang w:val="kk-KZ"/>
        </w:rPr>
        <w:t xml:space="preserve">. </w:t>
      </w:r>
      <w:r w:rsidR="007B42A1" w:rsidRPr="000F07CF">
        <w:rPr>
          <w:sz w:val="28"/>
          <w:szCs w:val="28"/>
          <w:lang w:val="kk-KZ"/>
        </w:rPr>
        <w:t xml:space="preserve">Осы қаулының орындалуын бақылау Қазақстан Республикасының Ұлттық Банкі Төрағасының </w:t>
      </w:r>
      <w:r w:rsidR="007B42A1">
        <w:rPr>
          <w:sz w:val="28"/>
          <w:szCs w:val="28"/>
          <w:lang w:val="kk-KZ"/>
        </w:rPr>
        <w:t xml:space="preserve">жетекшілік ететін </w:t>
      </w:r>
      <w:r w:rsidR="007B42A1" w:rsidRPr="000F07CF">
        <w:rPr>
          <w:sz w:val="28"/>
          <w:szCs w:val="28"/>
          <w:lang w:val="kk-KZ"/>
        </w:rPr>
        <w:t>орынбасары</w:t>
      </w:r>
      <w:r w:rsidR="007B42A1">
        <w:rPr>
          <w:sz w:val="28"/>
          <w:szCs w:val="28"/>
          <w:lang w:val="kk-KZ"/>
        </w:rPr>
        <w:t>н</w:t>
      </w:r>
      <w:r w:rsidR="007B42A1" w:rsidRPr="000F07CF">
        <w:rPr>
          <w:sz w:val="28"/>
          <w:szCs w:val="28"/>
          <w:lang w:val="kk-KZ"/>
        </w:rPr>
        <w:t>а жүктелсін.</w:t>
      </w:r>
      <w:r w:rsidR="007B42A1">
        <w:rPr>
          <w:color w:val="FF0000"/>
          <w:sz w:val="28"/>
          <w:szCs w:val="28"/>
          <w:lang w:val="kk-KZ"/>
        </w:rPr>
        <w:t xml:space="preserve"> </w:t>
      </w:r>
    </w:p>
    <w:p w:rsidR="00F46BFD" w:rsidRPr="006C5B57" w:rsidRDefault="00806FFE" w:rsidP="006C5B57">
      <w:pPr>
        <w:pStyle w:val="a7"/>
        <w:widowControl w:val="0"/>
        <w:tabs>
          <w:tab w:val="left" w:pos="993"/>
        </w:tabs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>7</w:t>
      </w:r>
      <w:r w:rsidR="006C5B57" w:rsidRPr="000F07CF">
        <w:rPr>
          <w:sz w:val="28"/>
          <w:szCs w:val="28"/>
          <w:lang w:val="kk-KZ"/>
        </w:rPr>
        <w:t xml:space="preserve">. </w:t>
      </w:r>
      <w:r w:rsidR="002F3747">
        <w:rPr>
          <w:sz w:val="28"/>
          <w:szCs w:val="28"/>
          <w:lang w:val="kk-KZ"/>
        </w:rPr>
        <w:t xml:space="preserve"> </w:t>
      </w:r>
      <w:r w:rsidR="007B42A1" w:rsidRPr="00806FFE">
        <w:rPr>
          <w:sz w:val="28"/>
          <w:szCs w:val="28"/>
          <w:lang w:val="kk-KZ"/>
        </w:rPr>
        <w:t>Осы қаулы 2023 жылғы 25 желтоқсаннан бастап қолданысқа енгізіледі және ресми жариялануға тиіс</w:t>
      </w:r>
      <w:r w:rsidR="007B42A1">
        <w:rPr>
          <w:sz w:val="28"/>
          <w:szCs w:val="28"/>
          <w:lang w:val="kk-KZ"/>
        </w:rPr>
        <w:t>.</w:t>
      </w:r>
    </w:p>
    <w:p w:rsidR="00F64049" w:rsidRPr="00806FFE" w:rsidRDefault="00806FFE" w:rsidP="00806FF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F46BFD" w:rsidRPr="00806FFE" w:rsidRDefault="00F46BFD" w:rsidP="00F64049">
      <w:pPr>
        <w:jc w:val="both"/>
        <w:rPr>
          <w:sz w:val="28"/>
          <w:szCs w:val="28"/>
          <w:lang w:val="kk-KZ"/>
        </w:rPr>
      </w:pPr>
    </w:p>
    <w:tbl>
      <w:tblPr>
        <w:tblW w:w="10080" w:type="dxa"/>
        <w:tblInd w:w="-426" w:type="dxa"/>
        <w:tblLook w:val="04A0" w:firstRow="1" w:lastRow="0" w:firstColumn="1" w:lastColumn="0" w:noHBand="0" w:noVBand="1"/>
      </w:tblPr>
      <w:tblGrid>
        <w:gridCol w:w="7632"/>
        <w:gridCol w:w="2448"/>
      </w:tblGrid>
      <w:tr w:rsidR="00F64049" w:rsidRPr="00AD5727" w:rsidTr="003B7D9B">
        <w:trPr>
          <w:trHeight w:val="727"/>
        </w:trPr>
        <w:tc>
          <w:tcPr>
            <w:tcW w:w="7632" w:type="dxa"/>
            <w:hideMark/>
          </w:tcPr>
          <w:p w:rsidR="00F64049" w:rsidRPr="001145BC" w:rsidRDefault="00F64049" w:rsidP="00C8385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806FFE">
              <w:rPr>
                <w:b/>
                <w:sz w:val="28"/>
                <w:szCs w:val="28"/>
                <w:lang w:val="kk-KZ"/>
              </w:rPr>
              <w:t xml:space="preserve">       </w:t>
            </w:r>
            <w:r w:rsidR="007017D3" w:rsidRPr="00806FFE">
              <w:rPr>
                <w:b/>
                <w:sz w:val="28"/>
                <w:szCs w:val="28"/>
                <w:lang w:val="kk-KZ"/>
              </w:rPr>
              <w:t xml:space="preserve">       </w:t>
            </w:r>
            <w:r w:rsidR="001145BC">
              <w:rPr>
                <w:b/>
                <w:sz w:val="28"/>
                <w:szCs w:val="28"/>
                <w:lang w:val="kk-KZ"/>
              </w:rPr>
              <w:t>Ұлттық Банк</w:t>
            </w:r>
          </w:p>
          <w:p w:rsidR="00F64049" w:rsidRPr="001145BC" w:rsidRDefault="007017D3" w:rsidP="00AC6368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1145BC">
              <w:rPr>
                <w:b/>
                <w:sz w:val="28"/>
                <w:szCs w:val="28"/>
                <w:lang w:val="kk-KZ"/>
              </w:rPr>
              <w:t xml:space="preserve">           Төрағасы</w:t>
            </w:r>
          </w:p>
        </w:tc>
        <w:tc>
          <w:tcPr>
            <w:tcW w:w="2448" w:type="dxa"/>
          </w:tcPr>
          <w:p w:rsidR="00C41DDF" w:rsidRDefault="00C41DDF" w:rsidP="00C41DDF">
            <w:pPr>
              <w:rPr>
                <w:b/>
                <w:sz w:val="28"/>
                <w:szCs w:val="28"/>
              </w:rPr>
            </w:pPr>
          </w:p>
          <w:p w:rsidR="00F64049" w:rsidRPr="00AD5727" w:rsidRDefault="00F56AF0" w:rsidP="001145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F64049">
              <w:rPr>
                <w:b/>
                <w:sz w:val="28"/>
                <w:szCs w:val="28"/>
              </w:rPr>
              <w:t>.</w:t>
            </w:r>
            <w:r w:rsidR="00C41DDF">
              <w:rPr>
                <w:b/>
                <w:sz w:val="28"/>
                <w:szCs w:val="28"/>
              </w:rPr>
              <w:t>М</w:t>
            </w:r>
            <w:r w:rsidR="00F64049">
              <w:rPr>
                <w:b/>
                <w:sz w:val="28"/>
                <w:szCs w:val="28"/>
              </w:rPr>
              <w:t xml:space="preserve">. </w:t>
            </w:r>
            <w:r w:rsidR="00C41DDF">
              <w:rPr>
                <w:b/>
                <w:sz w:val="28"/>
                <w:szCs w:val="28"/>
              </w:rPr>
              <w:t>С</w:t>
            </w:r>
            <w:r w:rsidR="001145BC">
              <w:rPr>
                <w:b/>
                <w:sz w:val="28"/>
                <w:szCs w:val="28"/>
                <w:lang w:val="kk-KZ"/>
              </w:rPr>
              <w:t>ү</w:t>
            </w:r>
            <w:proofErr w:type="spellStart"/>
            <w:r w:rsidR="00C41DDF">
              <w:rPr>
                <w:b/>
                <w:sz w:val="28"/>
                <w:szCs w:val="28"/>
              </w:rPr>
              <w:t>лейменов</w:t>
            </w:r>
            <w:proofErr w:type="spellEnd"/>
          </w:p>
        </w:tc>
      </w:tr>
    </w:tbl>
    <w:p w:rsidR="00F64049" w:rsidRDefault="00F64049" w:rsidP="00ED6AB7">
      <w:pPr>
        <w:ind w:left="180" w:hanging="180"/>
        <w:rPr>
          <w:lang w:val="kk-KZ"/>
        </w:rPr>
      </w:pPr>
    </w:p>
    <w:sectPr w:rsidR="00F64049" w:rsidSect="000A4BB2">
      <w:headerReference w:type="default" r:id="rId8"/>
      <w:headerReference w:type="first" r:id="rId9"/>
      <w:pgSz w:w="11906" w:h="16838"/>
      <w:pgMar w:top="1418" w:right="851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43" w:rsidRDefault="00381043" w:rsidP="00552D59">
      <w:r>
        <w:separator/>
      </w:r>
    </w:p>
  </w:endnote>
  <w:endnote w:type="continuationSeparator" w:id="0">
    <w:p w:rsidR="00381043" w:rsidRDefault="00381043" w:rsidP="0055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43" w:rsidRDefault="00381043" w:rsidP="00552D59">
      <w:r>
        <w:separator/>
      </w:r>
    </w:p>
  </w:footnote>
  <w:footnote w:type="continuationSeparator" w:id="0">
    <w:p w:rsidR="00381043" w:rsidRDefault="00381043" w:rsidP="0055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47382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A4BB2" w:rsidRPr="000A4BB2" w:rsidRDefault="000A4BB2">
        <w:pPr>
          <w:pStyle w:val="a3"/>
          <w:jc w:val="center"/>
          <w:rPr>
            <w:sz w:val="28"/>
          </w:rPr>
        </w:pPr>
        <w:r w:rsidRPr="000A4BB2">
          <w:rPr>
            <w:sz w:val="28"/>
          </w:rPr>
          <w:fldChar w:fldCharType="begin"/>
        </w:r>
        <w:r w:rsidRPr="000A4BB2">
          <w:rPr>
            <w:sz w:val="28"/>
          </w:rPr>
          <w:instrText>PAGE   \* MERGEFORMAT</w:instrText>
        </w:r>
        <w:r w:rsidRPr="000A4BB2">
          <w:rPr>
            <w:sz w:val="28"/>
          </w:rPr>
          <w:fldChar w:fldCharType="separate"/>
        </w:r>
        <w:r w:rsidR="002F3747">
          <w:rPr>
            <w:noProof/>
            <w:sz w:val="28"/>
          </w:rPr>
          <w:t>2</w:t>
        </w:r>
        <w:r w:rsidRPr="000A4BB2">
          <w:rPr>
            <w:sz w:val="28"/>
          </w:rPr>
          <w:fldChar w:fldCharType="end"/>
        </w:r>
      </w:p>
    </w:sdtContent>
  </w:sdt>
  <w:p w:rsidR="000A4BB2" w:rsidRDefault="000A4B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B2" w:rsidRDefault="000A4BB2">
    <w:pPr>
      <w:pStyle w:val="a3"/>
      <w:jc w:val="center"/>
    </w:pPr>
  </w:p>
  <w:p w:rsidR="000A4BB2" w:rsidRDefault="000A4B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9F"/>
    <w:rsid w:val="00014727"/>
    <w:rsid w:val="00044CDB"/>
    <w:rsid w:val="000566A5"/>
    <w:rsid w:val="0005764A"/>
    <w:rsid w:val="0007493F"/>
    <w:rsid w:val="000A4BB2"/>
    <w:rsid w:val="000A729F"/>
    <w:rsid w:val="001145BC"/>
    <w:rsid w:val="00154EF7"/>
    <w:rsid w:val="00161AC4"/>
    <w:rsid w:val="00167C58"/>
    <w:rsid w:val="001A4C28"/>
    <w:rsid w:val="001D09D9"/>
    <w:rsid w:val="001D6725"/>
    <w:rsid w:val="001F1DC8"/>
    <w:rsid w:val="00207BB8"/>
    <w:rsid w:val="002303C2"/>
    <w:rsid w:val="002846C5"/>
    <w:rsid w:val="002B6221"/>
    <w:rsid w:val="002F3747"/>
    <w:rsid w:val="00306D8C"/>
    <w:rsid w:val="003278A4"/>
    <w:rsid w:val="003334C9"/>
    <w:rsid w:val="00354E5F"/>
    <w:rsid w:val="003602F7"/>
    <w:rsid w:val="003607F5"/>
    <w:rsid w:val="00381043"/>
    <w:rsid w:val="003B7D9B"/>
    <w:rsid w:val="003E7EE8"/>
    <w:rsid w:val="00444A6B"/>
    <w:rsid w:val="00481AAB"/>
    <w:rsid w:val="00483074"/>
    <w:rsid w:val="00490264"/>
    <w:rsid w:val="00491CE9"/>
    <w:rsid w:val="004D113E"/>
    <w:rsid w:val="004D1778"/>
    <w:rsid w:val="004D3EDB"/>
    <w:rsid w:val="004F421D"/>
    <w:rsid w:val="004F5CAB"/>
    <w:rsid w:val="00510E56"/>
    <w:rsid w:val="00545492"/>
    <w:rsid w:val="005469C7"/>
    <w:rsid w:val="00552D59"/>
    <w:rsid w:val="005578AC"/>
    <w:rsid w:val="00564416"/>
    <w:rsid w:val="005B17E0"/>
    <w:rsid w:val="005B63E6"/>
    <w:rsid w:val="005C0828"/>
    <w:rsid w:val="006023BD"/>
    <w:rsid w:val="006209EE"/>
    <w:rsid w:val="00640552"/>
    <w:rsid w:val="0065320D"/>
    <w:rsid w:val="00671A1A"/>
    <w:rsid w:val="00681429"/>
    <w:rsid w:val="006C5B57"/>
    <w:rsid w:val="006E4773"/>
    <w:rsid w:val="007017D3"/>
    <w:rsid w:val="007019E6"/>
    <w:rsid w:val="00703DDF"/>
    <w:rsid w:val="007131F6"/>
    <w:rsid w:val="007B42A1"/>
    <w:rsid w:val="007D5355"/>
    <w:rsid w:val="007E6832"/>
    <w:rsid w:val="007F33E5"/>
    <w:rsid w:val="007F61A1"/>
    <w:rsid w:val="00806FFE"/>
    <w:rsid w:val="008240F9"/>
    <w:rsid w:val="008536A5"/>
    <w:rsid w:val="00870E71"/>
    <w:rsid w:val="0087464A"/>
    <w:rsid w:val="00877E4B"/>
    <w:rsid w:val="008832AE"/>
    <w:rsid w:val="008C66B0"/>
    <w:rsid w:val="00901362"/>
    <w:rsid w:val="00904CAA"/>
    <w:rsid w:val="00910A8D"/>
    <w:rsid w:val="00935CF8"/>
    <w:rsid w:val="00952673"/>
    <w:rsid w:val="0096540B"/>
    <w:rsid w:val="00974F7C"/>
    <w:rsid w:val="00A01018"/>
    <w:rsid w:val="00A41863"/>
    <w:rsid w:val="00A63936"/>
    <w:rsid w:val="00A64335"/>
    <w:rsid w:val="00A65A06"/>
    <w:rsid w:val="00A82327"/>
    <w:rsid w:val="00AA3774"/>
    <w:rsid w:val="00AC23A0"/>
    <w:rsid w:val="00AC6368"/>
    <w:rsid w:val="00AD2980"/>
    <w:rsid w:val="00AD4945"/>
    <w:rsid w:val="00AF68C0"/>
    <w:rsid w:val="00B07B2E"/>
    <w:rsid w:val="00B135C0"/>
    <w:rsid w:val="00B34B6A"/>
    <w:rsid w:val="00B41DBE"/>
    <w:rsid w:val="00B5739F"/>
    <w:rsid w:val="00B71658"/>
    <w:rsid w:val="00B724D0"/>
    <w:rsid w:val="00B72BE7"/>
    <w:rsid w:val="00BA169E"/>
    <w:rsid w:val="00BB50E1"/>
    <w:rsid w:val="00BB614C"/>
    <w:rsid w:val="00BD0704"/>
    <w:rsid w:val="00C23F33"/>
    <w:rsid w:val="00C36B6B"/>
    <w:rsid w:val="00C41DDF"/>
    <w:rsid w:val="00C73310"/>
    <w:rsid w:val="00CB2EB0"/>
    <w:rsid w:val="00CC6B15"/>
    <w:rsid w:val="00CD0DA9"/>
    <w:rsid w:val="00CD1C24"/>
    <w:rsid w:val="00CE1C21"/>
    <w:rsid w:val="00CE72C5"/>
    <w:rsid w:val="00CF7A3D"/>
    <w:rsid w:val="00D143FD"/>
    <w:rsid w:val="00D21481"/>
    <w:rsid w:val="00D51307"/>
    <w:rsid w:val="00D55914"/>
    <w:rsid w:val="00D63A91"/>
    <w:rsid w:val="00D64C90"/>
    <w:rsid w:val="00DE2F9B"/>
    <w:rsid w:val="00E165DC"/>
    <w:rsid w:val="00E36339"/>
    <w:rsid w:val="00E72C4F"/>
    <w:rsid w:val="00E9232A"/>
    <w:rsid w:val="00EB571F"/>
    <w:rsid w:val="00EC1FD1"/>
    <w:rsid w:val="00EC727C"/>
    <w:rsid w:val="00ED2DB5"/>
    <w:rsid w:val="00ED6AB7"/>
    <w:rsid w:val="00EF19DE"/>
    <w:rsid w:val="00EF6EB9"/>
    <w:rsid w:val="00F045F2"/>
    <w:rsid w:val="00F26C07"/>
    <w:rsid w:val="00F33E2B"/>
    <w:rsid w:val="00F41796"/>
    <w:rsid w:val="00F46BFD"/>
    <w:rsid w:val="00F56AF0"/>
    <w:rsid w:val="00F64049"/>
    <w:rsid w:val="00F67072"/>
    <w:rsid w:val="00FC0EED"/>
    <w:rsid w:val="00FC1D67"/>
    <w:rsid w:val="00FC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D31B5"/>
  <w15:chartTrackingRefBased/>
  <w15:docId w15:val="{FC1C53D0-56CB-4EC5-832D-53001AE6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417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D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D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D53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37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77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1"/>
    <w:basedOn w:val="a"/>
    <w:autoRedefine/>
    <w:rsid w:val="00F64049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1">
    <w:name w:val="s1"/>
    <w:rsid w:val="007F61A1"/>
    <w:rPr>
      <w:rFonts w:ascii="Times New Roman" w:hAnsi="Times New Roman" w:cs="Times New Roman" w:hint="default"/>
      <w:b/>
      <w:bCs/>
      <w:color w:val="000000"/>
    </w:rPr>
  </w:style>
  <w:style w:type="paragraph" w:customStyle="1" w:styleId="aa">
    <w:name w:val="Знак Знак Знак Знак Знак Знак"/>
    <w:basedOn w:val="a"/>
    <w:autoRedefine/>
    <w:rsid w:val="00F4179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F417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r">
    <w:name w:val="pr"/>
    <w:basedOn w:val="a"/>
    <w:rsid w:val="00E72C4F"/>
    <w:pPr>
      <w:jc w:val="right"/>
    </w:pPr>
    <w:rPr>
      <w:color w:val="000000"/>
    </w:rPr>
  </w:style>
  <w:style w:type="character" w:customStyle="1" w:styleId="s0">
    <w:name w:val="s0"/>
    <w:rsid w:val="00F46BF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b">
    <w:name w:val="Hyperlink"/>
    <w:rsid w:val="00F46BFD"/>
    <w:rPr>
      <w:color w:val="0000FF"/>
      <w:u w:val="single"/>
    </w:rPr>
  </w:style>
  <w:style w:type="character" w:customStyle="1" w:styleId="s2">
    <w:name w:val="s2"/>
    <w:rsid w:val="00F46BFD"/>
    <w:rPr>
      <w:rFonts w:ascii="Times New Roman" w:hAnsi="Times New Roman" w:cs="Times New Roman" w:hint="default"/>
      <w:color w:val="800080"/>
      <w:u w:val="single"/>
    </w:rPr>
  </w:style>
  <w:style w:type="paragraph" w:customStyle="1" w:styleId="pj">
    <w:name w:val="pj"/>
    <w:basedOn w:val="a"/>
    <w:rsid w:val="00952673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8832AE"/>
    <w:pPr>
      <w:jc w:val="center"/>
    </w:pPr>
    <w:rPr>
      <w:color w:val="000000"/>
    </w:rPr>
  </w:style>
  <w:style w:type="paragraph" w:styleId="ac">
    <w:name w:val="footnote text"/>
    <w:basedOn w:val="a"/>
    <w:link w:val="ad"/>
    <w:uiPriority w:val="99"/>
    <w:unhideWhenUsed/>
    <w:rsid w:val="006C5B5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6C5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6C5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5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470E-6F70-4EAC-BC04-5B460B45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UGZS-DNDO1</dc:creator>
  <cp:keywords/>
  <dc:description/>
  <cp:lastModifiedBy>Серик Мусин</cp:lastModifiedBy>
  <cp:revision>5</cp:revision>
  <cp:lastPrinted>2023-08-11T10:24:00Z</cp:lastPrinted>
  <dcterms:created xsi:type="dcterms:W3CDTF">2023-11-10T03:52:00Z</dcterms:created>
  <dcterms:modified xsi:type="dcterms:W3CDTF">2023-11-10T11:00:00Z</dcterms:modified>
</cp:coreProperties>
</file>