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D122" w14:textId="2E7B92C2" w:rsidR="00F80F3D" w:rsidRPr="00F80F3D" w:rsidRDefault="00F80F3D" w:rsidP="00F80F3D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lang w:val="kk-KZ"/>
        </w:rPr>
      </w:pPr>
      <w:r w:rsidRPr="00F80F3D">
        <w:rPr>
          <w:rFonts w:ascii="Times New Roman" w:hAnsi="Times New Roman" w:cs="Times New Roman"/>
          <w:b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Республикасының Ұлттық Банкі Басқармасының 2011 жылғы 1 шілдедегі № 68 қаулысына толықтырулар енгізу туралы» Қазақстан Республикасы Ұлттық</w:t>
      </w:r>
      <w:r w:rsidR="000C2D26">
        <w:rPr>
          <w:rFonts w:ascii="Times New Roman" w:hAnsi="Times New Roman" w:cs="Times New Roman"/>
          <w:b/>
          <w:lang w:val="kk-KZ"/>
        </w:rPr>
        <w:t xml:space="preserve"> Банкі Басқармасы </w:t>
      </w:r>
      <w:r w:rsidRPr="00F80F3D">
        <w:rPr>
          <w:rFonts w:ascii="Times New Roman" w:hAnsi="Times New Roman" w:cs="Times New Roman"/>
          <w:b/>
          <w:lang w:val="kk-KZ"/>
        </w:rPr>
        <w:t xml:space="preserve">қаулысының жобасына </w:t>
      </w:r>
    </w:p>
    <w:p w14:paraId="7EFF19C0" w14:textId="3C94C3CC" w:rsidR="00D0109C" w:rsidRPr="00F80F3D" w:rsidRDefault="00F80F3D" w:rsidP="00F705E8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lang w:val="kk-KZ"/>
        </w:rPr>
      </w:pPr>
      <w:r w:rsidRPr="00F80F3D">
        <w:rPr>
          <w:rFonts w:ascii="Times New Roman" w:hAnsi="Times New Roman" w:cs="Times New Roman"/>
          <w:b/>
          <w:lang w:val="kk-KZ"/>
        </w:rPr>
        <w:t>салыстырмалы кесте</w:t>
      </w:r>
      <w:bookmarkStart w:id="0" w:name="_GoBack"/>
      <w:bookmarkEnd w:id="0"/>
    </w:p>
    <w:p w14:paraId="3E8206AB" w14:textId="77777777" w:rsidR="00F80F3D" w:rsidRPr="00F27F31" w:rsidRDefault="00F80F3D" w:rsidP="00F705E8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3868"/>
        <w:gridCol w:w="4354"/>
        <w:gridCol w:w="3941"/>
      </w:tblGrid>
      <w:tr w:rsidR="00F80F3D" w:rsidRPr="00F27F31" w14:paraId="4A05C9F5" w14:textId="77777777" w:rsidTr="00F80F3D">
        <w:trPr>
          <w:cantSplit/>
        </w:trPr>
        <w:tc>
          <w:tcPr>
            <w:tcW w:w="560" w:type="dxa"/>
          </w:tcPr>
          <w:p w14:paraId="2C8C1B5F" w14:textId="77777777" w:rsidR="00F80F3D" w:rsidRPr="00F80F3D" w:rsidRDefault="00F80F3D" w:rsidP="00F80F3D">
            <w:pPr>
              <w:tabs>
                <w:tab w:val="left" w:pos="159"/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80F3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3" w:type="dxa"/>
          </w:tcPr>
          <w:p w14:paraId="1602E80D" w14:textId="1109C81D" w:rsidR="00F80F3D" w:rsidRPr="00F80F3D" w:rsidRDefault="00F80F3D" w:rsidP="00F80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F3D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Құқықтық актінің құрылымдық элементі</w:t>
            </w:r>
          </w:p>
        </w:tc>
        <w:tc>
          <w:tcPr>
            <w:tcW w:w="3868" w:type="dxa"/>
          </w:tcPr>
          <w:p w14:paraId="088CFAB7" w14:textId="4B5971DF" w:rsidR="00F80F3D" w:rsidRPr="00F80F3D" w:rsidRDefault="00F80F3D" w:rsidP="00F80F3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80F3D">
              <w:rPr>
                <w:rFonts w:ascii="Times New Roman" w:hAnsi="Times New Roman" w:cs="Times New Roman"/>
                <w:b/>
                <w:szCs w:val="24"/>
                <w:lang w:val="kk-KZ"/>
              </w:rPr>
              <w:t>Қолданыстағы редакция</w:t>
            </w:r>
          </w:p>
        </w:tc>
        <w:tc>
          <w:tcPr>
            <w:tcW w:w="4354" w:type="dxa"/>
          </w:tcPr>
          <w:p w14:paraId="237AF69B" w14:textId="59958B8C" w:rsidR="00F80F3D" w:rsidRPr="00F80F3D" w:rsidRDefault="00F80F3D" w:rsidP="00F80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F3D">
              <w:rPr>
                <w:rFonts w:ascii="Times New Roman" w:hAnsi="Times New Roman" w:cs="Times New Roman"/>
                <w:b/>
                <w:szCs w:val="24"/>
                <w:lang w:val="kk-KZ"/>
              </w:rPr>
              <w:t>Ұсынылған редакция</w:t>
            </w:r>
          </w:p>
        </w:tc>
        <w:tc>
          <w:tcPr>
            <w:tcW w:w="3941" w:type="dxa"/>
          </w:tcPr>
          <w:p w14:paraId="79D70C74" w14:textId="59176275" w:rsidR="00F80F3D" w:rsidRPr="00F80F3D" w:rsidRDefault="00F80F3D" w:rsidP="00F80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0F3D">
              <w:rPr>
                <w:rFonts w:ascii="Times New Roman" w:eastAsia="Times New Roman" w:hAnsi="Times New Roman" w:cs="Times New Roman"/>
                <w:b/>
                <w:lang w:val="kk-KZ"/>
              </w:rPr>
              <w:t>Негіздеме</w:t>
            </w:r>
          </w:p>
        </w:tc>
      </w:tr>
      <w:tr w:rsidR="00554E3F" w:rsidRPr="00F27F31" w14:paraId="2B1EFC98" w14:textId="77777777" w:rsidTr="00F80F3D">
        <w:trPr>
          <w:cantSplit/>
        </w:trPr>
        <w:tc>
          <w:tcPr>
            <w:tcW w:w="560" w:type="dxa"/>
          </w:tcPr>
          <w:p w14:paraId="5B2193BE" w14:textId="77777777" w:rsidR="00554E3F" w:rsidRPr="00F27F31" w:rsidRDefault="00554E3F" w:rsidP="005424F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F27F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14:paraId="322DD4C3" w14:textId="77777777" w:rsidR="00554E3F" w:rsidRPr="00F27F31" w:rsidRDefault="00554E3F" w:rsidP="005424F3">
            <w:pPr>
              <w:jc w:val="center"/>
              <w:rPr>
                <w:rFonts w:ascii="Times New Roman" w:hAnsi="Times New Roman" w:cs="Times New Roman"/>
              </w:rPr>
            </w:pPr>
            <w:r w:rsidRPr="00F27F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8" w:type="dxa"/>
          </w:tcPr>
          <w:p w14:paraId="23481688" w14:textId="77777777" w:rsidR="00554E3F" w:rsidRPr="00F27F31" w:rsidRDefault="00554E3F" w:rsidP="005424F3">
            <w:pPr>
              <w:jc w:val="center"/>
              <w:rPr>
                <w:rFonts w:ascii="Times New Roman" w:hAnsi="Times New Roman" w:cs="Times New Roman"/>
              </w:rPr>
            </w:pPr>
            <w:r w:rsidRPr="00F27F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</w:tcPr>
          <w:p w14:paraId="1F952325" w14:textId="77777777" w:rsidR="00554E3F" w:rsidRPr="00F27F31" w:rsidRDefault="00554E3F" w:rsidP="005424F3">
            <w:pPr>
              <w:jc w:val="center"/>
              <w:rPr>
                <w:rFonts w:ascii="Times New Roman" w:hAnsi="Times New Roman" w:cs="Times New Roman"/>
              </w:rPr>
            </w:pPr>
            <w:r w:rsidRPr="00F27F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1" w:type="dxa"/>
          </w:tcPr>
          <w:p w14:paraId="3771FDB6" w14:textId="77777777" w:rsidR="00554E3F" w:rsidRPr="00F27F31" w:rsidRDefault="00554E3F" w:rsidP="005424F3">
            <w:pPr>
              <w:jc w:val="center"/>
              <w:rPr>
                <w:rFonts w:ascii="Times New Roman" w:hAnsi="Times New Roman" w:cs="Times New Roman"/>
              </w:rPr>
            </w:pPr>
            <w:r w:rsidRPr="00F27F31">
              <w:rPr>
                <w:rFonts w:ascii="Times New Roman" w:hAnsi="Times New Roman" w:cs="Times New Roman"/>
              </w:rPr>
              <w:t>5</w:t>
            </w:r>
          </w:p>
        </w:tc>
      </w:tr>
      <w:tr w:rsidR="005865E1" w:rsidRPr="000C2D26" w14:paraId="69A15931" w14:textId="77777777" w:rsidTr="00F80F3D">
        <w:trPr>
          <w:cantSplit/>
        </w:trPr>
        <w:tc>
          <w:tcPr>
            <w:tcW w:w="560" w:type="dxa"/>
          </w:tcPr>
          <w:p w14:paraId="5043C678" w14:textId="6CEF64CD" w:rsidR="005865E1" w:rsidRPr="00F27F31" w:rsidRDefault="005865E1" w:rsidP="005865E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14:paraId="5321CE5F" w14:textId="6D26BBDA" w:rsidR="005865E1" w:rsidRPr="00341ED6" w:rsidRDefault="005865E1" w:rsidP="005865E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Нұсқаулықтың 17</w:t>
            </w:r>
            <w:r w:rsidR="00AE1E8A"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-т</w:t>
            </w:r>
            <w:r w:rsidRPr="005865E1"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арауы</w:t>
            </w:r>
          </w:p>
        </w:tc>
        <w:tc>
          <w:tcPr>
            <w:tcW w:w="3868" w:type="dxa"/>
          </w:tcPr>
          <w:p w14:paraId="52F6F81D" w14:textId="5E48A311" w:rsidR="005865E1" w:rsidRPr="005865E1" w:rsidRDefault="005865E1" w:rsidP="005865E1">
            <w:pPr>
              <w:jc w:val="center"/>
              <w:rPr>
                <w:rFonts w:ascii="Times New Roman" w:hAnsi="Times New Roman" w:cs="Times New Roman"/>
              </w:rPr>
            </w:pPr>
            <w:r w:rsidRPr="005865E1"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Жоқ</w:t>
            </w:r>
          </w:p>
        </w:tc>
        <w:tc>
          <w:tcPr>
            <w:tcW w:w="4354" w:type="dxa"/>
          </w:tcPr>
          <w:p w14:paraId="20A1A5FD" w14:textId="0C6201A0" w:rsidR="00341ED6" w:rsidRPr="009F67AF" w:rsidRDefault="00341ED6" w:rsidP="00341ED6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F67AF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17-тарау. </w:t>
            </w:r>
            <w:r w:rsidR="008D4FF0" w:rsidRPr="008D4FF0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Негізгі құрал-жабдықтарды шағын және орта бизнеске арналған халықаралық стандартқа сәйкес есепке алу</w:t>
            </w:r>
          </w:p>
          <w:p w14:paraId="7469A862" w14:textId="77777777" w:rsidR="00341ED6" w:rsidRPr="009F67AF" w:rsidRDefault="00341ED6" w:rsidP="00341ED6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146DB0C3" w14:textId="46B0B9EB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158. </w:t>
            </w:r>
            <w:r w:rsidR="008D4FF0" w:rsidRPr="008D4FF0">
              <w:rPr>
                <w:color w:val="000000" w:themeColor="text1"/>
                <w:sz w:val="22"/>
                <w:szCs w:val="22"/>
                <w:lang w:val="kk-KZ"/>
              </w:rPr>
              <w:t>Негізгі құрал-жабдықтарды ақша қаражаттарына сатып алу кезінде мынадай бухгалтерлік жазба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0C2D26" w14:paraId="37D87B65" w14:textId="77777777" w:rsidTr="009F67AF">
              <w:trPr>
                <w:trHeight w:val="305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4F22F7B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B86F1C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2F5B97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</w:t>
                  </w:r>
                </w:p>
              </w:tc>
            </w:tr>
            <w:tr w:rsidR="00341ED6" w:rsidRPr="000C2D26" w14:paraId="0BB278E9" w14:textId="77777777" w:rsidTr="009F67AF"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702ACE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CAF0FC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1010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32FC14B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341ED6" w:rsidRPr="000C2D26" w14:paraId="1331602E" w14:textId="77777777" w:rsidTr="009F67AF">
              <w:trPr>
                <w:trHeight w:val="179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8D5355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66D563B" w14:textId="77777777" w:rsidR="00341ED6" w:rsidRPr="009F67AF" w:rsidRDefault="00341ED6" w:rsidP="000C2D26">
                  <w:pPr>
                    <w:pStyle w:val="p"/>
                    <w:framePr w:hSpace="180" w:wrap="around" w:vAnchor="text" w:hAnchor="text" w:y="1"/>
                    <w:spacing w:before="0" w:beforeAutospacing="0" w:after="0" w:afterAutospacing="0"/>
                    <w:ind w:left="-26"/>
                    <w:jc w:val="both"/>
                    <w:rPr>
                      <w:rFonts w:eastAsiaTheme="minorEastAsia"/>
                      <w:color w:val="000000" w:themeColor="text1"/>
                      <w:sz w:val="22"/>
                      <w:szCs w:val="22"/>
                      <w:lang w:val="kk-KZ"/>
                    </w:rPr>
                  </w:pPr>
                  <w:r w:rsidRPr="009F67AF">
                    <w:rPr>
                      <w:rFonts w:eastAsiaTheme="minorEastAsia"/>
                      <w:color w:val="000000" w:themeColor="text1"/>
                      <w:sz w:val="22"/>
                      <w:szCs w:val="22"/>
                      <w:lang w:val="kk-KZ"/>
                    </w:rPr>
                    <w:t>1030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2B91CB4F" w14:textId="77777777" w:rsidR="00341ED6" w:rsidRPr="009F67AF" w:rsidRDefault="00341ED6" w:rsidP="000C2D26">
                  <w:pPr>
                    <w:pStyle w:val="pji"/>
                    <w:framePr w:hSpace="180" w:wrap="around" w:vAnchor="text" w:hAnchor="text" w:y="1"/>
                    <w:spacing w:before="0" w:beforeAutospacing="0" w:after="0" w:afterAutospacing="0"/>
                    <w:ind w:left="-26"/>
                    <w:jc w:val="both"/>
                    <w:rPr>
                      <w:rFonts w:eastAsiaTheme="minorEastAsia"/>
                      <w:color w:val="000000" w:themeColor="text1"/>
                      <w:sz w:val="22"/>
                      <w:szCs w:val="22"/>
                      <w:lang w:val="kk-KZ"/>
                    </w:rPr>
                  </w:pPr>
                  <w:r w:rsidRPr="009F67AF">
                    <w:rPr>
                      <w:rFonts w:eastAsiaTheme="minorEastAsia"/>
                      <w:sz w:val="22"/>
                      <w:szCs w:val="22"/>
                      <w:lang w:val="kk-KZ"/>
                    </w:rPr>
                    <w:t>Ағымдағы шоттардағы ақша қаражаттары</w:t>
                  </w:r>
                  <w:r w:rsidRPr="00AE1E8A">
                    <w:rPr>
                      <w:rFonts w:eastAsiaTheme="minorEastAsia"/>
                      <w:sz w:val="22"/>
                      <w:szCs w:val="22"/>
                      <w:lang w:val="kk-KZ"/>
                    </w:rPr>
                    <w:t>.</w:t>
                  </w:r>
                </w:p>
              </w:tc>
            </w:tr>
          </w:tbl>
          <w:p w14:paraId="68438D50" w14:textId="54D7C709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159. </w:t>
            </w:r>
            <w:r w:rsidR="008D4FF0" w:rsidRPr="008D4FF0">
              <w:rPr>
                <w:color w:val="000000" w:themeColor="text1"/>
                <w:sz w:val="22"/>
                <w:szCs w:val="22"/>
                <w:lang w:val="kk-KZ"/>
              </w:rPr>
              <w:t>Негізгі құрал-жабдықтарды төлемді бөліп төлей отырып сатып алу кезінде мынадай бухгалтерлік жазба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9F67AF" w14:paraId="4FF212F2" w14:textId="77777777" w:rsidTr="009F67AF">
              <w:trPr>
                <w:trHeight w:val="257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29136A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17E9FFBB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7046DB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</w:t>
                  </w:r>
                </w:p>
              </w:tc>
            </w:tr>
            <w:tr w:rsidR="00341ED6" w:rsidRPr="000C2D26" w14:paraId="4FC943E1" w14:textId="77777777" w:rsidTr="009F67AF">
              <w:trPr>
                <w:trHeight w:val="374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4CDA55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304D6CE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3310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55883E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Жеткізушілерге және мердігерлерге қысқа мерзімді кредиторлық берешек</w:t>
                  </w:r>
                </w:p>
              </w:tc>
            </w:tr>
            <w:tr w:rsidR="00341ED6" w:rsidRPr="000C2D26" w14:paraId="6D23A170" w14:textId="77777777" w:rsidTr="009F67AF"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773DFE7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057A1A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4110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CE2354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Жеткізушілерге және мердігерлерге ұзақ мерзімді кредиторлық берешек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14:paraId="0AF5370F" w14:textId="6D8D65FD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160. </w:t>
            </w:r>
            <w:r w:rsidR="008D4FF0" w:rsidRPr="008D4FF0">
              <w:rPr>
                <w:color w:val="000000" w:themeColor="text1"/>
                <w:sz w:val="22"/>
                <w:szCs w:val="22"/>
                <w:lang w:val="kk-KZ"/>
              </w:rPr>
              <w:t xml:space="preserve">Негізгі құрал-жабдықтарды басқа негізгі құрал-жабдықтарға </w:t>
            </w:r>
            <w:r w:rsidR="008D4FF0" w:rsidRPr="008D4FF0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айырбастау жолымен сатып алу кезінде мынадай бухгалтерлік жазбалар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p w14:paraId="7C4DE72E" w14:textId="796AA4BE" w:rsidR="00341ED6" w:rsidRPr="009F67AF" w:rsidRDefault="008D4FF0" w:rsidP="00341ED6">
            <w:pPr>
              <w:pStyle w:val="pj"/>
              <w:numPr>
                <w:ilvl w:val="0"/>
                <w:numId w:val="12"/>
              </w:numPr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8D4FF0">
              <w:rPr>
                <w:color w:val="000000" w:themeColor="text1"/>
                <w:sz w:val="22"/>
                <w:szCs w:val="22"/>
                <w:lang w:val="kk-KZ"/>
              </w:rPr>
              <w:t>егер қабылданған объектінің әділ құны берілген объектінің құнына тең болған жағдайда</w:t>
            </w:r>
            <w:r w:rsidR="00341ED6"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851"/>
              <w:gridCol w:w="2834"/>
            </w:tblGrid>
            <w:tr w:rsidR="008E588B" w:rsidRPr="000C2D26" w14:paraId="0E4230FB" w14:textId="77777777" w:rsidTr="008E588B">
              <w:trPr>
                <w:trHeight w:val="247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3AABA68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7BE1AC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3316D6FB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(қабылданған объект)</w:t>
                  </w:r>
                </w:p>
              </w:tc>
            </w:tr>
            <w:tr w:rsidR="008E588B" w:rsidRPr="009F67AF" w14:paraId="358994AC" w14:textId="77777777" w:rsidTr="008E588B">
              <w:trPr>
                <w:trHeight w:val="309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C5DBFD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395467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0BE09C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8E588B" w:rsidRPr="000C2D26" w14:paraId="47EB93FC" w14:textId="77777777" w:rsidTr="008E588B">
              <w:trPr>
                <w:trHeight w:val="296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7A19569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391C8D7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2410</w:t>
                  </w:r>
                </w:p>
              </w:tc>
              <w:tc>
                <w:tcPr>
                  <w:tcW w:w="3334" w:type="pct"/>
                </w:tcPr>
                <w:p w14:paraId="176CE72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50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 (қабылданған объект)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</w:tc>
            </w:tr>
          </w:tbl>
          <w:p w14:paraId="339910D3" w14:textId="5911EE2E" w:rsidR="00341ED6" w:rsidRPr="009F67AF" w:rsidRDefault="008D4FF0" w:rsidP="00341ED6">
            <w:pPr>
              <w:pStyle w:val="pj"/>
              <w:numPr>
                <w:ilvl w:val="0"/>
                <w:numId w:val="12"/>
              </w:numPr>
              <w:tabs>
                <w:tab w:val="left" w:pos="1134"/>
              </w:tabs>
              <w:spacing w:before="0" w:beforeAutospacing="0" w:after="0" w:afterAutospacing="0"/>
              <w:ind w:left="0" w:firstLine="786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8D4FF0">
              <w:rPr>
                <w:color w:val="000000" w:themeColor="text1"/>
                <w:sz w:val="22"/>
                <w:szCs w:val="22"/>
                <w:lang w:val="kk-KZ"/>
              </w:rPr>
              <w:t>егер қабылданған объектінің әділ құны берілген объектінің құнынан жоғары болса</w:t>
            </w:r>
            <w:r w:rsidR="00341ED6"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0C2D26" w14:paraId="23305FC7" w14:textId="77777777" w:rsidTr="008E588B">
              <w:trPr>
                <w:trHeight w:val="270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1227462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7BBBF7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48ACAB3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(қабылданған объект)</w:t>
                  </w:r>
                </w:p>
              </w:tc>
            </w:tr>
            <w:tr w:rsidR="00341ED6" w:rsidRPr="009F67AF" w14:paraId="4CA21120" w14:textId="77777777" w:rsidTr="008E588B">
              <w:trPr>
                <w:trHeight w:val="233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1D71B2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4387F8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68237C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341ED6" w:rsidRPr="009F67AF" w14:paraId="71C93A3A" w14:textId="77777777" w:rsidTr="008E588B">
              <w:trPr>
                <w:trHeight w:val="323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077D7F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0A3C77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7627D953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341ED6" w:rsidRPr="009F67AF" w14:paraId="3C597EE4" w14:textId="77777777" w:rsidTr="008E588B">
              <w:trPr>
                <w:trHeight w:val="271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FCBA90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321137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36F3A6F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Ағымдағы шоттардағы ақша қаражаттары</w:t>
                  </w:r>
                </w:p>
              </w:tc>
            </w:tr>
            <w:tr w:rsidR="00341ED6" w:rsidRPr="000C2D26" w14:paraId="7B902137" w14:textId="77777777" w:rsidTr="008E588B">
              <w:trPr>
                <w:trHeight w:val="326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065C1E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6ACC82E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2410</w:t>
                  </w:r>
                </w:p>
              </w:tc>
              <w:tc>
                <w:tcPr>
                  <w:tcW w:w="3335" w:type="pct"/>
                </w:tcPr>
                <w:p w14:paraId="42C786E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(қабылданған объект)</w:t>
                  </w:r>
                </w:p>
              </w:tc>
            </w:tr>
            <w:tr w:rsidR="00341ED6" w:rsidRPr="009F67AF" w14:paraId="22B75E37" w14:textId="77777777" w:rsidTr="008E588B">
              <w:trPr>
                <w:trHeight w:val="326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357232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0EB956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6210</w:t>
                  </w:r>
                </w:p>
              </w:tc>
              <w:tc>
                <w:tcPr>
                  <w:tcW w:w="3335" w:type="pct"/>
                </w:tcPr>
                <w:p w14:paraId="08CFB09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Активтерді шығынға жазудан кірістер</w:t>
                  </w:r>
                  <w:r w:rsidRPr="009F67AF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</w:tbl>
          <w:p w14:paraId="6FA61C06" w14:textId="02C41AE8" w:rsidR="00341ED6" w:rsidRPr="009F67AF" w:rsidRDefault="000F7661" w:rsidP="00341ED6">
            <w:pPr>
              <w:pStyle w:val="pj"/>
              <w:numPr>
                <w:ilvl w:val="0"/>
                <w:numId w:val="12"/>
              </w:numPr>
              <w:tabs>
                <w:tab w:val="left" w:pos="1134"/>
              </w:tabs>
              <w:spacing w:before="0" w:beforeAutospacing="0" w:after="0" w:afterAutospacing="0"/>
              <w:ind w:left="0" w:firstLine="786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0F7661">
              <w:rPr>
                <w:color w:val="000000" w:themeColor="text1"/>
                <w:sz w:val="22"/>
                <w:szCs w:val="22"/>
                <w:lang w:val="kk-KZ"/>
              </w:rPr>
              <w:t>егер қабылданған объектінің әділ құны берілген объектінің құнынан төмен болса</w:t>
            </w:r>
            <w:r w:rsidR="00341ED6"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0C2D26" w14:paraId="3E17439E" w14:textId="77777777" w:rsidTr="008E588B">
              <w:trPr>
                <w:trHeight w:val="257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28E0D4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2EA0942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6160151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(қабылданған объект)</w:t>
                  </w:r>
                </w:p>
              </w:tc>
            </w:tr>
            <w:tr w:rsidR="00341ED6" w:rsidRPr="009F67AF" w14:paraId="652EBED4" w14:textId="77777777" w:rsidTr="008E588B">
              <w:trPr>
                <w:trHeight w:val="303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D89D9D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C76037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66FAC38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341ED6" w:rsidRPr="000C2D26" w14:paraId="68B760F2" w14:textId="77777777" w:rsidTr="008E588B">
              <w:trPr>
                <w:trHeight w:val="275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D5BA6BA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01813F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7410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6C4031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Активтерді шығынға жазу бойынша шығыстар</w:t>
                  </w:r>
                </w:p>
              </w:tc>
            </w:tr>
            <w:tr w:rsidR="00341ED6" w:rsidRPr="000C2D26" w14:paraId="4F5C2B73" w14:textId="77777777" w:rsidTr="008E588B">
              <w:trPr>
                <w:trHeight w:val="267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E0F0AB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21AF06A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2410</w:t>
                  </w:r>
                </w:p>
              </w:tc>
              <w:tc>
                <w:tcPr>
                  <w:tcW w:w="3335" w:type="pct"/>
                </w:tcPr>
                <w:p w14:paraId="5E85D57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 xml:space="preserve"> (</w:t>
                  </w: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берілген нысан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)</w:t>
                  </w:r>
                </w:p>
              </w:tc>
            </w:tr>
            <w:tr w:rsidR="00341ED6" w:rsidRPr="000C2D26" w14:paraId="29159730" w14:textId="77777777" w:rsidTr="008E588B">
              <w:trPr>
                <w:trHeight w:val="215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DFBC21B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E524BCA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3335" w:type="pct"/>
                </w:tcPr>
                <w:p w14:paraId="1632774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341ED6" w:rsidRPr="000C2D26" w14:paraId="60585686" w14:textId="77777777" w:rsidTr="008E588B">
              <w:trPr>
                <w:trHeight w:val="319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3C55C41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1513E7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3335" w:type="pct"/>
                </w:tcPr>
                <w:p w14:paraId="64D5277A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Ағымдағы шоттардағы ақша қаражаттары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14:paraId="37FC3F67" w14:textId="3A74A16A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161.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Негізгі құрал-жабдықтар бойынша амортизацияны есептеу кезінде мынадай бухгалтерлік жазба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850"/>
              <w:gridCol w:w="2834"/>
            </w:tblGrid>
            <w:tr w:rsidR="008E588B" w:rsidRPr="000C2D26" w14:paraId="1C922B45" w14:textId="77777777" w:rsidTr="008E588B">
              <w:trPr>
                <w:trHeight w:val="374"/>
              </w:trPr>
              <w:tc>
                <w:tcPr>
                  <w:tcW w:w="66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63191B6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53CEEB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7490 01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1D9FF54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Пайдалану құқығы нысанындағы негізгі құрал-жабдықтардың және активтердің амортизациясы бойынша шығыстар</w:t>
                  </w:r>
                </w:p>
              </w:tc>
            </w:tr>
            <w:tr w:rsidR="008E588B" w:rsidRPr="000C2D26" w14:paraId="79E2311E" w14:textId="77777777" w:rsidTr="008E588B">
              <w:tc>
                <w:tcPr>
                  <w:tcW w:w="66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2E92B48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4D259828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2420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364B17F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амортизациясы.</w:t>
                  </w:r>
                </w:p>
              </w:tc>
            </w:tr>
          </w:tbl>
          <w:p w14:paraId="7583516B" w14:textId="4B25E176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162.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Объектінің немесе негізгі құрал-жабдықтар объектілері тобының құнсыздануы анықталған кезде мынадай бухгалтерлік жазбалар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p w14:paraId="49D76A16" w14:textId="77777777" w:rsidR="00341ED6" w:rsidRPr="009F67AF" w:rsidRDefault="00341ED6" w:rsidP="00341ED6">
            <w:pPr>
              <w:pStyle w:val="pj"/>
              <w:numPr>
                <w:ilvl w:val="0"/>
                <w:numId w:val="26"/>
              </w:numPr>
              <w:tabs>
                <w:tab w:val="left" w:pos="1276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бастапқы құны бойынша есепке алу әдісін қолданған жағдайда: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9F67AF" w14:paraId="0C630E74" w14:textId="77777777" w:rsidTr="008E588B">
              <w:trPr>
                <w:trHeight w:val="183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680D9D5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D59FA2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7420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FDEAB6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Активтердің құнсыздануынан болған шығыстар</w:t>
                  </w:r>
                </w:p>
              </w:tc>
            </w:tr>
            <w:tr w:rsidR="00341ED6" w:rsidRPr="009F67AF" w14:paraId="1B67F304" w14:textId="77777777" w:rsidTr="008E588B"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4F2E1EC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3760943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2430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F21B6A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 құнсыздануынан болған залал</w:t>
                  </w:r>
                  <w:r w:rsidRPr="009F67AF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</w:tbl>
          <w:p w14:paraId="7DE2A097" w14:textId="77777777" w:rsidR="00341ED6" w:rsidRPr="009F67AF" w:rsidRDefault="00341ED6" w:rsidP="00341ED6">
            <w:pPr>
              <w:pStyle w:val="pj"/>
              <w:numPr>
                <w:ilvl w:val="0"/>
                <w:numId w:val="26"/>
              </w:numPr>
              <w:tabs>
                <w:tab w:val="left" w:pos="1134"/>
              </w:tabs>
              <w:spacing w:before="0" w:beforeAutospacing="0" w:after="0" w:afterAutospacing="0"/>
              <w:ind w:left="0"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артық бағаланған құн бойынша есепке алу әдісі қолданылған жағдайда объектінің немесе негізгі құралдар объектілері тобының құнсыздануы қайта бағалау бойынша бұрын есептелген резервті ескере отырып жүзеге асырылады: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850"/>
              <w:gridCol w:w="2834"/>
            </w:tblGrid>
            <w:tr w:rsidR="008E588B" w:rsidRPr="009F67AF" w14:paraId="230B4D20" w14:textId="77777777" w:rsidTr="008E588B">
              <w:trPr>
                <w:trHeight w:val="374"/>
              </w:trPr>
              <w:tc>
                <w:tcPr>
                  <w:tcW w:w="66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7A37AD4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4FF505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7420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1B9E17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Активтердің құнсыздануынан болған шығыстар</w:t>
                  </w:r>
                </w:p>
              </w:tc>
            </w:tr>
            <w:tr w:rsidR="008E588B" w:rsidRPr="009F67AF" w14:paraId="5EE753FF" w14:textId="77777777" w:rsidTr="008E588B">
              <w:tc>
                <w:tcPr>
                  <w:tcW w:w="66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39A95A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0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C6ADC2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5420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A8D043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 xml:space="preserve">Пайдалану құқығы нысанындағы негізгі </w:t>
                  </w: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құрал-жабдықтарды және активтерді қайта бағалау резерві</w:t>
                  </w:r>
                </w:p>
              </w:tc>
            </w:tr>
            <w:tr w:rsidR="008E588B" w:rsidRPr="009F67AF" w14:paraId="0DCC313F" w14:textId="77777777" w:rsidTr="008E588B">
              <w:tc>
                <w:tcPr>
                  <w:tcW w:w="666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B8E494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lastRenderedPageBreak/>
                    <w:t>Кт</w:t>
                  </w:r>
                </w:p>
              </w:tc>
              <w:tc>
                <w:tcPr>
                  <w:tcW w:w="1000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C9F3636" w14:textId="6C5AE9B5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2430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2EF9FA5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 құнсыздануынан болған залал</w:t>
                  </w:r>
                  <w:r w:rsidRPr="009F67A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6D89E91E" w14:textId="73AC6EFD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163.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Негізгі құрал-жабдықтарға қайта бағаланған құн бойынша есепке алу әдісі қолданылған жағдайда, негізгі құрал-жабдықтарды қайта бағалау мынадай бухгалтерлік жазбалармен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p w14:paraId="5EC11CAE" w14:textId="77777777" w:rsidR="00341ED6" w:rsidRPr="009F67AF" w:rsidRDefault="00341ED6" w:rsidP="00341ED6">
            <w:pPr>
              <w:pStyle w:val="pj"/>
              <w:numPr>
                <w:ilvl w:val="0"/>
                <w:numId w:val="25"/>
              </w:numPr>
              <w:tabs>
                <w:tab w:val="left" w:pos="1134"/>
              </w:tabs>
              <w:spacing w:before="0" w:beforeAutospacing="0" w:after="0" w:afterAutospacing="0"/>
              <w:ind w:left="1276" w:hanging="567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оң қайта бағалау жағдайында: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851"/>
              <w:gridCol w:w="2834"/>
            </w:tblGrid>
            <w:tr w:rsidR="008E588B" w:rsidRPr="009F67AF" w14:paraId="2195F465" w14:textId="77777777" w:rsidTr="008E588B">
              <w:trPr>
                <w:trHeight w:val="247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317637EC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1F4C241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2410</w:t>
                  </w:r>
                </w:p>
              </w:tc>
              <w:tc>
                <w:tcPr>
                  <w:tcW w:w="333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47123C0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</w:t>
                  </w:r>
                </w:p>
              </w:tc>
            </w:tr>
            <w:tr w:rsidR="008E588B" w:rsidRPr="009F67AF" w14:paraId="43158ACA" w14:textId="77777777" w:rsidTr="008E588B">
              <w:trPr>
                <w:trHeight w:val="296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10CD995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3A805F7E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4" w:type="pct"/>
                </w:tcPr>
                <w:p w14:paraId="69DC4A2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8E588B" w:rsidRPr="009F67AF" w14:paraId="15777806" w14:textId="77777777" w:rsidTr="008E588B">
              <w:trPr>
                <w:trHeight w:val="296"/>
              </w:trPr>
              <w:tc>
                <w:tcPr>
                  <w:tcW w:w="66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C7A524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BB45BE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5420</w:t>
                  </w:r>
                </w:p>
              </w:tc>
              <w:tc>
                <w:tcPr>
                  <w:tcW w:w="3334" w:type="pct"/>
                </w:tcPr>
                <w:p w14:paraId="013626B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Пайдалану құқығы нысанындағы негізгі құрал-жабдықтарды және активтерді қайта бағалау резерві</w:t>
                  </w:r>
                  <w:r w:rsidRPr="009F67AF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</w:tbl>
          <w:p w14:paraId="23442D3D" w14:textId="77777777" w:rsidR="00341ED6" w:rsidRPr="009F67AF" w:rsidRDefault="00341ED6" w:rsidP="00341ED6">
            <w:pPr>
              <w:pStyle w:val="pj"/>
              <w:numPr>
                <w:ilvl w:val="0"/>
                <w:numId w:val="25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теріс қайта бағалау жағдайында: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9F67AF" w14:paraId="572BE53F" w14:textId="77777777" w:rsidTr="008E588B">
              <w:trPr>
                <w:trHeight w:val="247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9883ED7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ADF666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7767762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30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341ED6" w:rsidRPr="000C2D26" w14:paraId="69096476" w14:textId="77777777" w:rsidTr="008E588B">
              <w:trPr>
                <w:trHeight w:val="296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A06752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74C86B9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5420</w:t>
                  </w:r>
                </w:p>
              </w:tc>
              <w:tc>
                <w:tcPr>
                  <w:tcW w:w="3335" w:type="pct"/>
                </w:tcPr>
                <w:p w14:paraId="47D59D8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Пайдалану құқығы нысанындағы негізгі құрал-жабдықтарды және активтерді қайта бағалау резерві</w:t>
                  </w:r>
                </w:p>
              </w:tc>
            </w:tr>
            <w:tr w:rsidR="00341ED6" w:rsidRPr="000C2D26" w14:paraId="4CE41FCD" w14:textId="77777777" w:rsidTr="008E588B">
              <w:trPr>
                <w:trHeight w:val="296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285FFEF3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05C48254" w14:textId="77777777" w:rsidR="00341ED6" w:rsidRPr="00AE1E8A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7420</w:t>
                  </w:r>
                </w:p>
              </w:tc>
              <w:tc>
                <w:tcPr>
                  <w:tcW w:w="3335" w:type="pct"/>
                </w:tcPr>
                <w:p w14:paraId="5EC88005" w14:textId="77777777" w:rsidR="00341ED6" w:rsidRPr="00AE1E8A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Активтердің құнсыздануынан болған шығыстар</w:t>
                  </w:r>
                </w:p>
              </w:tc>
            </w:tr>
            <w:tr w:rsidR="00341ED6" w:rsidRPr="000C2D26" w14:paraId="1564D51D" w14:textId="77777777" w:rsidTr="008E588B">
              <w:trPr>
                <w:trHeight w:val="296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66A4C919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AC3A4D0" w14:textId="77777777" w:rsidR="00341ED6" w:rsidRPr="00AE1E8A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2410</w:t>
                  </w:r>
                </w:p>
              </w:tc>
              <w:tc>
                <w:tcPr>
                  <w:tcW w:w="3335" w:type="pct"/>
                </w:tcPr>
                <w:p w14:paraId="1E96AC83" w14:textId="77777777" w:rsidR="00341ED6" w:rsidRPr="00AE1E8A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147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</w:t>
                  </w:r>
                  <w:r w:rsidRPr="00AE1E8A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14:paraId="585083DD" w14:textId="6C0A6ED8" w:rsidR="00341ED6" w:rsidRPr="009F67AF" w:rsidRDefault="00341ED6" w:rsidP="00341ED6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 xml:space="preserve">164.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Негізгі құрал-жабдықтар объектілерін есептен шығару кезінде мынадай бухгалтерлік жазба жүзеге асырылады</w:t>
            </w:r>
            <w:r w:rsidRPr="009F67AF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341ED6" w:rsidRPr="009F67AF" w14:paraId="655A1AB0" w14:textId="77777777" w:rsidTr="00341ED6">
              <w:trPr>
                <w:trHeight w:val="237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23DF965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39683E1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2420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04E4280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Негізгі құрал-жабдықтар амортизациясы</w:t>
                  </w:r>
                </w:p>
              </w:tc>
            </w:tr>
            <w:tr w:rsidR="00341ED6" w:rsidRPr="000C2D26" w14:paraId="1E52A3A7" w14:textId="77777777" w:rsidTr="00341ED6">
              <w:trPr>
                <w:trHeight w:val="199"/>
              </w:trPr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CBECB3F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4E880CA6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7410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</w:tcPr>
                <w:p w14:paraId="545A1133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Активтерді шығынға жазу бойынша шығыстар</w:t>
                  </w:r>
                </w:p>
              </w:tc>
            </w:tr>
            <w:tr w:rsidR="00341ED6" w:rsidRPr="009F67AF" w14:paraId="64CE616F" w14:textId="77777777" w:rsidTr="00341ED6">
              <w:tc>
                <w:tcPr>
                  <w:tcW w:w="664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635CF424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1001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000EE4F2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</w:rPr>
                    <w:t>2410</w:t>
                  </w:r>
                </w:p>
              </w:tc>
              <w:tc>
                <w:tcPr>
                  <w:tcW w:w="3335" w:type="pct"/>
                  <w:tcMar>
                    <w:top w:w="0" w:type="dxa"/>
                    <w:left w:w="168" w:type="dxa"/>
                    <w:bottom w:w="0" w:type="dxa"/>
                    <w:right w:w="168" w:type="dxa"/>
                  </w:tcMar>
                  <w:hideMark/>
                </w:tcPr>
                <w:p w14:paraId="5671BF8D" w14:textId="77777777" w:rsidR="00341ED6" w:rsidRPr="009F67AF" w:rsidRDefault="00341ED6" w:rsidP="000C2D26">
                  <w:pPr>
                    <w:framePr w:hSpace="180" w:wrap="around" w:vAnchor="text" w:hAnchor="text" w:y="1"/>
                    <w:spacing w:after="0" w:line="240" w:lineRule="auto"/>
                    <w:ind w:left="-26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9F67AF">
                    <w:rPr>
                      <w:rFonts w:ascii="Times New Roman" w:hAnsi="Times New Roman" w:cs="Times New Roman"/>
                      <w:lang w:val="kk-KZ"/>
                    </w:rPr>
                    <w:t>Негізгі құрал-жабдықтар</w:t>
                  </w:r>
                  <w:r w:rsidRPr="009F67A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67995610" w14:textId="674B52F2" w:rsidR="005865E1" w:rsidRPr="009F67AF" w:rsidRDefault="005865E1" w:rsidP="000F7661">
            <w:pPr>
              <w:pStyle w:val="pj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941" w:type="dxa"/>
          </w:tcPr>
          <w:p w14:paraId="4A24DF22" w14:textId="77777777" w:rsidR="00DB73DD" w:rsidRPr="005865E1" w:rsidRDefault="00DB73DD" w:rsidP="00DB73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865E1">
              <w:rPr>
                <w:rFonts w:ascii="Times New Roman" w:hAnsi="Times New Roman" w:cs="Times New Roman"/>
                <w:lang w:val="kk-KZ"/>
              </w:rPr>
              <w:lastRenderedPageBreak/>
              <w:t>Қаржы ұйымдары болып табыл</w:t>
            </w:r>
            <w:r>
              <w:rPr>
                <w:rFonts w:ascii="Times New Roman" w:hAnsi="Times New Roman" w:cs="Times New Roman"/>
                <w:lang w:val="kk-KZ"/>
              </w:rPr>
              <w:t>атын шағын және орта бизнес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субъектілері («Қаржы нарығын және қаржы ұйымдарын мемлекеттік реттеу, бақылау және қадағалау туралы» ҚРЗ 1-бабының 6) тармақшасына сәйкес) Қазақстан Республикасының заңнамасына </w:t>
            </w:r>
            <w:r>
              <w:rPr>
                <w:rFonts w:ascii="Times New Roman" w:hAnsi="Times New Roman" w:cs="Times New Roman"/>
                <w:lang w:val="kk-KZ"/>
              </w:rPr>
              <w:t>және шағын және орта бизнеске арналған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халықаралық қаржылық есептілік стандарттарына сәйкес бухгалтерлік есепті жүргізуді және қаржылық есептілікті жасауды жүзеге асырады (тармақтар «Бухгалтерлік есеп және қаржылық есептілік туралы» ҚРЗ 2-бабының 3-1 және 3-2-баптары).</w:t>
            </w:r>
          </w:p>
          <w:p w14:paraId="0390E9A8" w14:textId="77777777" w:rsidR="00DB73DD" w:rsidRPr="005865E1" w:rsidRDefault="00DB73DD" w:rsidP="00DB73D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9607E63" w14:textId="77777777" w:rsidR="00DB73DD" w:rsidRPr="005865E1" w:rsidRDefault="00DB73DD" w:rsidP="00DB73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және орта бизнеске арналған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халықаралық қаржылық </w:t>
            </w:r>
            <w:r>
              <w:rPr>
                <w:rFonts w:ascii="Times New Roman" w:hAnsi="Times New Roman" w:cs="Times New Roman"/>
                <w:lang w:val="kk-KZ"/>
              </w:rPr>
              <w:t xml:space="preserve">есептілік стандартын (бұдан әрі – ШОБ-қа арналған </w:t>
            </w:r>
            <w:r w:rsidRPr="005865E1">
              <w:rPr>
                <w:rFonts w:ascii="Times New Roman" w:hAnsi="Times New Roman" w:cs="Times New Roman"/>
                <w:lang w:val="kk-KZ"/>
              </w:rPr>
              <w:t>ХҚЕС) «Бухгалтерлік есеп және қаржылық есептілік туралы» ҚРЗ 1-бабының 13) тармақшасымен халықаралық қаржылық есептілік стандарттары жөніндегі кеңес бекітеді.</w:t>
            </w:r>
          </w:p>
          <w:p w14:paraId="00878260" w14:textId="7E5F48A4" w:rsidR="005865E1" w:rsidRPr="005865E1" w:rsidRDefault="00DB73DD" w:rsidP="00DB73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865E1">
              <w:rPr>
                <w:rFonts w:ascii="Times New Roman" w:hAnsi="Times New Roman" w:cs="Times New Roman"/>
                <w:lang w:val="kk-KZ"/>
              </w:rPr>
              <w:t xml:space="preserve">Жоғарыда айтылғандардың негізінде жобамен шағын және орта </w:t>
            </w:r>
            <w:r>
              <w:rPr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субъектілерінің бухгалтерлік есепті жүргізу тәрті</w:t>
            </w:r>
            <w:r>
              <w:rPr>
                <w:rFonts w:ascii="Times New Roman" w:hAnsi="Times New Roman" w:cs="Times New Roman"/>
                <w:lang w:val="kk-KZ"/>
              </w:rPr>
              <w:t xml:space="preserve">бін нақтылау мақсатында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негізгі құрал-жабдықтарды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есепке </w:t>
            </w:r>
            <w:r>
              <w:rPr>
                <w:rFonts w:ascii="Times New Roman" w:hAnsi="Times New Roman" w:cs="Times New Roman"/>
                <w:lang w:val="kk-KZ"/>
              </w:rPr>
              <w:t>алуды көрсету бөлігінде ШОБ-қа арналған</w:t>
            </w:r>
            <w:r w:rsidRPr="005865E1">
              <w:rPr>
                <w:rFonts w:ascii="Times New Roman" w:hAnsi="Times New Roman" w:cs="Times New Roman"/>
                <w:lang w:val="kk-KZ"/>
              </w:rPr>
              <w:t xml:space="preserve"> ХҚЕС-ке сәйкес толықтырулар енгізіледі</w:t>
            </w:r>
          </w:p>
        </w:tc>
      </w:tr>
      <w:tr w:rsidR="002A6458" w:rsidRPr="000C2D26" w14:paraId="42A56099" w14:textId="77777777" w:rsidTr="00F80F3D">
        <w:trPr>
          <w:cantSplit/>
        </w:trPr>
        <w:tc>
          <w:tcPr>
            <w:tcW w:w="560" w:type="dxa"/>
          </w:tcPr>
          <w:p w14:paraId="421E68DE" w14:textId="1DC8A094" w:rsidR="002A6458" w:rsidRPr="002A6458" w:rsidRDefault="005865E1" w:rsidP="002A6458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3" w:type="dxa"/>
          </w:tcPr>
          <w:p w14:paraId="23A9E5BD" w14:textId="760340FD" w:rsidR="002A6458" w:rsidRPr="005865E1" w:rsidRDefault="00AE1E8A" w:rsidP="005865E1">
            <w:pPr>
              <w:ind w:firstLine="5"/>
              <w:jc w:val="both"/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Нұсқаулықтың 18-т</w:t>
            </w:r>
            <w:r w:rsidR="005865E1" w:rsidRPr="005865E1"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арауы</w:t>
            </w:r>
          </w:p>
        </w:tc>
        <w:tc>
          <w:tcPr>
            <w:tcW w:w="3868" w:type="dxa"/>
          </w:tcPr>
          <w:p w14:paraId="47DF5C60" w14:textId="36E1C6E4" w:rsidR="002A6458" w:rsidRPr="005865E1" w:rsidRDefault="005865E1" w:rsidP="002A6458">
            <w:pPr>
              <w:pStyle w:val="pj"/>
              <w:spacing w:before="0" w:beforeAutospacing="0" w:after="0" w:afterAutospacing="0"/>
              <w:jc w:val="center"/>
              <w:rPr>
                <w:rStyle w:val="s0"/>
                <w:rFonts w:eastAsiaTheme="minorEastAsia"/>
                <w:color w:val="auto"/>
                <w:sz w:val="22"/>
                <w:szCs w:val="22"/>
                <w:lang w:val="kk-KZ"/>
              </w:rPr>
            </w:pPr>
            <w:r w:rsidRPr="005865E1">
              <w:rPr>
                <w:rStyle w:val="s0"/>
                <w:color w:val="auto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4354" w:type="dxa"/>
          </w:tcPr>
          <w:p w14:paraId="08ACB65E" w14:textId="4186FF7F" w:rsidR="005865E1" w:rsidRPr="005865E1" w:rsidRDefault="005865E1" w:rsidP="005865E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865E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18-тарау. </w:t>
            </w:r>
            <w:r w:rsidR="000F7661" w:rsidRPr="000F7661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Қорларды сатып алу және сату кезінде шағын және орта бизнеске арналған халықаралық стандартқа сәйкес есепке алу</w:t>
            </w:r>
          </w:p>
          <w:p w14:paraId="64DCDD22" w14:textId="77777777" w:rsidR="005865E1" w:rsidRPr="005865E1" w:rsidRDefault="005865E1" w:rsidP="005865E1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  <w:p w14:paraId="081C48E8" w14:textId="1ABC2B2C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165.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Қорларды ақша қаражаттарына сатып алу кезінде мынадай бухгалтерлік жазба жүзеге асырылады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6ECB4D4D" w14:textId="77777777" w:rsidTr="005865E1">
              <w:tc>
                <w:tcPr>
                  <w:tcW w:w="564" w:type="dxa"/>
                </w:tcPr>
                <w:p w14:paraId="4025A0CE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E96E55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1330</w:t>
                  </w:r>
                </w:p>
              </w:tc>
              <w:tc>
                <w:tcPr>
                  <w:tcW w:w="2835" w:type="dxa"/>
                </w:tcPr>
                <w:p w14:paraId="7DE900A9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Тауарлар</w:t>
                  </w:r>
                </w:p>
              </w:tc>
            </w:tr>
            <w:tr w:rsidR="005865E1" w:rsidRPr="000C2D26" w14:paraId="3F622CB5" w14:textId="77777777" w:rsidTr="005865E1">
              <w:tc>
                <w:tcPr>
                  <w:tcW w:w="564" w:type="dxa"/>
                </w:tcPr>
                <w:p w14:paraId="08617132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1D40462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2835" w:type="dxa"/>
                </w:tcPr>
                <w:p w14:paraId="45CF5E51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5865E1" w:rsidRPr="000C2D26" w14:paraId="094D75DC" w14:textId="77777777" w:rsidTr="005865E1">
              <w:tc>
                <w:tcPr>
                  <w:tcW w:w="564" w:type="dxa"/>
                </w:tcPr>
                <w:p w14:paraId="3459E915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14:paraId="784F8F7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1F40857B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қаражаттары.</w:t>
                  </w:r>
                </w:p>
              </w:tc>
            </w:tr>
          </w:tbl>
          <w:p w14:paraId="7BAF38E8" w14:textId="0E5ECF87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166.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Қорларды төлемін бөліп төлеу арқылы сатып алу кезінде мынадай бухгалтерлік жазба жүзеге асырылады</w:t>
            </w:r>
            <w:r w:rsidR="000F766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2627807C" w14:textId="77777777" w:rsidTr="005865E1">
              <w:tc>
                <w:tcPr>
                  <w:tcW w:w="564" w:type="dxa"/>
                </w:tcPr>
                <w:p w14:paraId="0C27212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542ECAC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1330</w:t>
                  </w:r>
                </w:p>
              </w:tc>
              <w:tc>
                <w:tcPr>
                  <w:tcW w:w="2835" w:type="dxa"/>
                </w:tcPr>
                <w:p w14:paraId="2225FB54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Тауарлар</w:t>
                  </w:r>
                </w:p>
              </w:tc>
            </w:tr>
            <w:tr w:rsidR="005865E1" w:rsidRPr="000C2D26" w14:paraId="2DD068F7" w14:textId="77777777" w:rsidTr="005865E1">
              <w:tc>
                <w:tcPr>
                  <w:tcW w:w="564" w:type="dxa"/>
                </w:tcPr>
                <w:p w14:paraId="5478ED03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3E296F5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3310</w:t>
                  </w:r>
                </w:p>
              </w:tc>
              <w:tc>
                <w:tcPr>
                  <w:tcW w:w="2835" w:type="dxa"/>
                </w:tcPr>
                <w:p w14:paraId="56A25CD6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Жеткізушілерге және мердігерлерге қысқа мерзімді кредиторлық берешек</w:t>
                  </w:r>
                </w:p>
              </w:tc>
            </w:tr>
            <w:tr w:rsidR="005865E1" w:rsidRPr="000C2D26" w14:paraId="118BEFF4" w14:textId="77777777" w:rsidTr="005865E1">
              <w:tc>
                <w:tcPr>
                  <w:tcW w:w="564" w:type="dxa"/>
                </w:tcPr>
                <w:p w14:paraId="2F57A2C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14:paraId="500D487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4110</w:t>
                  </w:r>
                </w:p>
              </w:tc>
              <w:tc>
                <w:tcPr>
                  <w:tcW w:w="2835" w:type="dxa"/>
                </w:tcPr>
                <w:p w14:paraId="28A3088E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Жеткізушілерге және мердігерлерге ұзақ мерзімді кредиторлық берешек.</w:t>
                  </w:r>
                </w:p>
              </w:tc>
            </w:tr>
          </w:tbl>
          <w:p w14:paraId="4081183E" w14:textId="5507BAA1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167.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Қорларды ақша қаражаттарына сату кезінде мынадай бухгалтерлік жазбалар жүзеге асырылады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6031DEB9" w14:textId="77777777" w:rsidTr="005865E1">
              <w:tc>
                <w:tcPr>
                  <w:tcW w:w="564" w:type="dxa"/>
                </w:tcPr>
                <w:p w14:paraId="338BC9A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14C30DC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2835" w:type="dxa"/>
                </w:tcPr>
                <w:p w14:paraId="19F4D23B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5865E1" w:rsidRPr="005865E1" w14:paraId="039B1556" w14:textId="77777777" w:rsidTr="005865E1">
              <w:tc>
                <w:tcPr>
                  <w:tcW w:w="564" w:type="dxa"/>
                </w:tcPr>
                <w:p w14:paraId="743A4F5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14:paraId="7C03EC7D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3D9476B7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</w:t>
                  </w:r>
                </w:p>
              </w:tc>
            </w:tr>
            <w:tr w:rsidR="005865E1" w:rsidRPr="000C2D26" w14:paraId="333491B7" w14:textId="77777777" w:rsidTr="005865E1">
              <w:tc>
                <w:tcPr>
                  <w:tcW w:w="564" w:type="dxa"/>
                </w:tcPr>
                <w:p w14:paraId="6F8E4953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409FE12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6010</w:t>
                  </w:r>
                </w:p>
              </w:tc>
              <w:tc>
                <w:tcPr>
                  <w:tcW w:w="2835" w:type="dxa"/>
                </w:tcPr>
                <w:p w14:paraId="508C58B9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Өнім өткізуден және қызмет көрсетуден кірістер;</w:t>
                  </w:r>
                </w:p>
              </w:tc>
            </w:tr>
          </w:tbl>
          <w:p w14:paraId="02C6F186" w14:textId="0E7A036C" w:rsidR="005865E1" w:rsidRPr="005865E1" w:rsidRDefault="000F7661" w:rsidP="005865E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 бір мезгілде</w:t>
            </w:r>
            <w:r w:rsidR="005865E1" w:rsidRPr="005865E1">
              <w:rPr>
                <w:rFonts w:ascii="Times New Roman" w:hAnsi="Times New Roman" w:cs="Times New Roman"/>
                <w:color w:val="000000" w:themeColor="text1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18453A16" w14:textId="77777777" w:rsidTr="005865E1">
              <w:tc>
                <w:tcPr>
                  <w:tcW w:w="564" w:type="dxa"/>
                </w:tcPr>
                <w:p w14:paraId="252C659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lastRenderedPageBreak/>
                    <w:t>Дт</w:t>
                  </w:r>
                </w:p>
              </w:tc>
              <w:tc>
                <w:tcPr>
                  <w:tcW w:w="851" w:type="dxa"/>
                </w:tcPr>
                <w:p w14:paraId="334134E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7010</w:t>
                  </w:r>
                </w:p>
              </w:tc>
              <w:tc>
                <w:tcPr>
                  <w:tcW w:w="2835" w:type="dxa"/>
                </w:tcPr>
                <w:p w14:paraId="67969E56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Өткізілген өнімдердің және көрсетілген қызметтің өзіндік құны</w:t>
                  </w:r>
                </w:p>
              </w:tc>
            </w:tr>
            <w:tr w:rsidR="005865E1" w:rsidRPr="000C2D26" w14:paraId="19E5AC20" w14:textId="77777777" w:rsidTr="005865E1">
              <w:tc>
                <w:tcPr>
                  <w:tcW w:w="564" w:type="dxa"/>
                </w:tcPr>
                <w:p w14:paraId="32D22699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431F95C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1330</w:t>
                  </w:r>
                </w:p>
              </w:tc>
              <w:tc>
                <w:tcPr>
                  <w:tcW w:w="2835" w:type="dxa"/>
                </w:tcPr>
                <w:p w14:paraId="2DC28143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Тауарлар.</w:t>
                  </w:r>
                </w:p>
              </w:tc>
            </w:tr>
          </w:tbl>
          <w:p w14:paraId="1B0917BA" w14:textId="26FE87B4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168.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Төлемді кейінге қалдыра отырып қорларды сату кезінде мынадай бухгалтерлік жазбалар жүзеге асырылады</w:t>
            </w:r>
            <w:r w:rsidR="000F766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13F223E2" w14:textId="77777777" w:rsidTr="005865E1">
              <w:tc>
                <w:tcPr>
                  <w:tcW w:w="564" w:type="dxa"/>
                </w:tcPr>
                <w:p w14:paraId="46DFF4B7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18BBE88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1210</w:t>
                  </w:r>
                </w:p>
              </w:tc>
              <w:tc>
                <w:tcPr>
                  <w:tcW w:w="2835" w:type="dxa"/>
                </w:tcPr>
                <w:p w14:paraId="7BD42090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Сатып алушылардың және тапсырыс берушілердің қысқа мерзімді дебиторлық берешегі</w:t>
                  </w:r>
                </w:p>
              </w:tc>
            </w:tr>
            <w:tr w:rsidR="005865E1" w:rsidRPr="000C2D26" w14:paraId="5283D6D3" w14:textId="77777777" w:rsidTr="005865E1">
              <w:tc>
                <w:tcPr>
                  <w:tcW w:w="564" w:type="dxa"/>
                </w:tcPr>
                <w:p w14:paraId="4B575A69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713448A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6010</w:t>
                  </w:r>
                </w:p>
              </w:tc>
              <w:tc>
                <w:tcPr>
                  <w:tcW w:w="2835" w:type="dxa"/>
                </w:tcPr>
                <w:p w14:paraId="7DD43F0D" w14:textId="77777777" w:rsidR="005865E1" w:rsidRPr="005865E1" w:rsidRDefault="005865E1" w:rsidP="000C2D26">
                  <w:pPr>
                    <w:framePr w:hSpace="180" w:wrap="around" w:vAnchor="text" w:hAnchor="text" w:y="1"/>
                    <w:ind w:left="27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Өнім өткізуден және қызмет көрсетуден кірістер;</w:t>
                  </w:r>
                </w:p>
              </w:tc>
            </w:tr>
          </w:tbl>
          <w:p w14:paraId="26D5354B" w14:textId="67BBEB49" w:rsidR="005865E1" w:rsidRPr="005865E1" w:rsidRDefault="000F7661" w:rsidP="005865E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7661"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 қорларды есептен шығару кезінде бір мезгілде</w:t>
            </w:r>
            <w:r w:rsidR="005865E1" w:rsidRPr="005865E1">
              <w:rPr>
                <w:rFonts w:ascii="Times New Roman" w:hAnsi="Times New Roman" w:cs="Times New Roman"/>
                <w:color w:val="000000" w:themeColor="text1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120507AA" w14:textId="77777777" w:rsidTr="005865E1">
              <w:tc>
                <w:tcPr>
                  <w:tcW w:w="564" w:type="dxa"/>
                </w:tcPr>
                <w:p w14:paraId="5C6A538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612BD8D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7010</w:t>
                  </w:r>
                </w:p>
              </w:tc>
              <w:tc>
                <w:tcPr>
                  <w:tcW w:w="2835" w:type="dxa"/>
                </w:tcPr>
                <w:p w14:paraId="47FEB8D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Өткізілген өнімдердің және көрсетілген қызметтің өзіндік құны</w:t>
                  </w:r>
                </w:p>
              </w:tc>
            </w:tr>
            <w:tr w:rsidR="005865E1" w:rsidRPr="005865E1" w14:paraId="6E1BFCE6" w14:textId="77777777" w:rsidTr="005865E1">
              <w:tc>
                <w:tcPr>
                  <w:tcW w:w="564" w:type="dxa"/>
                </w:tcPr>
                <w:p w14:paraId="6603C126" w14:textId="77777777" w:rsidR="005865E1" w:rsidRPr="005865E1" w:rsidRDefault="005865E1" w:rsidP="000C2D26">
                  <w:pPr>
                    <w:framePr w:hSpace="180" w:wrap="around" w:vAnchor="text" w:hAnchor="text" w:y="1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3915B81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1330</w:t>
                  </w:r>
                </w:p>
              </w:tc>
              <w:tc>
                <w:tcPr>
                  <w:tcW w:w="2835" w:type="dxa"/>
                </w:tcPr>
                <w:p w14:paraId="1143B8F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Тауарлар.</w:t>
                  </w:r>
                </w:p>
              </w:tc>
            </w:tr>
          </w:tbl>
          <w:p w14:paraId="243A747C" w14:textId="77777777" w:rsidR="002A6458" w:rsidRPr="005865E1" w:rsidRDefault="002A6458" w:rsidP="005865E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41" w:type="dxa"/>
          </w:tcPr>
          <w:p w14:paraId="421D2463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lastRenderedPageBreak/>
              <w:t xml:space="preserve">Қаржы ұйымдары болып табылатын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субъектілері («Қаржы нарығын және қаржы ұйымдарын мемлекеттік реттеу, бақылау және қадағалау туралы» ҚРЗ 1-бабының 6) тармақшасына сәйкес) Қазақстан Республикасының заңнамасына және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үшін халықаралық қаржылық есептілік стандарттарына сәйкес бухгалтерлік есепті жүргізуді және қаржылық есептілікті жасауды жүзеге асырады (тармақтар «Бухгалтерлік есеп және қаржылық есептілік туралы» ҚРЗ 2-бабының 3-1 және 3-2-баптары).</w:t>
            </w:r>
          </w:p>
          <w:p w14:paraId="7309D3FD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</w:p>
          <w:p w14:paraId="5B1679F5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ШОБ-қа арналған </w:t>
            </w:r>
            <w:r w:rsidRPr="005865E1">
              <w:rPr>
                <w:rFonts w:ascii="Times New Roman" w:hAnsi="Times New Roman" w:cs="Times New Roman"/>
                <w:lang w:val="kk-KZ"/>
              </w:rPr>
              <w:t>ХҚЕС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-ті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«Бухгалтерлік есеп және қаржылық есептілік туралы» ҚРЗ 1-бабының 13) тармақшасымен халықаралық қаржылық есептілік стандарттары жөніндегі кеңес бекітеді.</w:t>
            </w:r>
          </w:p>
          <w:p w14:paraId="71938014" w14:textId="54C8B755" w:rsidR="002A6458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Жоғарыда айтылғандардың негізінде жобамен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субъектілерінің бухгалтерлік есепті жүргізу тәртібін нақтылау мақсатында қорларды е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сепке алуды көрсету бөлігінде</w:t>
            </w:r>
            <w:r>
              <w:rPr>
                <w:rFonts w:ascii="Times New Roman" w:hAnsi="Times New Roman" w:cs="Times New Roman"/>
                <w:lang w:val="kk-KZ"/>
              </w:rPr>
              <w:t xml:space="preserve"> ШОБ-қа арналған </w:t>
            </w:r>
            <w:r w:rsidRPr="005865E1">
              <w:rPr>
                <w:rFonts w:ascii="Times New Roman" w:hAnsi="Times New Roman" w:cs="Times New Roman"/>
                <w:lang w:val="kk-KZ"/>
              </w:rPr>
              <w:t>ХҚЕС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-ке сәйкес толықтырулар енгізіледі</w:t>
            </w:r>
            <w:r w:rsidR="005865E1" w:rsidRPr="005865E1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A6458" w:rsidRPr="000C2D26" w14:paraId="34807015" w14:textId="77777777" w:rsidTr="00F80F3D">
        <w:trPr>
          <w:cantSplit/>
        </w:trPr>
        <w:tc>
          <w:tcPr>
            <w:tcW w:w="560" w:type="dxa"/>
          </w:tcPr>
          <w:p w14:paraId="5D77A59F" w14:textId="18BBDA86" w:rsidR="002A6458" w:rsidRPr="005865E1" w:rsidRDefault="005865E1" w:rsidP="002A6458">
            <w:pPr>
              <w:jc w:val="center"/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3</w:t>
            </w:r>
          </w:p>
        </w:tc>
        <w:tc>
          <w:tcPr>
            <w:tcW w:w="1703" w:type="dxa"/>
          </w:tcPr>
          <w:p w14:paraId="5219AF02" w14:textId="329B1399" w:rsidR="002A6458" w:rsidRPr="005865E1" w:rsidRDefault="00AE1E8A" w:rsidP="002A6458">
            <w:pPr>
              <w:ind w:firstLine="5"/>
              <w:jc w:val="both"/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Нұсқаулықтың 19-т</w:t>
            </w:r>
            <w:r w:rsidR="005865E1" w:rsidRPr="005865E1">
              <w:rPr>
                <w:rStyle w:val="s0"/>
                <w:rFonts w:ascii="Times New Roman" w:hAnsi="Times New Roman" w:cs="Times New Roman"/>
                <w:color w:val="auto"/>
                <w:lang w:val="kk-KZ"/>
              </w:rPr>
              <w:t>арауы</w:t>
            </w:r>
          </w:p>
        </w:tc>
        <w:tc>
          <w:tcPr>
            <w:tcW w:w="3868" w:type="dxa"/>
          </w:tcPr>
          <w:p w14:paraId="3E5BCF4C" w14:textId="47255F16" w:rsidR="002A6458" w:rsidRPr="005865E1" w:rsidRDefault="005865E1" w:rsidP="002A6458">
            <w:pPr>
              <w:pStyle w:val="pj"/>
              <w:spacing w:before="0" w:beforeAutospacing="0" w:after="0" w:afterAutospacing="0"/>
              <w:jc w:val="center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5865E1">
              <w:rPr>
                <w:rStyle w:val="s0"/>
                <w:color w:val="auto"/>
                <w:sz w:val="22"/>
                <w:szCs w:val="22"/>
                <w:lang w:val="kk-KZ"/>
              </w:rPr>
              <w:t>Жоқ</w:t>
            </w:r>
          </w:p>
        </w:tc>
        <w:tc>
          <w:tcPr>
            <w:tcW w:w="4354" w:type="dxa"/>
          </w:tcPr>
          <w:p w14:paraId="6FA7C76C" w14:textId="2C346BCA" w:rsidR="005865E1" w:rsidRPr="005865E1" w:rsidRDefault="005865E1" w:rsidP="005865E1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865E1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 xml:space="preserve">19-тарау. </w:t>
            </w:r>
            <w:r w:rsidR="000F7661" w:rsidRPr="000F7661"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  <w:t>Жалақы және басқа да ақшалай төлемдерді төлеу жөніндегі операцияларды</w:t>
            </w:r>
            <w:r w:rsidR="000F7661" w:rsidRPr="000F766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kk-KZ"/>
              </w:rPr>
              <w:t xml:space="preserve"> шағын және орта бизнеске арналған халықаралық стандартқа сәйкес есепке алу</w:t>
            </w:r>
          </w:p>
          <w:p w14:paraId="129A6649" w14:textId="77777777" w:rsidR="005865E1" w:rsidRPr="005865E1" w:rsidRDefault="005865E1" w:rsidP="005865E1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4852AF4C" w14:textId="621BF078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iCs/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169. </w:t>
            </w:r>
            <w:r w:rsidR="000F7661" w:rsidRPr="000F7661">
              <w:rPr>
                <w:iCs/>
                <w:color w:val="000000" w:themeColor="text1"/>
                <w:sz w:val="22"/>
                <w:szCs w:val="22"/>
                <w:lang w:val="kk-KZ"/>
              </w:rPr>
              <w:t>Қызметкерге есеп беруге ақша қаражаттарын беру кезінде мынадай бухгалтерлік жазба жүргізіледі</w:t>
            </w:r>
            <w:r w:rsidRPr="005865E1">
              <w:rPr>
                <w:iCs/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2A36EF99" w14:textId="77777777" w:rsidTr="005865E1">
              <w:tc>
                <w:tcPr>
                  <w:tcW w:w="564" w:type="dxa"/>
                </w:tcPr>
                <w:p w14:paraId="271BD9F7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285AD0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1250</w:t>
                  </w:r>
                </w:p>
              </w:tc>
              <w:tc>
                <w:tcPr>
                  <w:tcW w:w="2835" w:type="dxa"/>
                </w:tcPr>
                <w:p w14:paraId="0D4BA649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Қызметкерлердің қысқа мерзімді дебиторлық берешегі</w:t>
                  </w:r>
                </w:p>
              </w:tc>
            </w:tr>
            <w:tr w:rsidR="005865E1" w:rsidRPr="000C2D26" w14:paraId="05D28D14" w14:textId="77777777" w:rsidTr="005865E1">
              <w:tc>
                <w:tcPr>
                  <w:tcW w:w="564" w:type="dxa"/>
                </w:tcPr>
                <w:p w14:paraId="1892997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4B15949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2835" w:type="dxa"/>
                </w:tcPr>
                <w:p w14:paraId="15F2271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5865E1" w:rsidRPr="000C2D26" w14:paraId="4DD54436" w14:textId="77777777" w:rsidTr="005865E1">
              <w:tc>
                <w:tcPr>
                  <w:tcW w:w="564" w:type="dxa"/>
                </w:tcPr>
                <w:p w14:paraId="797AE51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14:paraId="7AB2D53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39AA1AD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қаражаттары.</w:t>
                  </w:r>
                </w:p>
              </w:tc>
            </w:tr>
          </w:tbl>
          <w:p w14:paraId="09A6A0BD" w14:textId="003DFCC3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170.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 xml:space="preserve">Ұйымның ішкі құжаттарында белгіленген талаптарға сәйкес дайындалған растайтын құжаттардың негізінде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қызметкердің берешегін есептен шығару бойынша мынадай бухгалтерлік жазба жүзеге асырылады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4D7E75F8" w14:textId="77777777" w:rsidTr="005865E1">
              <w:tc>
                <w:tcPr>
                  <w:tcW w:w="564" w:type="dxa"/>
                </w:tcPr>
                <w:p w14:paraId="5871335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09CAC7A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7210</w:t>
                  </w:r>
                </w:p>
              </w:tc>
              <w:tc>
                <w:tcPr>
                  <w:tcW w:w="2835" w:type="dxa"/>
                </w:tcPr>
                <w:p w14:paraId="4359221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Административные расходы</w:t>
                  </w:r>
                </w:p>
              </w:tc>
            </w:tr>
            <w:tr w:rsidR="005865E1" w:rsidRPr="005865E1" w14:paraId="4D43FDD1" w14:textId="77777777" w:rsidTr="005865E1">
              <w:tc>
                <w:tcPr>
                  <w:tcW w:w="564" w:type="dxa"/>
                </w:tcPr>
                <w:p w14:paraId="0780973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6B35F6F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1250</w:t>
                  </w:r>
                </w:p>
              </w:tc>
              <w:tc>
                <w:tcPr>
                  <w:tcW w:w="2835" w:type="dxa"/>
                </w:tcPr>
                <w:p w14:paraId="104F4CD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Краткосрочная дебиторская задолженность работников.</w:t>
                  </w:r>
                </w:p>
              </w:tc>
            </w:tr>
          </w:tbl>
          <w:p w14:paraId="446D24B9" w14:textId="6349FE34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171.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Ұйымның жалақысын есептеу кезінде мынадай бухгалтерлік жазба жүргізіледі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p w14:paraId="2A26B955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overflowPunct/>
              <w:adjustRightInd/>
              <w:spacing w:after="0"/>
              <w:ind w:right="108" w:hanging="11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жалақыны есептеу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6FE5C987" w14:textId="77777777" w:rsidTr="005865E1">
              <w:tc>
                <w:tcPr>
                  <w:tcW w:w="564" w:type="dxa"/>
                </w:tcPr>
                <w:p w14:paraId="2AA0A97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0927E9D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7210</w:t>
                  </w:r>
                </w:p>
              </w:tc>
              <w:tc>
                <w:tcPr>
                  <w:tcW w:w="2835" w:type="dxa"/>
                </w:tcPr>
                <w:p w14:paraId="3F10504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Әкімшілік шығыстар</w:t>
                  </w:r>
                </w:p>
              </w:tc>
            </w:tr>
            <w:tr w:rsidR="005865E1" w:rsidRPr="000C2D26" w14:paraId="298FCD6D" w14:textId="77777777" w:rsidTr="005865E1">
              <w:tc>
                <w:tcPr>
                  <w:tcW w:w="564" w:type="dxa"/>
                </w:tcPr>
                <w:p w14:paraId="5D713049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5A563E4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3350</w:t>
                  </w:r>
                </w:p>
              </w:tc>
              <w:tc>
                <w:tcPr>
                  <w:tcW w:w="2835" w:type="dxa"/>
                </w:tcPr>
                <w:p w14:paraId="399F265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Еңбекке ақы төлеу бойынша қысқа мерзімді берешек;</w:t>
                  </w:r>
                </w:p>
              </w:tc>
            </w:tr>
          </w:tbl>
          <w:p w14:paraId="0CC889F2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overflowPunct/>
              <w:adjustRightInd/>
              <w:spacing w:after="0"/>
              <w:ind w:right="108" w:hanging="11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жалақыдан жеке табыс салығын ұстау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08347AF5" w14:textId="77777777" w:rsidTr="005865E1">
              <w:tc>
                <w:tcPr>
                  <w:tcW w:w="564" w:type="dxa"/>
                </w:tcPr>
                <w:p w14:paraId="0460B70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0D59235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3350</w:t>
                  </w:r>
                </w:p>
              </w:tc>
              <w:tc>
                <w:tcPr>
                  <w:tcW w:w="2835" w:type="dxa"/>
                </w:tcPr>
                <w:p w14:paraId="2FAC834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Еңбекке ақы төлеу бойынша қысқа мерзімді берешек</w:t>
                  </w:r>
                </w:p>
              </w:tc>
            </w:tr>
            <w:tr w:rsidR="005865E1" w:rsidRPr="005865E1" w14:paraId="2999DB26" w14:textId="77777777" w:rsidTr="005865E1">
              <w:tc>
                <w:tcPr>
                  <w:tcW w:w="564" w:type="dxa"/>
                </w:tcPr>
                <w:p w14:paraId="605DC5C5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0878FC5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3120</w:t>
                  </w:r>
                </w:p>
              </w:tc>
              <w:tc>
                <w:tcPr>
                  <w:tcW w:w="2835" w:type="dxa"/>
                </w:tcPr>
                <w:p w14:paraId="2474A2E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Жеке табыс салығы;</w:t>
                  </w:r>
                </w:p>
              </w:tc>
            </w:tr>
          </w:tbl>
          <w:p w14:paraId="0E78FDE0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overflowPunct/>
              <w:adjustRightInd/>
              <w:spacing w:after="0"/>
              <w:ind w:right="108" w:hanging="11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міндетті зейнетақы аударымдарын жалақыдан ұстап қалу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58C864B6" w14:textId="77777777" w:rsidTr="005865E1">
              <w:tc>
                <w:tcPr>
                  <w:tcW w:w="564" w:type="dxa"/>
                </w:tcPr>
                <w:p w14:paraId="52B02F4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4C127369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3350</w:t>
                  </w:r>
                </w:p>
              </w:tc>
              <w:tc>
                <w:tcPr>
                  <w:tcW w:w="2835" w:type="dxa"/>
                </w:tcPr>
                <w:p w14:paraId="7AE25AF5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Еңбекке ақы төлеу бойынша қысқа мерзімді берешек</w:t>
                  </w:r>
                </w:p>
              </w:tc>
            </w:tr>
            <w:tr w:rsidR="005865E1" w:rsidRPr="005865E1" w14:paraId="6D005C07" w14:textId="77777777" w:rsidTr="005865E1">
              <w:tc>
                <w:tcPr>
                  <w:tcW w:w="564" w:type="dxa"/>
                </w:tcPr>
                <w:p w14:paraId="1ACC6FC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2FE856E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3220</w:t>
                  </w:r>
                </w:p>
              </w:tc>
              <w:tc>
                <w:tcPr>
                  <w:tcW w:w="2835" w:type="dxa"/>
                </w:tcPr>
                <w:p w14:paraId="7F5B4F5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Зейнетақы аударымдары бойынша міндеттемелер;</w:t>
                  </w:r>
                </w:p>
              </w:tc>
            </w:tr>
          </w:tbl>
          <w:p w14:paraId="41D7700E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overflowPunct/>
              <w:adjustRightInd/>
              <w:spacing w:after="0"/>
              <w:ind w:right="108" w:hanging="11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жалақыдан міндетті әлеуметтік аударымдарды есептеу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749D80A4" w14:textId="77777777" w:rsidTr="005865E1">
              <w:tc>
                <w:tcPr>
                  <w:tcW w:w="564" w:type="dxa"/>
                </w:tcPr>
                <w:p w14:paraId="00F2982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5C3426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7220 01</w:t>
                  </w:r>
                </w:p>
              </w:tc>
              <w:tc>
                <w:tcPr>
                  <w:tcW w:w="2835" w:type="dxa"/>
                </w:tcPr>
                <w:p w14:paraId="5ED6E1B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салық, әлеуметтік аударымдар және жұмыс берушінің міндетті зейнетақы жарналары бойынша шығыс</w:t>
                  </w:r>
                </w:p>
              </w:tc>
            </w:tr>
            <w:tr w:rsidR="005865E1" w:rsidRPr="000C2D26" w14:paraId="60BCA2E5" w14:textId="77777777" w:rsidTr="005865E1">
              <w:tc>
                <w:tcPr>
                  <w:tcW w:w="564" w:type="dxa"/>
                </w:tcPr>
                <w:p w14:paraId="595D140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lastRenderedPageBreak/>
                    <w:t>Кт</w:t>
                  </w:r>
                </w:p>
              </w:tc>
              <w:tc>
                <w:tcPr>
                  <w:tcW w:w="851" w:type="dxa"/>
                </w:tcPr>
                <w:p w14:paraId="62D55117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3150</w:t>
                  </w:r>
                </w:p>
              </w:tc>
              <w:tc>
                <w:tcPr>
                  <w:tcW w:w="2835" w:type="dxa"/>
                </w:tcPr>
                <w:p w14:paraId="2C94BA52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 (Міндетті әлеуметтік аударымдар);</w:t>
                  </w:r>
                </w:p>
              </w:tc>
            </w:tr>
          </w:tbl>
          <w:p w14:paraId="3FC2137E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overflowPunct/>
              <w:adjustRightInd/>
              <w:spacing w:after="0"/>
              <w:ind w:right="108" w:hanging="11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жалақыдан әлеуметтік салықты есептеу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22030073" w14:textId="77777777" w:rsidTr="005865E1">
              <w:tc>
                <w:tcPr>
                  <w:tcW w:w="564" w:type="dxa"/>
                </w:tcPr>
                <w:p w14:paraId="13729C9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2EEF3D0E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7220 01</w:t>
                  </w:r>
                </w:p>
              </w:tc>
              <w:tc>
                <w:tcPr>
                  <w:tcW w:w="2835" w:type="dxa"/>
                </w:tcPr>
                <w:p w14:paraId="2B060BE4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салық, әлеуметтік аударымдар және жұмыс берушінің міндетті зейнетақы жарналары бойынша шығыс</w:t>
                  </w:r>
                </w:p>
              </w:tc>
            </w:tr>
            <w:tr w:rsidR="005865E1" w:rsidRPr="000C2D26" w14:paraId="511FED70" w14:textId="77777777" w:rsidTr="005865E1">
              <w:tc>
                <w:tcPr>
                  <w:tcW w:w="564" w:type="dxa"/>
                </w:tcPr>
                <w:p w14:paraId="6834EE5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51A8E3D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3150</w:t>
                  </w:r>
                </w:p>
              </w:tc>
              <w:tc>
                <w:tcPr>
                  <w:tcW w:w="2835" w:type="dxa"/>
                </w:tcPr>
                <w:p w14:paraId="57396D3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салық.</w:t>
                  </w:r>
                </w:p>
              </w:tc>
            </w:tr>
          </w:tbl>
          <w:p w14:paraId="50E4B156" w14:textId="6AF9FA73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172.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Нақты жалақы төленген кезде мынадай бухгалтерлік жазбалар жүзеге асырылады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09752E9B" w14:textId="77777777" w:rsidTr="005865E1">
              <w:tc>
                <w:tcPr>
                  <w:tcW w:w="564" w:type="dxa"/>
                </w:tcPr>
                <w:p w14:paraId="70740D4D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2F2F33BE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3350</w:t>
                  </w:r>
                </w:p>
              </w:tc>
              <w:tc>
                <w:tcPr>
                  <w:tcW w:w="2835" w:type="dxa"/>
                </w:tcPr>
                <w:p w14:paraId="40E0C1B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Еңбекке ақы төлеу бойынша қысқа мерзімді берешек</w:t>
                  </w:r>
                </w:p>
              </w:tc>
            </w:tr>
            <w:tr w:rsidR="005865E1" w:rsidRPr="000C2D26" w14:paraId="2E1F8A79" w14:textId="77777777" w:rsidTr="005865E1">
              <w:tc>
                <w:tcPr>
                  <w:tcW w:w="564" w:type="dxa"/>
                </w:tcPr>
                <w:p w14:paraId="6F899399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0BF043A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1010</w:t>
                  </w:r>
                </w:p>
              </w:tc>
              <w:tc>
                <w:tcPr>
                  <w:tcW w:w="2835" w:type="dxa"/>
                </w:tcPr>
                <w:p w14:paraId="1B5F327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Кассадағы ақша қаражаттары</w:t>
                  </w:r>
                </w:p>
              </w:tc>
            </w:tr>
            <w:tr w:rsidR="005865E1" w:rsidRPr="000C2D26" w14:paraId="4AD84264" w14:textId="77777777" w:rsidTr="005865E1">
              <w:tc>
                <w:tcPr>
                  <w:tcW w:w="564" w:type="dxa"/>
                </w:tcPr>
                <w:p w14:paraId="0B1000E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14:paraId="7FFE5EB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5C83E44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қаражаттары.</w:t>
                  </w:r>
                </w:p>
              </w:tc>
            </w:tr>
          </w:tbl>
          <w:p w14:paraId="6577D9AE" w14:textId="5F71DFD1" w:rsidR="005865E1" w:rsidRPr="005865E1" w:rsidRDefault="005865E1" w:rsidP="005865E1">
            <w:pPr>
              <w:pStyle w:val="pj"/>
              <w:tabs>
                <w:tab w:val="left" w:pos="993"/>
              </w:tabs>
              <w:spacing w:before="0" w:beforeAutospacing="0" w:after="0" w:afterAutospacing="0"/>
              <w:ind w:firstLine="709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173. </w:t>
            </w:r>
            <w:r w:rsidR="000F7661" w:rsidRPr="000F7661">
              <w:rPr>
                <w:color w:val="000000" w:themeColor="text1"/>
                <w:sz w:val="22"/>
                <w:szCs w:val="22"/>
                <w:lang w:val="kk-KZ"/>
              </w:rPr>
              <w:t>Осы нұсқаулықтың 171-тармағына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:</w:t>
            </w:r>
          </w:p>
          <w:p w14:paraId="41E6E2DE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3"/>
              </w:numPr>
              <w:tabs>
                <w:tab w:val="left" w:pos="1134"/>
              </w:tabs>
              <w:overflowPunct/>
              <w:adjustRightInd/>
              <w:spacing w:after="0"/>
              <w:ind w:right="108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жеке табыс салығын төлеу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1D1C71EF" w14:textId="77777777" w:rsidTr="005865E1">
              <w:tc>
                <w:tcPr>
                  <w:tcW w:w="564" w:type="dxa"/>
                </w:tcPr>
                <w:p w14:paraId="519A45C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2672AE3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3120</w:t>
                  </w:r>
                </w:p>
              </w:tc>
              <w:tc>
                <w:tcPr>
                  <w:tcW w:w="2835" w:type="dxa"/>
                </w:tcPr>
                <w:p w14:paraId="189166A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Жеке табыс салығы</w:t>
                  </w:r>
                </w:p>
              </w:tc>
            </w:tr>
            <w:tr w:rsidR="005865E1" w:rsidRPr="005865E1" w14:paraId="4C5BF20C" w14:textId="77777777" w:rsidTr="005865E1">
              <w:tc>
                <w:tcPr>
                  <w:tcW w:w="564" w:type="dxa"/>
                </w:tcPr>
                <w:p w14:paraId="674BA00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5B484F2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0011F7C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</w:t>
                  </w: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;</w:t>
                  </w:r>
                </w:p>
              </w:tc>
            </w:tr>
          </w:tbl>
          <w:p w14:paraId="7E61A540" w14:textId="77777777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3"/>
              </w:numPr>
              <w:tabs>
                <w:tab w:val="left" w:pos="1134"/>
              </w:tabs>
              <w:overflowPunct/>
              <w:adjustRightInd/>
              <w:spacing w:after="0"/>
              <w:ind w:right="108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әлеуметтік салықты төлеу сомасына: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03F379D3" w14:textId="77777777" w:rsidTr="005865E1">
              <w:tc>
                <w:tcPr>
                  <w:tcW w:w="564" w:type="dxa"/>
                </w:tcPr>
                <w:p w14:paraId="030D8F8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3A46CFB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3150</w:t>
                  </w:r>
                </w:p>
              </w:tc>
              <w:tc>
                <w:tcPr>
                  <w:tcW w:w="2835" w:type="dxa"/>
                </w:tcPr>
                <w:p w14:paraId="499C158C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</w:t>
                  </w:r>
                </w:p>
              </w:tc>
            </w:tr>
            <w:tr w:rsidR="005865E1" w:rsidRPr="005865E1" w14:paraId="12E0B022" w14:textId="77777777" w:rsidTr="005865E1">
              <w:tc>
                <w:tcPr>
                  <w:tcW w:w="564" w:type="dxa"/>
                </w:tcPr>
                <w:p w14:paraId="2E953E96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2E8EDD6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39D09B40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</w:t>
                  </w: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;</w:t>
                  </w:r>
                </w:p>
              </w:tc>
            </w:tr>
          </w:tbl>
          <w:p w14:paraId="50D1BF93" w14:textId="264E8C4C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3"/>
              </w:numPr>
              <w:tabs>
                <w:tab w:val="left" w:pos="1134"/>
              </w:tabs>
              <w:overflowPunct/>
              <w:adjustRightInd/>
              <w:spacing w:after="0"/>
              <w:ind w:left="0" w:right="108"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 xml:space="preserve">міндетті зейнетақы 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аударымдарын төлеу сомасына </w:t>
            </w:r>
            <w:r w:rsidR="000F7661">
              <w:rPr>
                <w:color w:val="000000" w:themeColor="text1"/>
                <w:sz w:val="22"/>
                <w:szCs w:val="22"/>
                <w:lang w:val="kk-KZ"/>
              </w:rPr>
              <w:t>(әрбір қызметкер бойынша бөлгенде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):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5865E1" w14:paraId="0E0B0361" w14:textId="77777777" w:rsidTr="005865E1">
              <w:tc>
                <w:tcPr>
                  <w:tcW w:w="564" w:type="dxa"/>
                </w:tcPr>
                <w:p w14:paraId="19AF3F39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731938D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3220</w:t>
                  </w:r>
                </w:p>
              </w:tc>
              <w:tc>
                <w:tcPr>
                  <w:tcW w:w="2835" w:type="dxa"/>
                </w:tcPr>
                <w:p w14:paraId="29A730E1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Зейнетақы аударымдары бойынша міндеттемелер</w:t>
                  </w:r>
                </w:p>
              </w:tc>
            </w:tr>
            <w:tr w:rsidR="005865E1" w:rsidRPr="005865E1" w14:paraId="00875563" w14:textId="77777777" w:rsidTr="005865E1">
              <w:tc>
                <w:tcPr>
                  <w:tcW w:w="564" w:type="dxa"/>
                </w:tcPr>
                <w:p w14:paraId="578D5955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64A8FB73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41C3685B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</w:t>
                  </w: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;</w:t>
                  </w:r>
                </w:p>
              </w:tc>
            </w:tr>
          </w:tbl>
          <w:p w14:paraId="62E360C6" w14:textId="7572A6A3" w:rsidR="005865E1" w:rsidRPr="005865E1" w:rsidRDefault="005865E1" w:rsidP="005865E1">
            <w:pPr>
              <w:pStyle w:val="afa"/>
              <w:widowControl w:val="0"/>
              <w:numPr>
                <w:ilvl w:val="0"/>
                <w:numId w:val="23"/>
              </w:numPr>
              <w:tabs>
                <w:tab w:val="left" w:pos="709"/>
              </w:tabs>
              <w:overflowPunct/>
              <w:adjustRightInd/>
              <w:spacing w:after="0"/>
              <w:ind w:left="0" w:right="108" w:firstLine="709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міндетті зейнетақы аударымдарын төлеу сомасына</w:t>
            </w:r>
            <w:r w:rsidR="000F7661">
              <w:rPr>
                <w:color w:val="000000" w:themeColor="text1"/>
                <w:sz w:val="22"/>
                <w:szCs w:val="22"/>
                <w:lang w:val="kk-KZ"/>
              </w:rPr>
              <w:t xml:space="preserve"> (әрбір қызметкер бойынша бөлгенде</w:t>
            </w:r>
            <w:r w:rsidRPr="005865E1">
              <w:rPr>
                <w:color w:val="000000" w:themeColor="text1"/>
                <w:sz w:val="22"/>
                <w:szCs w:val="22"/>
                <w:lang w:val="kk-KZ"/>
              </w:rPr>
              <w:t>):</w:t>
            </w:r>
          </w:p>
          <w:tbl>
            <w:tblPr>
              <w:tblStyle w:val="a3"/>
              <w:tblW w:w="4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851"/>
              <w:gridCol w:w="2835"/>
            </w:tblGrid>
            <w:tr w:rsidR="005865E1" w:rsidRPr="000C2D26" w14:paraId="0B7A6EA0" w14:textId="77777777" w:rsidTr="005865E1">
              <w:tc>
                <w:tcPr>
                  <w:tcW w:w="564" w:type="dxa"/>
                </w:tcPr>
                <w:p w14:paraId="48047368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Дт</w:t>
                  </w:r>
                </w:p>
              </w:tc>
              <w:tc>
                <w:tcPr>
                  <w:tcW w:w="851" w:type="dxa"/>
                </w:tcPr>
                <w:p w14:paraId="6DCC3C2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3150</w:t>
                  </w:r>
                </w:p>
              </w:tc>
              <w:tc>
                <w:tcPr>
                  <w:tcW w:w="2835" w:type="dxa"/>
                </w:tcPr>
                <w:p w14:paraId="4F2CF9DD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Әлеуметтік салық (Міндетті әлеуметтік аударымдар)</w:t>
                  </w:r>
                </w:p>
              </w:tc>
            </w:tr>
            <w:tr w:rsidR="005865E1" w:rsidRPr="005865E1" w14:paraId="79C2F912" w14:textId="77777777" w:rsidTr="005865E1">
              <w:tc>
                <w:tcPr>
                  <w:tcW w:w="564" w:type="dxa"/>
                </w:tcPr>
                <w:p w14:paraId="72F2B3B5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Кт</w:t>
                  </w:r>
                </w:p>
              </w:tc>
              <w:tc>
                <w:tcPr>
                  <w:tcW w:w="851" w:type="dxa"/>
                </w:tcPr>
                <w:p w14:paraId="63E520CF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1030</w:t>
                  </w:r>
                </w:p>
              </w:tc>
              <w:tc>
                <w:tcPr>
                  <w:tcW w:w="2835" w:type="dxa"/>
                </w:tcPr>
                <w:p w14:paraId="6828A15A" w14:textId="77777777" w:rsidR="005865E1" w:rsidRPr="005865E1" w:rsidRDefault="005865E1" w:rsidP="000C2D26">
                  <w:pPr>
                    <w:framePr w:hSpace="180" w:wrap="around" w:vAnchor="text" w:hAnchor="text" w:y="1"/>
                    <w:jc w:val="both"/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</w:pPr>
                  <w:r w:rsidRPr="005865E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Ағымдағы шоттардағы ақша қаражаттары</w:t>
                  </w:r>
                  <w:r w:rsidRPr="005865E1">
                    <w:rPr>
                      <w:rFonts w:ascii="Times New Roman" w:hAnsi="Times New Roman" w:cs="Times New Roman"/>
                      <w:iCs/>
                      <w:color w:val="000000" w:themeColor="text1"/>
                      <w:lang w:val="kk-KZ"/>
                    </w:rPr>
                    <w:t>.».</w:t>
                  </w:r>
                </w:p>
              </w:tc>
            </w:tr>
          </w:tbl>
          <w:p w14:paraId="7DAB7E5C" w14:textId="77777777" w:rsidR="002A6458" w:rsidRPr="005865E1" w:rsidRDefault="002A6458" w:rsidP="005865E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3941" w:type="dxa"/>
          </w:tcPr>
          <w:p w14:paraId="7E09A6E4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lastRenderedPageBreak/>
              <w:t xml:space="preserve">Қаржы ұйымдары болып табылатын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субъектілері («Қаржы нарығын және қаржы ұйымдарын мемлекеттік реттеу, бақылау және қадағалау туралы» ҚРЗ 1-бабының 6) тармақшасына сәйкес) Қазақстан Республикасының заңнамасына және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үшін халықаралық қаржылық есептілік стандарттарына сәйкес бухгалтерлік есепті жүргізуді және қаржылық есептілікті жасауды жүзеге асырады (тармақтар «Бухгалтерлік есеп және қаржылық есептілік туралы» ҚРЗ 2-бабының 3-1 және 3-2-баптары).</w:t>
            </w:r>
          </w:p>
          <w:p w14:paraId="535472BC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</w:p>
          <w:p w14:paraId="69C28484" w14:textId="77777777" w:rsidR="00DB73DD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ШОБ-қа арналған </w:t>
            </w:r>
            <w:r w:rsidRPr="005865E1">
              <w:rPr>
                <w:rFonts w:ascii="Times New Roman" w:hAnsi="Times New Roman" w:cs="Times New Roman"/>
                <w:lang w:val="kk-KZ"/>
              </w:rPr>
              <w:t>ХҚЕС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-ті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«Бухгалтерлік есеп және қаржылық есептілік туралы» ҚРЗ 1-бабының 13) 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lastRenderedPageBreak/>
              <w:t>тармақшасымен халықаралық қаржылық есептілік стандарттары жөніндегі кеңес бекітеді.</w:t>
            </w:r>
          </w:p>
          <w:p w14:paraId="371B7C68" w14:textId="67435809" w:rsidR="002A6458" w:rsidRPr="005865E1" w:rsidRDefault="00DB73DD" w:rsidP="00DB73DD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s1"/>
                <w:rFonts w:ascii="Times New Roman" w:hAnsi="Times New Roman" w:cs="Times New Roman"/>
                <w:lang w:val="kk-KZ"/>
              </w:rPr>
            </w:pP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Жоғарыда айтылғандардың негізінде жобамен шағын және орта 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бизнес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субъектілерінің бухгалтерлік есепті жүргізу тәрті</w:t>
            </w:r>
            <w:r>
              <w:rPr>
                <w:rStyle w:val="s1"/>
                <w:rFonts w:ascii="Times New Roman" w:hAnsi="Times New Roman" w:cs="Times New Roman"/>
                <w:lang w:val="kk-KZ"/>
              </w:rPr>
              <w:t>бін нақтылау мақсатында жалақы және басқа да ақшалай төлемдерді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есепке алуды көрсету бөлігінде </w:t>
            </w:r>
            <w:r>
              <w:rPr>
                <w:rFonts w:ascii="Times New Roman" w:hAnsi="Times New Roman" w:cs="Times New Roman"/>
                <w:lang w:val="kk-KZ"/>
              </w:rPr>
              <w:t xml:space="preserve">ШОБ-қа арналған </w:t>
            </w:r>
            <w:r w:rsidRPr="005865E1">
              <w:rPr>
                <w:rFonts w:ascii="Times New Roman" w:hAnsi="Times New Roman" w:cs="Times New Roman"/>
                <w:lang w:val="kk-KZ"/>
              </w:rPr>
              <w:t>ХҚЕС</w:t>
            </w:r>
            <w:r w:rsidRPr="005865E1">
              <w:rPr>
                <w:rStyle w:val="s1"/>
                <w:rFonts w:ascii="Times New Roman" w:hAnsi="Times New Roman" w:cs="Times New Roman"/>
                <w:lang w:val="kk-KZ"/>
              </w:rPr>
              <w:t xml:space="preserve"> -ке сәйкес толықтырулар енгізіледі</w:t>
            </w:r>
            <w:r w:rsidR="005865E1" w:rsidRPr="005865E1">
              <w:rPr>
                <w:rStyle w:val="s1"/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14:paraId="35A59684" w14:textId="77777777" w:rsidR="00554E3F" w:rsidRPr="005865E1" w:rsidRDefault="00554E3F">
      <w:pPr>
        <w:rPr>
          <w:rFonts w:ascii="Times New Roman" w:hAnsi="Times New Roman" w:cs="Times New Roman"/>
          <w:lang w:val="kk-KZ"/>
        </w:rPr>
      </w:pPr>
    </w:p>
    <w:sectPr w:rsidR="00554E3F" w:rsidRPr="005865E1" w:rsidSect="00554E3F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65FC" w14:textId="77777777" w:rsidR="007B1E4A" w:rsidRDefault="007B1E4A" w:rsidP="001C483D">
      <w:pPr>
        <w:spacing w:after="0" w:line="240" w:lineRule="auto"/>
      </w:pPr>
      <w:r>
        <w:separator/>
      </w:r>
    </w:p>
  </w:endnote>
  <w:endnote w:type="continuationSeparator" w:id="0">
    <w:p w14:paraId="44834B67" w14:textId="77777777" w:rsidR="007B1E4A" w:rsidRDefault="007B1E4A" w:rsidP="001C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7AAAB" w14:textId="77777777" w:rsidR="007B1E4A" w:rsidRDefault="007B1E4A" w:rsidP="001C483D">
      <w:pPr>
        <w:spacing w:after="0" w:line="240" w:lineRule="auto"/>
      </w:pPr>
      <w:r>
        <w:separator/>
      </w:r>
    </w:p>
  </w:footnote>
  <w:footnote w:type="continuationSeparator" w:id="0">
    <w:p w14:paraId="0943FEF3" w14:textId="77777777" w:rsidR="007B1E4A" w:rsidRDefault="007B1E4A" w:rsidP="001C4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BF3"/>
    <w:multiLevelType w:val="hybridMultilevel"/>
    <w:tmpl w:val="D84EC80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679E1"/>
    <w:multiLevelType w:val="hybridMultilevel"/>
    <w:tmpl w:val="43383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A5B"/>
    <w:multiLevelType w:val="hybridMultilevel"/>
    <w:tmpl w:val="76EA90A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3C0164"/>
    <w:multiLevelType w:val="hybridMultilevel"/>
    <w:tmpl w:val="3168ADC2"/>
    <w:lvl w:ilvl="0" w:tplc="AEA452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61052"/>
    <w:multiLevelType w:val="hybridMultilevel"/>
    <w:tmpl w:val="6F66F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257"/>
    <w:multiLevelType w:val="hybridMultilevel"/>
    <w:tmpl w:val="1B18A6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2F208E5"/>
    <w:multiLevelType w:val="hybridMultilevel"/>
    <w:tmpl w:val="884E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20EC"/>
    <w:multiLevelType w:val="hybridMultilevel"/>
    <w:tmpl w:val="B2A62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C17C9"/>
    <w:multiLevelType w:val="hybridMultilevel"/>
    <w:tmpl w:val="7A4ACD9C"/>
    <w:lvl w:ilvl="0" w:tplc="8D6CCBD8">
      <w:start w:val="158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728B"/>
    <w:multiLevelType w:val="hybridMultilevel"/>
    <w:tmpl w:val="76EA90A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40630E"/>
    <w:multiLevelType w:val="hybridMultilevel"/>
    <w:tmpl w:val="10A6F7C6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301259"/>
    <w:multiLevelType w:val="hybridMultilevel"/>
    <w:tmpl w:val="A8C06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7AF"/>
    <w:multiLevelType w:val="hybridMultilevel"/>
    <w:tmpl w:val="76EA90A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F30277"/>
    <w:multiLevelType w:val="hybridMultilevel"/>
    <w:tmpl w:val="76120FD8"/>
    <w:lvl w:ilvl="0" w:tplc="358C976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95D75"/>
    <w:multiLevelType w:val="hybridMultilevel"/>
    <w:tmpl w:val="61847244"/>
    <w:lvl w:ilvl="0" w:tplc="7CFAE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A41C2B"/>
    <w:multiLevelType w:val="hybridMultilevel"/>
    <w:tmpl w:val="BE28741C"/>
    <w:lvl w:ilvl="0" w:tplc="4E043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984267"/>
    <w:multiLevelType w:val="hybridMultilevel"/>
    <w:tmpl w:val="884E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E7E88"/>
    <w:multiLevelType w:val="hybridMultilevel"/>
    <w:tmpl w:val="D5FA7782"/>
    <w:lvl w:ilvl="0" w:tplc="3A845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0C53EE"/>
    <w:multiLevelType w:val="hybridMultilevel"/>
    <w:tmpl w:val="884E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1B2"/>
    <w:multiLevelType w:val="hybridMultilevel"/>
    <w:tmpl w:val="D60660F4"/>
    <w:lvl w:ilvl="0" w:tplc="8D6CCBD8">
      <w:start w:val="158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B2EB7"/>
    <w:multiLevelType w:val="hybridMultilevel"/>
    <w:tmpl w:val="BE648C0A"/>
    <w:lvl w:ilvl="0" w:tplc="1EA895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9DC7ADA"/>
    <w:multiLevelType w:val="hybridMultilevel"/>
    <w:tmpl w:val="C748B2C4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EA60B8"/>
    <w:multiLevelType w:val="hybridMultilevel"/>
    <w:tmpl w:val="7B4E014A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" w15:restartNumberingAfterBreak="0">
    <w:nsid w:val="6C40280E"/>
    <w:multiLevelType w:val="hybridMultilevel"/>
    <w:tmpl w:val="8432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F2698"/>
    <w:multiLevelType w:val="hybridMultilevel"/>
    <w:tmpl w:val="FEDCE322"/>
    <w:lvl w:ilvl="0" w:tplc="5D4461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9640B2"/>
    <w:multiLevelType w:val="hybridMultilevel"/>
    <w:tmpl w:val="7AAEF5B6"/>
    <w:lvl w:ilvl="0" w:tplc="D0E8FA2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742FB5"/>
    <w:multiLevelType w:val="hybridMultilevel"/>
    <w:tmpl w:val="F2240C8C"/>
    <w:lvl w:ilvl="0" w:tplc="4CA230F8">
      <w:start w:val="16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13"/>
  </w:num>
  <w:num w:numId="5">
    <w:abstractNumId w:val="14"/>
  </w:num>
  <w:num w:numId="6">
    <w:abstractNumId w:val="16"/>
  </w:num>
  <w:num w:numId="7">
    <w:abstractNumId w:val="6"/>
  </w:num>
  <w:num w:numId="8">
    <w:abstractNumId w:val="18"/>
  </w:num>
  <w:num w:numId="9">
    <w:abstractNumId w:val="10"/>
  </w:num>
  <w:num w:numId="10">
    <w:abstractNumId w:val="21"/>
  </w:num>
  <w:num w:numId="11">
    <w:abstractNumId w:val="0"/>
  </w:num>
  <w:num w:numId="12">
    <w:abstractNumId w:val="2"/>
  </w:num>
  <w:num w:numId="13">
    <w:abstractNumId w:val="12"/>
  </w:num>
  <w:num w:numId="14">
    <w:abstractNumId w:val="22"/>
  </w:num>
  <w:num w:numId="15">
    <w:abstractNumId w:val="8"/>
  </w:num>
  <w:num w:numId="16">
    <w:abstractNumId w:val="20"/>
  </w:num>
  <w:num w:numId="17">
    <w:abstractNumId w:val="3"/>
  </w:num>
  <w:num w:numId="18">
    <w:abstractNumId w:val="26"/>
  </w:num>
  <w:num w:numId="19">
    <w:abstractNumId w:val="4"/>
  </w:num>
  <w:num w:numId="20">
    <w:abstractNumId w:val="7"/>
  </w:num>
  <w:num w:numId="21">
    <w:abstractNumId w:val="1"/>
  </w:num>
  <w:num w:numId="22">
    <w:abstractNumId w:val="11"/>
  </w:num>
  <w:num w:numId="23">
    <w:abstractNumId w:val="17"/>
  </w:num>
  <w:num w:numId="24">
    <w:abstractNumId w:val="19"/>
  </w:num>
  <w:num w:numId="25">
    <w:abstractNumId w:val="15"/>
  </w:num>
  <w:num w:numId="26">
    <w:abstractNumId w:val="24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1E"/>
    <w:rsid w:val="000045FE"/>
    <w:rsid w:val="00005B22"/>
    <w:rsid w:val="00010B64"/>
    <w:rsid w:val="00014540"/>
    <w:rsid w:val="00016CD9"/>
    <w:rsid w:val="00025856"/>
    <w:rsid w:val="00026C9D"/>
    <w:rsid w:val="0003275A"/>
    <w:rsid w:val="00035FB4"/>
    <w:rsid w:val="000407DA"/>
    <w:rsid w:val="00042DCA"/>
    <w:rsid w:val="00045381"/>
    <w:rsid w:val="00045642"/>
    <w:rsid w:val="00046378"/>
    <w:rsid w:val="00046591"/>
    <w:rsid w:val="00046A73"/>
    <w:rsid w:val="000521DD"/>
    <w:rsid w:val="000524A7"/>
    <w:rsid w:val="00056336"/>
    <w:rsid w:val="00056D6F"/>
    <w:rsid w:val="0005726A"/>
    <w:rsid w:val="00057EC3"/>
    <w:rsid w:val="000612EA"/>
    <w:rsid w:val="0006646D"/>
    <w:rsid w:val="000672DC"/>
    <w:rsid w:val="00071A6F"/>
    <w:rsid w:val="00073A25"/>
    <w:rsid w:val="00082425"/>
    <w:rsid w:val="000858A0"/>
    <w:rsid w:val="00086895"/>
    <w:rsid w:val="000875A6"/>
    <w:rsid w:val="0009355A"/>
    <w:rsid w:val="0009474A"/>
    <w:rsid w:val="0009484D"/>
    <w:rsid w:val="00094AF2"/>
    <w:rsid w:val="00097313"/>
    <w:rsid w:val="000A527F"/>
    <w:rsid w:val="000C25C8"/>
    <w:rsid w:val="000C2D26"/>
    <w:rsid w:val="000C57C9"/>
    <w:rsid w:val="000C63E7"/>
    <w:rsid w:val="000C70F0"/>
    <w:rsid w:val="000C7CBC"/>
    <w:rsid w:val="000D2C4D"/>
    <w:rsid w:val="000D3D4F"/>
    <w:rsid w:val="000D58E0"/>
    <w:rsid w:val="000D69D4"/>
    <w:rsid w:val="000D7C9C"/>
    <w:rsid w:val="000E24D5"/>
    <w:rsid w:val="000E2C81"/>
    <w:rsid w:val="000E3F0B"/>
    <w:rsid w:val="000E49A2"/>
    <w:rsid w:val="000E4EA3"/>
    <w:rsid w:val="000E5FFB"/>
    <w:rsid w:val="000E7B6E"/>
    <w:rsid w:val="000E7E7E"/>
    <w:rsid w:val="000F2B80"/>
    <w:rsid w:val="000F7661"/>
    <w:rsid w:val="000F76CB"/>
    <w:rsid w:val="000F772A"/>
    <w:rsid w:val="00102660"/>
    <w:rsid w:val="00104F9A"/>
    <w:rsid w:val="00107013"/>
    <w:rsid w:val="00111652"/>
    <w:rsid w:val="00112B79"/>
    <w:rsid w:val="00112C28"/>
    <w:rsid w:val="00117161"/>
    <w:rsid w:val="001204D1"/>
    <w:rsid w:val="0012206D"/>
    <w:rsid w:val="001242A0"/>
    <w:rsid w:val="001242D7"/>
    <w:rsid w:val="00126083"/>
    <w:rsid w:val="0012622B"/>
    <w:rsid w:val="00126FD0"/>
    <w:rsid w:val="00134DFF"/>
    <w:rsid w:val="00147657"/>
    <w:rsid w:val="00147797"/>
    <w:rsid w:val="00157C64"/>
    <w:rsid w:val="00164119"/>
    <w:rsid w:val="00172DEE"/>
    <w:rsid w:val="00173327"/>
    <w:rsid w:val="0017397F"/>
    <w:rsid w:val="00173ECC"/>
    <w:rsid w:val="001772FA"/>
    <w:rsid w:val="001861F0"/>
    <w:rsid w:val="001862A6"/>
    <w:rsid w:val="0019280D"/>
    <w:rsid w:val="001978A1"/>
    <w:rsid w:val="00197C5B"/>
    <w:rsid w:val="001A1806"/>
    <w:rsid w:val="001A521E"/>
    <w:rsid w:val="001A7C73"/>
    <w:rsid w:val="001B40BA"/>
    <w:rsid w:val="001B491F"/>
    <w:rsid w:val="001B5E30"/>
    <w:rsid w:val="001C0ADF"/>
    <w:rsid w:val="001C0F58"/>
    <w:rsid w:val="001C1E50"/>
    <w:rsid w:val="001C483D"/>
    <w:rsid w:val="001D06DA"/>
    <w:rsid w:val="001D0AB2"/>
    <w:rsid w:val="001D1BA1"/>
    <w:rsid w:val="001D7569"/>
    <w:rsid w:val="001D77E6"/>
    <w:rsid w:val="001E2131"/>
    <w:rsid w:val="001E24AE"/>
    <w:rsid w:val="001E3388"/>
    <w:rsid w:val="001E7741"/>
    <w:rsid w:val="001F0000"/>
    <w:rsid w:val="001F04ED"/>
    <w:rsid w:val="001F05E5"/>
    <w:rsid w:val="001F2E7E"/>
    <w:rsid w:val="001F52DC"/>
    <w:rsid w:val="001F5AB3"/>
    <w:rsid w:val="001F7E9A"/>
    <w:rsid w:val="00200217"/>
    <w:rsid w:val="00201772"/>
    <w:rsid w:val="00206E0C"/>
    <w:rsid w:val="00207C47"/>
    <w:rsid w:val="002109E2"/>
    <w:rsid w:val="00214890"/>
    <w:rsid w:val="002158D5"/>
    <w:rsid w:val="002158D8"/>
    <w:rsid w:val="00216D2E"/>
    <w:rsid w:val="00217A2A"/>
    <w:rsid w:val="0022197F"/>
    <w:rsid w:val="002236B2"/>
    <w:rsid w:val="00226F4E"/>
    <w:rsid w:val="002318B5"/>
    <w:rsid w:val="0023225E"/>
    <w:rsid w:val="00233E2E"/>
    <w:rsid w:val="00235619"/>
    <w:rsid w:val="002407B6"/>
    <w:rsid w:val="00243B43"/>
    <w:rsid w:val="00260818"/>
    <w:rsid w:val="00260902"/>
    <w:rsid w:val="0026316F"/>
    <w:rsid w:val="002654FF"/>
    <w:rsid w:val="00267AF3"/>
    <w:rsid w:val="00273B01"/>
    <w:rsid w:val="002A08C2"/>
    <w:rsid w:val="002A540A"/>
    <w:rsid w:val="002A6458"/>
    <w:rsid w:val="002A6E17"/>
    <w:rsid w:val="002A781E"/>
    <w:rsid w:val="002B0AD6"/>
    <w:rsid w:val="002B0DEA"/>
    <w:rsid w:val="002B170D"/>
    <w:rsid w:val="002B4EB8"/>
    <w:rsid w:val="002C0398"/>
    <w:rsid w:val="002C3AD7"/>
    <w:rsid w:val="002C66A4"/>
    <w:rsid w:val="002D193B"/>
    <w:rsid w:val="002D4AB9"/>
    <w:rsid w:val="002D6DA4"/>
    <w:rsid w:val="002E49EB"/>
    <w:rsid w:val="002E4E45"/>
    <w:rsid w:val="002E64D3"/>
    <w:rsid w:val="002E7042"/>
    <w:rsid w:val="002F10FC"/>
    <w:rsid w:val="002F26AE"/>
    <w:rsid w:val="002F40D6"/>
    <w:rsid w:val="002F44A1"/>
    <w:rsid w:val="002F5039"/>
    <w:rsid w:val="002F79A7"/>
    <w:rsid w:val="003013C8"/>
    <w:rsid w:val="00301FB8"/>
    <w:rsid w:val="003058A5"/>
    <w:rsid w:val="0031147B"/>
    <w:rsid w:val="00313226"/>
    <w:rsid w:val="00317A65"/>
    <w:rsid w:val="00321628"/>
    <w:rsid w:val="00326BC6"/>
    <w:rsid w:val="00330365"/>
    <w:rsid w:val="00333ED0"/>
    <w:rsid w:val="00334089"/>
    <w:rsid w:val="0033533A"/>
    <w:rsid w:val="00341ED6"/>
    <w:rsid w:val="003422B7"/>
    <w:rsid w:val="00342B79"/>
    <w:rsid w:val="00342E4F"/>
    <w:rsid w:val="00343FD5"/>
    <w:rsid w:val="00344B32"/>
    <w:rsid w:val="00346722"/>
    <w:rsid w:val="00347148"/>
    <w:rsid w:val="00347E0D"/>
    <w:rsid w:val="00347E38"/>
    <w:rsid w:val="00351EAC"/>
    <w:rsid w:val="0035761B"/>
    <w:rsid w:val="003613FC"/>
    <w:rsid w:val="003616B0"/>
    <w:rsid w:val="003617F6"/>
    <w:rsid w:val="00364852"/>
    <w:rsid w:val="00365E22"/>
    <w:rsid w:val="003675B8"/>
    <w:rsid w:val="00367DA1"/>
    <w:rsid w:val="00367EE9"/>
    <w:rsid w:val="00371A71"/>
    <w:rsid w:val="00375ECD"/>
    <w:rsid w:val="003768A5"/>
    <w:rsid w:val="00377317"/>
    <w:rsid w:val="00380EA2"/>
    <w:rsid w:val="00386927"/>
    <w:rsid w:val="003927E1"/>
    <w:rsid w:val="00396D8C"/>
    <w:rsid w:val="0039743E"/>
    <w:rsid w:val="003A09D0"/>
    <w:rsid w:val="003A11D7"/>
    <w:rsid w:val="003A2C5F"/>
    <w:rsid w:val="003A3489"/>
    <w:rsid w:val="003A430A"/>
    <w:rsid w:val="003C2400"/>
    <w:rsid w:val="003C33F3"/>
    <w:rsid w:val="003C39F2"/>
    <w:rsid w:val="003C3FAC"/>
    <w:rsid w:val="003C469B"/>
    <w:rsid w:val="003C5994"/>
    <w:rsid w:val="003D2F2E"/>
    <w:rsid w:val="003D3E6E"/>
    <w:rsid w:val="003D6384"/>
    <w:rsid w:val="003D64A2"/>
    <w:rsid w:val="003D7194"/>
    <w:rsid w:val="003E0160"/>
    <w:rsid w:val="003E1DC3"/>
    <w:rsid w:val="003E3F6A"/>
    <w:rsid w:val="003E66AE"/>
    <w:rsid w:val="003E72C6"/>
    <w:rsid w:val="003F1AD9"/>
    <w:rsid w:val="003F40C8"/>
    <w:rsid w:val="003F71AF"/>
    <w:rsid w:val="003F75B4"/>
    <w:rsid w:val="003F782C"/>
    <w:rsid w:val="00401C61"/>
    <w:rsid w:val="0040308F"/>
    <w:rsid w:val="0040404C"/>
    <w:rsid w:val="004054F1"/>
    <w:rsid w:val="00405851"/>
    <w:rsid w:val="00407625"/>
    <w:rsid w:val="00407E54"/>
    <w:rsid w:val="00410852"/>
    <w:rsid w:val="0041530C"/>
    <w:rsid w:val="004161F1"/>
    <w:rsid w:val="0042025B"/>
    <w:rsid w:val="00420C10"/>
    <w:rsid w:val="00425782"/>
    <w:rsid w:val="0042669D"/>
    <w:rsid w:val="004272D9"/>
    <w:rsid w:val="00432EBB"/>
    <w:rsid w:val="00433FF4"/>
    <w:rsid w:val="00434662"/>
    <w:rsid w:val="00434720"/>
    <w:rsid w:val="00434842"/>
    <w:rsid w:val="004372E2"/>
    <w:rsid w:val="00437C3E"/>
    <w:rsid w:val="004424C5"/>
    <w:rsid w:val="004441A4"/>
    <w:rsid w:val="00444D4E"/>
    <w:rsid w:val="004460D9"/>
    <w:rsid w:val="00447300"/>
    <w:rsid w:val="0045040A"/>
    <w:rsid w:val="00450874"/>
    <w:rsid w:val="004557E4"/>
    <w:rsid w:val="0045598E"/>
    <w:rsid w:val="00455FFE"/>
    <w:rsid w:val="00456727"/>
    <w:rsid w:val="0045693A"/>
    <w:rsid w:val="00457894"/>
    <w:rsid w:val="00465A09"/>
    <w:rsid w:val="00465ED4"/>
    <w:rsid w:val="004668F9"/>
    <w:rsid w:val="004676EF"/>
    <w:rsid w:val="00467808"/>
    <w:rsid w:val="00475D69"/>
    <w:rsid w:val="00477A76"/>
    <w:rsid w:val="00477E17"/>
    <w:rsid w:val="004866C8"/>
    <w:rsid w:val="00486BAA"/>
    <w:rsid w:val="00491982"/>
    <w:rsid w:val="004963B5"/>
    <w:rsid w:val="004A1C48"/>
    <w:rsid w:val="004A317C"/>
    <w:rsid w:val="004A3EA5"/>
    <w:rsid w:val="004A66A3"/>
    <w:rsid w:val="004A6958"/>
    <w:rsid w:val="004B256B"/>
    <w:rsid w:val="004B2CE3"/>
    <w:rsid w:val="004B5BD6"/>
    <w:rsid w:val="004B7069"/>
    <w:rsid w:val="004C1E9C"/>
    <w:rsid w:val="004C253F"/>
    <w:rsid w:val="004C504B"/>
    <w:rsid w:val="004D16A6"/>
    <w:rsid w:val="004D39F6"/>
    <w:rsid w:val="004D57AB"/>
    <w:rsid w:val="004E30EA"/>
    <w:rsid w:val="004E5670"/>
    <w:rsid w:val="004E6B97"/>
    <w:rsid w:val="004F0237"/>
    <w:rsid w:val="004F4000"/>
    <w:rsid w:val="004F54F1"/>
    <w:rsid w:val="004F772F"/>
    <w:rsid w:val="00500AFA"/>
    <w:rsid w:val="0050224C"/>
    <w:rsid w:val="005035DE"/>
    <w:rsid w:val="00503E98"/>
    <w:rsid w:val="0051149D"/>
    <w:rsid w:val="00511766"/>
    <w:rsid w:val="0051187D"/>
    <w:rsid w:val="0051200B"/>
    <w:rsid w:val="00515066"/>
    <w:rsid w:val="00522CD4"/>
    <w:rsid w:val="00524A30"/>
    <w:rsid w:val="00524C6A"/>
    <w:rsid w:val="00524E21"/>
    <w:rsid w:val="005253C0"/>
    <w:rsid w:val="005256DC"/>
    <w:rsid w:val="00525A17"/>
    <w:rsid w:val="00533692"/>
    <w:rsid w:val="005342BF"/>
    <w:rsid w:val="00535E76"/>
    <w:rsid w:val="00537327"/>
    <w:rsid w:val="005374BA"/>
    <w:rsid w:val="00544E94"/>
    <w:rsid w:val="00545128"/>
    <w:rsid w:val="00546295"/>
    <w:rsid w:val="0054639A"/>
    <w:rsid w:val="005471DD"/>
    <w:rsid w:val="00553399"/>
    <w:rsid w:val="005544C0"/>
    <w:rsid w:val="00554E3F"/>
    <w:rsid w:val="005554FE"/>
    <w:rsid w:val="00556A15"/>
    <w:rsid w:val="00560215"/>
    <w:rsid w:val="00560FE4"/>
    <w:rsid w:val="00562A56"/>
    <w:rsid w:val="005664A5"/>
    <w:rsid w:val="00567569"/>
    <w:rsid w:val="00567EB9"/>
    <w:rsid w:val="005702BE"/>
    <w:rsid w:val="00573FAA"/>
    <w:rsid w:val="00577D0B"/>
    <w:rsid w:val="00580327"/>
    <w:rsid w:val="00582094"/>
    <w:rsid w:val="00582144"/>
    <w:rsid w:val="00582A91"/>
    <w:rsid w:val="005853B1"/>
    <w:rsid w:val="005865E1"/>
    <w:rsid w:val="00587E3F"/>
    <w:rsid w:val="00594162"/>
    <w:rsid w:val="005949D0"/>
    <w:rsid w:val="00597C04"/>
    <w:rsid w:val="005A08A5"/>
    <w:rsid w:val="005A0CCA"/>
    <w:rsid w:val="005A0FAC"/>
    <w:rsid w:val="005A3DAC"/>
    <w:rsid w:val="005A4FF4"/>
    <w:rsid w:val="005A5521"/>
    <w:rsid w:val="005A5E3D"/>
    <w:rsid w:val="005A78F2"/>
    <w:rsid w:val="005A7F6F"/>
    <w:rsid w:val="005B0771"/>
    <w:rsid w:val="005B29C4"/>
    <w:rsid w:val="005B7640"/>
    <w:rsid w:val="005C2344"/>
    <w:rsid w:val="005C4A6B"/>
    <w:rsid w:val="005C6202"/>
    <w:rsid w:val="005D0A8C"/>
    <w:rsid w:val="005D2F7A"/>
    <w:rsid w:val="005D3880"/>
    <w:rsid w:val="005D7725"/>
    <w:rsid w:val="005D7861"/>
    <w:rsid w:val="005F161C"/>
    <w:rsid w:val="005F379D"/>
    <w:rsid w:val="006014C6"/>
    <w:rsid w:val="00601A57"/>
    <w:rsid w:val="006025D6"/>
    <w:rsid w:val="00602F8C"/>
    <w:rsid w:val="006056BA"/>
    <w:rsid w:val="00605F75"/>
    <w:rsid w:val="0060763D"/>
    <w:rsid w:val="00610BD6"/>
    <w:rsid w:val="00614831"/>
    <w:rsid w:val="00615EB2"/>
    <w:rsid w:val="006249AE"/>
    <w:rsid w:val="0062529B"/>
    <w:rsid w:val="00632F03"/>
    <w:rsid w:val="00633FB1"/>
    <w:rsid w:val="00636281"/>
    <w:rsid w:val="00637A35"/>
    <w:rsid w:val="00644C4C"/>
    <w:rsid w:val="00646206"/>
    <w:rsid w:val="006467EF"/>
    <w:rsid w:val="00647EB1"/>
    <w:rsid w:val="00653362"/>
    <w:rsid w:val="006554D2"/>
    <w:rsid w:val="00664948"/>
    <w:rsid w:val="00664AB6"/>
    <w:rsid w:val="00672B63"/>
    <w:rsid w:val="00673A8E"/>
    <w:rsid w:val="006773F0"/>
    <w:rsid w:val="00685E31"/>
    <w:rsid w:val="0069108F"/>
    <w:rsid w:val="00693D2D"/>
    <w:rsid w:val="00693EAC"/>
    <w:rsid w:val="00696EC2"/>
    <w:rsid w:val="006A0A9E"/>
    <w:rsid w:val="006A56C2"/>
    <w:rsid w:val="006A6B10"/>
    <w:rsid w:val="006A6EE9"/>
    <w:rsid w:val="006A790F"/>
    <w:rsid w:val="006B4C68"/>
    <w:rsid w:val="006B6FC8"/>
    <w:rsid w:val="006B7CA6"/>
    <w:rsid w:val="006C1C4B"/>
    <w:rsid w:val="006C49D9"/>
    <w:rsid w:val="006C5AD9"/>
    <w:rsid w:val="006E0E82"/>
    <w:rsid w:val="006E5CC0"/>
    <w:rsid w:val="006E6319"/>
    <w:rsid w:val="006F0BA7"/>
    <w:rsid w:val="006F3A1B"/>
    <w:rsid w:val="006F601A"/>
    <w:rsid w:val="006F6854"/>
    <w:rsid w:val="006F72B5"/>
    <w:rsid w:val="006F7504"/>
    <w:rsid w:val="00701C57"/>
    <w:rsid w:val="00705630"/>
    <w:rsid w:val="0071436E"/>
    <w:rsid w:val="007204CA"/>
    <w:rsid w:val="00721211"/>
    <w:rsid w:val="00721735"/>
    <w:rsid w:val="00723139"/>
    <w:rsid w:val="00724957"/>
    <w:rsid w:val="00726B25"/>
    <w:rsid w:val="00731AA1"/>
    <w:rsid w:val="00731B70"/>
    <w:rsid w:val="00733F34"/>
    <w:rsid w:val="00734022"/>
    <w:rsid w:val="00740C22"/>
    <w:rsid w:val="00741060"/>
    <w:rsid w:val="00742AA1"/>
    <w:rsid w:val="00743667"/>
    <w:rsid w:val="00745DAB"/>
    <w:rsid w:val="00751A8E"/>
    <w:rsid w:val="0075731A"/>
    <w:rsid w:val="00757D5E"/>
    <w:rsid w:val="00762878"/>
    <w:rsid w:val="0076359C"/>
    <w:rsid w:val="00763CE4"/>
    <w:rsid w:val="0076644C"/>
    <w:rsid w:val="00766799"/>
    <w:rsid w:val="007700CD"/>
    <w:rsid w:val="007717A9"/>
    <w:rsid w:val="007759DB"/>
    <w:rsid w:val="0077643E"/>
    <w:rsid w:val="00777E1C"/>
    <w:rsid w:val="00783E41"/>
    <w:rsid w:val="00783F31"/>
    <w:rsid w:val="0078653A"/>
    <w:rsid w:val="00786D15"/>
    <w:rsid w:val="00791E3E"/>
    <w:rsid w:val="00792872"/>
    <w:rsid w:val="007A07BA"/>
    <w:rsid w:val="007A08B9"/>
    <w:rsid w:val="007A0CE5"/>
    <w:rsid w:val="007A3DEB"/>
    <w:rsid w:val="007A4200"/>
    <w:rsid w:val="007A7827"/>
    <w:rsid w:val="007B0D16"/>
    <w:rsid w:val="007B1E4A"/>
    <w:rsid w:val="007C0559"/>
    <w:rsid w:val="007C3956"/>
    <w:rsid w:val="007C512C"/>
    <w:rsid w:val="007C5576"/>
    <w:rsid w:val="007C585D"/>
    <w:rsid w:val="007C7D0F"/>
    <w:rsid w:val="007D09CB"/>
    <w:rsid w:val="007D7C99"/>
    <w:rsid w:val="007E0D79"/>
    <w:rsid w:val="007E2C90"/>
    <w:rsid w:val="007E4A26"/>
    <w:rsid w:val="007F1F76"/>
    <w:rsid w:val="007F3CC2"/>
    <w:rsid w:val="007F4396"/>
    <w:rsid w:val="007F4AA5"/>
    <w:rsid w:val="00803D33"/>
    <w:rsid w:val="008139E3"/>
    <w:rsid w:val="00816A5F"/>
    <w:rsid w:val="008173DC"/>
    <w:rsid w:val="00821F8F"/>
    <w:rsid w:val="00821FC5"/>
    <w:rsid w:val="00822B72"/>
    <w:rsid w:val="008242F9"/>
    <w:rsid w:val="00827A44"/>
    <w:rsid w:val="008314A1"/>
    <w:rsid w:val="00832342"/>
    <w:rsid w:val="00833699"/>
    <w:rsid w:val="008357B4"/>
    <w:rsid w:val="00835FB0"/>
    <w:rsid w:val="00836885"/>
    <w:rsid w:val="008415CE"/>
    <w:rsid w:val="008437A6"/>
    <w:rsid w:val="0084723D"/>
    <w:rsid w:val="00847D04"/>
    <w:rsid w:val="00850400"/>
    <w:rsid w:val="008507FC"/>
    <w:rsid w:val="00850E3E"/>
    <w:rsid w:val="00853FCD"/>
    <w:rsid w:val="00861224"/>
    <w:rsid w:val="0086230A"/>
    <w:rsid w:val="0086286C"/>
    <w:rsid w:val="00871410"/>
    <w:rsid w:val="00872399"/>
    <w:rsid w:val="0087293B"/>
    <w:rsid w:val="00875648"/>
    <w:rsid w:val="00876571"/>
    <w:rsid w:val="0087746B"/>
    <w:rsid w:val="008824BE"/>
    <w:rsid w:val="0088446F"/>
    <w:rsid w:val="00887A58"/>
    <w:rsid w:val="008910C0"/>
    <w:rsid w:val="00891831"/>
    <w:rsid w:val="008925B7"/>
    <w:rsid w:val="008968F3"/>
    <w:rsid w:val="008A0FB6"/>
    <w:rsid w:val="008A331A"/>
    <w:rsid w:val="008A3C48"/>
    <w:rsid w:val="008A57F7"/>
    <w:rsid w:val="008B013D"/>
    <w:rsid w:val="008B14C1"/>
    <w:rsid w:val="008B273E"/>
    <w:rsid w:val="008B427C"/>
    <w:rsid w:val="008B5BB8"/>
    <w:rsid w:val="008C0874"/>
    <w:rsid w:val="008C0AD6"/>
    <w:rsid w:val="008C3F57"/>
    <w:rsid w:val="008C4C77"/>
    <w:rsid w:val="008C587E"/>
    <w:rsid w:val="008C7C39"/>
    <w:rsid w:val="008D4FF0"/>
    <w:rsid w:val="008E3553"/>
    <w:rsid w:val="008E36C5"/>
    <w:rsid w:val="008E49C8"/>
    <w:rsid w:val="008E588B"/>
    <w:rsid w:val="008E6347"/>
    <w:rsid w:val="008E66AB"/>
    <w:rsid w:val="008F12F1"/>
    <w:rsid w:val="008F2DE4"/>
    <w:rsid w:val="009047A4"/>
    <w:rsid w:val="00910B0B"/>
    <w:rsid w:val="009130BA"/>
    <w:rsid w:val="00913324"/>
    <w:rsid w:val="00914B34"/>
    <w:rsid w:val="00914EDC"/>
    <w:rsid w:val="00920DF0"/>
    <w:rsid w:val="00926941"/>
    <w:rsid w:val="00927ADE"/>
    <w:rsid w:val="0093236A"/>
    <w:rsid w:val="00932D45"/>
    <w:rsid w:val="00935830"/>
    <w:rsid w:val="009403D6"/>
    <w:rsid w:val="00941732"/>
    <w:rsid w:val="00942EC3"/>
    <w:rsid w:val="00943F96"/>
    <w:rsid w:val="009463B7"/>
    <w:rsid w:val="00950A71"/>
    <w:rsid w:val="009614FC"/>
    <w:rsid w:val="00962006"/>
    <w:rsid w:val="009622FD"/>
    <w:rsid w:val="00970169"/>
    <w:rsid w:val="00975351"/>
    <w:rsid w:val="00975628"/>
    <w:rsid w:val="0098509D"/>
    <w:rsid w:val="0098583E"/>
    <w:rsid w:val="00986A0B"/>
    <w:rsid w:val="00986B31"/>
    <w:rsid w:val="0099182B"/>
    <w:rsid w:val="009967BB"/>
    <w:rsid w:val="00997B44"/>
    <w:rsid w:val="009A05D9"/>
    <w:rsid w:val="009A515B"/>
    <w:rsid w:val="009A60B1"/>
    <w:rsid w:val="009A63A5"/>
    <w:rsid w:val="009A75BD"/>
    <w:rsid w:val="009B09D9"/>
    <w:rsid w:val="009B25F2"/>
    <w:rsid w:val="009C65AE"/>
    <w:rsid w:val="009C6F14"/>
    <w:rsid w:val="009C7CD7"/>
    <w:rsid w:val="009D220F"/>
    <w:rsid w:val="009D34DB"/>
    <w:rsid w:val="009D352A"/>
    <w:rsid w:val="009D49FC"/>
    <w:rsid w:val="009D50EA"/>
    <w:rsid w:val="009D644A"/>
    <w:rsid w:val="009D6815"/>
    <w:rsid w:val="009D6E69"/>
    <w:rsid w:val="009E2E61"/>
    <w:rsid w:val="009E3FAD"/>
    <w:rsid w:val="009E47C5"/>
    <w:rsid w:val="009F214E"/>
    <w:rsid w:val="009F47BF"/>
    <w:rsid w:val="009F537F"/>
    <w:rsid w:val="009F67AF"/>
    <w:rsid w:val="00A01504"/>
    <w:rsid w:val="00A0289A"/>
    <w:rsid w:val="00A04E5D"/>
    <w:rsid w:val="00A0516A"/>
    <w:rsid w:val="00A05F36"/>
    <w:rsid w:val="00A063F6"/>
    <w:rsid w:val="00A072E9"/>
    <w:rsid w:val="00A0735C"/>
    <w:rsid w:val="00A1159A"/>
    <w:rsid w:val="00A11D2B"/>
    <w:rsid w:val="00A135C4"/>
    <w:rsid w:val="00A20534"/>
    <w:rsid w:val="00A23E9D"/>
    <w:rsid w:val="00A2480D"/>
    <w:rsid w:val="00A26493"/>
    <w:rsid w:val="00A266BB"/>
    <w:rsid w:val="00A32389"/>
    <w:rsid w:val="00A37325"/>
    <w:rsid w:val="00A3732B"/>
    <w:rsid w:val="00A44610"/>
    <w:rsid w:val="00A446CD"/>
    <w:rsid w:val="00A45EA3"/>
    <w:rsid w:val="00A464F5"/>
    <w:rsid w:val="00A465DA"/>
    <w:rsid w:val="00A47A77"/>
    <w:rsid w:val="00A504BB"/>
    <w:rsid w:val="00A5077A"/>
    <w:rsid w:val="00A5184B"/>
    <w:rsid w:val="00A519ED"/>
    <w:rsid w:val="00A52CE4"/>
    <w:rsid w:val="00A5419A"/>
    <w:rsid w:val="00A54B4C"/>
    <w:rsid w:val="00A55395"/>
    <w:rsid w:val="00A56732"/>
    <w:rsid w:val="00A60E47"/>
    <w:rsid w:val="00A61C36"/>
    <w:rsid w:val="00A625E1"/>
    <w:rsid w:val="00A62979"/>
    <w:rsid w:val="00A63183"/>
    <w:rsid w:val="00A64BEC"/>
    <w:rsid w:val="00A67C8C"/>
    <w:rsid w:val="00A72449"/>
    <w:rsid w:val="00A74A4A"/>
    <w:rsid w:val="00A74BC3"/>
    <w:rsid w:val="00A75EBD"/>
    <w:rsid w:val="00A77B09"/>
    <w:rsid w:val="00A8309B"/>
    <w:rsid w:val="00A85F9A"/>
    <w:rsid w:val="00A87105"/>
    <w:rsid w:val="00A90172"/>
    <w:rsid w:val="00A90AED"/>
    <w:rsid w:val="00A92D48"/>
    <w:rsid w:val="00AA0ED1"/>
    <w:rsid w:val="00AA117B"/>
    <w:rsid w:val="00AA3911"/>
    <w:rsid w:val="00AA5B61"/>
    <w:rsid w:val="00AA79F5"/>
    <w:rsid w:val="00AB378F"/>
    <w:rsid w:val="00AB38F9"/>
    <w:rsid w:val="00AB54CF"/>
    <w:rsid w:val="00AB5959"/>
    <w:rsid w:val="00AC1E69"/>
    <w:rsid w:val="00AC49F4"/>
    <w:rsid w:val="00AD256E"/>
    <w:rsid w:val="00AD7B00"/>
    <w:rsid w:val="00AE0BC6"/>
    <w:rsid w:val="00AE1DDB"/>
    <w:rsid w:val="00AE1E8A"/>
    <w:rsid w:val="00AE2DE2"/>
    <w:rsid w:val="00AE496B"/>
    <w:rsid w:val="00AE7B05"/>
    <w:rsid w:val="00AF1E37"/>
    <w:rsid w:val="00AF39EC"/>
    <w:rsid w:val="00B03258"/>
    <w:rsid w:val="00B03BFF"/>
    <w:rsid w:val="00B06A59"/>
    <w:rsid w:val="00B11CA2"/>
    <w:rsid w:val="00B12EDA"/>
    <w:rsid w:val="00B1315C"/>
    <w:rsid w:val="00B13986"/>
    <w:rsid w:val="00B16005"/>
    <w:rsid w:val="00B167BC"/>
    <w:rsid w:val="00B174E8"/>
    <w:rsid w:val="00B1751A"/>
    <w:rsid w:val="00B2027D"/>
    <w:rsid w:val="00B2181E"/>
    <w:rsid w:val="00B21DCD"/>
    <w:rsid w:val="00B2351F"/>
    <w:rsid w:val="00B23586"/>
    <w:rsid w:val="00B24C1B"/>
    <w:rsid w:val="00B278D0"/>
    <w:rsid w:val="00B305B3"/>
    <w:rsid w:val="00B30B87"/>
    <w:rsid w:val="00B31B10"/>
    <w:rsid w:val="00B343E6"/>
    <w:rsid w:val="00B34C37"/>
    <w:rsid w:val="00B42B8F"/>
    <w:rsid w:val="00B43831"/>
    <w:rsid w:val="00B43CF3"/>
    <w:rsid w:val="00B47B1B"/>
    <w:rsid w:val="00B50BC0"/>
    <w:rsid w:val="00B52395"/>
    <w:rsid w:val="00B53F50"/>
    <w:rsid w:val="00B55360"/>
    <w:rsid w:val="00B60289"/>
    <w:rsid w:val="00B60AC7"/>
    <w:rsid w:val="00B61509"/>
    <w:rsid w:val="00B63756"/>
    <w:rsid w:val="00B63DD5"/>
    <w:rsid w:val="00B65460"/>
    <w:rsid w:val="00B710B8"/>
    <w:rsid w:val="00B7156E"/>
    <w:rsid w:val="00B7188C"/>
    <w:rsid w:val="00B71F2E"/>
    <w:rsid w:val="00B752DE"/>
    <w:rsid w:val="00B83406"/>
    <w:rsid w:val="00B83D23"/>
    <w:rsid w:val="00B86127"/>
    <w:rsid w:val="00B90AB6"/>
    <w:rsid w:val="00B91493"/>
    <w:rsid w:val="00B934BD"/>
    <w:rsid w:val="00B97D53"/>
    <w:rsid w:val="00B97F4C"/>
    <w:rsid w:val="00BA3AB3"/>
    <w:rsid w:val="00BA680B"/>
    <w:rsid w:val="00BB4624"/>
    <w:rsid w:val="00BC0421"/>
    <w:rsid w:val="00BC088D"/>
    <w:rsid w:val="00BC1D0F"/>
    <w:rsid w:val="00BC45D0"/>
    <w:rsid w:val="00BD25F2"/>
    <w:rsid w:val="00BD5A6D"/>
    <w:rsid w:val="00BE2642"/>
    <w:rsid w:val="00BF000B"/>
    <w:rsid w:val="00BF1DC3"/>
    <w:rsid w:val="00BF2972"/>
    <w:rsid w:val="00BF3AA1"/>
    <w:rsid w:val="00BF5E61"/>
    <w:rsid w:val="00BF67E3"/>
    <w:rsid w:val="00BF70DF"/>
    <w:rsid w:val="00C13E98"/>
    <w:rsid w:val="00C15EDD"/>
    <w:rsid w:val="00C246BB"/>
    <w:rsid w:val="00C31F6A"/>
    <w:rsid w:val="00C320B0"/>
    <w:rsid w:val="00C3787E"/>
    <w:rsid w:val="00C43D84"/>
    <w:rsid w:val="00C50695"/>
    <w:rsid w:val="00C50B55"/>
    <w:rsid w:val="00C5256F"/>
    <w:rsid w:val="00C62CEC"/>
    <w:rsid w:val="00C63EE9"/>
    <w:rsid w:val="00C67038"/>
    <w:rsid w:val="00C67F90"/>
    <w:rsid w:val="00C718CC"/>
    <w:rsid w:val="00C76491"/>
    <w:rsid w:val="00C769DF"/>
    <w:rsid w:val="00C80063"/>
    <w:rsid w:val="00C90B75"/>
    <w:rsid w:val="00C93526"/>
    <w:rsid w:val="00C94C06"/>
    <w:rsid w:val="00C96CC0"/>
    <w:rsid w:val="00CA046D"/>
    <w:rsid w:val="00CA10DC"/>
    <w:rsid w:val="00CA3FDC"/>
    <w:rsid w:val="00CA72D6"/>
    <w:rsid w:val="00CB0036"/>
    <w:rsid w:val="00CB33B7"/>
    <w:rsid w:val="00CB3928"/>
    <w:rsid w:val="00CB43BF"/>
    <w:rsid w:val="00CB4A3A"/>
    <w:rsid w:val="00CC2BD8"/>
    <w:rsid w:val="00CC4802"/>
    <w:rsid w:val="00CC5BCD"/>
    <w:rsid w:val="00CC5CFD"/>
    <w:rsid w:val="00CD32A7"/>
    <w:rsid w:val="00CD4462"/>
    <w:rsid w:val="00CE3231"/>
    <w:rsid w:val="00CE4F86"/>
    <w:rsid w:val="00CE6BD7"/>
    <w:rsid w:val="00CF1550"/>
    <w:rsid w:val="00CF27B3"/>
    <w:rsid w:val="00CF2C83"/>
    <w:rsid w:val="00CF6F62"/>
    <w:rsid w:val="00D0109C"/>
    <w:rsid w:val="00D0779B"/>
    <w:rsid w:val="00D10D61"/>
    <w:rsid w:val="00D13B73"/>
    <w:rsid w:val="00D157B6"/>
    <w:rsid w:val="00D24AF2"/>
    <w:rsid w:val="00D25E5A"/>
    <w:rsid w:val="00D31138"/>
    <w:rsid w:val="00D314A0"/>
    <w:rsid w:val="00D3202E"/>
    <w:rsid w:val="00D34A75"/>
    <w:rsid w:val="00D414AA"/>
    <w:rsid w:val="00D427DB"/>
    <w:rsid w:val="00D42C47"/>
    <w:rsid w:val="00D446C0"/>
    <w:rsid w:val="00D50819"/>
    <w:rsid w:val="00D51E90"/>
    <w:rsid w:val="00D5373C"/>
    <w:rsid w:val="00D57B34"/>
    <w:rsid w:val="00D6519C"/>
    <w:rsid w:val="00D652BF"/>
    <w:rsid w:val="00D65A27"/>
    <w:rsid w:val="00D67C15"/>
    <w:rsid w:val="00D726C6"/>
    <w:rsid w:val="00D740B6"/>
    <w:rsid w:val="00D76A45"/>
    <w:rsid w:val="00D811E8"/>
    <w:rsid w:val="00D903F4"/>
    <w:rsid w:val="00D91932"/>
    <w:rsid w:val="00D9381D"/>
    <w:rsid w:val="00D94593"/>
    <w:rsid w:val="00D97963"/>
    <w:rsid w:val="00DA1EB1"/>
    <w:rsid w:val="00DA3335"/>
    <w:rsid w:val="00DA4E6F"/>
    <w:rsid w:val="00DA62B6"/>
    <w:rsid w:val="00DA721B"/>
    <w:rsid w:val="00DA7E7C"/>
    <w:rsid w:val="00DB0EA8"/>
    <w:rsid w:val="00DB1755"/>
    <w:rsid w:val="00DB73DD"/>
    <w:rsid w:val="00DC0274"/>
    <w:rsid w:val="00DC0FD6"/>
    <w:rsid w:val="00DC1447"/>
    <w:rsid w:val="00DC300B"/>
    <w:rsid w:val="00DC48FC"/>
    <w:rsid w:val="00DD1579"/>
    <w:rsid w:val="00DD28E2"/>
    <w:rsid w:val="00DD3BA0"/>
    <w:rsid w:val="00DE01DE"/>
    <w:rsid w:val="00DE2360"/>
    <w:rsid w:val="00DE422E"/>
    <w:rsid w:val="00DE7ACA"/>
    <w:rsid w:val="00DF0A8F"/>
    <w:rsid w:val="00DF6E5E"/>
    <w:rsid w:val="00DF7EB3"/>
    <w:rsid w:val="00E03024"/>
    <w:rsid w:val="00E03B97"/>
    <w:rsid w:val="00E053D5"/>
    <w:rsid w:val="00E112A5"/>
    <w:rsid w:val="00E11D99"/>
    <w:rsid w:val="00E13861"/>
    <w:rsid w:val="00E1687F"/>
    <w:rsid w:val="00E20BFE"/>
    <w:rsid w:val="00E250E4"/>
    <w:rsid w:val="00E270AB"/>
    <w:rsid w:val="00E32E22"/>
    <w:rsid w:val="00E45FEA"/>
    <w:rsid w:val="00E46C46"/>
    <w:rsid w:val="00E47D9C"/>
    <w:rsid w:val="00E544F6"/>
    <w:rsid w:val="00E56A44"/>
    <w:rsid w:val="00E607C6"/>
    <w:rsid w:val="00E709BE"/>
    <w:rsid w:val="00E71F1D"/>
    <w:rsid w:val="00E7215A"/>
    <w:rsid w:val="00E72464"/>
    <w:rsid w:val="00E73832"/>
    <w:rsid w:val="00E74F1E"/>
    <w:rsid w:val="00E74F47"/>
    <w:rsid w:val="00E761F3"/>
    <w:rsid w:val="00E77DD4"/>
    <w:rsid w:val="00E85624"/>
    <w:rsid w:val="00E871BA"/>
    <w:rsid w:val="00E900BA"/>
    <w:rsid w:val="00E90F8B"/>
    <w:rsid w:val="00E91D6F"/>
    <w:rsid w:val="00E932C6"/>
    <w:rsid w:val="00E95E1C"/>
    <w:rsid w:val="00E972F8"/>
    <w:rsid w:val="00EA4FAA"/>
    <w:rsid w:val="00EB045B"/>
    <w:rsid w:val="00EB0AF3"/>
    <w:rsid w:val="00EB1258"/>
    <w:rsid w:val="00EB1A8E"/>
    <w:rsid w:val="00EB2CB2"/>
    <w:rsid w:val="00EB64BD"/>
    <w:rsid w:val="00EB67C2"/>
    <w:rsid w:val="00EC0F16"/>
    <w:rsid w:val="00EC1480"/>
    <w:rsid w:val="00EC6B1B"/>
    <w:rsid w:val="00ED042E"/>
    <w:rsid w:val="00EF0980"/>
    <w:rsid w:val="00EF0C31"/>
    <w:rsid w:val="00EF1A85"/>
    <w:rsid w:val="00F007EB"/>
    <w:rsid w:val="00F05C7B"/>
    <w:rsid w:val="00F06E45"/>
    <w:rsid w:val="00F06FAC"/>
    <w:rsid w:val="00F07DCA"/>
    <w:rsid w:val="00F119A5"/>
    <w:rsid w:val="00F1460D"/>
    <w:rsid w:val="00F27F31"/>
    <w:rsid w:val="00F32348"/>
    <w:rsid w:val="00F3529F"/>
    <w:rsid w:val="00F3591B"/>
    <w:rsid w:val="00F36D64"/>
    <w:rsid w:val="00F41265"/>
    <w:rsid w:val="00F4353E"/>
    <w:rsid w:val="00F45611"/>
    <w:rsid w:val="00F47BC2"/>
    <w:rsid w:val="00F52B27"/>
    <w:rsid w:val="00F53D85"/>
    <w:rsid w:val="00F53F8B"/>
    <w:rsid w:val="00F56D98"/>
    <w:rsid w:val="00F5714A"/>
    <w:rsid w:val="00F62D77"/>
    <w:rsid w:val="00F62FEA"/>
    <w:rsid w:val="00F655F9"/>
    <w:rsid w:val="00F705E8"/>
    <w:rsid w:val="00F71D20"/>
    <w:rsid w:val="00F72ECB"/>
    <w:rsid w:val="00F76FDE"/>
    <w:rsid w:val="00F77B68"/>
    <w:rsid w:val="00F80F3D"/>
    <w:rsid w:val="00F8348F"/>
    <w:rsid w:val="00F8532C"/>
    <w:rsid w:val="00F87E10"/>
    <w:rsid w:val="00F90C0A"/>
    <w:rsid w:val="00F94CFC"/>
    <w:rsid w:val="00F97F7B"/>
    <w:rsid w:val="00FA0114"/>
    <w:rsid w:val="00FA2F0D"/>
    <w:rsid w:val="00FA71D6"/>
    <w:rsid w:val="00FA76F7"/>
    <w:rsid w:val="00FB0996"/>
    <w:rsid w:val="00FB28FA"/>
    <w:rsid w:val="00FB63D2"/>
    <w:rsid w:val="00FB7539"/>
    <w:rsid w:val="00FC01CD"/>
    <w:rsid w:val="00FC02C6"/>
    <w:rsid w:val="00FC053D"/>
    <w:rsid w:val="00FC1FE5"/>
    <w:rsid w:val="00FC5ADB"/>
    <w:rsid w:val="00FD02D3"/>
    <w:rsid w:val="00FD0722"/>
    <w:rsid w:val="00FD1C17"/>
    <w:rsid w:val="00FD4AAE"/>
    <w:rsid w:val="00FD64F4"/>
    <w:rsid w:val="00FD77B3"/>
    <w:rsid w:val="00FE0EBF"/>
    <w:rsid w:val="00FF06E9"/>
    <w:rsid w:val="00FF33BA"/>
    <w:rsid w:val="00FF3D31"/>
    <w:rsid w:val="00FF46FF"/>
    <w:rsid w:val="00FF4B3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C7C"/>
  <w15:docId w15:val="{963697B9-E087-44C8-991E-DFB0A0F4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2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3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E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(numbered (a)),Use Case List Paragraph,NUMBERED PARAGRAPH,List Paragraph 1,маркированный,Citation List,Heading1,Colorful List - Accent 11"/>
    <w:basedOn w:val="a"/>
    <w:link w:val="a5"/>
    <w:uiPriority w:val="34"/>
    <w:qFormat/>
    <w:rsid w:val="006A6E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EE9"/>
    <w:rPr>
      <w:color w:val="000080"/>
      <w:u w:val="single"/>
    </w:rPr>
  </w:style>
  <w:style w:type="character" w:customStyle="1" w:styleId="s0">
    <w:name w:val="s0"/>
    <w:basedOn w:val="a0"/>
    <w:qFormat/>
    <w:rsid w:val="006A6EE9"/>
    <w:rPr>
      <w:color w:val="000000"/>
    </w:rPr>
  </w:style>
  <w:style w:type="character" w:customStyle="1" w:styleId="s1">
    <w:name w:val="s1"/>
    <w:basedOn w:val="a0"/>
    <w:rsid w:val="009E47C5"/>
    <w:rPr>
      <w:color w:val="000000"/>
    </w:rPr>
  </w:style>
  <w:style w:type="character" w:customStyle="1" w:styleId="s2">
    <w:name w:val="s2"/>
    <w:basedOn w:val="a0"/>
    <w:rsid w:val="009E47C5"/>
    <w:rPr>
      <w:color w:val="000080"/>
    </w:rPr>
  </w:style>
  <w:style w:type="character" w:customStyle="1" w:styleId="a7">
    <w:name w:val="a"/>
    <w:basedOn w:val="a0"/>
    <w:rsid w:val="00235619"/>
  </w:style>
  <w:style w:type="character" w:customStyle="1" w:styleId="s19">
    <w:name w:val="s19"/>
    <w:rsid w:val="00F1460D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8">
    <w:name w:val="annotation reference"/>
    <w:basedOn w:val="a0"/>
    <w:semiHidden/>
    <w:unhideWhenUsed/>
    <w:rsid w:val="00E32E22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E32E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E32E22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unhideWhenUsed/>
    <w:rsid w:val="00E32E22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E32E22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2E22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FollowedHyperlink"/>
    <w:uiPriority w:val="99"/>
    <w:semiHidden/>
    <w:unhideWhenUsed/>
    <w:rsid w:val="002E4E45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1C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C483D"/>
    <w:rPr>
      <w:rFonts w:eastAsiaTheme="minorEastAsia"/>
      <w:lang w:eastAsia="ru-RU"/>
    </w:rPr>
  </w:style>
  <w:style w:type="paragraph" w:styleId="af2">
    <w:name w:val="footer"/>
    <w:basedOn w:val="a"/>
    <w:link w:val="af3"/>
    <w:unhideWhenUsed/>
    <w:rsid w:val="001C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1C483D"/>
    <w:rPr>
      <w:rFonts w:eastAsiaTheme="minorEastAsia"/>
      <w:lang w:eastAsia="ru-RU"/>
    </w:rPr>
  </w:style>
  <w:style w:type="character" w:customStyle="1" w:styleId="a5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4"/>
    <w:uiPriority w:val="34"/>
    <w:locked/>
    <w:rsid w:val="00CA10DC"/>
    <w:rPr>
      <w:rFonts w:eastAsiaTheme="minorEastAsia"/>
      <w:lang w:eastAsia="ru-RU"/>
    </w:rPr>
  </w:style>
  <w:style w:type="character" w:customStyle="1" w:styleId="s3">
    <w:name w:val="s3"/>
    <w:rsid w:val="0017332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73327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21">
    <w:name w:val="s21"/>
    <w:basedOn w:val="a0"/>
    <w:rsid w:val="003C33F3"/>
  </w:style>
  <w:style w:type="character" w:customStyle="1" w:styleId="s20">
    <w:name w:val="s20"/>
    <w:basedOn w:val="a0"/>
    <w:rsid w:val="003C33F3"/>
  </w:style>
  <w:style w:type="paragraph" w:styleId="af4">
    <w:name w:val="footnote text"/>
    <w:basedOn w:val="a"/>
    <w:link w:val="af5"/>
    <w:uiPriority w:val="99"/>
    <w:unhideWhenUsed/>
    <w:rsid w:val="003A348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3A3489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unhideWhenUsed/>
    <w:rsid w:val="003A3489"/>
    <w:rPr>
      <w:vertAlign w:val="superscript"/>
    </w:rPr>
  </w:style>
  <w:style w:type="paragraph" w:styleId="af7">
    <w:name w:val="No Spacing"/>
    <w:link w:val="af8"/>
    <w:qFormat/>
    <w:rsid w:val="00E053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locked/>
    <w:rsid w:val="00E053D5"/>
    <w:rPr>
      <w:rFonts w:ascii="Calibri" w:eastAsia="Calibri" w:hAnsi="Calibri" w:cs="Times New Roman"/>
    </w:rPr>
  </w:style>
  <w:style w:type="character" w:styleId="af9">
    <w:name w:val="page number"/>
    <w:rsid w:val="008C587E"/>
  </w:style>
  <w:style w:type="paragraph" w:customStyle="1" w:styleId="pj">
    <w:name w:val="pj"/>
    <w:basedOn w:val="a"/>
    <w:rsid w:val="0045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92">
    <w:name w:val="s192"/>
    <w:basedOn w:val="a0"/>
    <w:rsid w:val="0045040A"/>
  </w:style>
  <w:style w:type="paragraph" w:customStyle="1" w:styleId="pc">
    <w:name w:val="pc"/>
    <w:basedOn w:val="a"/>
    <w:rsid w:val="003C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eamble-verb">
    <w:name w:val="preamble-verb"/>
    <w:basedOn w:val="a0"/>
    <w:rsid w:val="00A77B09"/>
  </w:style>
  <w:style w:type="paragraph" w:customStyle="1" w:styleId="pji">
    <w:name w:val="pji"/>
    <w:basedOn w:val="a"/>
    <w:rsid w:val="00AA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83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">
    <w:name w:val="p"/>
    <w:basedOn w:val="a"/>
    <w:rsid w:val="0083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39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191">
    <w:name w:val="s191"/>
    <w:basedOn w:val="a0"/>
    <w:rsid w:val="007F4AA5"/>
    <w:rPr>
      <w:color w:val="008000"/>
    </w:rPr>
  </w:style>
  <w:style w:type="character" w:customStyle="1" w:styleId="20">
    <w:name w:val="Заголовок 2 Знак"/>
    <w:basedOn w:val="a0"/>
    <w:link w:val="2"/>
    <w:rsid w:val="00CF15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a">
    <w:name w:val="Body Text"/>
    <w:basedOn w:val="a"/>
    <w:link w:val="afb"/>
    <w:semiHidden/>
    <w:unhideWhenUsed/>
    <w:rsid w:val="00112B79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semiHidden/>
    <w:rsid w:val="00112B7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Grid Table Light"/>
    <w:basedOn w:val="a1"/>
    <w:uiPriority w:val="40"/>
    <w:rsid w:val="00554E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4F9F-EAB1-4816-ADEC-E2AA4C07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Азамат Ахтанов</dc:creator>
  <cp:lastModifiedBy>Мұхтар Аметов</cp:lastModifiedBy>
  <cp:revision>39</cp:revision>
  <cp:lastPrinted>2022-06-29T04:52:00Z</cp:lastPrinted>
  <dcterms:created xsi:type="dcterms:W3CDTF">2023-02-08T10:28:00Z</dcterms:created>
  <dcterms:modified xsi:type="dcterms:W3CDTF">2023-09-29T09:50:00Z</dcterms:modified>
</cp:coreProperties>
</file>