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17733" w14:textId="27E2286C" w:rsidR="00A13913" w:rsidRPr="004B385F" w:rsidRDefault="00EC307F" w:rsidP="00A13913">
      <w:pPr>
        <w:jc w:val="center"/>
        <w:rPr>
          <w:rFonts w:ascii="Verdana" w:eastAsia="Times New Roman" w:hAnsi="Verdana"/>
          <w:sz w:val="22"/>
        </w:rPr>
      </w:pPr>
      <w:r w:rsidRPr="00550C70">
        <w:rPr>
          <w:rFonts w:ascii="Verdana" w:eastAsia="Times New Roman" w:hAnsi="Verdana"/>
          <w:noProof/>
          <w:sz w:val="28"/>
          <w:szCs w:val="28"/>
          <w:lang w:eastAsia="ru-RU"/>
        </w:rPr>
        <w:drawing>
          <wp:inline distT="0" distB="0" distL="0" distR="0" wp14:anchorId="2A357B6C" wp14:editId="60CC9CF3">
            <wp:extent cx="33242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25928" w14:textId="77777777" w:rsidR="00136CEB" w:rsidRDefault="00136CEB" w:rsidP="00A176C0">
      <w:pPr>
        <w:spacing w:after="0"/>
        <w:jc w:val="center"/>
        <w:rPr>
          <w:rFonts w:ascii="Verdana" w:eastAsiaTheme="minorHAnsi" w:hAnsi="Verdana" w:cstheme="minorBidi"/>
          <w:b/>
          <w:szCs w:val="24"/>
        </w:rPr>
      </w:pPr>
    </w:p>
    <w:p w14:paraId="25FD298E" w14:textId="77777777" w:rsidR="00084891" w:rsidRPr="002B1C0E" w:rsidRDefault="00084891" w:rsidP="00084891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2B1C0E">
        <w:rPr>
          <w:rFonts w:asciiTheme="minorHAnsi" w:eastAsiaTheme="minorHAnsi" w:hAnsiTheme="minorHAnsi" w:cstheme="minorHAnsi"/>
          <w:b/>
          <w:szCs w:val="24"/>
          <w:lang w:val="kk-KZ"/>
        </w:rPr>
        <w:t xml:space="preserve">«Қазақстан Республикасында қолма-қол шетел валютасымен </w:t>
      </w:r>
    </w:p>
    <w:p w14:paraId="30538F5C" w14:textId="77777777" w:rsidR="002B1C0E" w:rsidRDefault="00084891" w:rsidP="00084891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2B1C0E">
        <w:rPr>
          <w:rFonts w:asciiTheme="minorHAnsi" w:eastAsiaTheme="minorHAnsi" w:hAnsiTheme="minorHAnsi" w:cstheme="minorHAnsi"/>
          <w:b/>
          <w:szCs w:val="24"/>
          <w:lang w:val="kk-KZ"/>
        </w:rPr>
        <w:t xml:space="preserve">айырбастау операцияларын жүзеге асыру қағидаларын бекіту туралы» </w:t>
      </w:r>
      <w:r w:rsidR="002B1C0E">
        <w:rPr>
          <w:rFonts w:asciiTheme="minorHAnsi" w:eastAsiaTheme="minorHAnsi" w:hAnsiTheme="minorHAnsi" w:cstheme="minorHAnsi"/>
          <w:b/>
          <w:szCs w:val="24"/>
          <w:lang w:val="kk-KZ"/>
        </w:rPr>
        <w:br/>
      </w:r>
      <w:r w:rsidRPr="002B1C0E">
        <w:rPr>
          <w:rFonts w:asciiTheme="minorHAnsi" w:eastAsiaTheme="minorHAnsi" w:hAnsiTheme="minorHAnsi" w:cstheme="minorHAnsi"/>
          <w:b/>
          <w:szCs w:val="24"/>
          <w:lang w:val="kk-KZ"/>
        </w:rPr>
        <w:t xml:space="preserve">Қазақстан Республикасы Ұлттық Банкі Басқармасының 2019 жылғы 4 сәуірдегі </w:t>
      </w:r>
      <w:r w:rsidR="002B1C0E">
        <w:rPr>
          <w:rFonts w:asciiTheme="minorHAnsi" w:eastAsiaTheme="minorHAnsi" w:hAnsiTheme="minorHAnsi" w:cstheme="minorHAnsi"/>
          <w:b/>
          <w:szCs w:val="24"/>
          <w:lang w:val="kk-KZ"/>
        </w:rPr>
        <w:br/>
      </w:r>
      <w:r w:rsidRPr="002B1C0E">
        <w:rPr>
          <w:rFonts w:asciiTheme="minorHAnsi" w:eastAsiaTheme="minorHAnsi" w:hAnsiTheme="minorHAnsi" w:cstheme="minorHAnsi"/>
          <w:b/>
          <w:szCs w:val="24"/>
          <w:lang w:val="kk-KZ"/>
        </w:rPr>
        <w:t xml:space="preserve">№ 49 қаулысына өзгерістер мен толықтырулар енгізу туралы» </w:t>
      </w:r>
      <w:r w:rsidR="002B1C0E">
        <w:rPr>
          <w:rFonts w:asciiTheme="minorHAnsi" w:eastAsiaTheme="minorHAnsi" w:hAnsiTheme="minorHAnsi" w:cstheme="minorHAnsi"/>
          <w:b/>
          <w:szCs w:val="24"/>
          <w:lang w:val="kk-KZ"/>
        </w:rPr>
        <w:br/>
      </w:r>
      <w:r w:rsidRPr="002B1C0E">
        <w:rPr>
          <w:rFonts w:asciiTheme="minorHAnsi" w:eastAsiaTheme="minorHAnsi" w:hAnsiTheme="minorHAnsi" w:cstheme="minorHAnsi"/>
          <w:b/>
          <w:szCs w:val="24"/>
          <w:lang w:val="kk-KZ"/>
        </w:rPr>
        <w:t>Қазақстан Республикасы Ұлттық Банкі Басқармасы</w:t>
      </w:r>
      <w:r w:rsidR="0019321B" w:rsidRPr="002B1C0E">
        <w:rPr>
          <w:rFonts w:asciiTheme="minorHAnsi" w:eastAsiaTheme="minorHAnsi" w:hAnsiTheme="minorHAnsi" w:cstheme="minorHAnsi"/>
          <w:b/>
          <w:szCs w:val="24"/>
          <w:lang w:val="kk-KZ"/>
        </w:rPr>
        <w:t>ның</w:t>
      </w:r>
      <w:r w:rsidRPr="002B1C0E">
        <w:rPr>
          <w:rFonts w:asciiTheme="minorHAnsi" w:eastAsiaTheme="minorHAnsi" w:hAnsiTheme="minorHAnsi" w:cstheme="minorHAnsi"/>
          <w:b/>
          <w:szCs w:val="24"/>
          <w:lang w:val="kk-KZ"/>
        </w:rPr>
        <w:t xml:space="preserve"> қаулысы </w:t>
      </w:r>
    </w:p>
    <w:p w14:paraId="23E16E38" w14:textId="2DBC6AA2" w:rsidR="00A13913" w:rsidRPr="002B1C0E" w:rsidRDefault="00084891" w:rsidP="00084891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  <w:r w:rsidRPr="002B1C0E">
        <w:rPr>
          <w:rFonts w:asciiTheme="minorHAnsi" w:eastAsiaTheme="minorHAnsi" w:hAnsiTheme="minorHAnsi" w:cstheme="minorHAnsi"/>
          <w:b/>
          <w:szCs w:val="24"/>
          <w:lang w:val="kk-KZ"/>
        </w:rPr>
        <w:t>жобасы</w:t>
      </w:r>
      <w:r w:rsidR="0019321B" w:rsidRPr="002B1C0E">
        <w:rPr>
          <w:rFonts w:asciiTheme="minorHAnsi" w:eastAsiaTheme="minorHAnsi" w:hAnsiTheme="minorHAnsi" w:cstheme="minorHAnsi"/>
          <w:b/>
          <w:szCs w:val="24"/>
          <w:lang w:val="kk-KZ"/>
        </w:rPr>
        <w:t>ның</w:t>
      </w:r>
      <w:r w:rsidRPr="002B1C0E">
        <w:rPr>
          <w:rFonts w:asciiTheme="minorHAnsi" w:eastAsiaTheme="minorHAnsi" w:hAnsiTheme="minorHAnsi" w:cstheme="minorHAnsi"/>
          <w:b/>
          <w:szCs w:val="24"/>
          <w:lang w:val="kk-KZ"/>
        </w:rPr>
        <w:t xml:space="preserve"> әзірленгені туралы</w:t>
      </w:r>
    </w:p>
    <w:p w14:paraId="1F56A698" w14:textId="5A41E671" w:rsidR="00CF1788" w:rsidRPr="002B1C0E" w:rsidRDefault="00CF1788" w:rsidP="00136CEB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14:paraId="7EA6C139" w14:textId="77777777" w:rsidR="00CF1788" w:rsidRPr="002B1C0E" w:rsidRDefault="00CF1788" w:rsidP="00CF1788">
      <w:pPr>
        <w:spacing w:after="0"/>
        <w:jc w:val="center"/>
        <w:rPr>
          <w:rFonts w:cstheme="minorHAnsi"/>
          <w:b/>
          <w:szCs w:val="24"/>
          <w:lang w:val="kk-KZ"/>
        </w:rPr>
      </w:pPr>
      <w:r w:rsidRPr="002B1C0E">
        <w:rPr>
          <w:rFonts w:ascii="Arial" w:eastAsia="Arial" w:hAnsi="Arial" w:cs="Arial"/>
          <w:b/>
          <w:color w:val="000000"/>
          <w:szCs w:val="24"/>
          <w:lang w:val="kk-KZ"/>
        </w:rPr>
        <w:t>БАСПАСӨЗ РЕЛИЗІ</w:t>
      </w:r>
    </w:p>
    <w:p w14:paraId="1A4E105F" w14:textId="77777777" w:rsidR="004653E2" w:rsidRPr="002B1C0E" w:rsidRDefault="004653E2" w:rsidP="004653E2">
      <w:pPr>
        <w:spacing w:after="0" w:line="240" w:lineRule="auto"/>
        <w:jc w:val="center"/>
        <w:rPr>
          <w:rFonts w:asciiTheme="minorHAnsi" w:eastAsiaTheme="minorHAnsi" w:hAnsiTheme="minorHAnsi" w:cstheme="minorHAnsi"/>
          <w:b/>
          <w:szCs w:val="24"/>
          <w:lang w:val="kk-KZ"/>
        </w:rPr>
      </w:pPr>
    </w:p>
    <w:p w14:paraId="3FD6BE90" w14:textId="77777777" w:rsidR="00A13913" w:rsidRPr="002B1C0E" w:rsidRDefault="00A13913" w:rsidP="00A13913">
      <w:pPr>
        <w:widowControl w:val="0"/>
        <w:spacing w:after="0" w:line="240" w:lineRule="auto"/>
        <w:jc w:val="center"/>
        <w:rPr>
          <w:rFonts w:ascii="Arial" w:hAnsi="Arial" w:cs="Arial"/>
          <w:i/>
          <w:szCs w:val="24"/>
          <w:lang w:val="kk-KZ"/>
        </w:rPr>
      </w:pPr>
    </w:p>
    <w:p w14:paraId="2C59810A" w14:textId="75348F56" w:rsidR="00A13913" w:rsidRPr="002B1C0E" w:rsidRDefault="00D8444D" w:rsidP="00EC307F">
      <w:pPr>
        <w:tabs>
          <w:tab w:val="center" w:pos="9498"/>
        </w:tabs>
        <w:spacing w:after="0" w:line="264" w:lineRule="auto"/>
        <w:ind w:firstLine="709"/>
        <w:rPr>
          <w:rFonts w:ascii="Verdana" w:eastAsia="Times New Roman" w:hAnsi="Verdana" w:cstheme="minorHAnsi"/>
          <w:szCs w:val="24"/>
          <w:lang w:val="kk-KZ"/>
        </w:rPr>
      </w:pPr>
      <w:r w:rsidRPr="002B1C0E">
        <w:rPr>
          <w:rFonts w:ascii="Verdana" w:eastAsia="Times New Roman" w:hAnsi="Verdana" w:cstheme="minorHAnsi"/>
          <w:szCs w:val="24"/>
          <w:lang w:val="kk-KZ"/>
        </w:rPr>
        <w:t>Астана қ.</w:t>
      </w:r>
      <w:r w:rsidR="00EC307F" w:rsidRPr="002B1C0E">
        <w:rPr>
          <w:rFonts w:ascii="Verdana" w:eastAsia="Times New Roman" w:hAnsi="Verdana" w:cstheme="minorHAnsi"/>
          <w:szCs w:val="24"/>
          <w:lang w:val="kk-KZ"/>
        </w:rPr>
        <w:t xml:space="preserve">                                  </w:t>
      </w:r>
      <w:r w:rsidR="00CB4AE6" w:rsidRPr="002B1C0E">
        <w:rPr>
          <w:rFonts w:ascii="Verdana" w:eastAsia="Times New Roman" w:hAnsi="Verdana" w:cstheme="minorHAnsi"/>
          <w:szCs w:val="24"/>
          <w:lang w:val="kk-KZ"/>
        </w:rPr>
        <w:t xml:space="preserve">                    2023 жылғы </w:t>
      </w:r>
      <w:r w:rsidR="00463980" w:rsidRPr="002B1C0E">
        <w:rPr>
          <w:rFonts w:ascii="Verdana" w:eastAsia="Times New Roman" w:hAnsi="Verdana" w:cstheme="minorHAnsi"/>
          <w:szCs w:val="24"/>
          <w:lang w:val="kk-KZ"/>
        </w:rPr>
        <w:t>13</w:t>
      </w:r>
      <w:r w:rsidR="00EC307F" w:rsidRPr="002B1C0E">
        <w:rPr>
          <w:rFonts w:ascii="Verdana" w:eastAsia="Times New Roman" w:hAnsi="Verdana" w:cstheme="minorHAnsi"/>
          <w:szCs w:val="24"/>
          <w:lang w:val="kk-KZ"/>
        </w:rPr>
        <w:t xml:space="preserve"> </w:t>
      </w:r>
      <w:r w:rsidR="00245821" w:rsidRPr="002B1C0E">
        <w:rPr>
          <w:rFonts w:ascii="Verdana" w:eastAsia="Times New Roman" w:hAnsi="Verdana" w:cstheme="minorHAnsi"/>
          <w:szCs w:val="24"/>
          <w:lang w:val="kk-KZ"/>
        </w:rPr>
        <w:t>шілде</w:t>
      </w:r>
      <w:r w:rsidR="00A13913" w:rsidRPr="002B1C0E">
        <w:rPr>
          <w:rFonts w:ascii="Verdana" w:eastAsia="Times New Roman" w:hAnsi="Verdana" w:cstheme="minorHAnsi"/>
          <w:szCs w:val="24"/>
          <w:lang w:val="kk-KZ"/>
        </w:rPr>
        <w:t xml:space="preserve">                                                                         </w:t>
      </w:r>
    </w:p>
    <w:p w14:paraId="00B8379A" w14:textId="77777777" w:rsidR="00A13913" w:rsidRPr="002B1C0E" w:rsidRDefault="00A13913" w:rsidP="00A13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14:paraId="3639AFB1" w14:textId="77777777" w:rsidR="004653E2" w:rsidRPr="002B1C0E" w:rsidRDefault="004653E2" w:rsidP="00A13913">
      <w:pPr>
        <w:widowControl w:val="0"/>
        <w:spacing w:after="0" w:line="240" w:lineRule="auto"/>
        <w:ind w:firstLine="709"/>
        <w:jc w:val="both"/>
        <w:rPr>
          <w:rFonts w:ascii="Arial" w:hAnsi="Arial" w:cs="Arial"/>
          <w:szCs w:val="24"/>
          <w:lang w:val="kk-KZ"/>
        </w:rPr>
      </w:pPr>
    </w:p>
    <w:p w14:paraId="553711ED" w14:textId="10AF9358" w:rsidR="00D8444D" w:rsidRPr="002B1C0E" w:rsidRDefault="00D8444D" w:rsidP="00D8444D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Қазақстан Ұлттық Банкі (бұдан әрі – ҚҰБ) </w:t>
      </w:r>
      <w:r w:rsidR="006F0615" w:rsidRPr="002B1C0E">
        <w:rPr>
          <w:rFonts w:asciiTheme="minorHAnsi" w:eastAsiaTheme="minorHAnsi" w:hAnsiTheme="minorHAnsi" w:cstheme="minorHAnsi"/>
          <w:szCs w:val="24"/>
          <w:lang w:val="kk-KZ"/>
        </w:rPr>
        <w:t>«Қазақстан Республикасында қолма-қол шетел валютасымен айырбастау операцияларын жүзеге асыру қағидаларын бекіту тура</w:t>
      </w:r>
      <w:bookmarkStart w:id="0" w:name="_GoBack"/>
      <w:bookmarkEnd w:id="0"/>
      <w:r w:rsidR="006F0615"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лы» Қазақстан Республикасы Ұлттық Банкі Басқармасының 2019 жылғы 4 сәуірдегі </w:t>
      </w:r>
      <w:r w:rsidR="002B1C0E">
        <w:rPr>
          <w:rFonts w:asciiTheme="minorHAnsi" w:eastAsiaTheme="minorHAnsi" w:hAnsiTheme="minorHAnsi" w:cstheme="minorHAnsi"/>
          <w:szCs w:val="24"/>
          <w:lang w:val="kk-KZ"/>
        </w:rPr>
        <w:br/>
      </w:r>
      <w:r w:rsidR="006F0615"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№ 49 қаулысына өзгерістер мен толықтырулар енгізу туралы» </w:t>
      </w:r>
      <w:r w:rsidR="0019321B" w:rsidRPr="002B1C0E">
        <w:rPr>
          <w:rFonts w:asciiTheme="minorHAnsi" w:eastAsiaTheme="minorHAnsi" w:hAnsiTheme="minorHAnsi" w:cstheme="minorHAnsi"/>
          <w:szCs w:val="24"/>
          <w:lang w:val="kk-KZ"/>
        </w:rPr>
        <w:t>Қазақстан Республикасы Ұлттық Банкі</w:t>
      </w:r>
      <w:r w:rsidR="006F0615"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 Басқармасының қаулысы жобасы</w:t>
      </w:r>
      <w:r w:rsidR="0019321B" w:rsidRPr="002B1C0E">
        <w:rPr>
          <w:rFonts w:asciiTheme="minorHAnsi" w:eastAsiaTheme="minorHAnsi" w:hAnsiTheme="minorHAnsi" w:cstheme="minorHAnsi"/>
          <w:szCs w:val="24"/>
          <w:lang w:val="kk-KZ"/>
        </w:rPr>
        <w:t>ның</w:t>
      </w:r>
      <w:r w:rsidR="006F0615"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 (бұдан әрі – Жоба) 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>әзірле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н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>гені туралы хабарлайды.</w:t>
      </w:r>
    </w:p>
    <w:p w14:paraId="6831ACAB" w14:textId="341A31CB" w:rsidR="00D8444D" w:rsidRPr="002B1C0E" w:rsidRDefault="00463980" w:rsidP="00084891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Жобамен қолма-қол шетел валютасымен айырбастау операциялары жөніндегі қызметті реттеу саясатын жетілдіру шеңберінде банктік емес айырбастау пункттері мен уәкілетті банктердің электрондық есептілікке көшуі, 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уәкілетті банктердің 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айырбастау операциялары 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бойынша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 шоғырландырылған есептілікті тапсыруы бөлігінде өзгерістер мен толықтырулар енгізіледі. 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Сонымен қатар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 шетел валютасы банкноттарының айналысқа жарамдылық және (немесе) жарамсыздық дәрежесін айқындауда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қолданыстағы тәсіл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>, сондай-ақ осы тәсілдің шетел валютасы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ның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э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>митент-елдерінің талаптар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ына сәйкестігін қамтамасыз ету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 бөлігінде өзгерістер енгізіледі.</w:t>
      </w:r>
    </w:p>
    <w:p w14:paraId="6ADBEE1D" w14:textId="2970BB15" w:rsidR="002F3986" w:rsidRPr="002B1C0E" w:rsidRDefault="00463980" w:rsidP="00084891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Сонымен 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бірге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 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Ж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>оба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да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 Әкімшілік рәсімдік-процестік кодекстің және «Құқықтық актілер туралы» Қазақстан Республикасы Заңының қолданыстағы нормаларына сәйке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с келтіру шеңберінде түзетулер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 көзде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ле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>ді.</w:t>
      </w:r>
    </w:p>
    <w:p w14:paraId="7C84E526" w14:textId="30C0BE95" w:rsidR="00CA7582" w:rsidRPr="002B1C0E" w:rsidRDefault="00D8444D" w:rsidP="00D8444D">
      <w:pPr>
        <w:widowControl w:val="0"/>
        <w:spacing w:after="0" w:line="240" w:lineRule="auto"/>
        <w:ind w:firstLine="709"/>
        <w:jc w:val="both"/>
        <w:rPr>
          <w:rFonts w:asciiTheme="minorHAnsi" w:eastAsiaTheme="minorHAnsi" w:hAnsiTheme="minorHAnsi" w:cstheme="minorHAnsi"/>
          <w:szCs w:val="24"/>
          <w:lang w:val="kk-KZ"/>
        </w:rPr>
      </w:pP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Жобаның толық мәтінімен: </w:t>
      </w:r>
      <w:hyperlink r:id="rId5" w:history="1">
        <w:r w:rsidR="00463980" w:rsidRPr="002B1C0E">
          <w:rPr>
            <w:rStyle w:val="a3"/>
            <w:rFonts w:asciiTheme="minorHAnsi" w:hAnsiTheme="minorHAnsi" w:cstheme="minorHAnsi"/>
            <w:lang w:val="kk-KZ"/>
          </w:rPr>
          <w:t>https://legalacts.egov.kz/npa/view?id=14630432</w:t>
        </w:r>
      </w:hyperlink>
      <w:r w:rsidR="00463980" w:rsidRPr="002B1C0E">
        <w:rPr>
          <w:lang w:val="kk-KZ"/>
        </w:rPr>
        <w:t xml:space="preserve"> 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 xml:space="preserve">ашық нормативтік құқықтық актілердің интернет-порталында және ҚҰБ </w:t>
      </w:r>
      <w:r w:rsidR="006A2DB5" w:rsidRPr="002B1C0E">
        <w:rPr>
          <w:rFonts w:asciiTheme="minorHAnsi" w:eastAsiaTheme="minorHAnsi" w:hAnsiTheme="minorHAnsi" w:cstheme="minorHAnsi"/>
          <w:szCs w:val="24"/>
          <w:lang w:val="kk-KZ"/>
        </w:rPr>
        <w:t>интернет-ресурс</w:t>
      </w:r>
      <w:r w:rsidRPr="002B1C0E">
        <w:rPr>
          <w:rFonts w:asciiTheme="minorHAnsi" w:eastAsiaTheme="minorHAnsi" w:hAnsiTheme="minorHAnsi" w:cstheme="minorHAnsi"/>
          <w:szCs w:val="24"/>
          <w:lang w:val="kk-KZ"/>
        </w:rPr>
        <w:t>ында танысуға болады.</w:t>
      </w:r>
    </w:p>
    <w:p w14:paraId="03C35095" w14:textId="1A91FA4B" w:rsidR="000A3D48" w:rsidRPr="002B1C0E" w:rsidRDefault="000A3D48" w:rsidP="006F06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1FDB3B7" w14:textId="7CE4265A" w:rsidR="000A3D48" w:rsidRPr="002B1C0E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7A057B6" w14:textId="3D51CC31" w:rsidR="000A3D48" w:rsidRPr="002B1C0E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6133CEF" w14:textId="2B155B17" w:rsidR="000A3D48" w:rsidRPr="002B1C0E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3031E4B6" w14:textId="1D3A1B86" w:rsidR="000A3D48" w:rsidRPr="002B1C0E" w:rsidRDefault="000A3D48" w:rsidP="00CF1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93EA8D6" w14:textId="77777777" w:rsidR="00CF1788" w:rsidRPr="002B1C0E" w:rsidRDefault="00CF1788" w:rsidP="00CF17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3169BA06" w14:textId="40123AF1" w:rsidR="000A3D48" w:rsidRPr="002B1C0E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166C0353" w14:textId="48C83D7A" w:rsidR="000A3D48" w:rsidRPr="002B1C0E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0BEB1074" w14:textId="53E2EB29" w:rsidR="000A3D48" w:rsidRPr="002B1C0E" w:rsidRDefault="000A3D48" w:rsidP="00C673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Theme="minorHAnsi" w:eastAsiaTheme="minorHAnsi" w:hAnsiTheme="minorHAnsi" w:cstheme="minorHAnsi"/>
          <w:szCs w:val="24"/>
          <w:lang w:val="kk-KZ"/>
        </w:rPr>
      </w:pPr>
    </w:p>
    <w:p w14:paraId="5E701B22" w14:textId="77777777" w:rsidR="00136CEB" w:rsidRPr="000B6792" w:rsidRDefault="00136CEB" w:rsidP="00136CEB">
      <w:pPr>
        <w:spacing w:after="0" w:line="240" w:lineRule="auto"/>
        <w:jc w:val="center"/>
        <w:rPr>
          <w:rFonts w:ascii="Calibri" w:hAnsi="Calibri" w:cs="Arial"/>
          <w:b/>
          <w:szCs w:val="24"/>
          <w:lang w:val="kk-KZ"/>
        </w:rPr>
      </w:pPr>
      <w:r w:rsidRPr="002B1C0E">
        <w:rPr>
          <w:rFonts w:ascii="Calibri" w:hAnsi="Calibri" w:cs="Arial"/>
          <w:b/>
          <w:bCs/>
          <w:szCs w:val="24"/>
          <w:lang w:val="kk-KZ"/>
        </w:rPr>
        <w:t>Толығырақ ақпаратты БАҚ өкілдері мына телефон бойынша алуына болады</w:t>
      </w:r>
      <w:r w:rsidRPr="000B6792">
        <w:rPr>
          <w:rFonts w:ascii="Calibri" w:hAnsi="Calibri" w:cs="Arial"/>
          <w:b/>
          <w:bCs/>
          <w:szCs w:val="24"/>
          <w:lang w:val="kk-KZ"/>
        </w:rPr>
        <w:t>:</w:t>
      </w:r>
    </w:p>
    <w:p w14:paraId="0DCDCA8F" w14:textId="5BDF4468" w:rsidR="00136CEB" w:rsidRPr="00463980" w:rsidRDefault="00136CEB" w:rsidP="00136CEB">
      <w:pPr>
        <w:spacing w:after="0" w:line="240" w:lineRule="auto"/>
        <w:jc w:val="center"/>
        <w:rPr>
          <w:rFonts w:ascii="Calibri" w:hAnsi="Calibri" w:cs="Arial"/>
          <w:szCs w:val="24"/>
          <w:lang w:val="kk-KZ"/>
        </w:rPr>
      </w:pPr>
      <w:r w:rsidRPr="009E1002">
        <w:rPr>
          <w:rFonts w:ascii="Calibri" w:hAnsi="Calibri" w:cs="Arial"/>
          <w:szCs w:val="24"/>
          <w:lang w:val="en-US"/>
        </w:rPr>
        <w:t>8 (7172) 77–</w:t>
      </w:r>
      <w:r w:rsidR="00463980">
        <w:rPr>
          <w:rFonts w:ascii="Calibri" w:hAnsi="Calibri" w:cs="Arial"/>
          <w:szCs w:val="24"/>
        </w:rPr>
        <w:t>55</w:t>
      </w:r>
      <w:r w:rsidRPr="009E1002">
        <w:rPr>
          <w:rFonts w:ascii="Calibri" w:hAnsi="Calibri" w:cs="Arial"/>
          <w:szCs w:val="24"/>
          <w:lang w:val="en-US"/>
        </w:rPr>
        <w:t>–</w:t>
      </w:r>
      <w:r w:rsidR="00463980">
        <w:rPr>
          <w:rFonts w:ascii="Calibri" w:hAnsi="Calibri" w:cs="Arial"/>
          <w:szCs w:val="24"/>
        </w:rPr>
        <w:t xml:space="preserve">77, </w:t>
      </w:r>
      <w:r w:rsidR="00463980">
        <w:rPr>
          <w:rFonts w:ascii="Calibri" w:hAnsi="Calibri" w:cs="Arial"/>
          <w:szCs w:val="24"/>
          <w:lang w:val="kk-KZ"/>
        </w:rPr>
        <w:t>ішкі 5994</w:t>
      </w:r>
    </w:p>
    <w:sectPr w:rsidR="00136CEB" w:rsidRPr="0046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3"/>
    <w:rsid w:val="00084891"/>
    <w:rsid w:val="000A3D48"/>
    <w:rsid w:val="000C7445"/>
    <w:rsid w:val="00124DDF"/>
    <w:rsid w:val="00136CEB"/>
    <w:rsid w:val="00157B85"/>
    <w:rsid w:val="00161E4D"/>
    <w:rsid w:val="001841E7"/>
    <w:rsid w:val="0019321B"/>
    <w:rsid w:val="00225E84"/>
    <w:rsid w:val="00245821"/>
    <w:rsid w:val="0028149F"/>
    <w:rsid w:val="002868B8"/>
    <w:rsid w:val="002A291F"/>
    <w:rsid w:val="002B1C0E"/>
    <w:rsid w:val="002C0229"/>
    <w:rsid w:val="002F3986"/>
    <w:rsid w:val="00315464"/>
    <w:rsid w:val="00372E8F"/>
    <w:rsid w:val="00384A34"/>
    <w:rsid w:val="003B6B8A"/>
    <w:rsid w:val="003C2FAA"/>
    <w:rsid w:val="003D2201"/>
    <w:rsid w:val="003D2DAF"/>
    <w:rsid w:val="00400990"/>
    <w:rsid w:val="004074AE"/>
    <w:rsid w:val="004155C8"/>
    <w:rsid w:val="004162B4"/>
    <w:rsid w:val="00463980"/>
    <w:rsid w:val="004653E2"/>
    <w:rsid w:val="004B385F"/>
    <w:rsid w:val="004B4930"/>
    <w:rsid w:val="004E4B19"/>
    <w:rsid w:val="005342E2"/>
    <w:rsid w:val="00534702"/>
    <w:rsid w:val="005869C9"/>
    <w:rsid w:val="005C59A3"/>
    <w:rsid w:val="005E030D"/>
    <w:rsid w:val="005E4B1B"/>
    <w:rsid w:val="00691DA2"/>
    <w:rsid w:val="006A2DB5"/>
    <w:rsid w:val="006D7C5F"/>
    <w:rsid w:val="006E011F"/>
    <w:rsid w:val="006F0615"/>
    <w:rsid w:val="00727907"/>
    <w:rsid w:val="00747C5B"/>
    <w:rsid w:val="007865EE"/>
    <w:rsid w:val="00862BA0"/>
    <w:rsid w:val="009E1002"/>
    <w:rsid w:val="00A13913"/>
    <w:rsid w:val="00A176C0"/>
    <w:rsid w:val="00A67D68"/>
    <w:rsid w:val="00B02EEF"/>
    <w:rsid w:val="00B158C7"/>
    <w:rsid w:val="00BC148E"/>
    <w:rsid w:val="00C5794D"/>
    <w:rsid w:val="00C673CA"/>
    <w:rsid w:val="00CA7582"/>
    <w:rsid w:val="00CB4AE6"/>
    <w:rsid w:val="00CF1788"/>
    <w:rsid w:val="00D05594"/>
    <w:rsid w:val="00D54CBB"/>
    <w:rsid w:val="00D72992"/>
    <w:rsid w:val="00D8444D"/>
    <w:rsid w:val="00DB7EFA"/>
    <w:rsid w:val="00DC5C8A"/>
    <w:rsid w:val="00DD0083"/>
    <w:rsid w:val="00DF2DA4"/>
    <w:rsid w:val="00E6530A"/>
    <w:rsid w:val="00EA10EC"/>
    <w:rsid w:val="00EA3656"/>
    <w:rsid w:val="00EC307F"/>
    <w:rsid w:val="00EF2485"/>
    <w:rsid w:val="00FA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B751C"/>
  <w15:chartTrackingRefBased/>
  <w15:docId w15:val="{0F37B63D-4C6A-415A-B11A-312357BC7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91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391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229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3C2FA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C2FA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C2FAA"/>
    <w:rPr>
      <w:rFonts w:ascii="Times New Roman" w:eastAsia="Calibri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C2FA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C2FAA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galacts.egov.kz/npa/view?id=14630432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Кулмаганбетова</dc:creator>
  <cp:keywords/>
  <dc:description/>
  <cp:lastModifiedBy>Гаухар Ибраева</cp:lastModifiedBy>
  <cp:revision>4</cp:revision>
  <cp:lastPrinted>2022-01-17T05:28:00Z</cp:lastPrinted>
  <dcterms:created xsi:type="dcterms:W3CDTF">2023-07-13T08:42:00Z</dcterms:created>
  <dcterms:modified xsi:type="dcterms:W3CDTF">2023-07-13T09:06:00Z</dcterms:modified>
</cp:coreProperties>
</file>