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DD" w:rsidRDefault="005011F2" w:rsidP="006D1533">
      <w:pPr>
        <w:ind w:firstLine="709"/>
        <w:jc w:val="center"/>
        <w:rPr>
          <w:b/>
          <w:sz w:val="28"/>
          <w:szCs w:val="28"/>
        </w:rPr>
      </w:pPr>
      <w:r w:rsidRPr="002A0A72">
        <w:rPr>
          <w:b/>
          <w:sz w:val="28"/>
          <w:szCs w:val="28"/>
        </w:rPr>
        <w:t xml:space="preserve">Информация о ходе исполнения </w:t>
      </w:r>
      <w:r w:rsidR="002A0A72" w:rsidRPr="002A0A72">
        <w:rPr>
          <w:b/>
          <w:sz w:val="28"/>
          <w:szCs w:val="28"/>
        </w:rPr>
        <w:t>Общенациональных планов мероприятий по реализации посланий Главы государства</w:t>
      </w:r>
    </w:p>
    <w:p w:rsidR="0079455F" w:rsidRPr="002A0A72" w:rsidRDefault="0079455F" w:rsidP="006D1533">
      <w:pPr>
        <w:ind w:firstLine="709"/>
        <w:jc w:val="center"/>
        <w:rPr>
          <w:b/>
          <w:sz w:val="28"/>
          <w:szCs w:val="28"/>
        </w:rPr>
      </w:pPr>
      <w:r w:rsidRPr="0079455F">
        <w:rPr>
          <w:b/>
          <w:sz w:val="28"/>
          <w:szCs w:val="28"/>
        </w:rPr>
        <w:t>(за 9 месяцев 201</w:t>
      </w:r>
      <w:r>
        <w:rPr>
          <w:b/>
          <w:sz w:val="28"/>
          <w:szCs w:val="28"/>
        </w:rPr>
        <w:t>8</w:t>
      </w:r>
      <w:r w:rsidRPr="0079455F">
        <w:rPr>
          <w:b/>
          <w:sz w:val="28"/>
          <w:szCs w:val="28"/>
        </w:rPr>
        <w:t xml:space="preserve"> года)</w:t>
      </w:r>
    </w:p>
    <w:p w:rsidR="006D1533" w:rsidRPr="006D1533" w:rsidRDefault="006D1533" w:rsidP="006D1533">
      <w:pPr>
        <w:ind w:firstLine="709"/>
        <w:jc w:val="center"/>
        <w:rPr>
          <w:sz w:val="28"/>
          <w:szCs w:val="28"/>
        </w:rPr>
      </w:pPr>
    </w:p>
    <w:p w:rsidR="006D1533" w:rsidRPr="006D1533" w:rsidRDefault="006D1533" w:rsidP="006D1533">
      <w:pPr>
        <w:ind w:firstLine="709"/>
        <w:jc w:val="both"/>
        <w:rPr>
          <w:b/>
          <w:sz w:val="28"/>
          <w:szCs w:val="28"/>
        </w:rPr>
      </w:pPr>
      <w:r w:rsidRPr="006D1533">
        <w:rPr>
          <w:b/>
          <w:sz w:val="28"/>
          <w:szCs w:val="28"/>
        </w:rPr>
        <w:t>ОНП 2016 года (Указ Президента РК от 25.12.2015г. № 143)</w:t>
      </w:r>
    </w:p>
    <w:p w:rsidR="006D1533" w:rsidRPr="006D1533" w:rsidRDefault="006D1533" w:rsidP="006D1533">
      <w:pPr>
        <w:ind w:firstLine="709"/>
        <w:jc w:val="both"/>
        <w:rPr>
          <w:b/>
          <w:sz w:val="28"/>
          <w:szCs w:val="28"/>
        </w:rPr>
      </w:pPr>
    </w:p>
    <w:p w:rsidR="006D1533" w:rsidRPr="001F7A83" w:rsidRDefault="006D1533" w:rsidP="006D1533">
      <w:pPr>
        <w:ind w:firstLine="709"/>
        <w:jc w:val="both"/>
        <w:rPr>
          <w:b/>
          <w:i/>
          <w:sz w:val="28"/>
          <w:szCs w:val="28"/>
        </w:rPr>
      </w:pPr>
      <w:r w:rsidRPr="001F7A83">
        <w:rPr>
          <w:b/>
          <w:i/>
          <w:sz w:val="28"/>
          <w:szCs w:val="28"/>
        </w:rPr>
        <w:t>П.4 Обеспечение соотв</w:t>
      </w:r>
      <w:r w:rsidR="00DD6412">
        <w:rPr>
          <w:b/>
          <w:i/>
          <w:sz w:val="28"/>
          <w:szCs w:val="28"/>
        </w:rPr>
        <w:t>ет</w:t>
      </w:r>
      <w:r w:rsidRPr="001F7A83">
        <w:rPr>
          <w:b/>
          <w:i/>
          <w:sz w:val="28"/>
          <w:szCs w:val="28"/>
        </w:rPr>
        <w:t>ствия казахстанских банков международным стандартам, в том числе Базельского комитета и Международного валютного фонда</w:t>
      </w:r>
    </w:p>
    <w:p w:rsidR="006D1533" w:rsidRPr="006D1533" w:rsidRDefault="006D1533" w:rsidP="006D1533">
      <w:pPr>
        <w:ind w:firstLine="709"/>
        <w:jc w:val="both"/>
        <w:rPr>
          <w:sz w:val="28"/>
          <w:szCs w:val="28"/>
        </w:rPr>
      </w:pPr>
      <w:r w:rsidRPr="006D1533">
        <w:rPr>
          <w:sz w:val="28"/>
          <w:szCs w:val="28"/>
        </w:rPr>
        <w:t>Национальным Банком продолжается работа по совершенствованию пруденциального регулирования деятельности банков, системы управления рисками банковской деятельности с использованием международной практики (принципов Базельского комитета по банковскому надзору), а также обеспечивается институциональное развитие финансовой системы в целом.</w:t>
      </w:r>
    </w:p>
    <w:p w:rsidR="006D1533" w:rsidRPr="006D1533" w:rsidRDefault="006D1533" w:rsidP="006D1533">
      <w:pPr>
        <w:ind w:firstLine="709"/>
        <w:jc w:val="both"/>
        <w:rPr>
          <w:sz w:val="28"/>
          <w:szCs w:val="28"/>
        </w:rPr>
      </w:pPr>
      <w:r w:rsidRPr="006D1533">
        <w:rPr>
          <w:sz w:val="28"/>
          <w:szCs w:val="28"/>
        </w:rPr>
        <w:t>С 2017 года требования к достаточности собственного капитала для казахстанских банков второго уровня соответствуют стандарту Базель III.</w:t>
      </w:r>
    </w:p>
    <w:p w:rsidR="006D1533" w:rsidRPr="006D1533" w:rsidRDefault="006D1533" w:rsidP="006D1533">
      <w:pPr>
        <w:ind w:firstLine="709"/>
        <w:jc w:val="both"/>
        <w:rPr>
          <w:sz w:val="28"/>
          <w:szCs w:val="28"/>
        </w:rPr>
      </w:pPr>
      <w:r w:rsidRPr="006D1533">
        <w:rPr>
          <w:sz w:val="28"/>
          <w:szCs w:val="28"/>
        </w:rPr>
        <w:t xml:space="preserve">В 2016 году в практику регулирования внедрены новые коэффициенты покрытия ликвидности и чистого стабильного фондирования. </w:t>
      </w:r>
    </w:p>
    <w:p w:rsidR="006D1533" w:rsidRPr="006D1533" w:rsidRDefault="006D1533" w:rsidP="006D1533">
      <w:pPr>
        <w:ind w:firstLine="709"/>
        <w:jc w:val="both"/>
        <w:rPr>
          <w:sz w:val="28"/>
          <w:szCs w:val="28"/>
        </w:rPr>
      </w:pPr>
      <w:r w:rsidRPr="006D1533">
        <w:rPr>
          <w:sz w:val="28"/>
          <w:szCs w:val="28"/>
        </w:rPr>
        <w:t>С 1 января 2018 года банки второго уровня ведут бухгалтерский учет и составляют финансовую отчетность в соответствии с международными стандартами финансовой отчетности, в частности учет финансовых активов ведется в соответствии со стандартом МСФО 9.</w:t>
      </w:r>
    </w:p>
    <w:p w:rsidR="006D1533" w:rsidRPr="006D1533" w:rsidRDefault="006D1533" w:rsidP="006D1533">
      <w:pPr>
        <w:ind w:firstLine="709"/>
        <w:jc w:val="both"/>
        <w:rPr>
          <w:sz w:val="28"/>
          <w:szCs w:val="28"/>
        </w:rPr>
      </w:pPr>
      <w:r w:rsidRPr="006D1533">
        <w:rPr>
          <w:sz w:val="28"/>
          <w:szCs w:val="28"/>
        </w:rPr>
        <w:t>Национальным Банком ведется соответствующая работа по обеспечению перехода на МСФО 9, в частности разработаны Правила автоматизации ведения бухгалтерского учета; вносятся изменения и дополнения в типовой план счетов бухгалтерского учета, в инструкцию по ведению бухгалтерского учета банками второго уровня и акционерным обществом «Банк Развития Казахстана» и в инструкцию по ведению бухгалтерского учета доверительных операций и кастодиальной деятельности банками второго уровня.</w:t>
      </w:r>
    </w:p>
    <w:p w:rsidR="006D1533" w:rsidRPr="006D1533" w:rsidRDefault="006D1533" w:rsidP="006D1533">
      <w:pPr>
        <w:ind w:firstLine="709"/>
        <w:jc w:val="both"/>
        <w:rPr>
          <w:sz w:val="28"/>
          <w:szCs w:val="28"/>
        </w:rPr>
      </w:pPr>
      <w:r w:rsidRPr="006D1533">
        <w:rPr>
          <w:sz w:val="28"/>
          <w:szCs w:val="28"/>
        </w:rPr>
        <w:t>Национальным Банком на постоянной основе ведется работа в части мониторинга соответствия казахстанских банков международным стандартам, в том числе Базельского комитета и Международного валютного фонда.</w:t>
      </w:r>
    </w:p>
    <w:p w:rsidR="006D1533" w:rsidRPr="006D1533" w:rsidRDefault="006D1533" w:rsidP="006D1533">
      <w:pPr>
        <w:ind w:firstLine="709"/>
        <w:jc w:val="both"/>
        <w:rPr>
          <w:sz w:val="28"/>
          <w:szCs w:val="28"/>
        </w:rPr>
      </w:pPr>
    </w:p>
    <w:p w:rsidR="006D1533" w:rsidRPr="001F7A83" w:rsidRDefault="006D1533" w:rsidP="006D1533">
      <w:pPr>
        <w:ind w:firstLine="709"/>
        <w:jc w:val="both"/>
        <w:rPr>
          <w:b/>
          <w:i/>
          <w:sz w:val="28"/>
          <w:szCs w:val="28"/>
        </w:rPr>
      </w:pPr>
      <w:r w:rsidRPr="001F7A83">
        <w:rPr>
          <w:b/>
          <w:i/>
          <w:sz w:val="28"/>
          <w:szCs w:val="28"/>
        </w:rPr>
        <w:t>П.8 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(или) иностранных управляющих компаний</w:t>
      </w:r>
    </w:p>
    <w:p w:rsidR="006D1533" w:rsidRPr="006D1533" w:rsidRDefault="006D1533" w:rsidP="006D1533">
      <w:pPr>
        <w:ind w:firstLine="709"/>
        <w:jc w:val="both"/>
        <w:rPr>
          <w:sz w:val="28"/>
          <w:szCs w:val="28"/>
        </w:rPr>
      </w:pPr>
      <w:r w:rsidRPr="006D1533">
        <w:rPr>
          <w:sz w:val="28"/>
          <w:szCs w:val="28"/>
        </w:rPr>
        <w:t>Национальный Банк утвердил новое стратегическое распределение валютной части портфеля пенсионных активов ЕНПФ на базе опыта управления активами Национального фонда и золотовалютных активов Национального Банка (Постановление Правления НБ от 28.08.2017 г.).</w:t>
      </w:r>
    </w:p>
    <w:p w:rsidR="006D1533" w:rsidRPr="006D1533" w:rsidRDefault="006D1533" w:rsidP="006D1533">
      <w:pPr>
        <w:ind w:firstLine="709"/>
        <w:jc w:val="both"/>
        <w:rPr>
          <w:sz w:val="28"/>
          <w:szCs w:val="28"/>
        </w:rPr>
      </w:pPr>
      <w:r w:rsidRPr="006D1533">
        <w:rPr>
          <w:sz w:val="28"/>
          <w:szCs w:val="28"/>
        </w:rPr>
        <w:t xml:space="preserve">Национальный Банк в соответствии с новым стратегическим распределением валютной части портфеля пенсионных активов ЕНПФ, </w:t>
      </w:r>
      <w:r w:rsidRPr="006D1533">
        <w:rPr>
          <w:sz w:val="28"/>
          <w:szCs w:val="28"/>
        </w:rPr>
        <w:lastRenderedPageBreak/>
        <w:t xml:space="preserve">установленным Инвестиционной декларацией ЕНПФ, проводит работу по привлечению зарубежных управляющих компаний. </w:t>
      </w:r>
    </w:p>
    <w:p w:rsidR="006D1533" w:rsidRPr="006D1533" w:rsidRDefault="006D1533" w:rsidP="006D1533">
      <w:pPr>
        <w:ind w:firstLine="709"/>
        <w:jc w:val="both"/>
        <w:rPr>
          <w:sz w:val="28"/>
          <w:szCs w:val="28"/>
        </w:rPr>
      </w:pPr>
      <w:r w:rsidRPr="006D1533">
        <w:rPr>
          <w:sz w:val="28"/>
          <w:szCs w:val="28"/>
        </w:rPr>
        <w:t>Привлечение зарубежных управляющих компаний осуществляется для индексного инвестирования части пенсионных активов, номинированных в иностранной валюте, в глобальный индекс акций и индексы облигаций развивающихся и развитых стран.</w:t>
      </w:r>
    </w:p>
    <w:p w:rsidR="006D1533" w:rsidRPr="006D1533" w:rsidRDefault="006D1533" w:rsidP="006D1533">
      <w:pPr>
        <w:ind w:firstLine="709"/>
        <w:jc w:val="both"/>
        <w:rPr>
          <w:sz w:val="28"/>
          <w:szCs w:val="28"/>
        </w:rPr>
      </w:pPr>
      <w:r w:rsidRPr="006D1533">
        <w:rPr>
          <w:sz w:val="28"/>
          <w:szCs w:val="28"/>
        </w:rPr>
        <w:t>В марте 2018 года часть пенсионных активов ЕНПФ в размере 220,0 млн. долларов США передана внешнему управляющему Aviva Investors по мандату «Глобальные облигации развивающихся рынков».</w:t>
      </w:r>
    </w:p>
    <w:p w:rsidR="006D1533" w:rsidRPr="006D1533" w:rsidRDefault="006D1533" w:rsidP="006D1533">
      <w:pPr>
        <w:ind w:firstLine="709"/>
        <w:jc w:val="both"/>
        <w:rPr>
          <w:sz w:val="28"/>
          <w:szCs w:val="28"/>
        </w:rPr>
      </w:pPr>
      <w:r w:rsidRPr="006D1533">
        <w:rPr>
          <w:sz w:val="28"/>
          <w:szCs w:val="28"/>
        </w:rPr>
        <w:t>На сегодняшний день для индексного инвестирования в акции Национальным Банком проводятся необходимые процедуры по передаче части пенсионных активов ЕНПФ, номинированных в иностранной валюте, зарубежным управляющим компаниям по мандатам «Глобальные активные акции» и «Глобальные пассивные акции». В частности, обсуждаются параметры передачи, инвестиционная стратегия и другие условия договоров доверительного управления, а также проводится работа по определению наиболее благоприятного момента инвестирования в рынок акций. При этом, учитывая важность момента вхождения в рынок акций, передача пенсионных активов во внешнее доверительное управление по указанным мандатам будет осуществляться поэтапно.</w:t>
      </w:r>
    </w:p>
    <w:p w:rsidR="006D1533" w:rsidRPr="006D1533" w:rsidRDefault="006D1533" w:rsidP="006D1533">
      <w:pPr>
        <w:ind w:firstLine="709"/>
        <w:jc w:val="both"/>
        <w:rPr>
          <w:sz w:val="28"/>
          <w:szCs w:val="28"/>
        </w:rPr>
      </w:pPr>
      <w:r w:rsidRPr="006D1533">
        <w:rPr>
          <w:sz w:val="28"/>
          <w:szCs w:val="28"/>
        </w:rPr>
        <w:t>Национальный Банк также проводит работу по отбору зарубежных управляющих компаний в рамках мандата «Глобальные корпоративные облигации инвестиционного уровня с высокой капитализацией, номинированные в долларах США».</w:t>
      </w:r>
    </w:p>
    <w:p w:rsidR="006D1533" w:rsidRPr="006D1533" w:rsidRDefault="006D1533" w:rsidP="006D1533">
      <w:pPr>
        <w:ind w:firstLine="709"/>
        <w:jc w:val="both"/>
        <w:rPr>
          <w:sz w:val="28"/>
          <w:szCs w:val="28"/>
        </w:rPr>
      </w:pPr>
      <w:r w:rsidRPr="006D1533">
        <w:rPr>
          <w:sz w:val="28"/>
          <w:szCs w:val="28"/>
        </w:rPr>
        <w:t xml:space="preserve">Национальным Банком разработан законопроект, предусматривающий передачу пенсионных активов под управление казахстанским частным управляющим компаниям. В настоящее время данный законопроект обсуждается с участниками финансового рынка на площадке ОЮЛ «Ассоциация финансовых организаций Казахстана» с целью определения механизмов и процедур передачи пенсионных активов в частное управление. </w:t>
      </w:r>
    </w:p>
    <w:p w:rsidR="006D1533" w:rsidRPr="006D1533" w:rsidRDefault="006D1533" w:rsidP="006D1533">
      <w:pPr>
        <w:ind w:firstLine="709"/>
        <w:jc w:val="both"/>
        <w:rPr>
          <w:sz w:val="28"/>
          <w:szCs w:val="28"/>
        </w:rPr>
      </w:pPr>
      <w:r w:rsidRPr="006D1533">
        <w:rPr>
          <w:sz w:val="28"/>
          <w:szCs w:val="28"/>
        </w:rPr>
        <w:t>На сегодняшний день проведение актуарных расчетов находится на стадии завершения.</w:t>
      </w:r>
    </w:p>
    <w:p w:rsidR="006D1533" w:rsidRPr="006D1533" w:rsidRDefault="006D1533" w:rsidP="006D1533">
      <w:pPr>
        <w:ind w:firstLine="709"/>
        <w:jc w:val="both"/>
        <w:rPr>
          <w:sz w:val="28"/>
          <w:szCs w:val="28"/>
        </w:rPr>
      </w:pPr>
    </w:p>
    <w:p w:rsidR="006D1533" w:rsidRPr="002A0A72" w:rsidRDefault="006D1533" w:rsidP="006D1533">
      <w:pPr>
        <w:ind w:firstLine="709"/>
        <w:jc w:val="both"/>
        <w:rPr>
          <w:b/>
          <w:i/>
          <w:sz w:val="28"/>
          <w:szCs w:val="28"/>
        </w:rPr>
      </w:pPr>
      <w:r w:rsidRPr="002A0A72">
        <w:rPr>
          <w:b/>
          <w:i/>
          <w:sz w:val="28"/>
          <w:szCs w:val="28"/>
        </w:rPr>
        <w:t>П.9 Регулярное информирование общества и финансовых учреждений по вопросам деятельности Национального Банка Республики Казахстан</w:t>
      </w:r>
    </w:p>
    <w:p w:rsidR="006D1533" w:rsidRPr="006D1533" w:rsidRDefault="006D1533" w:rsidP="006D1533">
      <w:pPr>
        <w:ind w:firstLine="709"/>
        <w:jc w:val="both"/>
        <w:rPr>
          <w:sz w:val="28"/>
          <w:szCs w:val="28"/>
        </w:rPr>
      </w:pPr>
      <w:r w:rsidRPr="006D1533">
        <w:rPr>
          <w:sz w:val="28"/>
          <w:szCs w:val="28"/>
        </w:rPr>
        <w:t xml:space="preserve">Национальным Банком на постоянной основе проводится информационно-разъяснительная работа, направленная на укрепление эффективных коммуникаций с общественностью и повышение доверия населения к финансовому регулятору. </w:t>
      </w:r>
    </w:p>
    <w:p w:rsidR="006D1533" w:rsidRPr="006D1533" w:rsidRDefault="006D1533" w:rsidP="006D1533">
      <w:pPr>
        <w:ind w:firstLine="709"/>
        <w:jc w:val="both"/>
        <w:rPr>
          <w:sz w:val="28"/>
          <w:szCs w:val="28"/>
        </w:rPr>
      </w:pPr>
      <w:r w:rsidRPr="006D1533">
        <w:rPr>
          <w:sz w:val="28"/>
          <w:szCs w:val="28"/>
        </w:rPr>
        <w:t>На системной основе проводятся пресс-конференции, брифинги и круглые столы для СМИ с участием руководства и сотрудников Национального Банка, встречи с экспертами и населением, в том числе в регионах РК.</w:t>
      </w:r>
    </w:p>
    <w:p w:rsidR="006D1533" w:rsidRPr="006D1533" w:rsidRDefault="006D1533" w:rsidP="006D1533">
      <w:pPr>
        <w:ind w:firstLine="709"/>
        <w:jc w:val="both"/>
        <w:rPr>
          <w:sz w:val="28"/>
          <w:szCs w:val="28"/>
        </w:rPr>
      </w:pPr>
      <w:r w:rsidRPr="006D1533">
        <w:rPr>
          <w:sz w:val="28"/>
          <w:szCs w:val="28"/>
        </w:rPr>
        <w:t xml:space="preserve">Так, в 3 квартале 2018 года с участием Председателя Национального Банка были проведены 4 брифинга (по итогам заседаний Сената Парламента </w:t>
      </w:r>
      <w:r w:rsidRPr="006D1533">
        <w:rPr>
          <w:sz w:val="28"/>
          <w:szCs w:val="28"/>
        </w:rPr>
        <w:lastRenderedPageBreak/>
        <w:t>РК, заседания Правительства РК и по итогам очередного решения Национального Банка об уровне базовой ставки).</w:t>
      </w:r>
    </w:p>
    <w:p w:rsidR="006D1533" w:rsidRPr="006D1533" w:rsidRDefault="006D1533" w:rsidP="006D1533">
      <w:pPr>
        <w:ind w:firstLine="709"/>
        <w:jc w:val="both"/>
        <w:rPr>
          <w:sz w:val="28"/>
          <w:szCs w:val="28"/>
        </w:rPr>
      </w:pPr>
      <w:r w:rsidRPr="006D1533">
        <w:rPr>
          <w:sz w:val="28"/>
          <w:szCs w:val="28"/>
        </w:rPr>
        <w:t>Также были проведены 2 встречи с представителями экспертного сообщества и круглый стол с участием экспертов финансового рынка и СМИ по денежно-кредитной политике Национального Банка.</w:t>
      </w:r>
    </w:p>
    <w:p w:rsidR="006D1533" w:rsidRPr="006D1533" w:rsidRDefault="006D1533" w:rsidP="006D1533">
      <w:pPr>
        <w:ind w:firstLine="709"/>
        <w:jc w:val="both"/>
        <w:rPr>
          <w:sz w:val="28"/>
          <w:szCs w:val="28"/>
        </w:rPr>
      </w:pPr>
      <w:r w:rsidRPr="006D1533">
        <w:rPr>
          <w:sz w:val="28"/>
          <w:szCs w:val="28"/>
        </w:rPr>
        <w:t>Территориальными филиалами Национального Банка проведены 79 мероприятий с участием СМИ, включая пресс-конференции, брифинги и круглые столы.</w:t>
      </w:r>
    </w:p>
    <w:p w:rsidR="006D1533" w:rsidRPr="006D1533" w:rsidRDefault="006D1533" w:rsidP="006D1533">
      <w:pPr>
        <w:ind w:firstLine="709"/>
        <w:jc w:val="both"/>
        <w:rPr>
          <w:sz w:val="28"/>
          <w:szCs w:val="28"/>
        </w:rPr>
      </w:pPr>
      <w:r w:rsidRPr="006D1533">
        <w:rPr>
          <w:sz w:val="28"/>
          <w:szCs w:val="28"/>
        </w:rPr>
        <w:t>Разъяснительная работа Национального Банка проводилась по следующим направлениям:</w:t>
      </w:r>
    </w:p>
    <w:p w:rsidR="006D1533" w:rsidRPr="006D1533" w:rsidRDefault="006D1533" w:rsidP="006D1533">
      <w:pPr>
        <w:ind w:firstLine="709"/>
        <w:jc w:val="both"/>
        <w:rPr>
          <w:sz w:val="28"/>
          <w:szCs w:val="28"/>
        </w:rPr>
      </w:pPr>
      <w:r w:rsidRPr="006D1533">
        <w:rPr>
          <w:sz w:val="28"/>
          <w:szCs w:val="28"/>
        </w:rPr>
        <w:t>– организация интервью для средств массовой информации.                         В 3 квартале 2018 года были организованы интервью руководства и сотрудников Национального Банка для ряда казахстанских средств массовой информации: «Хабар», «Хабар24», «КТК», «Forbes», «Казахстан», «Атамекен», «Егемен Қазақстан», «Казахстанская правда», «Деловой Казахстан», «Капитал.kz», «Kursiv.kz», «Zakon.kz». Территориальными филиалами Национального Банка было организовано 87 выступлений в региональных СМИ;</w:t>
      </w:r>
    </w:p>
    <w:p w:rsidR="006D1533" w:rsidRPr="006D1533" w:rsidRDefault="006D1533" w:rsidP="006D1533">
      <w:pPr>
        <w:ind w:firstLine="709"/>
        <w:jc w:val="both"/>
        <w:rPr>
          <w:sz w:val="28"/>
          <w:szCs w:val="28"/>
        </w:rPr>
      </w:pPr>
      <w:r w:rsidRPr="006D1533">
        <w:rPr>
          <w:sz w:val="28"/>
          <w:szCs w:val="28"/>
        </w:rPr>
        <w:t xml:space="preserve">– подготовка и рассылка в СМИ информационных сообщений, пресс-релизов. Было направлено 124 информационных материала,  территориальными филиалами Национального Банка – 135 информационных материалов; </w:t>
      </w:r>
    </w:p>
    <w:p w:rsidR="006D1533" w:rsidRPr="006D1533" w:rsidRDefault="006D1533" w:rsidP="006D1533">
      <w:pPr>
        <w:ind w:firstLine="709"/>
        <w:jc w:val="both"/>
        <w:rPr>
          <w:sz w:val="28"/>
          <w:szCs w:val="28"/>
        </w:rPr>
      </w:pPr>
      <w:r w:rsidRPr="006D1533">
        <w:rPr>
          <w:sz w:val="28"/>
          <w:szCs w:val="28"/>
        </w:rPr>
        <w:t>– предоставление комментариев на запросы СМИ по основным направлениям деятельности Национального Банка. В Национальный Банк поступило 110 запросов СМИ, на которые были подготовлены развернутые ответы;</w:t>
      </w:r>
    </w:p>
    <w:p w:rsidR="006D1533" w:rsidRPr="006D1533" w:rsidRDefault="006D1533" w:rsidP="006D1533">
      <w:pPr>
        <w:ind w:firstLine="709"/>
        <w:jc w:val="both"/>
        <w:rPr>
          <w:sz w:val="28"/>
          <w:szCs w:val="28"/>
        </w:rPr>
      </w:pPr>
      <w:r w:rsidRPr="006D1533">
        <w:rPr>
          <w:sz w:val="28"/>
          <w:szCs w:val="28"/>
        </w:rPr>
        <w:t>– наполнение контента официального интернет-ресурса Национального Банка. На официальном интернет-ресурсе Национального Банка на системной основе публикуются данные по проводимым операциям в рамках денежно-кредитной политики, в том числе по валютным интервенциям. Также регулярно размещается информация о ситуации на финансовом рынке Казахстана, основных направлениях денежно-кредитной политики, обзоры инфляции и нормативные правовые акты, разработанные Национальным Банком;</w:t>
      </w:r>
    </w:p>
    <w:p w:rsidR="006D1533" w:rsidRPr="006D1533" w:rsidRDefault="006D1533" w:rsidP="006D1533">
      <w:pPr>
        <w:ind w:firstLine="709"/>
        <w:jc w:val="both"/>
        <w:rPr>
          <w:sz w:val="28"/>
          <w:szCs w:val="28"/>
        </w:rPr>
      </w:pPr>
      <w:r w:rsidRPr="006D1533">
        <w:rPr>
          <w:sz w:val="28"/>
          <w:szCs w:val="28"/>
        </w:rPr>
        <w:t>– освещение деятельности Национального Банка посредством мобильного приложения «НБК online», официальных аккаунтов в социальных сетях Facebook, Twitter и Instagram. За 3 квартал 2018 года на официальной странице Национального Банка в Facebook размещены 144 публикации, в Twitter – 232, в Instagram – 144 и в новостной ленте мобильного приложения «НБК Online» размещены 128 публикации об основных направлениях деятельности Национального Банка. В настоящий момент в приложении «НБК Online» зарегистрировано свыше 14 000 пользователей, предоставлены ответы на более чем 9 000 вопросов пользователей;</w:t>
      </w:r>
    </w:p>
    <w:p w:rsidR="006D1533" w:rsidRPr="006D1533" w:rsidRDefault="006D1533" w:rsidP="006D1533">
      <w:pPr>
        <w:ind w:firstLine="709"/>
        <w:jc w:val="both"/>
        <w:rPr>
          <w:sz w:val="28"/>
          <w:szCs w:val="28"/>
        </w:rPr>
      </w:pPr>
      <w:r w:rsidRPr="006D1533">
        <w:rPr>
          <w:sz w:val="28"/>
          <w:szCs w:val="28"/>
        </w:rPr>
        <w:t xml:space="preserve">– реализация специальных проектов Национального Банка. Были опубликованы 4 специальных полосы «Национальный Банк комментирует, </w:t>
      </w:r>
      <w:r w:rsidRPr="006D1533">
        <w:rPr>
          <w:sz w:val="28"/>
          <w:szCs w:val="28"/>
        </w:rPr>
        <w:lastRenderedPageBreak/>
        <w:t>информирует, разъясняет» в газетах «Егемен Қазақстан» и «Казахстанская правда».</w:t>
      </w:r>
    </w:p>
    <w:p w:rsidR="006D1533" w:rsidRPr="006D1533" w:rsidRDefault="006D1533" w:rsidP="006D1533">
      <w:pPr>
        <w:ind w:firstLine="709"/>
        <w:jc w:val="both"/>
        <w:rPr>
          <w:sz w:val="28"/>
          <w:szCs w:val="28"/>
        </w:rPr>
      </w:pPr>
      <w:r w:rsidRPr="006D1533">
        <w:rPr>
          <w:sz w:val="28"/>
          <w:szCs w:val="28"/>
        </w:rPr>
        <w:t>В рамках реализации «Программы повышения финансовой грамотности населения РК на 2016-2018 годы» Национальным Банком реализуются следующие проекты:</w:t>
      </w:r>
    </w:p>
    <w:p w:rsidR="006D1533" w:rsidRPr="006D1533" w:rsidRDefault="006D1533" w:rsidP="006D1533">
      <w:pPr>
        <w:ind w:firstLine="709"/>
        <w:jc w:val="both"/>
        <w:rPr>
          <w:sz w:val="28"/>
          <w:szCs w:val="28"/>
        </w:rPr>
      </w:pPr>
      <w:r w:rsidRPr="006D1533">
        <w:rPr>
          <w:sz w:val="28"/>
          <w:szCs w:val="28"/>
        </w:rPr>
        <w:t>– с целью разработки Национальной стратегии по повышению финансовой грамотности населения ведется работа по созданию экспертного совета по повышению финансовой грамотности, в который войдут представители Министерства образования Республики Казахстан, ОЮЛ «Ассоциация финансистов Казахстана», финансовых организаций, общественных организаций, СМИ и отдельные эксперты;</w:t>
      </w:r>
    </w:p>
    <w:p w:rsidR="006D1533" w:rsidRPr="006D1533" w:rsidRDefault="006D1533" w:rsidP="006D1533">
      <w:pPr>
        <w:ind w:firstLine="709"/>
        <w:jc w:val="both"/>
        <w:rPr>
          <w:sz w:val="28"/>
          <w:szCs w:val="28"/>
        </w:rPr>
      </w:pPr>
      <w:r w:rsidRPr="006D1533">
        <w:rPr>
          <w:sz w:val="28"/>
          <w:szCs w:val="28"/>
        </w:rPr>
        <w:t>– запущено социологическое исследование уровня финансовой грамотности населения Казахстана и проведение курса лекций по финансовой грамотности для населения в регионах страны;</w:t>
      </w:r>
    </w:p>
    <w:p w:rsidR="006D1533" w:rsidRPr="006D1533" w:rsidRDefault="006D1533" w:rsidP="006D1533">
      <w:pPr>
        <w:ind w:firstLine="709"/>
        <w:jc w:val="both"/>
        <w:rPr>
          <w:sz w:val="28"/>
          <w:szCs w:val="28"/>
        </w:rPr>
      </w:pPr>
      <w:r w:rsidRPr="006D1533">
        <w:rPr>
          <w:sz w:val="28"/>
          <w:szCs w:val="28"/>
        </w:rPr>
        <w:t>– функционирует обновленный сайт fingramota.kz, на котором размещаются материалы по финансовой грамотности, финансовые новости и видеоматериалы;</w:t>
      </w:r>
    </w:p>
    <w:p w:rsidR="006D1533" w:rsidRPr="006D1533" w:rsidRDefault="006D1533" w:rsidP="006D1533">
      <w:pPr>
        <w:ind w:firstLine="709"/>
        <w:jc w:val="both"/>
        <w:rPr>
          <w:sz w:val="28"/>
          <w:szCs w:val="28"/>
        </w:rPr>
      </w:pPr>
      <w:r w:rsidRPr="006D1533">
        <w:rPr>
          <w:sz w:val="28"/>
          <w:szCs w:val="28"/>
        </w:rPr>
        <w:t>– создаются и выходят в эфир телевизионные программы по финансовой грамотности на телеканале «Астана»: «Профинансы.WEB» – для широких слоев населения, в том числе молодежной аудитории с целью повышения финансовой грамотности, осведомленности о финансовых продуктах и работе финансовой системы в целом (в 3 квартале 2018 года в эфир вышло 23 телепередачи), «ТенгеLand» – детская телевизионная программа для детей младшего и среднего школьного возраста с целью формирования базовых навыков финансовой культуры (в 3 квартале 2018 года в эфир вышло 23 телепередачи);</w:t>
      </w:r>
    </w:p>
    <w:p w:rsidR="006D1533" w:rsidRPr="006D1533" w:rsidRDefault="006D1533" w:rsidP="006D1533">
      <w:pPr>
        <w:ind w:firstLine="709"/>
        <w:jc w:val="both"/>
        <w:rPr>
          <w:sz w:val="28"/>
          <w:szCs w:val="28"/>
        </w:rPr>
      </w:pPr>
      <w:r w:rsidRPr="006D1533">
        <w:rPr>
          <w:sz w:val="28"/>
          <w:szCs w:val="28"/>
        </w:rPr>
        <w:t>– запущен выпуск приложений для детей школьного возраста в республиканских печатных изданиях «Ойла» и «Дружные ребята». В 3 квартале 2018 года опубликовано 6 приложений.</w:t>
      </w:r>
    </w:p>
    <w:p w:rsidR="006D1533" w:rsidRPr="006D1533" w:rsidRDefault="006D1533" w:rsidP="006D1533">
      <w:pPr>
        <w:ind w:firstLine="709"/>
        <w:jc w:val="both"/>
        <w:rPr>
          <w:sz w:val="28"/>
          <w:szCs w:val="28"/>
        </w:rPr>
      </w:pPr>
      <w:r w:rsidRPr="006D1533">
        <w:rPr>
          <w:sz w:val="28"/>
          <w:szCs w:val="28"/>
        </w:rPr>
        <w:t>Национальный Банк продолжит работу по совершенствованию информационной политики, обеспечению открытости и прозрачности своей деятельности для каждой целевой аудитории.</w:t>
      </w:r>
    </w:p>
    <w:p w:rsidR="006D1533" w:rsidRPr="006D1533" w:rsidRDefault="006D1533" w:rsidP="006D1533">
      <w:pPr>
        <w:ind w:firstLine="709"/>
        <w:jc w:val="both"/>
        <w:rPr>
          <w:sz w:val="28"/>
          <w:szCs w:val="28"/>
        </w:rPr>
      </w:pPr>
    </w:p>
    <w:p w:rsidR="006D1533" w:rsidRPr="006D1533" w:rsidRDefault="006D1533" w:rsidP="006D1533">
      <w:pPr>
        <w:ind w:firstLine="709"/>
        <w:jc w:val="both"/>
        <w:rPr>
          <w:sz w:val="28"/>
          <w:szCs w:val="28"/>
        </w:rPr>
      </w:pPr>
      <w:r w:rsidRPr="006D1533">
        <w:rPr>
          <w:b/>
          <w:sz w:val="28"/>
          <w:szCs w:val="28"/>
        </w:rPr>
        <w:t>ОНП 2017 года (Указ Президента РК от 15.02.2017г. № 422)</w:t>
      </w:r>
    </w:p>
    <w:p w:rsidR="006D1533" w:rsidRPr="006D1533" w:rsidRDefault="006D1533" w:rsidP="006D1533">
      <w:pPr>
        <w:ind w:firstLine="709"/>
        <w:jc w:val="both"/>
        <w:rPr>
          <w:sz w:val="28"/>
          <w:szCs w:val="28"/>
        </w:rPr>
      </w:pPr>
    </w:p>
    <w:p w:rsidR="006D1533" w:rsidRPr="002A0A72" w:rsidRDefault="006D1533" w:rsidP="006D1533">
      <w:pPr>
        <w:ind w:firstLine="709"/>
        <w:jc w:val="both"/>
        <w:rPr>
          <w:b/>
          <w:i/>
          <w:sz w:val="28"/>
          <w:szCs w:val="28"/>
        </w:rPr>
      </w:pPr>
      <w:r w:rsidRPr="002A0A72">
        <w:rPr>
          <w:b/>
          <w:i/>
          <w:sz w:val="28"/>
          <w:szCs w:val="28"/>
        </w:rPr>
        <w:t>П.38 Поэтапное снижение уровня инфляции</w:t>
      </w:r>
      <w:r w:rsidR="00DD6412">
        <w:rPr>
          <w:b/>
          <w:i/>
          <w:sz w:val="28"/>
          <w:szCs w:val="28"/>
        </w:rPr>
        <w:t xml:space="preserve"> </w:t>
      </w:r>
      <w:bookmarkStart w:id="0" w:name="_GoBack"/>
      <w:bookmarkEnd w:id="0"/>
      <w:r w:rsidRPr="002A0A72">
        <w:rPr>
          <w:b/>
          <w:i/>
          <w:sz w:val="28"/>
          <w:szCs w:val="28"/>
        </w:rPr>
        <w:t>до 3-4% в среднесрочный период</w:t>
      </w:r>
    </w:p>
    <w:p w:rsidR="006D1533" w:rsidRPr="006D1533" w:rsidRDefault="006D1533" w:rsidP="006D1533">
      <w:pPr>
        <w:ind w:firstLine="709"/>
        <w:jc w:val="both"/>
        <w:rPr>
          <w:sz w:val="28"/>
          <w:szCs w:val="28"/>
        </w:rPr>
      </w:pPr>
      <w:r w:rsidRPr="006D1533">
        <w:rPr>
          <w:sz w:val="28"/>
          <w:szCs w:val="28"/>
        </w:rPr>
        <w:t xml:space="preserve">С начала 2018 года годовая инфляция находится в пределах целевого ориентира Национального Банка 5-7%. По итогам августа инфляция в годовом выражении сложилась на уровне 6,0% (декабрь 2017 г.- 7,1%) и находится в середине целевого коридора. Накопленная инфляция за 8 месяцев 2018 года составила 2,9%, что ниже показателей аналогичного периода 2016 года (3,9%). </w:t>
      </w:r>
    </w:p>
    <w:p w:rsidR="006D1533" w:rsidRPr="006D1533" w:rsidRDefault="006D1533" w:rsidP="006D1533">
      <w:pPr>
        <w:ind w:firstLine="709"/>
        <w:jc w:val="both"/>
        <w:rPr>
          <w:sz w:val="28"/>
          <w:szCs w:val="28"/>
        </w:rPr>
      </w:pPr>
      <w:r w:rsidRPr="006D1533">
        <w:rPr>
          <w:sz w:val="28"/>
          <w:szCs w:val="28"/>
        </w:rPr>
        <w:t xml:space="preserve">Согласно прогнозам Национального Банка, годовая инфляция в Казахстане в 2018 году будет находиться внутри целевого коридора 5-7%. В </w:t>
      </w:r>
      <w:r w:rsidRPr="006D1533">
        <w:rPr>
          <w:sz w:val="28"/>
          <w:szCs w:val="28"/>
        </w:rPr>
        <w:lastRenderedPageBreak/>
        <w:t xml:space="preserve">2019 году годовая инфляция начнет плавное вхождение в новый целевой коридор 4-6%, находясь около его верхней границы. </w:t>
      </w:r>
    </w:p>
    <w:p w:rsidR="006D1533" w:rsidRPr="006D1533" w:rsidRDefault="006D1533" w:rsidP="006D1533">
      <w:pPr>
        <w:ind w:firstLine="709"/>
        <w:jc w:val="both"/>
        <w:rPr>
          <w:sz w:val="28"/>
          <w:szCs w:val="28"/>
        </w:rPr>
      </w:pPr>
      <w:r w:rsidRPr="006D1533">
        <w:rPr>
          <w:sz w:val="28"/>
          <w:szCs w:val="28"/>
        </w:rPr>
        <w:t xml:space="preserve">С начала текущего года базовая ставка была снижена с 10,25% до 9%. Однако Национальный Банк не исключает ужесточение денежно-кредитных условий до конца текущего года в случае, если оценки по рискам инфляции подтвердятся. </w:t>
      </w:r>
    </w:p>
    <w:p w:rsidR="006D1533" w:rsidRPr="006D1533" w:rsidRDefault="006D1533" w:rsidP="006D1533">
      <w:pPr>
        <w:ind w:firstLine="709"/>
        <w:jc w:val="both"/>
        <w:rPr>
          <w:sz w:val="28"/>
          <w:szCs w:val="28"/>
        </w:rPr>
      </w:pPr>
    </w:p>
    <w:p w:rsidR="006D1533" w:rsidRPr="006D1533" w:rsidRDefault="006D1533" w:rsidP="006D1533">
      <w:pPr>
        <w:ind w:firstLine="709"/>
        <w:jc w:val="both"/>
        <w:rPr>
          <w:sz w:val="28"/>
          <w:szCs w:val="28"/>
        </w:rPr>
      </w:pPr>
      <w:r w:rsidRPr="006D1533">
        <w:rPr>
          <w:b/>
          <w:sz w:val="28"/>
          <w:szCs w:val="28"/>
        </w:rPr>
        <w:t>ОНП 2018 года (Указ Президента РК от 09.02.2018г. № 633)</w:t>
      </w:r>
    </w:p>
    <w:p w:rsidR="006D1533" w:rsidRPr="006D1533" w:rsidRDefault="006D1533" w:rsidP="006D1533">
      <w:pPr>
        <w:ind w:firstLine="709"/>
        <w:jc w:val="both"/>
        <w:rPr>
          <w:sz w:val="28"/>
          <w:szCs w:val="28"/>
        </w:rPr>
      </w:pPr>
    </w:p>
    <w:p w:rsidR="006D1533" w:rsidRPr="002A0A72" w:rsidRDefault="006D1533" w:rsidP="002A0A72">
      <w:pPr>
        <w:ind w:firstLine="709"/>
        <w:jc w:val="both"/>
        <w:rPr>
          <w:b/>
          <w:i/>
          <w:sz w:val="28"/>
          <w:szCs w:val="28"/>
        </w:rPr>
      </w:pPr>
      <w:r w:rsidRPr="002A0A72">
        <w:rPr>
          <w:b/>
          <w:i/>
          <w:sz w:val="28"/>
          <w:szCs w:val="28"/>
        </w:rPr>
        <w:t xml:space="preserve">34. Внесение предложений по: </w:t>
      </w:r>
    </w:p>
    <w:p w:rsidR="006D1533" w:rsidRPr="002A0A72" w:rsidRDefault="006D1533" w:rsidP="002A0A72">
      <w:pPr>
        <w:ind w:firstLine="709"/>
        <w:jc w:val="both"/>
        <w:rPr>
          <w:b/>
          <w:i/>
          <w:sz w:val="28"/>
          <w:szCs w:val="28"/>
        </w:rPr>
      </w:pPr>
      <w:r w:rsidRPr="002A0A72">
        <w:rPr>
          <w:b/>
          <w:i/>
          <w:sz w:val="28"/>
          <w:szCs w:val="28"/>
        </w:rPr>
        <w:t>экономи</w:t>
      </w:r>
      <w:r w:rsidR="002A0A72">
        <w:rPr>
          <w:b/>
          <w:i/>
          <w:sz w:val="28"/>
          <w:szCs w:val="28"/>
        </w:rPr>
        <w:t>ческой ответственности собствен</w:t>
      </w:r>
      <w:r w:rsidRPr="002A0A72">
        <w:rPr>
          <w:b/>
          <w:i/>
          <w:sz w:val="28"/>
          <w:szCs w:val="28"/>
        </w:rPr>
        <w:t xml:space="preserve">ников банков; </w:t>
      </w:r>
    </w:p>
    <w:p w:rsidR="006D1533" w:rsidRPr="002A0A72" w:rsidRDefault="006D1533" w:rsidP="006D1533">
      <w:pPr>
        <w:ind w:firstLine="709"/>
        <w:jc w:val="both"/>
        <w:rPr>
          <w:b/>
          <w:i/>
          <w:sz w:val="28"/>
          <w:szCs w:val="28"/>
        </w:rPr>
      </w:pPr>
      <w:r w:rsidRPr="002A0A72">
        <w:rPr>
          <w:b/>
          <w:i/>
          <w:sz w:val="28"/>
          <w:szCs w:val="28"/>
        </w:rPr>
        <w:t>установлению уголовной ответственности акционеров банков за вывод средств в угоду аффилированных компаний и лиц, а также переводу соответствующих составов преступлений из категории средней тяжести в тяжкие преступления</w:t>
      </w:r>
    </w:p>
    <w:p w:rsidR="006D1533" w:rsidRPr="006D1533" w:rsidRDefault="006D1533" w:rsidP="006D1533">
      <w:pPr>
        <w:ind w:firstLine="709"/>
        <w:jc w:val="both"/>
        <w:rPr>
          <w:sz w:val="28"/>
          <w:szCs w:val="28"/>
        </w:rPr>
      </w:pPr>
      <w:r w:rsidRPr="006D1533">
        <w:rPr>
          <w:sz w:val="28"/>
          <w:szCs w:val="28"/>
        </w:rPr>
        <w:t>Поручение в части установления экономической ответственности собственников банков исполнено. В рамках Закона РК от 02.07.2018г. №168-VI «О внесении изменений и дополнений в некоторые законодательные акты РК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НБРК» предусмотрено:</w:t>
      </w:r>
    </w:p>
    <w:p w:rsidR="006D1533" w:rsidRPr="006D1533" w:rsidRDefault="006D1533" w:rsidP="006D1533">
      <w:pPr>
        <w:ind w:firstLine="709"/>
        <w:jc w:val="both"/>
        <w:rPr>
          <w:sz w:val="28"/>
          <w:szCs w:val="28"/>
        </w:rPr>
      </w:pPr>
      <w:r w:rsidRPr="006D1533">
        <w:rPr>
          <w:sz w:val="28"/>
          <w:szCs w:val="28"/>
        </w:rPr>
        <w:t>усиление надзорных мер в отношении акционеров банка посредством требования по проведению оценки стоимости имущества, принадлежащего акционерам, в целях последующей капитализации банка при ухудшении финансового состояния банка;</w:t>
      </w:r>
    </w:p>
    <w:p w:rsidR="006D1533" w:rsidRPr="006D1533" w:rsidRDefault="006D1533" w:rsidP="006D1533">
      <w:pPr>
        <w:ind w:firstLine="709"/>
        <w:jc w:val="both"/>
        <w:rPr>
          <w:sz w:val="28"/>
          <w:szCs w:val="28"/>
        </w:rPr>
      </w:pPr>
      <w:r w:rsidRPr="006D1533">
        <w:rPr>
          <w:sz w:val="28"/>
          <w:szCs w:val="28"/>
        </w:rPr>
        <w:t>обязанность акционеров по улучшению  финансового состояния проблемного банка (принудительная реструктуризация, признание убытков акционеров банка и частичное разделение убытков с крупными кредиторами).</w:t>
      </w:r>
    </w:p>
    <w:p w:rsidR="006D1533" w:rsidRPr="006D1533" w:rsidRDefault="006D1533" w:rsidP="006D1533">
      <w:pPr>
        <w:ind w:firstLine="709"/>
        <w:jc w:val="both"/>
        <w:rPr>
          <w:sz w:val="28"/>
          <w:szCs w:val="28"/>
        </w:rPr>
      </w:pPr>
      <w:r w:rsidRPr="006D1533">
        <w:rPr>
          <w:sz w:val="28"/>
          <w:szCs w:val="28"/>
        </w:rPr>
        <w:t>По установлению уголовной ответственности акционеров банков за вывод средств в угоду аффилированных компаний и лиц, а также переводу соответствующих составов преступлений из категории средней тяжести в тяжкие преступления, Национальным Банком с учетом позиций заинтересованных государственных органов внесены соответствующие предложения в адрес Администрации Президента РК. В частности, предложен перевод соответствующих составов преступлений из категории средней тяжести в тяжкие преступления путем повышения срока лишения свободы. Вместе с тем, по мнению Администрации Президента РК, данный вопрос требует дополнительной проработки в связи с необходимостью осуществления анализа соразмерности срока лишения свободы характеру противоправного деяния, оценки степени общественной опасности и последствиям.</w:t>
      </w:r>
    </w:p>
    <w:p w:rsidR="006D1533" w:rsidRPr="006D1533" w:rsidRDefault="006D1533" w:rsidP="006D1533">
      <w:pPr>
        <w:ind w:firstLine="709"/>
        <w:jc w:val="both"/>
        <w:rPr>
          <w:sz w:val="28"/>
          <w:szCs w:val="28"/>
        </w:rPr>
      </w:pPr>
      <w:r w:rsidRPr="006D1533">
        <w:rPr>
          <w:rFonts w:eastAsia="Calibri"/>
          <w:sz w:val="28"/>
          <w:szCs w:val="28"/>
        </w:rPr>
        <w:t xml:space="preserve">На исполнении. Поручение поставлено на долгосрочный контроль </w:t>
      </w:r>
      <w:r w:rsidRPr="006D1533">
        <w:rPr>
          <w:rFonts w:eastAsia="Calibri"/>
          <w:sz w:val="28"/>
          <w:szCs w:val="28"/>
          <w:u w:val="single"/>
        </w:rPr>
        <w:t>и закреплено за Генеральной прокуратурой РК</w:t>
      </w:r>
      <w:r w:rsidRPr="006D1533">
        <w:rPr>
          <w:rFonts w:eastAsia="Calibri"/>
          <w:sz w:val="28"/>
          <w:szCs w:val="28"/>
        </w:rPr>
        <w:t xml:space="preserve"> резолюцией от 31.07.18г. № 4794-7 ПАБ</w:t>
      </w:r>
    </w:p>
    <w:p w:rsidR="006D1533" w:rsidRPr="006D1533" w:rsidRDefault="006D1533" w:rsidP="006D1533">
      <w:pPr>
        <w:ind w:firstLine="709"/>
        <w:jc w:val="both"/>
        <w:rPr>
          <w:sz w:val="28"/>
          <w:szCs w:val="28"/>
        </w:rPr>
      </w:pPr>
    </w:p>
    <w:p w:rsidR="006D1533" w:rsidRPr="002A0A72" w:rsidRDefault="006D1533" w:rsidP="006D1533">
      <w:pPr>
        <w:ind w:firstLine="709"/>
        <w:jc w:val="both"/>
        <w:rPr>
          <w:b/>
          <w:i/>
          <w:sz w:val="28"/>
          <w:szCs w:val="28"/>
        </w:rPr>
      </w:pPr>
      <w:r w:rsidRPr="002A0A72">
        <w:rPr>
          <w:b/>
          <w:i/>
          <w:sz w:val="28"/>
          <w:szCs w:val="28"/>
        </w:rPr>
        <w:t>П.36. Завершение работы по вопросу валютных ипотечных займов населения, обеспеченных жилой недвижимостью и предоставленных до 1 января 2016 года</w:t>
      </w:r>
    </w:p>
    <w:p w:rsidR="006D1533" w:rsidRPr="006D1533" w:rsidRDefault="006D1533" w:rsidP="006D1533">
      <w:pPr>
        <w:ind w:firstLine="709"/>
        <w:jc w:val="both"/>
        <w:rPr>
          <w:sz w:val="28"/>
          <w:szCs w:val="28"/>
        </w:rPr>
      </w:pPr>
      <w:r w:rsidRPr="006D1533">
        <w:rPr>
          <w:sz w:val="28"/>
          <w:szCs w:val="28"/>
        </w:rPr>
        <w:t xml:space="preserve">Постановлением Правления Национального Банка № 59 от 27 марта 2018 года внесены изменения в постановление Правления Национального Банка Республики Казахстан от 24 апреля 2015 года № 69, и Программа рефинансирования жилищных ипотечных займов (ипотечных займов) (далее – Программа) утверждена в новой редакции. </w:t>
      </w:r>
    </w:p>
    <w:p w:rsidR="006D1533" w:rsidRPr="006D1533" w:rsidRDefault="006D1533" w:rsidP="006D1533">
      <w:pPr>
        <w:ind w:firstLine="709"/>
        <w:jc w:val="both"/>
        <w:rPr>
          <w:sz w:val="28"/>
          <w:szCs w:val="28"/>
        </w:rPr>
      </w:pPr>
      <w:r w:rsidRPr="006D1533">
        <w:rPr>
          <w:sz w:val="28"/>
          <w:szCs w:val="28"/>
        </w:rPr>
        <w:t>Программа предусматривает рефинансирование валютных ипотечных займов физических лиц:</w:t>
      </w:r>
    </w:p>
    <w:p w:rsidR="006D1533" w:rsidRPr="006D1533" w:rsidRDefault="006D1533" w:rsidP="006D1533">
      <w:pPr>
        <w:ind w:firstLine="709"/>
        <w:jc w:val="both"/>
        <w:rPr>
          <w:sz w:val="28"/>
          <w:szCs w:val="28"/>
        </w:rPr>
      </w:pPr>
      <w:r w:rsidRPr="006D1533">
        <w:rPr>
          <w:sz w:val="28"/>
          <w:szCs w:val="28"/>
        </w:rPr>
        <w:t>– выданных до 1 января 2016 года;</w:t>
      </w:r>
    </w:p>
    <w:p w:rsidR="006D1533" w:rsidRPr="006D1533" w:rsidRDefault="006D1533" w:rsidP="006D1533">
      <w:pPr>
        <w:ind w:firstLine="709"/>
        <w:jc w:val="both"/>
        <w:rPr>
          <w:sz w:val="28"/>
          <w:szCs w:val="28"/>
        </w:rPr>
      </w:pPr>
      <w:r w:rsidRPr="006D1533">
        <w:rPr>
          <w:sz w:val="28"/>
          <w:szCs w:val="28"/>
        </w:rPr>
        <w:t>– по курсу Национального Банка на 18 августа 2015 года (188,35 тенге за доллар США);</w:t>
      </w:r>
    </w:p>
    <w:p w:rsidR="006D1533" w:rsidRPr="006D1533" w:rsidRDefault="006D1533" w:rsidP="006D1533">
      <w:pPr>
        <w:ind w:firstLine="709"/>
        <w:jc w:val="both"/>
        <w:rPr>
          <w:sz w:val="28"/>
          <w:szCs w:val="28"/>
        </w:rPr>
      </w:pPr>
      <w:r w:rsidRPr="006D1533">
        <w:rPr>
          <w:sz w:val="28"/>
          <w:szCs w:val="28"/>
        </w:rPr>
        <w:t>– с остатком задолженности по основному долгу не более 166,2 млн. тенге (500 тыс. долларов США) на 1 января 2018 года;</w:t>
      </w:r>
    </w:p>
    <w:p w:rsidR="006D1533" w:rsidRPr="006D1533" w:rsidRDefault="006D1533" w:rsidP="006D1533">
      <w:pPr>
        <w:ind w:firstLine="709"/>
        <w:jc w:val="both"/>
        <w:rPr>
          <w:sz w:val="28"/>
          <w:szCs w:val="28"/>
        </w:rPr>
      </w:pPr>
      <w:r w:rsidRPr="006D1533">
        <w:rPr>
          <w:sz w:val="28"/>
          <w:szCs w:val="28"/>
        </w:rPr>
        <w:t>– по ставке вознаграждения 12% годовых (для заемщиков, относящихся к социально уязвимым слоям населения, – 3% годовых).</w:t>
      </w:r>
    </w:p>
    <w:p w:rsidR="006D1533" w:rsidRPr="006D1533" w:rsidRDefault="006D1533" w:rsidP="006D1533">
      <w:pPr>
        <w:ind w:firstLine="709"/>
        <w:jc w:val="both"/>
        <w:rPr>
          <w:sz w:val="28"/>
          <w:szCs w:val="28"/>
        </w:rPr>
      </w:pPr>
      <w:r w:rsidRPr="006D1533">
        <w:rPr>
          <w:sz w:val="28"/>
          <w:szCs w:val="28"/>
        </w:rPr>
        <w:t>Сумма курсовой разницы 137,3 млрд. тенге будет покрываться за счет средств Национального Банка. В свою очередь банками будет прощена задолженность заемщиков по вознаграждению, комиссиям, неустойке на сумму 136 млрд. тенге.</w:t>
      </w:r>
    </w:p>
    <w:p w:rsidR="006D1533" w:rsidRPr="006D1533" w:rsidRDefault="006D1533" w:rsidP="006D1533">
      <w:pPr>
        <w:ind w:firstLine="709"/>
        <w:jc w:val="both"/>
        <w:rPr>
          <w:sz w:val="28"/>
          <w:szCs w:val="28"/>
        </w:rPr>
      </w:pPr>
      <w:r w:rsidRPr="006D1533">
        <w:rPr>
          <w:sz w:val="28"/>
          <w:szCs w:val="28"/>
        </w:rPr>
        <w:t>Программа дополнительно охватит 21,7 тысяч валютных займов физических лиц.</w:t>
      </w:r>
    </w:p>
    <w:p w:rsidR="002A0A72" w:rsidRDefault="002A0A72" w:rsidP="002A0A72">
      <w:pPr>
        <w:ind w:firstLine="709"/>
        <w:jc w:val="both"/>
        <w:rPr>
          <w:sz w:val="28"/>
          <w:szCs w:val="28"/>
        </w:rPr>
      </w:pPr>
      <w:r w:rsidRPr="002A0A72">
        <w:rPr>
          <w:sz w:val="28"/>
          <w:szCs w:val="28"/>
        </w:rPr>
        <w:t>К рефинансированию валютных ипотечных займов приступили 17 участников Программы, которыми на 1 сентября 2018г. рефинансирован 1 551 заем на сумму 11,7 млрд. тенге.</w:t>
      </w:r>
    </w:p>
    <w:p w:rsidR="006D1533" w:rsidRPr="006D1533" w:rsidRDefault="002A0A72" w:rsidP="002A0A72">
      <w:pPr>
        <w:ind w:firstLine="709"/>
        <w:jc w:val="both"/>
        <w:rPr>
          <w:sz w:val="28"/>
          <w:szCs w:val="28"/>
        </w:rPr>
      </w:pPr>
      <w:r w:rsidRPr="002A0A72">
        <w:rPr>
          <w:sz w:val="28"/>
          <w:szCs w:val="28"/>
        </w:rPr>
        <w:t>Дальнейшая работа по данному поручению будет продолжена.</w:t>
      </w:r>
    </w:p>
    <w:p w:rsidR="002A0A72" w:rsidRDefault="002A0A72" w:rsidP="006D1533">
      <w:pPr>
        <w:ind w:firstLine="709"/>
        <w:jc w:val="both"/>
        <w:rPr>
          <w:b/>
          <w:i/>
          <w:sz w:val="28"/>
          <w:szCs w:val="28"/>
        </w:rPr>
      </w:pPr>
    </w:p>
    <w:p w:rsidR="006D1533" w:rsidRPr="002A0A72" w:rsidRDefault="006D1533" w:rsidP="006D1533">
      <w:pPr>
        <w:ind w:firstLine="709"/>
        <w:jc w:val="both"/>
        <w:rPr>
          <w:b/>
          <w:i/>
          <w:sz w:val="28"/>
          <w:szCs w:val="28"/>
        </w:rPr>
      </w:pPr>
      <w:r w:rsidRPr="002A0A72">
        <w:rPr>
          <w:b/>
          <w:i/>
          <w:sz w:val="28"/>
          <w:szCs w:val="28"/>
        </w:rPr>
        <w:t>П.37. Разработка мер по обеспечению долгосрочным кредитованием бизнеса по ставкам, учитывающим реальную рентабельность в отраслях экономики</w:t>
      </w:r>
    </w:p>
    <w:p w:rsidR="006D1533" w:rsidRPr="006D1533" w:rsidRDefault="006D1533" w:rsidP="006D1533">
      <w:pPr>
        <w:ind w:firstLine="709"/>
        <w:jc w:val="both"/>
        <w:rPr>
          <w:sz w:val="28"/>
          <w:szCs w:val="28"/>
        </w:rPr>
      </w:pPr>
      <w:r w:rsidRPr="006D1533">
        <w:rPr>
          <w:sz w:val="28"/>
          <w:szCs w:val="28"/>
        </w:rPr>
        <w:t>Мероприятия Национального Банка:</w:t>
      </w:r>
    </w:p>
    <w:p w:rsidR="006D1533" w:rsidRPr="006D1533" w:rsidRDefault="006D1533" w:rsidP="006D1533">
      <w:pPr>
        <w:ind w:firstLine="709"/>
        <w:jc w:val="both"/>
        <w:rPr>
          <w:sz w:val="28"/>
          <w:szCs w:val="28"/>
        </w:rPr>
      </w:pPr>
      <w:r w:rsidRPr="006D1533">
        <w:rPr>
          <w:sz w:val="28"/>
          <w:szCs w:val="28"/>
        </w:rPr>
        <w:t xml:space="preserve">1. Обеспечение устойчивого снижения инфляции для снижения стоимости кредита. Меры Национального Банка в рамках инфляционного таргетирования направлены на снижение инфляции посредством регулирования базовой ставки. Снижение инфляции в 2016-2018 годы позволило снизить базовую ставку и стоимость фондирования, что способствовало снижению ставок по долгосрочному кредитованию. Национальный Банк продолжит работу по стабилизации инфляции на таргетируемом уровне. </w:t>
      </w:r>
    </w:p>
    <w:p w:rsidR="006D1533" w:rsidRPr="006D1533" w:rsidRDefault="006D1533" w:rsidP="006D1533">
      <w:pPr>
        <w:ind w:firstLine="709"/>
        <w:jc w:val="both"/>
        <w:rPr>
          <w:sz w:val="28"/>
          <w:szCs w:val="28"/>
        </w:rPr>
      </w:pPr>
      <w:r w:rsidRPr="006D1533">
        <w:rPr>
          <w:sz w:val="28"/>
          <w:szCs w:val="28"/>
        </w:rPr>
        <w:t xml:space="preserve">Справочно: Снижение инфляции с 17,7% в январе 2016 года до 6,0% в августе 2018 года позволило снизить базовую ставку с 17,0% до 9,0%. В результате, ставки по кредитам юридическим лицам в тенге снизились с 25,8% в январе 2016 года до 12,1% в августе 2018 года. </w:t>
      </w:r>
    </w:p>
    <w:p w:rsidR="006D1533" w:rsidRPr="006D1533" w:rsidRDefault="006D1533" w:rsidP="006D1533">
      <w:pPr>
        <w:ind w:firstLine="709"/>
        <w:jc w:val="both"/>
        <w:rPr>
          <w:sz w:val="28"/>
          <w:szCs w:val="28"/>
        </w:rPr>
      </w:pPr>
      <w:r w:rsidRPr="006D1533">
        <w:rPr>
          <w:sz w:val="28"/>
          <w:szCs w:val="28"/>
        </w:rPr>
        <w:lastRenderedPageBreak/>
        <w:t xml:space="preserve">2. Оздоровление банковского сектора для повышения качества кредитования. </w:t>
      </w:r>
    </w:p>
    <w:p w:rsidR="006D1533" w:rsidRPr="006D1533" w:rsidRDefault="006D1533" w:rsidP="006D1533">
      <w:pPr>
        <w:ind w:firstLine="709"/>
        <w:jc w:val="both"/>
        <w:rPr>
          <w:sz w:val="28"/>
          <w:szCs w:val="28"/>
        </w:rPr>
      </w:pPr>
      <w:r w:rsidRPr="006D1533">
        <w:rPr>
          <w:sz w:val="28"/>
          <w:szCs w:val="28"/>
        </w:rPr>
        <w:t>Национальный Банк продолжит работу в части:</w:t>
      </w:r>
    </w:p>
    <w:p w:rsidR="006D1533" w:rsidRPr="006D1533" w:rsidRDefault="006D1533" w:rsidP="006D1533">
      <w:pPr>
        <w:ind w:firstLine="709"/>
        <w:jc w:val="both"/>
        <w:rPr>
          <w:sz w:val="28"/>
          <w:szCs w:val="28"/>
        </w:rPr>
      </w:pPr>
      <w:r w:rsidRPr="006D1533">
        <w:rPr>
          <w:sz w:val="28"/>
          <w:szCs w:val="28"/>
        </w:rPr>
        <w:t xml:space="preserve">1) усиления надзора с применением мотивированного суждения за недобросовестным кредитованием, ограничивающим доступ к кредитам хорошим заемщикам. </w:t>
      </w:r>
    </w:p>
    <w:p w:rsidR="006D1533" w:rsidRPr="006D1533" w:rsidRDefault="006D1533" w:rsidP="006D1533">
      <w:pPr>
        <w:ind w:firstLine="709"/>
        <w:jc w:val="both"/>
        <w:rPr>
          <w:sz w:val="28"/>
          <w:szCs w:val="28"/>
        </w:rPr>
      </w:pPr>
      <w:r w:rsidRPr="006D1533">
        <w:rPr>
          <w:sz w:val="28"/>
          <w:szCs w:val="28"/>
        </w:rPr>
        <w:t xml:space="preserve">2) повышения устойчивости и капитала банков, что повысит потенциал кредитования экономики. </w:t>
      </w:r>
    </w:p>
    <w:p w:rsidR="006D1533" w:rsidRPr="006D1533" w:rsidRDefault="006D1533" w:rsidP="006D1533">
      <w:pPr>
        <w:ind w:firstLine="709"/>
        <w:jc w:val="both"/>
        <w:rPr>
          <w:sz w:val="28"/>
          <w:szCs w:val="28"/>
        </w:rPr>
      </w:pPr>
      <w:r w:rsidRPr="006D1533">
        <w:rPr>
          <w:sz w:val="28"/>
          <w:szCs w:val="28"/>
        </w:rPr>
        <w:t>Внедрение в казахстанскую практику регулирования и надзора за финансовыми организациями риск-ориентированного надзора с правом применения мотивированного суждения направлено на недопущение недобросовестной практики финансовых организаций по кредитованию связанных лиц, вывод активов, и сокрытия банками реальных убытков по ссудному портфелю.</w:t>
      </w:r>
    </w:p>
    <w:p w:rsidR="006D1533" w:rsidRPr="006D1533" w:rsidRDefault="006D1533" w:rsidP="006D1533">
      <w:pPr>
        <w:ind w:firstLine="709"/>
        <w:jc w:val="both"/>
        <w:rPr>
          <w:sz w:val="28"/>
          <w:szCs w:val="28"/>
        </w:rPr>
      </w:pPr>
      <w:r w:rsidRPr="006D1533">
        <w:rPr>
          <w:sz w:val="28"/>
          <w:szCs w:val="28"/>
        </w:rPr>
        <w:t>Предложения по обеспечению долгосрочным кредитованием бизнеса по ставкам, учитывающим реальную рентабельность в отраслях экономики, в том числе включающие в себя проведение контрацикличной фискальной политики и создание благоприятной бизнес среды, внесены в АП 26 июля 2018г. (№ 54/22-0-09/2//633).</w:t>
      </w:r>
    </w:p>
    <w:sectPr w:rsidR="006D1533" w:rsidRPr="006D1533" w:rsidSect="006D1533">
      <w:footerReference w:type="default" r:id="rId8"/>
      <w:pgSz w:w="11906" w:h="16838"/>
      <w:pgMar w:top="1134" w:right="849" w:bottom="426" w:left="1701" w:header="709" w:footer="20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0C" w:rsidRDefault="004C170C" w:rsidP="00B54721">
      <w:r>
        <w:separator/>
      </w:r>
    </w:p>
  </w:endnote>
  <w:endnote w:type="continuationSeparator" w:id="0">
    <w:p w:rsidR="004C170C" w:rsidRDefault="004C170C"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916224"/>
      <w:docPartObj>
        <w:docPartGallery w:val="Page Numbers (Bottom of Page)"/>
        <w:docPartUnique/>
      </w:docPartObj>
    </w:sdtPr>
    <w:sdtEndPr/>
    <w:sdtContent>
      <w:p w:rsidR="00BE5FB2" w:rsidRPr="00BE5FB2" w:rsidRDefault="00BE5FB2">
        <w:pPr>
          <w:pStyle w:val="a8"/>
          <w:jc w:val="right"/>
          <w:rPr>
            <w:sz w:val="20"/>
          </w:rPr>
        </w:pPr>
        <w:r w:rsidRPr="00BE5FB2">
          <w:rPr>
            <w:sz w:val="20"/>
          </w:rPr>
          <w:fldChar w:fldCharType="begin"/>
        </w:r>
        <w:r w:rsidRPr="00BE5FB2">
          <w:rPr>
            <w:sz w:val="20"/>
          </w:rPr>
          <w:instrText>PAGE   \* MERGEFORMAT</w:instrText>
        </w:r>
        <w:r w:rsidRPr="00BE5FB2">
          <w:rPr>
            <w:sz w:val="20"/>
          </w:rPr>
          <w:fldChar w:fldCharType="separate"/>
        </w:r>
        <w:r w:rsidR="00DD6412">
          <w:rPr>
            <w:noProof/>
            <w:sz w:val="20"/>
          </w:rPr>
          <w:t>7</w:t>
        </w:r>
        <w:r w:rsidRPr="00BE5FB2">
          <w:rPr>
            <w:sz w:val="20"/>
          </w:rPr>
          <w:fldChar w:fldCharType="end"/>
        </w:r>
      </w:p>
    </w:sdtContent>
  </w:sdt>
  <w:p w:rsidR="00BE5FB2" w:rsidRDefault="00BE5F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0C" w:rsidRDefault="004C170C" w:rsidP="00B54721">
      <w:r>
        <w:separator/>
      </w:r>
    </w:p>
  </w:footnote>
  <w:footnote w:type="continuationSeparator" w:id="0">
    <w:p w:rsidR="004C170C" w:rsidRDefault="004C170C" w:rsidP="00B54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14A5A"/>
    <w:rsid w:val="00015334"/>
    <w:rsid w:val="0002072F"/>
    <w:rsid w:val="0003280E"/>
    <w:rsid w:val="000400A4"/>
    <w:rsid w:val="000440BA"/>
    <w:rsid w:val="0005476A"/>
    <w:rsid w:val="0007097E"/>
    <w:rsid w:val="00082569"/>
    <w:rsid w:val="00094D32"/>
    <w:rsid w:val="000A7B38"/>
    <w:rsid w:val="000B018D"/>
    <w:rsid w:val="000C6523"/>
    <w:rsid w:val="000D6999"/>
    <w:rsid w:val="000E0B09"/>
    <w:rsid w:val="00101BDB"/>
    <w:rsid w:val="0010691C"/>
    <w:rsid w:val="00132C19"/>
    <w:rsid w:val="00147918"/>
    <w:rsid w:val="00150D66"/>
    <w:rsid w:val="00160DF7"/>
    <w:rsid w:val="0016252D"/>
    <w:rsid w:val="00174AD6"/>
    <w:rsid w:val="00176D24"/>
    <w:rsid w:val="001821EA"/>
    <w:rsid w:val="00190BE3"/>
    <w:rsid w:val="001A130C"/>
    <w:rsid w:val="001A54FA"/>
    <w:rsid w:val="001B18AA"/>
    <w:rsid w:val="001B5EBC"/>
    <w:rsid w:val="001D007C"/>
    <w:rsid w:val="001F7A83"/>
    <w:rsid w:val="002010F6"/>
    <w:rsid w:val="002011DE"/>
    <w:rsid w:val="0021553B"/>
    <w:rsid w:val="00241797"/>
    <w:rsid w:val="0026421B"/>
    <w:rsid w:val="002721A1"/>
    <w:rsid w:val="002856C0"/>
    <w:rsid w:val="002A0A72"/>
    <w:rsid w:val="002C089B"/>
    <w:rsid w:val="002C0F12"/>
    <w:rsid w:val="002D6A9C"/>
    <w:rsid w:val="002F171E"/>
    <w:rsid w:val="00307EBA"/>
    <w:rsid w:val="0031107B"/>
    <w:rsid w:val="00320F52"/>
    <w:rsid w:val="0032226D"/>
    <w:rsid w:val="003339C5"/>
    <w:rsid w:val="003571E1"/>
    <w:rsid w:val="0036389A"/>
    <w:rsid w:val="003852F3"/>
    <w:rsid w:val="0038705E"/>
    <w:rsid w:val="00396221"/>
    <w:rsid w:val="003E262A"/>
    <w:rsid w:val="003F1F81"/>
    <w:rsid w:val="003F5B20"/>
    <w:rsid w:val="003F7DA9"/>
    <w:rsid w:val="00437697"/>
    <w:rsid w:val="00437C3C"/>
    <w:rsid w:val="00477B5E"/>
    <w:rsid w:val="004B088D"/>
    <w:rsid w:val="004B3DD8"/>
    <w:rsid w:val="004C170C"/>
    <w:rsid w:val="004D571C"/>
    <w:rsid w:val="004E21C1"/>
    <w:rsid w:val="004F0EBF"/>
    <w:rsid w:val="004F5461"/>
    <w:rsid w:val="004F7229"/>
    <w:rsid w:val="005011F2"/>
    <w:rsid w:val="00513FC6"/>
    <w:rsid w:val="005266ED"/>
    <w:rsid w:val="005369CE"/>
    <w:rsid w:val="0054120E"/>
    <w:rsid w:val="00546003"/>
    <w:rsid w:val="005576C0"/>
    <w:rsid w:val="00561BD8"/>
    <w:rsid w:val="00564D27"/>
    <w:rsid w:val="005705A0"/>
    <w:rsid w:val="0058525A"/>
    <w:rsid w:val="00586686"/>
    <w:rsid w:val="005A7ED7"/>
    <w:rsid w:val="005B35B8"/>
    <w:rsid w:val="005D5C6F"/>
    <w:rsid w:val="00604C12"/>
    <w:rsid w:val="00612738"/>
    <w:rsid w:val="006206E1"/>
    <w:rsid w:val="006242D3"/>
    <w:rsid w:val="00632C36"/>
    <w:rsid w:val="00647703"/>
    <w:rsid w:val="00655985"/>
    <w:rsid w:val="00662A68"/>
    <w:rsid w:val="006B22E3"/>
    <w:rsid w:val="006B3A63"/>
    <w:rsid w:val="006B678E"/>
    <w:rsid w:val="006C1D9F"/>
    <w:rsid w:val="006C2ACE"/>
    <w:rsid w:val="006D1533"/>
    <w:rsid w:val="006D6E31"/>
    <w:rsid w:val="006E0723"/>
    <w:rsid w:val="006F2E72"/>
    <w:rsid w:val="006F3B56"/>
    <w:rsid w:val="00720007"/>
    <w:rsid w:val="00733CB1"/>
    <w:rsid w:val="0075076B"/>
    <w:rsid w:val="00753267"/>
    <w:rsid w:val="00757EB0"/>
    <w:rsid w:val="007647C7"/>
    <w:rsid w:val="0077308E"/>
    <w:rsid w:val="00791D50"/>
    <w:rsid w:val="00792557"/>
    <w:rsid w:val="0079455F"/>
    <w:rsid w:val="007A34E5"/>
    <w:rsid w:val="007A7F17"/>
    <w:rsid w:val="007E2EAD"/>
    <w:rsid w:val="00800048"/>
    <w:rsid w:val="00834DF9"/>
    <w:rsid w:val="00845651"/>
    <w:rsid w:val="008475F6"/>
    <w:rsid w:val="00866FA0"/>
    <w:rsid w:val="008A6E62"/>
    <w:rsid w:val="008C11E1"/>
    <w:rsid w:val="008C30AA"/>
    <w:rsid w:val="008E1029"/>
    <w:rsid w:val="008E65F3"/>
    <w:rsid w:val="008E720F"/>
    <w:rsid w:val="008F0D35"/>
    <w:rsid w:val="00900C9A"/>
    <w:rsid w:val="00913457"/>
    <w:rsid w:val="00917B7C"/>
    <w:rsid w:val="009200B1"/>
    <w:rsid w:val="009315A8"/>
    <w:rsid w:val="009320ED"/>
    <w:rsid w:val="0093292B"/>
    <w:rsid w:val="00941433"/>
    <w:rsid w:val="009469B1"/>
    <w:rsid w:val="00952AE1"/>
    <w:rsid w:val="009647BB"/>
    <w:rsid w:val="0097139A"/>
    <w:rsid w:val="00982BF5"/>
    <w:rsid w:val="00985EC4"/>
    <w:rsid w:val="00986F1E"/>
    <w:rsid w:val="00994958"/>
    <w:rsid w:val="009F7BF3"/>
    <w:rsid w:val="00A11A98"/>
    <w:rsid w:val="00A23B36"/>
    <w:rsid w:val="00A26678"/>
    <w:rsid w:val="00A351B9"/>
    <w:rsid w:val="00A3647D"/>
    <w:rsid w:val="00AA20C5"/>
    <w:rsid w:val="00AA7BC7"/>
    <w:rsid w:val="00AC1061"/>
    <w:rsid w:val="00AC72D5"/>
    <w:rsid w:val="00AD34A8"/>
    <w:rsid w:val="00AF3F8B"/>
    <w:rsid w:val="00B47A21"/>
    <w:rsid w:val="00B52A18"/>
    <w:rsid w:val="00B54721"/>
    <w:rsid w:val="00B5497C"/>
    <w:rsid w:val="00B62B57"/>
    <w:rsid w:val="00BB2E9A"/>
    <w:rsid w:val="00BD7494"/>
    <w:rsid w:val="00BD76A6"/>
    <w:rsid w:val="00BD7934"/>
    <w:rsid w:val="00BE3DF0"/>
    <w:rsid w:val="00BE5FB2"/>
    <w:rsid w:val="00C1532A"/>
    <w:rsid w:val="00C2078D"/>
    <w:rsid w:val="00C24779"/>
    <w:rsid w:val="00C468FE"/>
    <w:rsid w:val="00C47150"/>
    <w:rsid w:val="00CA584F"/>
    <w:rsid w:val="00CC3FF3"/>
    <w:rsid w:val="00CC5E67"/>
    <w:rsid w:val="00CC69E9"/>
    <w:rsid w:val="00D20295"/>
    <w:rsid w:val="00D34845"/>
    <w:rsid w:val="00D34EBC"/>
    <w:rsid w:val="00D41208"/>
    <w:rsid w:val="00D540B6"/>
    <w:rsid w:val="00D70E8D"/>
    <w:rsid w:val="00DD6412"/>
    <w:rsid w:val="00DE1385"/>
    <w:rsid w:val="00E04B0C"/>
    <w:rsid w:val="00E17E00"/>
    <w:rsid w:val="00E35937"/>
    <w:rsid w:val="00E439E8"/>
    <w:rsid w:val="00E47D24"/>
    <w:rsid w:val="00E6481D"/>
    <w:rsid w:val="00E83A2D"/>
    <w:rsid w:val="00EA08E4"/>
    <w:rsid w:val="00EA17EC"/>
    <w:rsid w:val="00EB2CE5"/>
    <w:rsid w:val="00EB6BBE"/>
    <w:rsid w:val="00EC3ADD"/>
    <w:rsid w:val="00F00B92"/>
    <w:rsid w:val="00F026A7"/>
    <w:rsid w:val="00F20A36"/>
    <w:rsid w:val="00F2101A"/>
    <w:rsid w:val="00F21487"/>
    <w:rsid w:val="00F400E6"/>
    <w:rsid w:val="00F5739C"/>
    <w:rsid w:val="00F63EF0"/>
    <w:rsid w:val="00F65FBD"/>
    <w:rsid w:val="00F711EC"/>
    <w:rsid w:val="00F85EED"/>
    <w:rsid w:val="00F9134F"/>
    <w:rsid w:val="00F97D5D"/>
    <w:rsid w:val="00FA0C49"/>
    <w:rsid w:val="00FA68D9"/>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table" w:styleId="af7">
    <w:name w:val="Table Grid"/>
    <w:basedOn w:val="a1"/>
    <w:uiPriority w:val="59"/>
    <w:rsid w:val="0050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Абзац списка4"/>
    <w:aliases w:val="Абзац списка41,Heading1,Colorful List - Accent 11,Bullet List,FooterText,numbered,Маркировка,corp de texte,N_List Paragraph,Bullet Number,AC List 01,Citation List,Forth level"/>
    <w:basedOn w:val="a"/>
    <w:uiPriority w:val="34"/>
    <w:qFormat/>
    <w:rsid w:val="005011F2"/>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3,Знак Знак1 Зн"/>
    <w:basedOn w:val="a"/>
    <w:link w:val="af9"/>
    <w:uiPriority w:val="99"/>
    <w:qFormat/>
    <w:rsid w:val="0031107B"/>
    <w:rPr>
      <w:rFonts w:ascii="Tahoma" w:hAnsi="Tahoma" w:cs="Tahoma"/>
      <w:sz w:val="16"/>
      <w:szCs w:val="16"/>
    </w:rPr>
  </w:style>
  <w:style w:type="character" w:customStyle="1" w:styleId="af9">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f8"/>
    <w:uiPriority w:val="99"/>
    <w:locked/>
    <w:rsid w:val="003110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table" w:styleId="af7">
    <w:name w:val="Table Grid"/>
    <w:basedOn w:val="a1"/>
    <w:uiPriority w:val="59"/>
    <w:rsid w:val="0050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Абзац списка4"/>
    <w:aliases w:val="Абзац списка41,Heading1,Colorful List - Accent 11,Bullet List,FooterText,numbered,Маркировка,corp de texte,N_List Paragraph,Bullet Number,AC List 01,Citation List,Forth level"/>
    <w:basedOn w:val="a"/>
    <w:uiPriority w:val="34"/>
    <w:qFormat/>
    <w:rsid w:val="005011F2"/>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3,Знак Знак1 Зн"/>
    <w:basedOn w:val="a"/>
    <w:link w:val="af9"/>
    <w:uiPriority w:val="99"/>
    <w:qFormat/>
    <w:rsid w:val="0031107B"/>
    <w:rPr>
      <w:rFonts w:ascii="Tahoma" w:hAnsi="Tahoma" w:cs="Tahoma"/>
      <w:sz w:val="16"/>
      <w:szCs w:val="16"/>
    </w:rPr>
  </w:style>
  <w:style w:type="character" w:customStyle="1" w:styleId="af9">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f8"/>
    <w:uiPriority w:val="99"/>
    <w:locked/>
    <w:rsid w:val="003110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81C54-C30A-42A2-A50A-CE6A4529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Gulzhan Kanapyanova</cp:lastModifiedBy>
  <cp:revision>2</cp:revision>
  <cp:lastPrinted>2018-09-18T04:28:00Z</cp:lastPrinted>
  <dcterms:created xsi:type="dcterms:W3CDTF">2018-09-28T09:26:00Z</dcterms:created>
  <dcterms:modified xsi:type="dcterms:W3CDTF">2018-09-28T09:26:00Z</dcterms:modified>
</cp:coreProperties>
</file>