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E26" w:rsidRDefault="00FA5E26" w:rsidP="005E3D53">
      <w:pPr>
        <w:widowControl w:val="0"/>
        <w:ind w:firstLine="709"/>
        <w:jc w:val="center"/>
        <w:rPr>
          <w:b/>
        </w:rPr>
      </w:pPr>
      <w:bookmarkStart w:id="0" w:name="_GoBack"/>
      <w:bookmarkEnd w:id="0"/>
      <w:r w:rsidRPr="00FA5E26">
        <w:rPr>
          <w:b/>
        </w:rPr>
        <w:t>Информация о ходе исполнения мероприятий ОНП 2016-2019годов</w:t>
      </w:r>
    </w:p>
    <w:p w:rsidR="00002E14" w:rsidRDefault="00002E14" w:rsidP="0026419D">
      <w:pPr>
        <w:widowControl w:val="0"/>
        <w:ind w:firstLine="709"/>
        <w:jc w:val="both"/>
        <w:rPr>
          <w:b/>
        </w:rPr>
      </w:pPr>
    </w:p>
    <w:p w:rsidR="00002E14" w:rsidRDefault="00002E14" w:rsidP="005E3D53">
      <w:pPr>
        <w:widowControl w:val="0"/>
        <w:ind w:firstLine="709"/>
        <w:jc w:val="center"/>
        <w:rPr>
          <w:b/>
          <w:bCs/>
          <w:color w:val="000000"/>
          <w:lang w:val="kk-KZ"/>
        </w:rPr>
      </w:pPr>
      <w:r>
        <w:rPr>
          <w:b/>
          <w:bCs/>
          <w:color w:val="000000"/>
          <w:lang w:val="kk-KZ"/>
        </w:rPr>
        <w:t>ОНП 2016</w:t>
      </w:r>
    </w:p>
    <w:p w:rsidR="00002E14" w:rsidRDefault="00002E14" w:rsidP="0026419D">
      <w:pPr>
        <w:widowControl w:val="0"/>
        <w:ind w:firstLine="709"/>
        <w:jc w:val="both"/>
        <w:rPr>
          <w:b/>
          <w:bCs/>
          <w:color w:val="000000"/>
          <w:lang w:val="kk-KZ"/>
        </w:rPr>
      </w:pPr>
    </w:p>
    <w:p w:rsidR="00002E14" w:rsidRPr="00002E14" w:rsidRDefault="00002E14" w:rsidP="0026419D">
      <w:pPr>
        <w:widowControl w:val="0"/>
        <w:ind w:firstLine="709"/>
        <w:jc w:val="both"/>
        <w:rPr>
          <w:b/>
          <w:bCs/>
          <w:i/>
          <w:color w:val="000000"/>
          <w:lang w:val="kk-KZ"/>
        </w:rPr>
      </w:pPr>
      <w:r w:rsidRPr="00002E14">
        <w:rPr>
          <w:b/>
          <w:bCs/>
          <w:i/>
          <w:color w:val="000000"/>
          <w:lang w:val="kk-KZ"/>
        </w:rPr>
        <w:t>4. Обеспечение соответствия казахстанских банков международным стандартам, в том числе Базельского комитета и Международного валютного фонда</w:t>
      </w:r>
    </w:p>
    <w:p w:rsidR="00002E14" w:rsidRDefault="00002E14" w:rsidP="0026419D">
      <w:pPr>
        <w:ind w:firstLine="709"/>
        <w:jc w:val="both"/>
        <w:rPr>
          <w:bCs/>
          <w:color w:val="000000"/>
        </w:rPr>
      </w:pPr>
      <w:r>
        <w:rPr>
          <w:bCs/>
          <w:color w:val="000000"/>
          <w:lang w:val="kk-KZ"/>
        </w:rPr>
        <w:t xml:space="preserve">Была проведена работа по внедрению стандартов Базельского комитета по банковскому надзору (стандарт Базель 3). В частности приведены в соответствие требования по адекватности капитала, внедрены новые стандарты ликвидности – </w:t>
      </w:r>
      <w:r>
        <w:rPr>
          <w:bCs/>
          <w:color w:val="000000"/>
          <w:lang w:val="en-US"/>
        </w:rPr>
        <w:t>LCR</w:t>
      </w:r>
      <w:r w:rsidRPr="00412D5D">
        <w:rPr>
          <w:bCs/>
          <w:color w:val="000000"/>
        </w:rPr>
        <w:t xml:space="preserve"> </w:t>
      </w:r>
      <w:r>
        <w:rPr>
          <w:bCs/>
          <w:color w:val="000000"/>
        </w:rPr>
        <w:t xml:space="preserve">и </w:t>
      </w:r>
      <w:r>
        <w:rPr>
          <w:bCs/>
          <w:color w:val="000000"/>
          <w:lang w:val="en-US"/>
        </w:rPr>
        <w:t>NSFR</w:t>
      </w:r>
      <w:r>
        <w:rPr>
          <w:bCs/>
          <w:color w:val="000000"/>
        </w:rPr>
        <w:t xml:space="preserve">. Норматив </w:t>
      </w:r>
      <w:r>
        <w:rPr>
          <w:bCs/>
          <w:color w:val="000000"/>
          <w:lang w:val="en-US"/>
        </w:rPr>
        <w:t>LCR</w:t>
      </w:r>
      <w:r w:rsidRPr="00412D5D">
        <w:rPr>
          <w:bCs/>
          <w:color w:val="000000"/>
        </w:rPr>
        <w:t xml:space="preserve"> </w:t>
      </w:r>
      <w:r>
        <w:rPr>
          <w:bCs/>
          <w:color w:val="000000"/>
        </w:rPr>
        <w:t xml:space="preserve">введен в действие с 1 июля 2016 года в качестве мониторингового отчета и с 1 сентября 2018 года введен в качестве </w:t>
      </w:r>
      <w:proofErr w:type="spellStart"/>
      <w:r>
        <w:rPr>
          <w:bCs/>
          <w:color w:val="000000"/>
        </w:rPr>
        <w:t>пруденциального</w:t>
      </w:r>
      <w:proofErr w:type="spellEnd"/>
      <w:r>
        <w:rPr>
          <w:bCs/>
          <w:color w:val="000000"/>
        </w:rPr>
        <w:t xml:space="preserve"> норматива. Норматив </w:t>
      </w:r>
      <w:r>
        <w:rPr>
          <w:bCs/>
          <w:color w:val="000000"/>
          <w:lang w:val="en-US"/>
        </w:rPr>
        <w:t>NSFR</w:t>
      </w:r>
      <w:r>
        <w:rPr>
          <w:bCs/>
          <w:color w:val="000000"/>
        </w:rPr>
        <w:t xml:space="preserve"> введен с 1 января 2018 в качестве мониторингового отчета и утвержден в качестве </w:t>
      </w:r>
      <w:proofErr w:type="spellStart"/>
      <w:r>
        <w:rPr>
          <w:bCs/>
          <w:color w:val="000000"/>
        </w:rPr>
        <w:t>пруденциального</w:t>
      </w:r>
      <w:proofErr w:type="spellEnd"/>
      <w:r>
        <w:rPr>
          <w:bCs/>
          <w:color w:val="000000"/>
        </w:rPr>
        <w:t xml:space="preserve"> норматива с 1 января 2019 года.</w:t>
      </w:r>
    </w:p>
    <w:p w:rsidR="00002E14" w:rsidRDefault="00002E14" w:rsidP="0026419D">
      <w:pPr>
        <w:ind w:firstLine="709"/>
        <w:jc w:val="both"/>
        <w:rPr>
          <w:bCs/>
          <w:color w:val="000000"/>
        </w:rPr>
      </w:pPr>
      <w:r>
        <w:rPr>
          <w:bCs/>
          <w:color w:val="000000"/>
        </w:rPr>
        <w:t>Также осуществлен переход банков на международный стандарт финансовой отчетности – МСФО 9. Данный стандарт, среди прочего, предполагает формирование провизий по ожидаемым убыткам. С этой целью были утверждены Правила формирования провизий для банков второго уровня.</w:t>
      </w:r>
    </w:p>
    <w:p w:rsidR="00002E14" w:rsidRDefault="00002E14" w:rsidP="0026419D">
      <w:pPr>
        <w:ind w:firstLine="709"/>
        <w:jc w:val="both"/>
        <w:rPr>
          <w:bCs/>
          <w:color w:val="000000"/>
        </w:rPr>
      </w:pPr>
      <w:r>
        <w:rPr>
          <w:bCs/>
          <w:color w:val="000000"/>
        </w:rPr>
        <w:t xml:space="preserve">Осуществляется внедрение </w:t>
      </w:r>
      <w:proofErr w:type="gramStart"/>
      <w:r>
        <w:rPr>
          <w:bCs/>
          <w:color w:val="000000"/>
        </w:rPr>
        <w:t>риск-ориентированного</w:t>
      </w:r>
      <w:proofErr w:type="gramEnd"/>
      <w:r>
        <w:rPr>
          <w:bCs/>
          <w:color w:val="000000"/>
        </w:rPr>
        <w:t xml:space="preserve"> надзора и процесса надзорной оценки банков.</w:t>
      </w:r>
    </w:p>
    <w:p w:rsidR="00002E14" w:rsidRDefault="00002E14" w:rsidP="0026419D">
      <w:pPr>
        <w:widowControl w:val="0"/>
        <w:ind w:firstLine="709"/>
        <w:jc w:val="both"/>
        <w:rPr>
          <w:bCs/>
          <w:color w:val="000000"/>
          <w:lang w:val="kk-KZ"/>
        </w:rPr>
      </w:pPr>
      <w:r>
        <w:rPr>
          <w:bCs/>
          <w:color w:val="000000"/>
          <w:lang w:val="kk-KZ"/>
        </w:rPr>
        <w:t>Поручение исполнено. При этом будет проводиться анализ изменений в международных стандартах регулирования на предмет актуальности их применения в Казахстанской практике.</w:t>
      </w:r>
    </w:p>
    <w:p w:rsidR="00002E14" w:rsidRDefault="00002E14" w:rsidP="0026419D">
      <w:pPr>
        <w:widowControl w:val="0"/>
        <w:ind w:firstLine="709"/>
        <w:jc w:val="both"/>
        <w:rPr>
          <w:bCs/>
          <w:color w:val="000000"/>
          <w:lang w:val="kk-KZ"/>
        </w:rPr>
      </w:pPr>
    </w:p>
    <w:p w:rsidR="00002E14" w:rsidRPr="00002E14" w:rsidRDefault="00002E14" w:rsidP="0026419D">
      <w:pPr>
        <w:widowControl w:val="0"/>
        <w:ind w:firstLine="709"/>
        <w:jc w:val="both"/>
        <w:rPr>
          <w:b/>
          <w:bCs/>
          <w:i/>
          <w:color w:val="000000"/>
          <w:lang w:val="kk-KZ"/>
        </w:rPr>
      </w:pPr>
      <w:r w:rsidRPr="00002E14">
        <w:rPr>
          <w:b/>
          <w:bCs/>
          <w:i/>
          <w:color w:val="000000"/>
          <w:lang w:val="kk-KZ"/>
        </w:rPr>
        <w:t>9. Регулярное информирование общества и финансовых учреждений по вопросам деятельности Национального Банка Республики Казахстан</w:t>
      </w:r>
    </w:p>
    <w:p w:rsidR="00002E14" w:rsidRPr="00596707" w:rsidRDefault="00002E14" w:rsidP="0026419D">
      <w:pPr>
        <w:ind w:firstLine="709"/>
        <w:jc w:val="both"/>
        <w:rPr>
          <w:bCs/>
          <w:color w:val="000000"/>
          <w:lang w:val="kk-KZ"/>
        </w:rPr>
      </w:pPr>
      <w:r w:rsidRPr="00596707">
        <w:rPr>
          <w:bCs/>
          <w:color w:val="000000"/>
          <w:lang w:val="kk-KZ"/>
        </w:rPr>
        <w:t xml:space="preserve">Национальным Банком на постоянной основе проводится информационно-разъяснительная работа, направленная на укрепление эффективных коммуникаций с общественностью и повышение доверия населения к финансовому регулятору. </w:t>
      </w:r>
    </w:p>
    <w:p w:rsidR="00002E14" w:rsidRPr="00596707" w:rsidRDefault="00002E14" w:rsidP="0026419D">
      <w:pPr>
        <w:ind w:firstLine="709"/>
        <w:jc w:val="both"/>
        <w:rPr>
          <w:bCs/>
          <w:color w:val="000000"/>
          <w:lang w:val="kk-KZ"/>
        </w:rPr>
      </w:pPr>
      <w:r w:rsidRPr="00596707">
        <w:rPr>
          <w:bCs/>
          <w:color w:val="000000"/>
          <w:lang w:val="kk-KZ"/>
        </w:rPr>
        <w:t>На системной основе проводятся пресс-конференции, брифинги и круглые столы для СМИ с участием руководства и сотрудников Национального Банка, встречи с экспертами и населением, в том числе в регионах РК.</w:t>
      </w:r>
    </w:p>
    <w:p w:rsidR="00002E14" w:rsidRPr="00596707" w:rsidRDefault="00002E14" w:rsidP="0026419D">
      <w:pPr>
        <w:ind w:firstLine="709"/>
        <w:jc w:val="both"/>
        <w:rPr>
          <w:bCs/>
          <w:color w:val="000000"/>
          <w:lang w:val="kk-KZ"/>
        </w:rPr>
      </w:pPr>
      <w:r>
        <w:rPr>
          <w:bCs/>
          <w:color w:val="000000"/>
          <w:lang w:val="kk-KZ"/>
        </w:rPr>
        <w:t>Б</w:t>
      </w:r>
      <w:r w:rsidRPr="00596707">
        <w:rPr>
          <w:bCs/>
          <w:color w:val="000000"/>
          <w:lang w:val="kk-KZ"/>
        </w:rPr>
        <w:t>ыли проведены пресс-конференция и брифин</w:t>
      </w:r>
      <w:r>
        <w:rPr>
          <w:bCs/>
          <w:color w:val="000000"/>
          <w:lang w:val="kk-KZ"/>
        </w:rPr>
        <w:t xml:space="preserve">ги </w:t>
      </w:r>
      <w:r w:rsidRPr="00596707">
        <w:rPr>
          <w:bCs/>
          <w:color w:val="000000"/>
          <w:lang w:val="kk-KZ"/>
        </w:rPr>
        <w:t>с участием Председателя НБРК по итогам заседаний  Сената Парламента РК, заседания Правительства РК и по итогам очередного решения НБРК</w:t>
      </w:r>
      <w:r>
        <w:rPr>
          <w:bCs/>
          <w:color w:val="000000"/>
          <w:lang w:val="kk-KZ"/>
        </w:rPr>
        <w:t xml:space="preserve"> об уровне базовой ставки</w:t>
      </w:r>
      <w:r w:rsidRPr="00596707">
        <w:rPr>
          <w:bCs/>
          <w:color w:val="000000"/>
          <w:lang w:val="kk-KZ"/>
        </w:rPr>
        <w:t>.</w:t>
      </w:r>
    </w:p>
    <w:p w:rsidR="00002E14" w:rsidRPr="00596707" w:rsidRDefault="00002E14" w:rsidP="0026419D">
      <w:pPr>
        <w:ind w:firstLine="709"/>
        <w:jc w:val="both"/>
        <w:rPr>
          <w:bCs/>
          <w:color w:val="000000"/>
          <w:lang w:val="kk-KZ"/>
        </w:rPr>
      </w:pPr>
      <w:r>
        <w:rPr>
          <w:bCs/>
          <w:color w:val="000000"/>
          <w:lang w:val="kk-KZ"/>
        </w:rPr>
        <w:t>Б</w:t>
      </w:r>
      <w:r w:rsidRPr="00596707">
        <w:rPr>
          <w:bCs/>
          <w:color w:val="000000"/>
          <w:lang w:val="kk-KZ"/>
        </w:rPr>
        <w:t>ыли проведены 2 встречи с представителями экспертного сообщества. Территориальными филиалами НБРК проведены 64 мероп</w:t>
      </w:r>
      <w:r>
        <w:rPr>
          <w:bCs/>
          <w:color w:val="000000"/>
          <w:lang w:val="kk-KZ"/>
        </w:rPr>
        <w:t xml:space="preserve">риятия с участием СМИ, включая </w:t>
      </w:r>
      <w:r w:rsidRPr="00596707">
        <w:rPr>
          <w:bCs/>
          <w:color w:val="000000"/>
          <w:lang w:val="kk-KZ"/>
        </w:rPr>
        <w:t>пресс-конференции, брифинги, круглые столы и встречи с населением.</w:t>
      </w:r>
    </w:p>
    <w:p w:rsidR="00002E14" w:rsidRPr="00596707" w:rsidRDefault="00002E14" w:rsidP="0026419D">
      <w:pPr>
        <w:ind w:firstLine="709"/>
        <w:jc w:val="both"/>
        <w:rPr>
          <w:bCs/>
          <w:color w:val="000000"/>
          <w:lang w:val="kk-KZ"/>
        </w:rPr>
      </w:pPr>
      <w:r w:rsidRPr="00596707">
        <w:rPr>
          <w:bCs/>
          <w:color w:val="000000"/>
          <w:lang w:val="kk-KZ"/>
        </w:rPr>
        <w:t>15-16 ноября состоялся VIII Конгресс финансистов Казахстана. В рамках Конгресса Национальным Банком было опубликовано</w:t>
      </w:r>
      <w:r>
        <w:rPr>
          <w:bCs/>
          <w:color w:val="000000"/>
          <w:lang w:val="kk-KZ"/>
        </w:rPr>
        <w:t xml:space="preserve"> </w:t>
      </w:r>
      <w:r w:rsidRPr="00596707">
        <w:rPr>
          <w:bCs/>
          <w:color w:val="000000"/>
          <w:lang w:val="kk-KZ"/>
        </w:rPr>
        <w:t>79 информационных материалов в ряде казахстанских СМИ: «Капитал», «Деловой Казахстан», «24.kz», «Казинформ», «Информбюро», «Forbes», «Tengrinews.kz», «Kazakhstan Today», «prodengi.kz», «КТК», «Караван», «Время». Была организована прямая трансляция VIII Конгресса финансистов Казахстана на портале kapital.kz  и в эфире Atameken Business Channel. Интервью, а также видео ключевых событий опубликованы на официальном канале Национального Банка в YouTube.</w:t>
      </w:r>
    </w:p>
    <w:p w:rsidR="00002E14" w:rsidRPr="00596707" w:rsidRDefault="00002E14" w:rsidP="0026419D">
      <w:pPr>
        <w:ind w:firstLine="709"/>
        <w:jc w:val="both"/>
        <w:rPr>
          <w:bCs/>
          <w:color w:val="000000"/>
          <w:lang w:val="kk-KZ"/>
        </w:rPr>
      </w:pPr>
      <w:r w:rsidRPr="00596707">
        <w:rPr>
          <w:bCs/>
          <w:color w:val="000000"/>
          <w:lang w:val="kk-KZ"/>
        </w:rPr>
        <w:t xml:space="preserve">В рамках 25-летия национальной валюты – тенге Национальным Банком был создан и выпущен в эфир документальный фильм «Тенге: 25 лет вместе», который транслировался по отечественным телеканалам. </w:t>
      </w:r>
    </w:p>
    <w:p w:rsidR="00002E14" w:rsidRPr="00886894" w:rsidRDefault="00002E14" w:rsidP="0026419D">
      <w:pPr>
        <w:ind w:firstLine="709"/>
        <w:jc w:val="both"/>
        <w:rPr>
          <w:bCs/>
          <w:color w:val="000000"/>
        </w:rPr>
      </w:pPr>
      <w:r w:rsidRPr="00596707">
        <w:rPr>
          <w:bCs/>
          <w:color w:val="000000"/>
          <w:lang w:val="kk-KZ"/>
        </w:rPr>
        <w:t>В ноябре 2018 года состоялось награждение победителей конкурса детского рисунка «Тенге глазами детей», приуроченного к юбилею национальной валюты. Также в рамках 25-летия национальной валюты тенге опубликован</w:t>
      </w:r>
      <w:r>
        <w:rPr>
          <w:bCs/>
          <w:color w:val="000000"/>
          <w:lang w:val="kk-KZ"/>
        </w:rPr>
        <w:t>ы</w:t>
      </w:r>
      <w:r w:rsidRPr="00596707">
        <w:rPr>
          <w:bCs/>
          <w:color w:val="000000"/>
          <w:lang w:val="kk-KZ"/>
        </w:rPr>
        <w:t xml:space="preserve"> в СМИ </w:t>
      </w:r>
      <w:r>
        <w:rPr>
          <w:bCs/>
          <w:color w:val="000000"/>
          <w:lang w:val="kk-KZ"/>
        </w:rPr>
        <w:t>материалы</w:t>
      </w:r>
      <w:r w:rsidRPr="00596707">
        <w:rPr>
          <w:bCs/>
          <w:color w:val="000000"/>
          <w:lang w:val="kk-KZ"/>
        </w:rPr>
        <w:t xml:space="preserve"> с воспоминаниями ветеранов финансовой системы Казахстана</w:t>
      </w:r>
      <w:r>
        <w:rPr>
          <w:bCs/>
          <w:color w:val="000000"/>
        </w:rPr>
        <w:t>.</w:t>
      </w:r>
    </w:p>
    <w:p w:rsidR="00002E14" w:rsidRPr="00596707" w:rsidRDefault="00002E14" w:rsidP="0026419D">
      <w:pPr>
        <w:ind w:firstLine="709"/>
        <w:jc w:val="both"/>
        <w:rPr>
          <w:bCs/>
          <w:color w:val="000000"/>
          <w:lang w:val="kk-KZ"/>
        </w:rPr>
      </w:pPr>
      <w:r w:rsidRPr="00596707">
        <w:rPr>
          <w:bCs/>
          <w:color w:val="000000"/>
          <w:lang w:val="kk-KZ"/>
        </w:rPr>
        <w:t>Разъяснительная работа Национального Банка проводилась по следующим направлениям:</w:t>
      </w:r>
    </w:p>
    <w:p w:rsidR="00002E14" w:rsidRPr="00596707" w:rsidRDefault="00002E14" w:rsidP="0026419D">
      <w:pPr>
        <w:ind w:firstLine="709"/>
        <w:jc w:val="both"/>
        <w:rPr>
          <w:bCs/>
          <w:color w:val="000000"/>
          <w:lang w:val="kk-KZ"/>
        </w:rPr>
      </w:pPr>
      <w:r w:rsidRPr="00596707">
        <w:rPr>
          <w:bCs/>
          <w:color w:val="000000"/>
          <w:lang w:val="kk-KZ"/>
        </w:rPr>
        <w:lastRenderedPageBreak/>
        <w:t>- организация интервью для средств массовой информации</w:t>
      </w:r>
      <w:r>
        <w:rPr>
          <w:bCs/>
          <w:color w:val="000000"/>
          <w:lang w:val="kk-KZ"/>
        </w:rPr>
        <w:t>. Б</w:t>
      </w:r>
      <w:r w:rsidRPr="00596707">
        <w:rPr>
          <w:bCs/>
          <w:color w:val="000000"/>
          <w:lang w:val="kk-KZ"/>
        </w:rPr>
        <w:t xml:space="preserve">ыли организованы интервью руководства и сотрудников НБРК для казахстанских средств массовой информации: «Хабар», «Хабар24», «КТК», «Forbes», «Казахстан», «Атамекен», «Егемен Қазақстан», «Казахстанская правда», «Деловой Казахстан», «Капитал.kz», «Kursiv.kz», «Zakon.kz». Территориальными филиалами НБРК </w:t>
      </w:r>
      <w:r>
        <w:rPr>
          <w:bCs/>
          <w:color w:val="000000"/>
          <w:lang w:val="kk-KZ"/>
        </w:rPr>
        <w:t>организованы</w:t>
      </w:r>
      <w:r w:rsidRPr="00596707">
        <w:rPr>
          <w:bCs/>
          <w:color w:val="000000"/>
          <w:lang w:val="kk-KZ"/>
        </w:rPr>
        <w:t xml:space="preserve"> выступлени</w:t>
      </w:r>
      <w:r>
        <w:rPr>
          <w:bCs/>
          <w:color w:val="000000"/>
          <w:lang w:val="kk-KZ"/>
        </w:rPr>
        <w:t>я</w:t>
      </w:r>
      <w:r w:rsidRPr="00596707">
        <w:rPr>
          <w:bCs/>
          <w:color w:val="000000"/>
          <w:lang w:val="kk-KZ"/>
        </w:rPr>
        <w:t xml:space="preserve"> в региональных СМИ;</w:t>
      </w:r>
    </w:p>
    <w:p w:rsidR="00002E14" w:rsidRPr="00596707" w:rsidRDefault="00002E14" w:rsidP="0026419D">
      <w:pPr>
        <w:ind w:firstLine="709"/>
        <w:jc w:val="both"/>
        <w:rPr>
          <w:bCs/>
          <w:color w:val="000000"/>
          <w:lang w:val="kk-KZ"/>
        </w:rPr>
      </w:pPr>
      <w:r w:rsidRPr="00596707">
        <w:rPr>
          <w:bCs/>
          <w:color w:val="000000"/>
          <w:lang w:val="kk-KZ"/>
        </w:rPr>
        <w:t>- подготовка и рассылка в СМИ информаци</w:t>
      </w:r>
      <w:r>
        <w:rPr>
          <w:bCs/>
          <w:color w:val="000000"/>
          <w:lang w:val="kk-KZ"/>
        </w:rPr>
        <w:t>онных сообщений, пресс-релизов;</w:t>
      </w:r>
    </w:p>
    <w:p w:rsidR="00002E14" w:rsidRPr="00596707" w:rsidRDefault="00002E14" w:rsidP="0026419D">
      <w:pPr>
        <w:ind w:firstLine="709"/>
        <w:jc w:val="both"/>
        <w:rPr>
          <w:bCs/>
          <w:color w:val="000000"/>
          <w:lang w:val="kk-KZ"/>
        </w:rPr>
      </w:pPr>
      <w:r w:rsidRPr="00596707">
        <w:rPr>
          <w:bCs/>
          <w:color w:val="000000"/>
          <w:lang w:val="kk-KZ"/>
        </w:rPr>
        <w:t>- предоставление комментариев на запросы СМИ по основным направлениям д</w:t>
      </w:r>
      <w:r>
        <w:rPr>
          <w:bCs/>
          <w:color w:val="000000"/>
          <w:lang w:val="kk-KZ"/>
        </w:rPr>
        <w:t>еятельности Национального Банка</w:t>
      </w:r>
      <w:r w:rsidRPr="00596707">
        <w:rPr>
          <w:bCs/>
          <w:color w:val="000000"/>
          <w:lang w:val="kk-KZ"/>
        </w:rPr>
        <w:t>;</w:t>
      </w:r>
    </w:p>
    <w:p w:rsidR="00002E14" w:rsidRPr="00596707" w:rsidRDefault="00002E14" w:rsidP="0026419D">
      <w:pPr>
        <w:ind w:firstLine="709"/>
        <w:jc w:val="both"/>
        <w:rPr>
          <w:bCs/>
          <w:color w:val="000000"/>
          <w:lang w:val="kk-KZ"/>
        </w:rPr>
      </w:pPr>
      <w:r w:rsidRPr="00596707">
        <w:rPr>
          <w:bCs/>
          <w:color w:val="000000"/>
          <w:lang w:val="kk-KZ"/>
        </w:rPr>
        <w:t>- наполнение контента официального Интернет-ресурса НБРК. На официальном Интернет-ресурсе НБРК на системной основе публикуются данные по проводимым операциям в рамках денежно-кредитной политики, в том числе по валютным интервенциям. Также регулярно размещается информация о ситуации на финансовом рынке Казахстана, основных направлениях денежно-кредитной политики, обзоры инфляции и нормативные правовые акты, разработанные НБРК;</w:t>
      </w:r>
    </w:p>
    <w:p w:rsidR="00002E14" w:rsidRPr="00596707" w:rsidRDefault="00002E14" w:rsidP="0026419D">
      <w:pPr>
        <w:ind w:firstLine="709"/>
        <w:jc w:val="both"/>
        <w:rPr>
          <w:bCs/>
          <w:color w:val="000000"/>
          <w:lang w:val="kk-KZ"/>
        </w:rPr>
      </w:pPr>
      <w:r>
        <w:rPr>
          <w:bCs/>
          <w:color w:val="000000"/>
          <w:lang w:val="kk-KZ"/>
        </w:rPr>
        <w:t xml:space="preserve">- освещение деятельности НБРК </w:t>
      </w:r>
      <w:r w:rsidRPr="00596707">
        <w:rPr>
          <w:bCs/>
          <w:color w:val="000000"/>
          <w:lang w:val="kk-KZ"/>
        </w:rPr>
        <w:t>посредством мобильного приложения «НБК online», официальных аккаунтов в социальных сетях Facebook, Twitter и Instagram. В настоящий момент в приложении «НБК Online» зарегистрировано свыше 17 000 пользователей, предоставлены ответы на более чем 13 000 вопросов пользователей;</w:t>
      </w:r>
    </w:p>
    <w:p w:rsidR="00002E14" w:rsidRPr="00596707" w:rsidRDefault="00002E14" w:rsidP="0026419D">
      <w:pPr>
        <w:ind w:firstLine="709"/>
        <w:jc w:val="both"/>
        <w:rPr>
          <w:bCs/>
          <w:color w:val="000000"/>
          <w:lang w:val="kk-KZ"/>
        </w:rPr>
      </w:pPr>
      <w:r>
        <w:rPr>
          <w:bCs/>
          <w:color w:val="000000"/>
          <w:lang w:val="kk-KZ"/>
        </w:rPr>
        <w:t xml:space="preserve">- </w:t>
      </w:r>
      <w:r w:rsidRPr="00596707">
        <w:rPr>
          <w:bCs/>
          <w:color w:val="000000"/>
          <w:lang w:val="kk-KZ"/>
        </w:rPr>
        <w:t>реализация специальных проектов НБРК. Были опубликованы</w:t>
      </w:r>
      <w:r>
        <w:rPr>
          <w:bCs/>
          <w:color w:val="000000"/>
          <w:lang w:val="kk-KZ"/>
        </w:rPr>
        <w:t xml:space="preserve"> </w:t>
      </w:r>
      <w:r w:rsidRPr="00596707">
        <w:rPr>
          <w:bCs/>
          <w:color w:val="000000"/>
          <w:lang w:val="kk-KZ"/>
        </w:rPr>
        <w:t xml:space="preserve">6 специальных полос «Национальный Банк комментирует, информирует, разъясняет» в газетах «Егемен Қазақстан» и «Казахстанская правда». </w:t>
      </w:r>
    </w:p>
    <w:p w:rsidR="00002E14" w:rsidRPr="00596707" w:rsidRDefault="00002E14" w:rsidP="0026419D">
      <w:pPr>
        <w:ind w:firstLine="709"/>
        <w:jc w:val="both"/>
        <w:rPr>
          <w:bCs/>
          <w:color w:val="000000"/>
          <w:lang w:val="kk-KZ"/>
        </w:rPr>
      </w:pPr>
      <w:r w:rsidRPr="00596707">
        <w:rPr>
          <w:bCs/>
          <w:color w:val="000000"/>
          <w:lang w:val="kk-KZ"/>
        </w:rPr>
        <w:t>В рамках реализации «Программы повышения финансовой грамотности населения РК на 2016-2018 годы» Национальным Банком реализуются следующие проекты:</w:t>
      </w:r>
    </w:p>
    <w:p w:rsidR="00002E14" w:rsidRPr="00596707" w:rsidRDefault="00002E14" w:rsidP="0026419D">
      <w:pPr>
        <w:ind w:firstLine="709"/>
        <w:jc w:val="both"/>
        <w:rPr>
          <w:bCs/>
          <w:color w:val="000000"/>
          <w:lang w:val="kk-KZ"/>
        </w:rPr>
      </w:pPr>
      <w:r>
        <w:rPr>
          <w:bCs/>
          <w:color w:val="000000"/>
          <w:lang w:val="kk-KZ"/>
        </w:rPr>
        <w:t xml:space="preserve">- </w:t>
      </w:r>
      <w:r w:rsidRPr="00596707">
        <w:rPr>
          <w:bCs/>
          <w:color w:val="000000"/>
          <w:lang w:val="kk-KZ"/>
        </w:rPr>
        <w:t xml:space="preserve">с целью разработки Национальной стратегии по повышению финансовой грамотности населения ведется работа по созданию экспертного совета по повышению финансовой грамотности, в который войдут представители Министерства образования Республики Казахстан, ОЮЛ «Ассоциация финансистов Казахстана», финансовых организаций, общественных организаций, СМИ и отдельные эксперты. </w:t>
      </w:r>
    </w:p>
    <w:p w:rsidR="00002E14" w:rsidRPr="00596707" w:rsidRDefault="00002E14" w:rsidP="0026419D">
      <w:pPr>
        <w:ind w:firstLine="709"/>
        <w:jc w:val="both"/>
        <w:rPr>
          <w:bCs/>
          <w:color w:val="000000"/>
          <w:lang w:val="kk-KZ"/>
        </w:rPr>
      </w:pPr>
      <w:r>
        <w:rPr>
          <w:bCs/>
          <w:color w:val="000000"/>
          <w:lang w:val="kk-KZ"/>
        </w:rPr>
        <w:t xml:space="preserve">- </w:t>
      </w:r>
      <w:r w:rsidRPr="00596707">
        <w:rPr>
          <w:bCs/>
          <w:color w:val="000000"/>
          <w:lang w:val="kk-KZ"/>
        </w:rPr>
        <w:t xml:space="preserve">запущено социологическое исследование уровня финансовой грамотности населения Казахстана и проведение курса лекций по финансовой грамотности для населения в регионах страны. </w:t>
      </w:r>
    </w:p>
    <w:p w:rsidR="00002E14" w:rsidRPr="00596707" w:rsidRDefault="00002E14" w:rsidP="0026419D">
      <w:pPr>
        <w:ind w:firstLine="709"/>
        <w:jc w:val="both"/>
        <w:rPr>
          <w:bCs/>
          <w:color w:val="000000"/>
          <w:lang w:val="kk-KZ"/>
        </w:rPr>
      </w:pPr>
      <w:r w:rsidRPr="00596707">
        <w:rPr>
          <w:bCs/>
          <w:color w:val="000000"/>
          <w:lang w:val="kk-KZ"/>
        </w:rPr>
        <w:t>- функционирует обновленный сайт fingramota.kz, на котором размещаются материалы по финансовой грамотности, финансовые новости и видеоматериалы.</w:t>
      </w:r>
    </w:p>
    <w:p w:rsidR="00002E14" w:rsidRDefault="00002E14" w:rsidP="0026419D">
      <w:pPr>
        <w:ind w:firstLine="709"/>
        <w:jc w:val="both"/>
        <w:rPr>
          <w:bCs/>
          <w:color w:val="000000"/>
          <w:lang w:val="kk-KZ"/>
        </w:rPr>
      </w:pPr>
      <w:r w:rsidRPr="00596707">
        <w:rPr>
          <w:bCs/>
          <w:color w:val="000000"/>
          <w:lang w:val="kk-KZ"/>
        </w:rPr>
        <w:t>- создаются и выходят в эфир телевизионные программы по финансовой грамотности на телеканале «Астана»:</w:t>
      </w:r>
      <w:r>
        <w:rPr>
          <w:bCs/>
          <w:color w:val="000000"/>
          <w:lang w:val="kk-KZ"/>
        </w:rPr>
        <w:t xml:space="preserve"> </w:t>
      </w:r>
      <w:r w:rsidRPr="00596707">
        <w:rPr>
          <w:bCs/>
          <w:color w:val="000000"/>
          <w:lang w:val="kk-KZ"/>
        </w:rPr>
        <w:t>«Профинансы.WEB» - для широких слоев населения, в том числе молодежной аудитор</w:t>
      </w:r>
      <w:r>
        <w:rPr>
          <w:bCs/>
          <w:color w:val="000000"/>
          <w:lang w:val="kk-KZ"/>
        </w:rPr>
        <w:t>ии с целью повышения финансовой</w:t>
      </w:r>
      <w:r w:rsidRPr="00596707">
        <w:rPr>
          <w:bCs/>
          <w:color w:val="000000"/>
          <w:lang w:val="kk-KZ"/>
        </w:rPr>
        <w:t xml:space="preserve"> грамотности населения Республики Казахстан, осведомленности о финансовых продуктах и работе финансовой системы в целом. «ТенгеLand» - детская телевизионная программа для детей младшего и среднего школьного возраста с целью формирования базовых навыков финансовой культуры. </w:t>
      </w:r>
    </w:p>
    <w:p w:rsidR="00002E14" w:rsidRDefault="00002E14" w:rsidP="0026419D">
      <w:pPr>
        <w:widowControl w:val="0"/>
        <w:ind w:firstLine="709"/>
        <w:jc w:val="both"/>
        <w:rPr>
          <w:b/>
          <w:bCs/>
          <w:color w:val="000000"/>
          <w:lang w:val="kk-KZ"/>
        </w:rPr>
      </w:pPr>
      <w:r w:rsidRPr="00596707">
        <w:rPr>
          <w:bCs/>
          <w:color w:val="000000"/>
          <w:lang w:val="kk-KZ"/>
        </w:rPr>
        <w:t>- запущен выпуск приложений для детей школьного возраста в республиканских печатных изда</w:t>
      </w:r>
      <w:r>
        <w:rPr>
          <w:bCs/>
          <w:color w:val="000000"/>
          <w:lang w:val="kk-KZ"/>
        </w:rPr>
        <w:t>ниях «Ойла» и «Дружные ребята».</w:t>
      </w:r>
    </w:p>
    <w:p w:rsidR="00002E14" w:rsidRDefault="00002E14" w:rsidP="0026419D">
      <w:pPr>
        <w:widowControl w:val="0"/>
        <w:ind w:firstLine="709"/>
        <w:jc w:val="both"/>
        <w:rPr>
          <w:b/>
          <w:bCs/>
          <w:color w:val="000000"/>
          <w:lang w:val="kk-KZ"/>
        </w:rPr>
      </w:pPr>
      <w:r w:rsidRPr="00596707">
        <w:rPr>
          <w:bCs/>
          <w:color w:val="000000"/>
          <w:lang w:val="kk-KZ"/>
        </w:rPr>
        <w:t>Национальный Банк продолжит работу по совершенствованию информационной политики, обеспечению открытости и прозрачности своей деятельности для каждой целевой аудитории.</w:t>
      </w:r>
    </w:p>
    <w:p w:rsidR="00002E14" w:rsidRDefault="00002E14" w:rsidP="0026419D">
      <w:pPr>
        <w:widowControl w:val="0"/>
        <w:ind w:firstLine="709"/>
        <w:jc w:val="both"/>
        <w:rPr>
          <w:b/>
          <w:bCs/>
          <w:color w:val="000000"/>
          <w:lang w:val="kk-KZ"/>
        </w:rPr>
      </w:pPr>
    </w:p>
    <w:p w:rsidR="00002E14" w:rsidRDefault="00002E14" w:rsidP="005E3D53">
      <w:pPr>
        <w:widowControl w:val="0"/>
        <w:ind w:firstLine="709"/>
        <w:jc w:val="center"/>
        <w:rPr>
          <w:b/>
          <w:bCs/>
          <w:color w:val="000000"/>
          <w:lang w:val="kk-KZ"/>
        </w:rPr>
      </w:pPr>
      <w:r>
        <w:rPr>
          <w:b/>
          <w:bCs/>
          <w:color w:val="000000"/>
          <w:lang w:val="kk-KZ"/>
        </w:rPr>
        <w:t>ОНП 2017</w:t>
      </w:r>
    </w:p>
    <w:p w:rsidR="00002E14" w:rsidRDefault="00002E14" w:rsidP="0026419D">
      <w:pPr>
        <w:widowControl w:val="0"/>
        <w:ind w:firstLine="709"/>
        <w:jc w:val="both"/>
        <w:rPr>
          <w:b/>
          <w:bCs/>
          <w:color w:val="000000"/>
          <w:lang w:val="kk-KZ"/>
        </w:rPr>
      </w:pPr>
    </w:p>
    <w:p w:rsidR="00002E14" w:rsidRPr="00DA3829" w:rsidRDefault="00002E14" w:rsidP="0026419D">
      <w:pPr>
        <w:widowControl w:val="0"/>
        <w:ind w:firstLine="709"/>
        <w:jc w:val="both"/>
        <w:rPr>
          <w:b/>
          <w:bCs/>
          <w:i/>
          <w:color w:val="000000"/>
          <w:lang w:val="kk-KZ"/>
        </w:rPr>
      </w:pPr>
      <w:r w:rsidRPr="00DA3829">
        <w:rPr>
          <w:b/>
          <w:bCs/>
          <w:i/>
          <w:color w:val="000000"/>
          <w:lang w:val="kk-KZ"/>
        </w:rPr>
        <w:t>38. Поэтапное снижение уровня инфляции до 3-4% в среднесрочный период</w:t>
      </w:r>
    </w:p>
    <w:p w:rsidR="00002E14" w:rsidRPr="009764D1" w:rsidRDefault="00002E14" w:rsidP="0026419D">
      <w:pPr>
        <w:ind w:firstLine="709"/>
        <w:jc w:val="both"/>
        <w:rPr>
          <w:bCs/>
          <w:color w:val="000000"/>
          <w:lang w:val="kk-KZ"/>
        </w:rPr>
      </w:pPr>
      <w:r w:rsidRPr="009764D1">
        <w:rPr>
          <w:bCs/>
          <w:color w:val="000000"/>
          <w:lang w:val="kk-KZ"/>
        </w:rPr>
        <w:t xml:space="preserve">По официальным данным </w:t>
      </w:r>
      <w:r>
        <w:rPr>
          <w:bCs/>
          <w:color w:val="000000"/>
          <w:lang w:val="kk-KZ"/>
        </w:rPr>
        <w:t>КС МНЭ</w:t>
      </w:r>
      <w:r w:rsidRPr="009764D1">
        <w:rPr>
          <w:bCs/>
          <w:color w:val="000000"/>
          <w:lang w:val="kk-KZ"/>
        </w:rPr>
        <w:t xml:space="preserve">, инфляция в январе-ноябре 2018 года составила 4,6% (в январе-ноябре 2017 года – 6,3%). Цены на продовольственные товары повысились на 3,8% (5,3%), непродовольственные товары – на 5,9% (8,4%), тарифы на платные услуги – на 4,2% (5,6%). </w:t>
      </w:r>
    </w:p>
    <w:p w:rsidR="00002E14" w:rsidRDefault="00002E14" w:rsidP="0026419D">
      <w:pPr>
        <w:ind w:firstLine="709"/>
        <w:jc w:val="both"/>
        <w:rPr>
          <w:bCs/>
          <w:color w:val="000000"/>
          <w:lang w:val="kk-KZ"/>
        </w:rPr>
      </w:pPr>
      <w:r w:rsidRPr="009764D1">
        <w:rPr>
          <w:bCs/>
          <w:color w:val="000000"/>
          <w:lang w:val="kk-KZ"/>
        </w:rPr>
        <w:lastRenderedPageBreak/>
        <w:t>В ноябре 2018 года инфляция в годовом выражении составила 5,3% (в декабре 2017 года – 7,1%), что соответствует целевому коридору 5-7%, установленному на конец 2018 года.</w:t>
      </w:r>
    </w:p>
    <w:p w:rsidR="00002E14" w:rsidRPr="00E87012" w:rsidRDefault="00002E14" w:rsidP="0026419D">
      <w:pPr>
        <w:ind w:firstLine="709"/>
        <w:jc w:val="both"/>
        <w:rPr>
          <w:bCs/>
          <w:color w:val="000000"/>
          <w:lang w:val="kk-KZ"/>
        </w:rPr>
      </w:pPr>
      <w:r w:rsidRPr="00E87012">
        <w:rPr>
          <w:bCs/>
          <w:color w:val="000000"/>
          <w:lang w:val="kk-KZ"/>
        </w:rPr>
        <w:t>Основной целью Национального Банка является обеспечение стабильности цен в Республике Казахстан. В этой связи, основные усилия Национального Банка направлены на достижение целевых показателей по инфляции в 2018 году в коридоре 5-7% с дальнейшим их снижением до 4-6% в 2019 году и ниже, но близко к 4% на конец 2020 года и последующие годы.</w:t>
      </w:r>
    </w:p>
    <w:p w:rsidR="00002E14" w:rsidRPr="00E87012" w:rsidRDefault="00002E14" w:rsidP="0026419D">
      <w:pPr>
        <w:ind w:firstLine="709"/>
        <w:jc w:val="both"/>
        <w:rPr>
          <w:bCs/>
          <w:color w:val="000000"/>
          <w:lang w:val="kk-KZ"/>
        </w:rPr>
      </w:pPr>
      <w:r w:rsidRPr="00E87012">
        <w:rPr>
          <w:bCs/>
          <w:color w:val="000000"/>
          <w:lang w:val="kk-KZ"/>
        </w:rPr>
        <w:t>С начала 2018 года базовая ставка была снижена 4 раза: с 16 января с 10,25% до 9,75%, с 6 марта до 9,5%, с 17 апреля до 9,25% и с 5 июня до 9%.</w:t>
      </w:r>
    </w:p>
    <w:p w:rsidR="00002E14" w:rsidRPr="00590071" w:rsidRDefault="00002E14" w:rsidP="0026419D">
      <w:pPr>
        <w:ind w:firstLine="709"/>
        <w:jc w:val="both"/>
        <w:rPr>
          <w:bCs/>
          <w:color w:val="000000"/>
        </w:rPr>
      </w:pPr>
      <w:r w:rsidRPr="00E87012">
        <w:rPr>
          <w:bCs/>
          <w:color w:val="000000"/>
          <w:lang w:val="kk-KZ"/>
        </w:rPr>
        <w:t>С конца третьего квартала текущего года ситуация на внешних рынках приобрела разнонаправленный характер. В этой связи, а также ввиду усиливающегося проинфляционного давления со стороны внутренних рынков, Национальный Банк в целях обеспечения целевых уровней инфляции 15 октября текущего года принял решение впервые с февраля 2016 года повысить базовую ставку до уровня 9,25% и впоследствии сохранил ее на том же уровне 4 декабря.</w:t>
      </w:r>
    </w:p>
    <w:p w:rsidR="00002E14" w:rsidRPr="00590071" w:rsidRDefault="00002E14" w:rsidP="0026419D">
      <w:pPr>
        <w:ind w:firstLine="709"/>
        <w:jc w:val="both"/>
        <w:rPr>
          <w:bCs/>
          <w:color w:val="000000"/>
        </w:rPr>
      </w:pPr>
      <w:r w:rsidRPr="00E87012">
        <w:rPr>
          <w:bCs/>
          <w:color w:val="000000"/>
        </w:rPr>
        <w:t xml:space="preserve">Для ограничения возможной реализации инфляционных рисков Национальным Банком проводятся операции по связыванию избыточной ликвидности. Основными инструментами регулирования ставок вознаграждения на денежном рынке являлись краткосрочные ноты Национального Банка, а также операции прямое </w:t>
      </w:r>
      <w:proofErr w:type="spellStart"/>
      <w:r w:rsidRPr="00E87012">
        <w:rPr>
          <w:bCs/>
          <w:color w:val="000000"/>
        </w:rPr>
        <w:t>репо</w:t>
      </w:r>
      <w:proofErr w:type="spellEnd"/>
      <w:r w:rsidRPr="00E87012">
        <w:rPr>
          <w:bCs/>
          <w:color w:val="000000"/>
        </w:rPr>
        <w:t xml:space="preserve"> и привлечение депозитов.</w:t>
      </w:r>
    </w:p>
    <w:p w:rsidR="00002E14" w:rsidRDefault="00002E14" w:rsidP="0026419D">
      <w:pPr>
        <w:widowControl w:val="0"/>
        <w:ind w:firstLine="709"/>
        <w:jc w:val="both"/>
        <w:rPr>
          <w:szCs w:val="28"/>
        </w:rPr>
      </w:pPr>
      <w:r w:rsidRPr="009764D1">
        <w:rPr>
          <w:szCs w:val="28"/>
        </w:rPr>
        <w:t xml:space="preserve">Для обеспечения инфляции в заданных параметрах </w:t>
      </w:r>
      <w:r>
        <w:rPr>
          <w:szCs w:val="28"/>
        </w:rPr>
        <w:t>НБ</w:t>
      </w:r>
      <w:r w:rsidRPr="009764D1">
        <w:rPr>
          <w:szCs w:val="28"/>
        </w:rPr>
        <w:t xml:space="preserve"> проводит денежно-кредитную политику и выстраивает систему инструментов с основным акцентом на процентной политике при режиме плавающего обменного курса тенге.</w:t>
      </w:r>
    </w:p>
    <w:p w:rsidR="004232B8" w:rsidRDefault="004232B8" w:rsidP="0026419D">
      <w:pPr>
        <w:widowControl w:val="0"/>
        <w:ind w:firstLine="709"/>
        <w:jc w:val="both"/>
        <w:rPr>
          <w:szCs w:val="28"/>
        </w:rPr>
      </w:pPr>
    </w:p>
    <w:p w:rsidR="004232B8" w:rsidRDefault="004232B8" w:rsidP="005E3D53">
      <w:pPr>
        <w:widowControl w:val="0"/>
        <w:ind w:firstLine="709"/>
        <w:jc w:val="center"/>
        <w:rPr>
          <w:b/>
          <w:bCs/>
          <w:color w:val="000000"/>
          <w:lang w:val="kk-KZ"/>
        </w:rPr>
      </w:pPr>
      <w:r>
        <w:rPr>
          <w:b/>
          <w:bCs/>
          <w:color w:val="000000"/>
          <w:lang w:val="kk-KZ"/>
        </w:rPr>
        <w:t>ОНП 2018</w:t>
      </w:r>
    </w:p>
    <w:p w:rsidR="00DA3829" w:rsidRDefault="00DA3829" w:rsidP="0026419D">
      <w:pPr>
        <w:widowControl w:val="0"/>
        <w:ind w:firstLine="709"/>
        <w:jc w:val="both"/>
        <w:rPr>
          <w:szCs w:val="28"/>
        </w:rPr>
      </w:pPr>
    </w:p>
    <w:p w:rsidR="004232B8" w:rsidRPr="00DA3829" w:rsidRDefault="004232B8" w:rsidP="0026419D">
      <w:pPr>
        <w:widowControl w:val="0"/>
        <w:ind w:firstLine="709"/>
        <w:jc w:val="both"/>
        <w:rPr>
          <w:b/>
          <w:bCs/>
          <w:i/>
          <w:color w:val="000000"/>
          <w:lang w:val="kk-KZ"/>
        </w:rPr>
      </w:pPr>
      <w:r w:rsidRPr="00DA3829">
        <w:rPr>
          <w:b/>
          <w:bCs/>
          <w:i/>
          <w:color w:val="000000"/>
          <w:lang w:val="kk-KZ"/>
        </w:rPr>
        <w:t>33. Завершение очистки банковского портфеля от «плохих» кредитов</w:t>
      </w:r>
    </w:p>
    <w:p w:rsidR="004232B8" w:rsidRPr="00D3017C" w:rsidRDefault="004232B8" w:rsidP="0026419D">
      <w:pPr>
        <w:ind w:firstLine="709"/>
        <w:jc w:val="both"/>
        <w:rPr>
          <w:bCs/>
          <w:color w:val="000000"/>
        </w:rPr>
      </w:pPr>
      <w:r>
        <w:rPr>
          <w:bCs/>
          <w:color w:val="000000"/>
        </w:rPr>
        <w:t>Н</w:t>
      </w:r>
      <w:r w:rsidRPr="00D3017C">
        <w:rPr>
          <w:bCs/>
          <w:color w:val="000000"/>
        </w:rPr>
        <w:t xml:space="preserve">ачиная со второй половины 2017 года, </w:t>
      </w:r>
      <w:r>
        <w:rPr>
          <w:bCs/>
          <w:color w:val="000000"/>
        </w:rPr>
        <w:t xml:space="preserve">приняты меры по оздоровлению </w:t>
      </w:r>
      <w:proofErr w:type="spellStart"/>
      <w:r w:rsidRPr="00D3017C">
        <w:rPr>
          <w:bCs/>
          <w:color w:val="000000"/>
        </w:rPr>
        <w:t>Казкоммерцбанка</w:t>
      </w:r>
      <w:proofErr w:type="spellEnd"/>
      <w:r>
        <w:rPr>
          <w:bCs/>
          <w:color w:val="000000"/>
        </w:rPr>
        <w:t xml:space="preserve"> и Банка РБК</w:t>
      </w:r>
      <w:r w:rsidRPr="00D3017C">
        <w:rPr>
          <w:bCs/>
          <w:color w:val="000000"/>
        </w:rPr>
        <w:t xml:space="preserve">, </w:t>
      </w:r>
      <w:r>
        <w:rPr>
          <w:bCs/>
          <w:color w:val="000000"/>
        </w:rPr>
        <w:t xml:space="preserve">оказана государственная поддержка четырем крупным банкам, в результате которых </w:t>
      </w:r>
      <w:r w:rsidRPr="00D3017C">
        <w:rPr>
          <w:bCs/>
          <w:color w:val="000000"/>
        </w:rPr>
        <w:t>улучшена их финансовая устойчивость.</w:t>
      </w:r>
    </w:p>
    <w:p w:rsidR="004232B8" w:rsidRPr="00D3017C" w:rsidRDefault="004232B8" w:rsidP="0026419D">
      <w:pPr>
        <w:ind w:firstLine="709"/>
        <w:jc w:val="both"/>
        <w:rPr>
          <w:bCs/>
          <w:color w:val="000000"/>
        </w:rPr>
      </w:pPr>
      <w:r w:rsidRPr="00D3017C">
        <w:rPr>
          <w:bCs/>
          <w:color w:val="000000"/>
        </w:rPr>
        <w:t xml:space="preserve">В середине 2018 года Правительством совместно с Национальным Банком оказана поддержка агропромышленному комплексу и </w:t>
      </w:r>
      <w:proofErr w:type="spellStart"/>
      <w:r w:rsidRPr="00D3017C">
        <w:rPr>
          <w:bCs/>
          <w:color w:val="000000"/>
        </w:rPr>
        <w:t>Цеснабанку</w:t>
      </w:r>
      <w:proofErr w:type="spellEnd"/>
      <w:r w:rsidRPr="00D3017C">
        <w:rPr>
          <w:bCs/>
          <w:color w:val="000000"/>
        </w:rPr>
        <w:t xml:space="preserve"> путем выкупа Фондом проблемных кредитов портфеля сельскохозяйственных кредитов у </w:t>
      </w:r>
      <w:proofErr w:type="spellStart"/>
      <w:r w:rsidRPr="00D3017C">
        <w:rPr>
          <w:bCs/>
          <w:color w:val="000000"/>
        </w:rPr>
        <w:t>Цеснабанка</w:t>
      </w:r>
      <w:proofErr w:type="spellEnd"/>
      <w:r w:rsidRPr="00D3017C">
        <w:rPr>
          <w:bCs/>
          <w:color w:val="000000"/>
        </w:rPr>
        <w:t xml:space="preserve"> на сумму 450 млрд. тенге</w:t>
      </w:r>
      <w:r>
        <w:rPr>
          <w:bCs/>
          <w:color w:val="000000"/>
        </w:rPr>
        <w:t>.</w:t>
      </w:r>
      <w:r w:rsidRPr="00D3017C">
        <w:rPr>
          <w:bCs/>
          <w:color w:val="000000"/>
        </w:rPr>
        <w:t xml:space="preserve"> </w:t>
      </w:r>
      <w:r>
        <w:rPr>
          <w:bCs/>
          <w:color w:val="000000"/>
        </w:rPr>
        <w:t>Лишены</w:t>
      </w:r>
      <w:r w:rsidRPr="00D3017C">
        <w:rPr>
          <w:bCs/>
          <w:color w:val="000000"/>
        </w:rPr>
        <w:t xml:space="preserve"> лицензи</w:t>
      </w:r>
      <w:r>
        <w:rPr>
          <w:bCs/>
          <w:color w:val="000000"/>
        </w:rPr>
        <w:t>и</w:t>
      </w:r>
      <w:r w:rsidRPr="00D3017C">
        <w:rPr>
          <w:bCs/>
          <w:color w:val="000000"/>
        </w:rPr>
        <w:t xml:space="preserve"> пяти банков второго уровня (Банк Астаны, </w:t>
      </w:r>
      <w:proofErr w:type="spellStart"/>
      <w:r w:rsidRPr="00D3017C">
        <w:rPr>
          <w:bCs/>
          <w:color w:val="000000"/>
        </w:rPr>
        <w:t>Эксимбанк</w:t>
      </w:r>
      <w:proofErr w:type="spellEnd"/>
      <w:r w:rsidRPr="00D3017C">
        <w:rPr>
          <w:bCs/>
          <w:color w:val="000000"/>
        </w:rPr>
        <w:t xml:space="preserve">, </w:t>
      </w:r>
      <w:proofErr w:type="spellStart"/>
      <w:r w:rsidRPr="00D3017C">
        <w:rPr>
          <w:bCs/>
          <w:color w:val="000000"/>
        </w:rPr>
        <w:t>Qazaq</w:t>
      </w:r>
      <w:proofErr w:type="spellEnd"/>
      <w:r w:rsidRPr="00D3017C">
        <w:rPr>
          <w:bCs/>
          <w:color w:val="000000"/>
        </w:rPr>
        <w:t xml:space="preserve"> </w:t>
      </w:r>
      <w:proofErr w:type="spellStart"/>
      <w:r w:rsidRPr="00D3017C">
        <w:rPr>
          <w:bCs/>
          <w:color w:val="000000"/>
        </w:rPr>
        <w:t>Banki</w:t>
      </w:r>
      <w:proofErr w:type="spellEnd"/>
      <w:r w:rsidRPr="00D3017C">
        <w:rPr>
          <w:bCs/>
          <w:color w:val="000000"/>
        </w:rPr>
        <w:t xml:space="preserve">, </w:t>
      </w:r>
      <w:proofErr w:type="spellStart"/>
      <w:r w:rsidRPr="00D3017C">
        <w:rPr>
          <w:bCs/>
          <w:color w:val="000000"/>
        </w:rPr>
        <w:t>Delta</w:t>
      </w:r>
      <w:proofErr w:type="spellEnd"/>
      <w:r w:rsidRPr="00D3017C">
        <w:rPr>
          <w:bCs/>
          <w:color w:val="000000"/>
        </w:rPr>
        <w:t xml:space="preserve"> </w:t>
      </w:r>
      <w:proofErr w:type="spellStart"/>
      <w:r w:rsidRPr="00D3017C">
        <w:rPr>
          <w:bCs/>
          <w:color w:val="000000"/>
        </w:rPr>
        <w:t>Bank</w:t>
      </w:r>
      <w:proofErr w:type="spellEnd"/>
      <w:r w:rsidRPr="00D3017C">
        <w:rPr>
          <w:bCs/>
          <w:color w:val="000000"/>
        </w:rPr>
        <w:t xml:space="preserve"> и </w:t>
      </w:r>
      <w:proofErr w:type="spellStart"/>
      <w:r w:rsidRPr="00D3017C">
        <w:rPr>
          <w:bCs/>
          <w:color w:val="000000"/>
        </w:rPr>
        <w:t>Казинвестбанк</w:t>
      </w:r>
      <w:proofErr w:type="spellEnd"/>
      <w:r w:rsidRPr="00D3017C">
        <w:rPr>
          <w:bCs/>
          <w:color w:val="000000"/>
        </w:rPr>
        <w:t>) осуществлен вывод из банковской статистики их неработающих займов.</w:t>
      </w:r>
    </w:p>
    <w:p w:rsidR="004232B8" w:rsidRDefault="004232B8" w:rsidP="0026419D">
      <w:pPr>
        <w:ind w:firstLine="709"/>
        <w:jc w:val="both"/>
        <w:rPr>
          <w:bCs/>
          <w:color w:val="000000"/>
        </w:rPr>
      </w:pPr>
      <w:r w:rsidRPr="00D3017C">
        <w:rPr>
          <w:bCs/>
          <w:color w:val="000000"/>
        </w:rPr>
        <w:t>В результате</w:t>
      </w:r>
      <w:r>
        <w:rPr>
          <w:bCs/>
          <w:color w:val="000000"/>
        </w:rPr>
        <w:t>,</w:t>
      </w:r>
      <w:r w:rsidRPr="00D3017C">
        <w:rPr>
          <w:bCs/>
          <w:color w:val="000000"/>
        </w:rPr>
        <w:t xml:space="preserve"> </w:t>
      </w:r>
      <w:r>
        <w:rPr>
          <w:bCs/>
          <w:color w:val="000000"/>
        </w:rPr>
        <w:t>на сегодня</w:t>
      </w:r>
      <w:r w:rsidRPr="00D3017C">
        <w:rPr>
          <w:bCs/>
          <w:color w:val="000000"/>
        </w:rPr>
        <w:t xml:space="preserve"> уровень неработающих кредитов находится на уровне 8,5% от ссудного портфеля.</w:t>
      </w:r>
    </w:p>
    <w:p w:rsidR="004232B8" w:rsidRDefault="004232B8" w:rsidP="0026419D">
      <w:pPr>
        <w:widowControl w:val="0"/>
        <w:ind w:firstLine="709"/>
        <w:jc w:val="both"/>
        <w:rPr>
          <w:bCs/>
          <w:color w:val="000000"/>
          <w:lang w:val="kk-KZ"/>
        </w:rPr>
      </w:pPr>
      <w:r>
        <w:rPr>
          <w:bCs/>
          <w:color w:val="000000"/>
          <w:lang w:val="kk-KZ"/>
        </w:rPr>
        <w:t>Будет продолжена</w:t>
      </w:r>
      <w:r w:rsidRPr="00173007">
        <w:rPr>
          <w:bCs/>
          <w:color w:val="000000"/>
          <w:lang w:val="kk-KZ"/>
        </w:rPr>
        <w:t xml:space="preserve"> реализаци</w:t>
      </w:r>
      <w:r>
        <w:rPr>
          <w:bCs/>
          <w:color w:val="000000"/>
          <w:lang w:val="kk-KZ"/>
        </w:rPr>
        <w:t>я</w:t>
      </w:r>
      <w:r w:rsidRPr="00173007">
        <w:rPr>
          <w:bCs/>
          <w:color w:val="000000"/>
          <w:lang w:val="kk-KZ"/>
        </w:rPr>
        <w:t xml:space="preserve"> мер по очищению банковского сектора от неработающих кредитов</w:t>
      </w:r>
      <w:r>
        <w:rPr>
          <w:bCs/>
          <w:color w:val="000000"/>
          <w:lang w:val="kk-KZ"/>
        </w:rPr>
        <w:t>.</w:t>
      </w:r>
    </w:p>
    <w:p w:rsidR="004232B8" w:rsidRDefault="004232B8" w:rsidP="0026419D">
      <w:pPr>
        <w:widowControl w:val="0"/>
        <w:ind w:firstLine="709"/>
        <w:jc w:val="both"/>
        <w:rPr>
          <w:bCs/>
          <w:color w:val="000000"/>
          <w:lang w:val="kk-KZ"/>
        </w:rPr>
      </w:pPr>
    </w:p>
    <w:p w:rsidR="004232B8" w:rsidRPr="00DA3829" w:rsidRDefault="004232B8" w:rsidP="0026419D">
      <w:pPr>
        <w:ind w:firstLine="709"/>
        <w:jc w:val="both"/>
        <w:rPr>
          <w:b/>
          <w:bCs/>
          <w:i/>
          <w:color w:val="000000"/>
          <w:lang w:val="kk-KZ"/>
        </w:rPr>
      </w:pPr>
      <w:r w:rsidRPr="00DA3829">
        <w:rPr>
          <w:b/>
          <w:bCs/>
          <w:i/>
          <w:color w:val="000000"/>
          <w:lang w:val="kk-KZ"/>
        </w:rPr>
        <w:t xml:space="preserve">34. Внесение предложений по: </w:t>
      </w:r>
    </w:p>
    <w:p w:rsidR="004232B8" w:rsidRPr="00DA3829" w:rsidRDefault="004232B8" w:rsidP="0026419D">
      <w:pPr>
        <w:ind w:firstLine="709"/>
        <w:jc w:val="both"/>
        <w:rPr>
          <w:b/>
          <w:bCs/>
          <w:i/>
          <w:color w:val="000000"/>
          <w:lang w:val="kk-KZ"/>
        </w:rPr>
      </w:pPr>
      <w:r w:rsidRPr="00DA3829">
        <w:rPr>
          <w:b/>
          <w:bCs/>
          <w:i/>
          <w:color w:val="000000"/>
          <w:lang w:val="kk-KZ"/>
        </w:rPr>
        <w:t xml:space="preserve">экономической ответственности собствен-ников банков; </w:t>
      </w:r>
    </w:p>
    <w:p w:rsidR="004232B8" w:rsidRPr="00DA3829" w:rsidRDefault="004232B8" w:rsidP="0026419D">
      <w:pPr>
        <w:widowControl w:val="0"/>
        <w:ind w:firstLine="709"/>
        <w:jc w:val="both"/>
        <w:rPr>
          <w:b/>
          <w:bCs/>
          <w:i/>
          <w:color w:val="000000"/>
          <w:lang w:val="kk-KZ"/>
        </w:rPr>
      </w:pPr>
      <w:r w:rsidRPr="00DA3829">
        <w:rPr>
          <w:b/>
          <w:bCs/>
          <w:i/>
          <w:color w:val="000000"/>
          <w:lang w:val="kk-KZ"/>
        </w:rPr>
        <w:t>установлению уголовной ответственности акционеров банков за вывод средств в угоду аффилированных компаний и лиц, а также переводу соответствующих составов преступлений из категории средней тяжести в тяжкие преступления</w:t>
      </w:r>
    </w:p>
    <w:p w:rsidR="004232B8" w:rsidRDefault="004232B8" w:rsidP="0026419D">
      <w:pPr>
        <w:ind w:firstLine="709"/>
        <w:jc w:val="both"/>
        <w:rPr>
          <w:bCs/>
          <w:color w:val="000000"/>
        </w:rPr>
      </w:pPr>
      <w:r w:rsidRPr="00173007">
        <w:rPr>
          <w:bCs/>
          <w:color w:val="000000"/>
        </w:rPr>
        <w:t>Совместно</w:t>
      </w:r>
      <w:r>
        <w:rPr>
          <w:bCs/>
          <w:color w:val="000000"/>
          <w:lang w:val="kk-KZ"/>
        </w:rPr>
        <w:t xml:space="preserve"> </w:t>
      </w:r>
      <w:r w:rsidRPr="00173007">
        <w:rPr>
          <w:bCs/>
          <w:color w:val="000000"/>
          <w:lang w:val="kk-KZ"/>
        </w:rPr>
        <w:t>МФ, МНЭ,</w:t>
      </w:r>
      <w:r>
        <w:rPr>
          <w:bCs/>
          <w:color w:val="000000"/>
          <w:lang w:val="kk-KZ"/>
        </w:rPr>
        <w:t xml:space="preserve"> </w:t>
      </w:r>
      <w:r w:rsidRPr="00173007">
        <w:rPr>
          <w:bCs/>
          <w:color w:val="000000"/>
          <w:lang w:val="kk-KZ"/>
        </w:rPr>
        <w:t>МЮ, ВС, ГП, КНБ,</w:t>
      </w:r>
      <w:r>
        <w:rPr>
          <w:bCs/>
          <w:color w:val="000000"/>
          <w:lang w:val="kk-KZ"/>
        </w:rPr>
        <w:t xml:space="preserve"> </w:t>
      </w:r>
      <w:r w:rsidRPr="00173007">
        <w:rPr>
          <w:bCs/>
          <w:color w:val="000000"/>
          <w:lang w:val="kk-KZ"/>
        </w:rPr>
        <w:t>АДГСПК</w:t>
      </w:r>
      <w:r>
        <w:rPr>
          <w:bCs/>
          <w:color w:val="000000"/>
        </w:rPr>
        <w:t xml:space="preserve"> направлены предложения в АПРК </w:t>
      </w:r>
      <w:r w:rsidRPr="00A272A5">
        <w:rPr>
          <w:bCs/>
          <w:color w:val="000000"/>
        </w:rPr>
        <w:t>экономической ответственности собственников банков; установлению уголовной ответственности акционеров банков за вывод средств в угоду аффилированных компаний и лиц, а также переводу соответствующих составов преступлений из категории средней тяжести в тяжкие преступления</w:t>
      </w:r>
      <w:r>
        <w:rPr>
          <w:bCs/>
          <w:color w:val="000000"/>
        </w:rPr>
        <w:t>.</w:t>
      </w:r>
    </w:p>
    <w:p w:rsidR="004232B8" w:rsidRDefault="004232B8" w:rsidP="0026419D">
      <w:pPr>
        <w:ind w:firstLine="709"/>
        <w:jc w:val="both"/>
        <w:rPr>
          <w:bCs/>
          <w:color w:val="000000"/>
          <w:lang w:val="kk-KZ"/>
        </w:rPr>
      </w:pPr>
      <w:r>
        <w:rPr>
          <w:bCs/>
          <w:color w:val="000000"/>
          <w:lang w:val="kk-KZ"/>
        </w:rPr>
        <w:t xml:space="preserve">В части экономической ответственности была проведена работа по внесению соответствующих изменений в законодательные акты РК, что позволит </w:t>
      </w:r>
      <w:r w:rsidRPr="00A272A5">
        <w:rPr>
          <w:bCs/>
          <w:color w:val="000000"/>
          <w:lang w:val="kk-KZ"/>
        </w:rPr>
        <w:t xml:space="preserve">ограничить </w:t>
      </w:r>
      <w:r w:rsidRPr="00A272A5">
        <w:rPr>
          <w:bCs/>
          <w:color w:val="000000"/>
          <w:lang w:val="kk-KZ"/>
        </w:rPr>
        <w:lastRenderedPageBreak/>
        <w:t>кредитование банками своих акционеров и связанных с ними лиц, тем самым снизив риски вывода активов</w:t>
      </w:r>
      <w:r>
        <w:rPr>
          <w:bCs/>
          <w:color w:val="000000"/>
          <w:lang w:val="kk-KZ"/>
        </w:rPr>
        <w:t>.</w:t>
      </w:r>
    </w:p>
    <w:p w:rsidR="004232B8" w:rsidRDefault="004232B8" w:rsidP="0026419D">
      <w:pPr>
        <w:ind w:firstLine="709"/>
        <w:jc w:val="both"/>
        <w:rPr>
          <w:bCs/>
          <w:color w:val="000000"/>
          <w:lang w:val="kk-KZ"/>
        </w:rPr>
      </w:pPr>
      <w:r>
        <w:rPr>
          <w:bCs/>
          <w:color w:val="000000"/>
          <w:lang w:val="kk-KZ"/>
        </w:rPr>
        <w:t xml:space="preserve">В части установления уголовной ответственности и перевода </w:t>
      </w:r>
      <w:r w:rsidRPr="00A272A5">
        <w:rPr>
          <w:bCs/>
          <w:color w:val="000000"/>
          <w:lang w:val="kk-KZ"/>
        </w:rPr>
        <w:t>соответствующих составов преступлений из категории средней тяжести в тяжкие преступления</w:t>
      </w:r>
      <w:r>
        <w:rPr>
          <w:bCs/>
          <w:color w:val="000000"/>
          <w:lang w:val="kk-KZ"/>
        </w:rPr>
        <w:t>, предложено</w:t>
      </w:r>
      <w:r w:rsidRPr="00A272A5">
        <w:rPr>
          <w:bCs/>
          <w:color w:val="000000"/>
          <w:lang w:val="kk-KZ"/>
        </w:rPr>
        <w:t xml:space="preserve"> установить по частям второй и третьей статьи 239 Уголовного кодекса наказание в виде лишения свободы от шести до восьми лет, что будет соответствовать нормам наказания по тяжким преступлениям</w:t>
      </w:r>
      <w:r>
        <w:rPr>
          <w:bCs/>
          <w:color w:val="000000"/>
          <w:lang w:val="kk-KZ"/>
        </w:rPr>
        <w:t>.</w:t>
      </w:r>
    </w:p>
    <w:p w:rsidR="004232B8" w:rsidRDefault="004232B8" w:rsidP="0026419D">
      <w:pPr>
        <w:widowControl w:val="0"/>
        <w:ind w:firstLine="709"/>
        <w:jc w:val="both"/>
        <w:rPr>
          <w:bCs/>
          <w:color w:val="000000"/>
          <w:lang w:val="kk-KZ"/>
        </w:rPr>
      </w:pPr>
      <w:r>
        <w:rPr>
          <w:bCs/>
          <w:color w:val="000000"/>
          <w:lang w:val="kk-KZ"/>
        </w:rPr>
        <w:t xml:space="preserve">Дальнейшая работа по выработке предложений будет продолжена Генеральной прокуратурой РК совместно с Национальным Банком </w:t>
      </w:r>
      <w:r w:rsidRPr="00A272A5">
        <w:rPr>
          <w:bCs/>
          <w:color w:val="000000"/>
          <w:lang w:val="kk-KZ"/>
        </w:rPr>
        <w:t>и другими заинтересованными государственными органами в части перевода уголовной ответственности акционеров банков за вывод средств в угоду аффилированных компаний и лиц из категории средней тяжести в тяжкие преступления</w:t>
      </w:r>
    </w:p>
    <w:p w:rsidR="004232B8" w:rsidRDefault="004232B8" w:rsidP="0026419D">
      <w:pPr>
        <w:widowControl w:val="0"/>
        <w:ind w:firstLine="709"/>
        <w:jc w:val="both"/>
        <w:rPr>
          <w:b/>
          <w:bCs/>
          <w:color w:val="000000"/>
          <w:lang w:val="kk-KZ"/>
        </w:rPr>
      </w:pPr>
    </w:p>
    <w:p w:rsidR="00664D7D" w:rsidRPr="00664D7D" w:rsidRDefault="00664D7D" w:rsidP="0026419D">
      <w:pPr>
        <w:ind w:firstLine="709"/>
        <w:jc w:val="both"/>
        <w:rPr>
          <w:b/>
          <w:bCs/>
          <w:i/>
          <w:color w:val="000000"/>
          <w:lang w:val="kk-KZ"/>
        </w:rPr>
      </w:pPr>
      <w:r w:rsidRPr="00664D7D">
        <w:rPr>
          <w:b/>
          <w:bCs/>
          <w:i/>
          <w:color w:val="000000"/>
          <w:lang w:val="kk-KZ"/>
        </w:rPr>
        <w:t>36</w:t>
      </w:r>
      <w:r w:rsidR="0026419D">
        <w:rPr>
          <w:b/>
          <w:bCs/>
          <w:i/>
          <w:color w:val="000000"/>
          <w:lang w:val="kk-KZ"/>
        </w:rPr>
        <w:t>.</w:t>
      </w:r>
      <w:r w:rsidRPr="00664D7D">
        <w:rPr>
          <w:b/>
          <w:bCs/>
          <w:i/>
          <w:color w:val="000000"/>
          <w:lang w:val="kk-KZ"/>
        </w:rPr>
        <w:t xml:space="preserve"> Завершение работы по вопросу валютных ипотечных займов населения, обеспеченных жилой недвижимостью и предоставленных до 1 января 2016 года, путем:</w:t>
      </w:r>
    </w:p>
    <w:p w:rsidR="00664D7D" w:rsidRPr="00664D7D" w:rsidRDefault="00664D7D" w:rsidP="0026419D">
      <w:pPr>
        <w:ind w:firstLine="709"/>
        <w:jc w:val="both"/>
        <w:rPr>
          <w:b/>
          <w:bCs/>
          <w:i/>
          <w:color w:val="000000"/>
          <w:lang w:val="kk-KZ"/>
        </w:rPr>
      </w:pPr>
      <w:r w:rsidRPr="00664D7D">
        <w:rPr>
          <w:b/>
          <w:bCs/>
          <w:i/>
          <w:color w:val="000000"/>
          <w:lang w:val="kk-KZ"/>
        </w:rPr>
        <w:t>внесения изменений и дополнений в Программу рефинансирования ипотечных займов;</w:t>
      </w:r>
    </w:p>
    <w:p w:rsidR="00664D7D" w:rsidRPr="00664D7D" w:rsidRDefault="00664D7D" w:rsidP="0026419D">
      <w:pPr>
        <w:widowControl w:val="0"/>
        <w:ind w:firstLine="709"/>
        <w:jc w:val="both"/>
        <w:rPr>
          <w:b/>
          <w:bCs/>
          <w:i/>
          <w:color w:val="000000"/>
          <w:lang w:val="kk-KZ"/>
        </w:rPr>
      </w:pPr>
      <w:r w:rsidRPr="00664D7D">
        <w:rPr>
          <w:b/>
          <w:bCs/>
          <w:i/>
          <w:color w:val="000000"/>
          <w:lang w:val="kk-KZ"/>
        </w:rPr>
        <w:t>осуществления конвертации валютных займов в соответствии с условиями Программы рефинансирования ипотечных займов</w:t>
      </w:r>
    </w:p>
    <w:p w:rsidR="00664D7D" w:rsidRPr="001E786D" w:rsidRDefault="00664D7D" w:rsidP="0026419D">
      <w:pPr>
        <w:ind w:firstLine="709"/>
        <w:jc w:val="both"/>
        <w:rPr>
          <w:bCs/>
          <w:color w:val="000000"/>
          <w:lang w:val="kk-KZ"/>
        </w:rPr>
      </w:pPr>
      <w:r>
        <w:rPr>
          <w:bCs/>
          <w:color w:val="000000"/>
          <w:lang w:val="kk-KZ"/>
        </w:rPr>
        <w:t>П</w:t>
      </w:r>
      <w:r w:rsidRPr="001E786D">
        <w:rPr>
          <w:bCs/>
          <w:color w:val="000000"/>
          <w:lang w:val="kk-KZ"/>
        </w:rPr>
        <w:t xml:space="preserve">остановлением Правления Национального Банка № 59 от 27 марта 2018 года внесены изменения в постановление Правления Национального Банка Республики Казахстан от 24 апреля 2015 года № 69 и Программ рефинансирования жилищных ипотечных займов (ипотечных займов) (далее – Программа) утверждена в новой редакции. </w:t>
      </w:r>
    </w:p>
    <w:p w:rsidR="00664D7D" w:rsidRPr="001E786D" w:rsidRDefault="00664D7D" w:rsidP="0026419D">
      <w:pPr>
        <w:ind w:firstLine="709"/>
        <w:jc w:val="both"/>
        <w:rPr>
          <w:bCs/>
          <w:color w:val="000000"/>
          <w:lang w:val="kk-KZ"/>
        </w:rPr>
      </w:pPr>
      <w:r w:rsidRPr="001E786D">
        <w:rPr>
          <w:bCs/>
          <w:color w:val="000000"/>
          <w:lang w:val="kk-KZ"/>
        </w:rPr>
        <w:t>Программа предусматривает рефинансирование валютных ипотечных займов физических лиц в тенге по курсу Национального Банка на 18 августа 2015 года. Рефинансированию подлежит остаток основного долга по займу за вычетом капитализированных сумм по ставке вознаграждения 12% годовых (для заемщиков, относящихся к социал</w:t>
      </w:r>
      <w:r>
        <w:rPr>
          <w:bCs/>
          <w:color w:val="000000"/>
          <w:lang w:val="kk-KZ"/>
        </w:rPr>
        <w:t xml:space="preserve">ьно уязвимым слоям населения, </w:t>
      </w:r>
      <w:r w:rsidRPr="00BB0CDF">
        <w:rPr>
          <w:bCs/>
          <w:color w:val="000000"/>
        </w:rPr>
        <w:t>–</w:t>
      </w:r>
      <w:r w:rsidRPr="001E786D">
        <w:rPr>
          <w:bCs/>
          <w:color w:val="000000"/>
          <w:lang w:val="kk-KZ"/>
        </w:rPr>
        <w:t xml:space="preserve"> 3% годовых). Задолженность заемщика по вознаграждению, пене (неустойке), комиссиям, подлежит прощению банками. </w:t>
      </w:r>
    </w:p>
    <w:p w:rsidR="00664D7D" w:rsidRPr="001E786D" w:rsidRDefault="00664D7D" w:rsidP="0026419D">
      <w:pPr>
        <w:ind w:firstLine="709"/>
        <w:jc w:val="both"/>
        <w:rPr>
          <w:bCs/>
          <w:color w:val="000000"/>
          <w:lang w:val="kk-KZ"/>
        </w:rPr>
      </w:pPr>
      <w:r w:rsidRPr="001E786D">
        <w:rPr>
          <w:bCs/>
          <w:color w:val="000000"/>
          <w:lang w:val="kk-KZ"/>
        </w:rPr>
        <w:t>Рефинансирование валютных ипотечных займов осуществляется 16 банками и 1 ипотечной организацией.</w:t>
      </w:r>
    </w:p>
    <w:p w:rsidR="00664D7D" w:rsidRPr="00590071" w:rsidRDefault="00664D7D" w:rsidP="0026419D">
      <w:pPr>
        <w:ind w:firstLine="709"/>
        <w:jc w:val="both"/>
        <w:rPr>
          <w:bCs/>
          <w:color w:val="000000"/>
        </w:rPr>
      </w:pPr>
      <w:r w:rsidRPr="001E786D">
        <w:rPr>
          <w:bCs/>
          <w:color w:val="000000"/>
          <w:lang w:val="kk-KZ"/>
        </w:rPr>
        <w:t>На 1 ноября 2018 года банками одобрены 4 242 заявки на рефинансирование валютных ипотечных займов на сумму 34,3 млрд. тенге, рефинансированы 3 084 займа на сумму 21,5 млрд. тенге.</w:t>
      </w:r>
    </w:p>
    <w:p w:rsidR="00664D7D" w:rsidRDefault="00664D7D" w:rsidP="0026419D">
      <w:pPr>
        <w:widowControl w:val="0"/>
        <w:ind w:firstLine="709"/>
        <w:jc w:val="both"/>
        <w:rPr>
          <w:b/>
          <w:bCs/>
          <w:color w:val="000000"/>
          <w:lang w:val="kk-KZ"/>
        </w:rPr>
      </w:pPr>
      <w:r>
        <w:rPr>
          <w:bCs/>
          <w:color w:val="000000"/>
          <w:lang w:val="en-US"/>
        </w:rPr>
        <w:t>C</w:t>
      </w:r>
      <w:r w:rsidRPr="001E786D">
        <w:rPr>
          <w:bCs/>
          <w:color w:val="000000"/>
          <w:lang w:val="kk-KZ"/>
        </w:rPr>
        <w:t>рок рефинансирования валютных ипотечных займов истекает 30 декабря 2018 года, Национальным Банком будет продолжена работа</w:t>
      </w:r>
      <w:r w:rsidRPr="00120B5D">
        <w:rPr>
          <w:bCs/>
          <w:color w:val="000000"/>
        </w:rPr>
        <w:t xml:space="preserve"> </w:t>
      </w:r>
      <w:r>
        <w:rPr>
          <w:bCs/>
          <w:color w:val="000000"/>
        </w:rPr>
        <w:t>до этого времени</w:t>
      </w:r>
      <w:r w:rsidR="0026419D">
        <w:rPr>
          <w:bCs/>
          <w:color w:val="000000"/>
        </w:rPr>
        <w:t>.</w:t>
      </w:r>
    </w:p>
    <w:p w:rsidR="00664D7D" w:rsidRDefault="00664D7D" w:rsidP="0026419D">
      <w:pPr>
        <w:widowControl w:val="0"/>
        <w:ind w:firstLine="709"/>
        <w:jc w:val="both"/>
        <w:rPr>
          <w:b/>
          <w:bCs/>
          <w:color w:val="000000"/>
          <w:lang w:val="kk-KZ"/>
        </w:rPr>
      </w:pPr>
    </w:p>
    <w:p w:rsidR="00664D7D" w:rsidRPr="0026419D" w:rsidRDefault="00664D7D" w:rsidP="0026419D">
      <w:pPr>
        <w:widowControl w:val="0"/>
        <w:ind w:firstLine="709"/>
        <w:jc w:val="both"/>
        <w:rPr>
          <w:b/>
          <w:bCs/>
          <w:i/>
          <w:color w:val="000000"/>
          <w:lang w:val="kk-KZ"/>
        </w:rPr>
      </w:pPr>
      <w:r w:rsidRPr="0026419D">
        <w:rPr>
          <w:b/>
          <w:bCs/>
          <w:i/>
          <w:color w:val="000000"/>
          <w:lang w:val="kk-KZ"/>
        </w:rPr>
        <w:t>37</w:t>
      </w:r>
      <w:r w:rsidR="0026419D">
        <w:rPr>
          <w:b/>
          <w:bCs/>
          <w:i/>
          <w:color w:val="000000"/>
          <w:lang w:val="kk-KZ"/>
        </w:rPr>
        <w:t>.</w:t>
      </w:r>
      <w:r w:rsidRPr="0026419D">
        <w:rPr>
          <w:b/>
          <w:bCs/>
          <w:i/>
          <w:color w:val="000000"/>
          <w:lang w:val="kk-KZ"/>
        </w:rPr>
        <w:t xml:space="preserve"> Разработка мер по обеспечению долгосрочным кредитованием бизнеса по ставкам, учитывающим реальную рентабельность в отраслях экономики</w:t>
      </w:r>
    </w:p>
    <w:p w:rsidR="00664D7D" w:rsidRPr="00EF5802" w:rsidRDefault="00664D7D" w:rsidP="0026419D">
      <w:pPr>
        <w:ind w:firstLine="709"/>
        <w:jc w:val="both"/>
        <w:rPr>
          <w:rFonts w:eastAsia="Batang"/>
          <w:lang w:eastAsia="ko-KR"/>
        </w:rPr>
      </w:pPr>
      <w:r w:rsidRPr="00EF5802">
        <w:rPr>
          <w:rFonts w:eastAsia="Batang"/>
          <w:lang w:eastAsia="ko-KR"/>
        </w:rPr>
        <w:t>Мероприятия НБРК:</w:t>
      </w:r>
    </w:p>
    <w:p w:rsidR="00664D7D" w:rsidRPr="00EF5802" w:rsidRDefault="00664D7D" w:rsidP="0026419D">
      <w:pPr>
        <w:ind w:firstLine="709"/>
        <w:jc w:val="both"/>
        <w:rPr>
          <w:rFonts w:eastAsia="Batang"/>
          <w:lang w:eastAsia="ko-KR"/>
        </w:rPr>
      </w:pPr>
      <w:r w:rsidRPr="00EF5802">
        <w:rPr>
          <w:rFonts w:eastAsia="Batang"/>
          <w:lang w:eastAsia="ko-KR"/>
        </w:rPr>
        <w:t xml:space="preserve">1. Обеспечение устойчивого снижения инфляции для снижения стоимости кредита. Политика НБРК по </w:t>
      </w:r>
      <w:proofErr w:type="gramStart"/>
      <w:r w:rsidRPr="00EF5802">
        <w:rPr>
          <w:rFonts w:eastAsia="Batang"/>
          <w:lang w:eastAsia="ko-KR"/>
        </w:rPr>
        <w:t>инфляционному</w:t>
      </w:r>
      <w:proofErr w:type="gramEnd"/>
      <w:r w:rsidRPr="00EF5802">
        <w:rPr>
          <w:rFonts w:eastAsia="Batang"/>
          <w:lang w:eastAsia="ko-KR"/>
        </w:rPr>
        <w:t xml:space="preserve"> </w:t>
      </w:r>
      <w:proofErr w:type="spellStart"/>
      <w:r w:rsidRPr="00EF5802">
        <w:rPr>
          <w:rFonts w:eastAsia="Batang"/>
          <w:lang w:eastAsia="ko-KR"/>
        </w:rPr>
        <w:t>таргетированию</w:t>
      </w:r>
      <w:proofErr w:type="spellEnd"/>
      <w:r w:rsidRPr="00EF5802">
        <w:rPr>
          <w:rFonts w:eastAsia="Batang"/>
          <w:lang w:eastAsia="ko-KR"/>
        </w:rPr>
        <w:t xml:space="preserve">, последовательно направлена на снижение инфляции посредством контроля за краткосрочными процентными ставками. Снижение инфляции в 2016-2018 годы позволило снизить базовую ставку и стоимость фондирования, что способствовало снижению ставок по корпоративным кредитам. НБРК продолжит работу по стабилизации инфляции на </w:t>
      </w:r>
      <w:proofErr w:type="spellStart"/>
      <w:r w:rsidRPr="00EF5802">
        <w:rPr>
          <w:rFonts w:eastAsia="Batang"/>
          <w:lang w:eastAsia="ko-KR"/>
        </w:rPr>
        <w:t>таргетируемом</w:t>
      </w:r>
      <w:proofErr w:type="spellEnd"/>
      <w:r w:rsidRPr="00EF5802">
        <w:rPr>
          <w:rFonts w:eastAsia="Batang"/>
          <w:lang w:eastAsia="ko-KR"/>
        </w:rPr>
        <w:t xml:space="preserve"> уровне. </w:t>
      </w:r>
    </w:p>
    <w:p w:rsidR="00664D7D" w:rsidRPr="00EF5802" w:rsidRDefault="00664D7D" w:rsidP="0026419D">
      <w:pPr>
        <w:ind w:firstLine="709"/>
        <w:jc w:val="both"/>
        <w:rPr>
          <w:rFonts w:eastAsia="Batang"/>
          <w:lang w:eastAsia="ko-KR"/>
        </w:rPr>
      </w:pPr>
      <w:r w:rsidRPr="00EF5802">
        <w:rPr>
          <w:rFonts w:eastAsia="Batang"/>
          <w:lang w:eastAsia="ko-KR"/>
        </w:rPr>
        <w:t xml:space="preserve">2.Оздоровление банковского сектора для повышения качества кредитования. </w:t>
      </w:r>
    </w:p>
    <w:p w:rsidR="00664D7D" w:rsidRPr="00EF5802" w:rsidRDefault="00664D7D" w:rsidP="0026419D">
      <w:pPr>
        <w:ind w:firstLine="709"/>
        <w:jc w:val="both"/>
        <w:rPr>
          <w:rFonts w:eastAsia="Batang"/>
          <w:lang w:eastAsia="ko-KR"/>
        </w:rPr>
      </w:pPr>
      <w:r w:rsidRPr="00EF5802">
        <w:rPr>
          <w:rFonts w:eastAsia="Batang"/>
          <w:lang w:eastAsia="ko-KR"/>
        </w:rPr>
        <w:t>НБРК продолжит работу в части:</w:t>
      </w:r>
    </w:p>
    <w:p w:rsidR="00664D7D" w:rsidRPr="00EF5802" w:rsidRDefault="00664D7D" w:rsidP="0026419D">
      <w:pPr>
        <w:ind w:firstLine="709"/>
        <w:jc w:val="both"/>
        <w:rPr>
          <w:rFonts w:eastAsia="Batang"/>
          <w:lang w:eastAsia="ko-KR"/>
        </w:rPr>
      </w:pPr>
      <w:r w:rsidRPr="00EF5802">
        <w:rPr>
          <w:rFonts w:eastAsia="Batang"/>
          <w:lang w:eastAsia="ko-KR"/>
        </w:rPr>
        <w:t xml:space="preserve">1) усиления надзора с применением мотивированного суждения за недобросовестным кредитованием, ограничивающим доступ к кредитам хорошим заемщикам. </w:t>
      </w:r>
    </w:p>
    <w:p w:rsidR="00664D7D" w:rsidRPr="00EF5802" w:rsidRDefault="00664D7D" w:rsidP="0026419D">
      <w:pPr>
        <w:ind w:firstLine="709"/>
        <w:jc w:val="both"/>
        <w:rPr>
          <w:rFonts w:eastAsia="Batang"/>
          <w:lang w:eastAsia="ko-KR"/>
        </w:rPr>
      </w:pPr>
      <w:r w:rsidRPr="00EF5802">
        <w:rPr>
          <w:rFonts w:eastAsia="Batang"/>
          <w:lang w:eastAsia="ko-KR"/>
        </w:rPr>
        <w:lastRenderedPageBreak/>
        <w:t xml:space="preserve">2) повышения устойчивости и капитала банков, что повысит потенциал кредитования экономики. </w:t>
      </w:r>
    </w:p>
    <w:p w:rsidR="00664D7D" w:rsidRPr="00EF5802" w:rsidRDefault="00664D7D" w:rsidP="0026419D">
      <w:pPr>
        <w:ind w:firstLine="709"/>
        <w:jc w:val="both"/>
        <w:rPr>
          <w:rFonts w:eastAsia="Batang"/>
          <w:lang w:eastAsia="ko-KR"/>
        </w:rPr>
      </w:pPr>
      <w:r w:rsidRPr="00EF5802">
        <w:rPr>
          <w:rFonts w:eastAsia="Batang"/>
          <w:lang w:eastAsia="ko-KR"/>
        </w:rPr>
        <w:t xml:space="preserve">Внедрение в казахстанскую практику регулирования и надзора за финансовыми организациями с 2019 года </w:t>
      </w:r>
      <w:proofErr w:type="gramStart"/>
      <w:r w:rsidRPr="00EF5802">
        <w:rPr>
          <w:rFonts w:eastAsia="Batang"/>
          <w:lang w:eastAsia="ko-KR"/>
        </w:rPr>
        <w:t>риск-ориентированного</w:t>
      </w:r>
      <w:proofErr w:type="gramEnd"/>
      <w:r w:rsidRPr="00EF5802">
        <w:rPr>
          <w:rFonts w:eastAsia="Batang"/>
          <w:lang w:eastAsia="ko-KR"/>
        </w:rPr>
        <w:t xml:space="preserve"> надзора с правом применения мотивированного суждения направлено на недопущение недобросовестной практики финансовых организаций по кредитованию связанных лиц, вывод активов, и сокрытия банками реальных убытков по ссудному портфелю.</w:t>
      </w:r>
    </w:p>
    <w:p w:rsidR="00664D7D" w:rsidRPr="00EF5802" w:rsidRDefault="00664D7D" w:rsidP="0026419D">
      <w:pPr>
        <w:ind w:firstLine="709"/>
        <w:jc w:val="both"/>
        <w:rPr>
          <w:rFonts w:eastAsia="Batang"/>
          <w:lang w:eastAsia="ko-KR"/>
        </w:rPr>
      </w:pPr>
      <w:r w:rsidRPr="00EF5802">
        <w:rPr>
          <w:rFonts w:eastAsia="Batang"/>
          <w:lang w:eastAsia="ko-KR"/>
        </w:rPr>
        <w:t xml:space="preserve">3. НБРК было предложено рассмотреть вопрос сокращения госпрограмм, стимулирующие неэффективный и убыточный бизнес, повышения качества независимого аудита и достоверности отчетности путем создания государственного института по аудиту аудиторов, а также разработать экономическую политику государства, включающую </w:t>
      </w:r>
      <w:proofErr w:type="spellStart"/>
      <w:r w:rsidRPr="00EF5802">
        <w:rPr>
          <w:rFonts w:eastAsia="Batang"/>
          <w:lang w:eastAsia="ko-KR"/>
        </w:rPr>
        <w:t>контрцикличную</w:t>
      </w:r>
      <w:proofErr w:type="spellEnd"/>
      <w:r w:rsidRPr="00EF5802">
        <w:rPr>
          <w:rFonts w:eastAsia="Batang"/>
          <w:lang w:eastAsia="ko-KR"/>
        </w:rPr>
        <w:t xml:space="preserve"> фискальную политику (снижение госрасходов во время роста стоимости нефти, увеличение госрасходов во время снижения стоимости нефти). </w:t>
      </w:r>
    </w:p>
    <w:p w:rsidR="00664D7D" w:rsidRDefault="00664D7D" w:rsidP="0026419D">
      <w:pPr>
        <w:widowControl w:val="0"/>
        <w:ind w:firstLine="709"/>
        <w:jc w:val="both"/>
        <w:rPr>
          <w:b/>
          <w:bCs/>
          <w:color w:val="000000"/>
          <w:lang w:val="kk-KZ"/>
        </w:rPr>
      </w:pPr>
    </w:p>
    <w:p w:rsidR="00002E14" w:rsidRDefault="00664D7D" w:rsidP="0026419D">
      <w:pPr>
        <w:widowControl w:val="0"/>
        <w:ind w:firstLine="709"/>
        <w:jc w:val="center"/>
        <w:rPr>
          <w:b/>
          <w:bCs/>
          <w:color w:val="000000"/>
          <w:lang w:val="kk-KZ"/>
        </w:rPr>
      </w:pPr>
      <w:r>
        <w:rPr>
          <w:b/>
          <w:bCs/>
          <w:color w:val="000000"/>
          <w:lang w:val="kk-KZ"/>
        </w:rPr>
        <w:t>ОНП 2019</w:t>
      </w:r>
    </w:p>
    <w:p w:rsidR="0026419D" w:rsidRDefault="0026419D" w:rsidP="0026419D">
      <w:pPr>
        <w:widowControl w:val="0"/>
        <w:ind w:firstLine="709"/>
        <w:jc w:val="center"/>
        <w:rPr>
          <w:b/>
          <w:bCs/>
          <w:color w:val="000000"/>
          <w:lang w:val="kk-KZ"/>
        </w:rPr>
      </w:pPr>
    </w:p>
    <w:p w:rsidR="00664D7D" w:rsidRPr="00664D7D" w:rsidRDefault="00664D7D" w:rsidP="0026419D">
      <w:pPr>
        <w:ind w:firstLine="709"/>
        <w:jc w:val="both"/>
        <w:rPr>
          <w:b/>
          <w:i/>
        </w:rPr>
      </w:pPr>
      <w:r w:rsidRPr="00664D7D">
        <w:rPr>
          <w:b/>
          <w:bCs/>
          <w:i/>
          <w:color w:val="000000"/>
          <w:lang w:val="kk-KZ"/>
        </w:rPr>
        <w:t>16</w:t>
      </w:r>
      <w:r w:rsidR="0026419D">
        <w:rPr>
          <w:b/>
          <w:bCs/>
          <w:i/>
          <w:color w:val="000000"/>
          <w:lang w:val="kk-KZ"/>
        </w:rPr>
        <w:t>.</w:t>
      </w:r>
      <w:r w:rsidRPr="00664D7D">
        <w:rPr>
          <w:b/>
          <w:i/>
        </w:rPr>
        <w:t xml:space="preserve"> Обеспечение долгосрочной </w:t>
      </w:r>
      <w:proofErr w:type="spellStart"/>
      <w:r w:rsidRPr="00664D7D">
        <w:rPr>
          <w:b/>
          <w:i/>
        </w:rPr>
        <w:t>тенговой</w:t>
      </w:r>
      <w:proofErr w:type="spellEnd"/>
      <w:r w:rsidRPr="00664D7D">
        <w:rPr>
          <w:b/>
          <w:i/>
        </w:rPr>
        <w:t xml:space="preserve"> ликвидности в размере не менее 600 миллиардов тенге для решения задачи доступного кредитования приоритетных проектов с определением механизма ее предоставления </w:t>
      </w:r>
    </w:p>
    <w:p w:rsidR="00664D7D" w:rsidRDefault="00664D7D" w:rsidP="0026419D">
      <w:pPr>
        <w:ind w:firstLine="709"/>
        <w:jc w:val="both"/>
      </w:pPr>
      <w:r>
        <w:t xml:space="preserve">Постановлением </w:t>
      </w:r>
      <w:r w:rsidRPr="008E01DF">
        <w:t>Правлени</w:t>
      </w:r>
      <w:r>
        <w:t>я</w:t>
      </w:r>
      <w:r w:rsidRPr="008E01DF">
        <w:t xml:space="preserve"> </w:t>
      </w:r>
      <w:r>
        <w:t>НБРК</w:t>
      </w:r>
      <w:r w:rsidRPr="008E01DF">
        <w:t xml:space="preserve"> от 29.11.2018г. №</w:t>
      </w:r>
      <w:r>
        <w:t> </w:t>
      </w:r>
      <w:r w:rsidRPr="008E01DF">
        <w:t xml:space="preserve">305 принято решение об инвестировании пенсионных активов ЕНПФ на сумму 300 млрд. тенге </w:t>
      </w:r>
      <w:r>
        <w:t xml:space="preserve">и условиях инвестирования </w:t>
      </w:r>
      <w:r w:rsidRPr="008E01DF">
        <w:t>в долговые ценные бумаги банков второго уровня в целях кредитования приоритетных проектов Республики Казахстан</w:t>
      </w:r>
      <w:r>
        <w:t>.</w:t>
      </w:r>
    </w:p>
    <w:p w:rsidR="00664D7D" w:rsidRDefault="00664D7D" w:rsidP="0026419D">
      <w:pPr>
        <w:ind w:firstLine="709"/>
        <w:jc w:val="both"/>
      </w:pPr>
      <w:r>
        <w:t xml:space="preserve">Национальным Банком также принято решение </w:t>
      </w:r>
      <w:r w:rsidRPr="00302FE5">
        <w:t>о выделении 80 млрд. тенге через дочернюю компанию Национального Банка АО «Казах</w:t>
      </w:r>
      <w:r>
        <w:t>станский фонд устойчивости» (КФУ) для реализации данной программы кредитования</w:t>
      </w:r>
      <w:r w:rsidRPr="00302FE5">
        <w:t>.</w:t>
      </w:r>
    </w:p>
    <w:p w:rsidR="00002E14" w:rsidRDefault="00664D7D" w:rsidP="0026419D">
      <w:pPr>
        <w:widowControl w:val="0"/>
        <w:ind w:firstLine="709"/>
        <w:jc w:val="both"/>
      </w:pPr>
      <w:r>
        <w:t>Таким образом, на сегодняшний день Национальный Банк готов предоставить долгосрочную ликвидность на паритетной основе за счет средств ЕНПФ и КФУ на сумму 160 млрд. тенге.</w:t>
      </w:r>
    </w:p>
    <w:p w:rsidR="00664D7D" w:rsidRDefault="00664D7D" w:rsidP="0026419D">
      <w:pPr>
        <w:widowControl w:val="0"/>
        <w:ind w:firstLine="709"/>
        <w:jc w:val="both"/>
      </w:pPr>
    </w:p>
    <w:p w:rsidR="00664D7D" w:rsidRPr="00664D7D" w:rsidRDefault="00664D7D" w:rsidP="0026419D">
      <w:pPr>
        <w:widowControl w:val="0"/>
        <w:ind w:firstLine="709"/>
        <w:jc w:val="both"/>
        <w:rPr>
          <w:b/>
          <w:i/>
        </w:rPr>
      </w:pPr>
      <w:r w:rsidRPr="00664D7D">
        <w:rPr>
          <w:b/>
          <w:bCs/>
          <w:i/>
          <w:color w:val="000000"/>
          <w:lang w:val="kk-KZ"/>
        </w:rPr>
        <w:t>24</w:t>
      </w:r>
      <w:r w:rsidR="00577B5A">
        <w:rPr>
          <w:b/>
          <w:bCs/>
          <w:i/>
          <w:color w:val="000000"/>
          <w:lang w:val="kk-KZ"/>
        </w:rPr>
        <w:t>.</w:t>
      </w:r>
      <w:r w:rsidRPr="00664D7D">
        <w:rPr>
          <w:b/>
          <w:bCs/>
          <w:i/>
          <w:color w:val="000000"/>
          <w:lang w:val="kk-KZ"/>
        </w:rPr>
        <w:t xml:space="preserve"> Обеспечение повышения эффективности управления пенсионными активами и средствами системы социального страхования</w:t>
      </w:r>
    </w:p>
    <w:p w:rsidR="00664D7D"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Национальный Банк разработал предложения, предусматривающие передачу пенсионных активов под управление казахстанским частным управляющим компаниям. Вопрос по реформированию системы управления пенсионными активами вносился на заседание Совета по экономической политике 21 сентября 2017 года, где было поручено осуществить детальный анализ с проведением актуарных расчетов и выработать согласованные предложения по реформированию пенсионной системы с предварительным обсуждением с членами Совета и вынести на очередное заседание Совета. Вопрос дальнейшей модернизации пенсионной системы включался в повестку заседания Совета в августе и октябре 2018 года, но был снят (не по инициативе Национального Банка).</w:t>
      </w:r>
    </w:p>
    <w:p w:rsidR="00664D7D" w:rsidRDefault="00664D7D" w:rsidP="0026419D">
      <w:pPr>
        <w:widowControl w:val="0"/>
        <w:ind w:firstLine="709"/>
        <w:jc w:val="both"/>
      </w:pPr>
    </w:p>
    <w:p w:rsidR="00664D7D" w:rsidRPr="00664D7D" w:rsidRDefault="00664D7D" w:rsidP="0026419D">
      <w:pPr>
        <w:widowControl w:val="0"/>
        <w:ind w:firstLine="709"/>
        <w:jc w:val="both"/>
        <w:rPr>
          <w:b/>
          <w:i/>
        </w:rPr>
      </w:pPr>
      <w:r w:rsidRPr="00664D7D">
        <w:rPr>
          <w:b/>
          <w:bCs/>
          <w:i/>
          <w:color w:val="000000"/>
          <w:lang w:val="kk-KZ"/>
        </w:rPr>
        <w:t>25</w:t>
      </w:r>
      <w:r w:rsidR="005E3D53">
        <w:rPr>
          <w:b/>
          <w:bCs/>
          <w:i/>
          <w:color w:val="000000"/>
          <w:lang w:val="kk-KZ"/>
        </w:rPr>
        <w:t>.</w:t>
      </w:r>
      <w:r w:rsidRPr="00664D7D">
        <w:rPr>
          <w:b/>
          <w:bCs/>
          <w:i/>
          <w:color w:val="000000"/>
          <w:lang w:val="kk-KZ"/>
        </w:rPr>
        <w:t xml:space="preserve"> Принятие мер по развитию финансовых рынков (рынок ценных бумаг, страхование и т.д.)</w:t>
      </w:r>
    </w:p>
    <w:p w:rsidR="00664D7D" w:rsidRPr="00C352BB" w:rsidRDefault="00664D7D" w:rsidP="0026419D">
      <w:pPr>
        <w:pStyle w:val="aa"/>
        <w:ind w:firstLine="709"/>
        <w:jc w:val="both"/>
        <w:rPr>
          <w:rFonts w:ascii="Times New Roman" w:eastAsia="Times New Roman" w:hAnsi="Times New Roman"/>
          <w:b/>
          <w:i/>
          <w:sz w:val="24"/>
          <w:szCs w:val="24"/>
        </w:rPr>
      </w:pPr>
      <w:r w:rsidRPr="00C352BB">
        <w:rPr>
          <w:rFonts w:ascii="Times New Roman" w:eastAsia="Times New Roman" w:hAnsi="Times New Roman"/>
          <w:b/>
          <w:i/>
          <w:sz w:val="24"/>
          <w:szCs w:val="24"/>
        </w:rPr>
        <w:t>Рынок ценных бумаг</w:t>
      </w:r>
    </w:p>
    <w:p w:rsidR="00664D7D" w:rsidRPr="00C352BB" w:rsidRDefault="00664D7D" w:rsidP="0026419D">
      <w:pPr>
        <w:pStyle w:val="aa"/>
        <w:ind w:firstLine="709"/>
        <w:jc w:val="both"/>
        <w:rPr>
          <w:rFonts w:ascii="Times New Roman" w:eastAsia="Times New Roman" w:hAnsi="Times New Roman"/>
          <w:sz w:val="24"/>
          <w:szCs w:val="24"/>
        </w:rPr>
      </w:pPr>
      <w:proofErr w:type="gramStart"/>
      <w:r w:rsidRPr="00C352BB">
        <w:rPr>
          <w:rFonts w:ascii="Times New Roman" w:eastAsia="Times New Roman" w:hAnsi="Times New Roman"/>
          <w:sz w:val="24"/>
          <w:szCs w:val="24"/>
        </w:rPr>
        <w:t xml:space="preserve">В июле 2018 года был принят Закон Республики Казахстан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(далее – Закон), основные направления которого предусматривают, в том числе повышение конкурентоспособности казахстанского рынка ценных бумаг, создание эффективной регуляторной среды, расширение базы эмитентов и инвесторов. </w:t>
      </w:r>
      <w:proofErr w:type="gramEnd"/>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Данным законом в целях дальнейшего развития рынка ценных бумаг приняты меры по следующим основным направлениям:</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lastRenderedPageBreak/>
        <w:t>– либерализация деятельности профессиональных участников рынка ценных бумаг;</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упрощение доступа на рынок инвесторам и эмитентам;</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сокращение бумажных процедур, связанных с выпуском и размещением ценных бумаг с 1 января 2019 года;</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присоединение Единого регистратора ценных бумаг (далее – ЕРЦБ) к Центральному депозитарию (далее – ЦД) с 1 января 2019 года;</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 формирование на базе ЦД котировочной организации внебиржевого рынка ценных бумаг с 1 июля 2019 года;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 переход от присвоения ценным бумагам национальных идентификационных номеров (НИН) к международным ISIN - кодам, с передачей ЦД полномочий по присвоению ценным бумагам ISIN с 1 января 2019 года;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дальнейшее развитие коллективных форм инвестиций, таких как паевые и акционерные инвестиционные фонды.</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В ноябре была завершена работа по разработке и принятию нормативных правовых актов в рамках Закона.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Кроме того, в ходе успешной реализации проекта Национального Банка, государственные ценные бумаги Республики Казахстан были включены в список ценных бумаг, рассчитываемых в международной расчетной системе </w:t>
      </w:r>
      <w:proofErr w:type="spellStart"/>
      <w:r w:rsidRPr="00C352BB">
        <w:rPr>
          <w:rFonts w:ascii="Times New Roman" w:eastAsia="Times New Roman" w:hAnsi="Times New Roman"/>
          <w:sz w:val="24"/>
          <w:szCs w:val="24"/>
        </w:rPr>
        <w:t>Clearstream</w:t>
      </w:r>
      <w:proofErr w:type="spellEnd"/>
      <w:r w:rsidRPr="00C352BB">
        <w:rPr>
          <w:rFonts w:ascii="Times New Roman" w:eastAsia="Times New Roman" w:hAnsi="Times New Roman"/>
          <w:sz w:val="24"/>
          <w:szCs w:val="24"/>
        </w:rPr>
        <w:t>. При этом новая международная линия для казахстанского рынка была запущена 30 июля 2018 года. Реализация проекта позволит углубить интеграцию с международными финансовыми рынками и обеспечит приток дополнительных портфельных инвестиций, а также подразумевает существенное упрощение доступа международных инвесторов на казахстанский фондовый рынок.</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С 1 октября 2018 года был внедрен институт центрального контрагента на валютном рынке KASE.  В </w:t>
      </w:r>
      <w:r>
        <w:rPr>
          <w:rFonts w:ascii="Times New Roman" w:eastAsia="Times New Roman" w:hAnsi="Times New Roman"/>
          <w:sz w:val="24"/>
          <w:szCs w:val="24"/>
        </w:rPr>
        <w:t>2019</w:t>
      </w:r>
      <w:r w:rsidRPr="00C352BB">
        <w:rPr>
          <w:rFonts w:ascii="Times New Roman" w:eastAsia="Times New Roman" w:hAnsi="Times New Roman"/>
          <w:sz w:val="24"/>
          <w:szCs w:val="24"/>
        </w:rPr>
        <w:t xml:space="preserve"> году также планируется его внедрение на фондовом рынке KASE. Появление на рынке Казахстана института центрального контрагента значительно увеличивает надежность биржевого рынка за счет обеспечения гарантии завершенности сделок с финансовыми инструментами и исполнения обязательств по ним.</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Национальным Банком совместно с KASE </w:t>
      </w:r>
      <w:r>
        <w:rPr>
          <w:rFonts w:ascii="Times New Roman" w:eastAsia="Times New Roman" w:hAnsi="Times New Roman"/>
          <w:sz w:val="24"/>
          <w:szCs w:val="24"/>
        </w:rPr>
        <w:t>внедрены</w:t>
      </w:r>
      <w:r w:rsidRPr="00C352BB">
        <w:rPr>
          <w:rFonts w:ascii="Times New Roman" w:eastAsia="Times New Roman" w:hAnsi="Times New Roman"/>
          <w:sz w:val="24"/>
          <w:szCs w:val="24"/>
        </w:rPr>
        <w:t xml:space="preserve"> расчеты по схеме</w:t>
      </w:r>
      <w:proofErr w:type="gramStart"/>
      <w:r w:rsidRPr="00C352BB">
        <w:rPr>
          <w:rFonts w:ascii="Times New Roman" w:eastAsia="Times New Roman" w:hAnsi="Times New Roman"/>
          <w:sz w:val="24"/>
          <w:szCs w:val="24"/>
        </w:rPr>
        <w:t xml:space="preserve"> Т</w:t>
      </w:r>
      <w:proofErr w:type="gramEnd"/>
      <w:r w:rsidRPr="00C352BB">
        <w:rPr>
          <w:rFonts w:ascii="Times New Roman" w:eastAsia="Times New Roman" w:hAnsi="Times New Roman"/>
          <w:sz w:val="24"/>
          <w:szCs w:val="24"/>
        </w:rPr>
        <w:t>+2 для сделок с краткосрочными нотами Национального Банка и государственными ценными бумагами Министерства финансов</w:t>
      </w:r>
      <w:r>
        <w:t xml:space="preserve"> (</w:t>
      </w:r>
      <w:r w:rsidRPr="005849B1">
        <w:rPr>
          <w:rFonts w:ascii="Times New Roman" w:eastAsia="Times New Roman" w:hAnsi="Times New Roman"/>
          <w:sz w:val="24"/>
          <w:szCs w:val="24"/>
        </w:rPr>
        <w:t>с 15 октября 2018г. – ноты Национального Банка</w:t>
      </w:r>
      <w:r>
        <w:rPr>
          <w:rFonts w:ascii="Times New Roman" w:eastAsia="Times New Roman" w:hAnsi="Times New Roman"/>
          <w:sz w:val="24"/>
          <w:szCs w:val="24"/>
        </w:rPr>
        <w:t xml:space="preserve">; </w:t>
      </w:r>
      <w:r w:rsidRPr="005849B1">
        <w:rPr>
          <w:rFonts w:ascii="Times New Roman" w:eastAsia="Times New Roman" w:hAnsi="Times New Roman"/>
          <w:sz w:val="24"/>
          <w:szCs w:val="24"/>
        </w:rPr>
        <w:t>с 4 декабря 2018г. – все государственные ценные бумаги</w:t>
      </w:r>
      <w:r>
        <w:rPr>
          <w:rFonts w:ascii="Times New Roman" w:eastAsia="Times New Roman" w:hAnsi="Times New Roman"/>
          <w:sz w:val="24"/>
          <w:szCs w:val="24"/>
        </w:rPr>
        <w:t>)</w:t>
      </w:r>
      <w:r w:rsidRPr="00C352BB">
        <w:rPr>
          <w:rFonts w:ascii="Times New Roman" w:eastAsia="Times New Roman" w:hAnsi="Times New Roman"/>
          <w:sz w:val="24"/>
          <w:szCs w:val="24"/>
        </w:rPr>
        <w:t xml:space="preserve">.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Также, за последние годы реализованы ряд мероприятий, направленных на повышение ликвидности фондового рынка и обеспечение казахстанских компаний фондированием на доступных условиях. Так, в структуре официального списка KASE создана альтернативная площадка для эмитентов с небольшой капитализацией, а с 2018 года на бирже функционирует дополнительная площадка для старт-ап проектов и запущена площадка </w:t>
      </w:r>
      <w:proofErr w:type="spellStart"/>
      <w:r w:rsidRPr="00C352BB">
        <w:rPr>
          <w:rFonts w:ascii="Times New Roman" w:eastAsia="Times New Roman" w:hAnsi="Times New Roman"/>
          <w:sz w:val="24"/>
          <w:szCs w:val="24"/>
        </w:rPr>
        <w:t>Private</w:t>
      </w:r>
      <w:proofErr w:type="spellEnd"/>
      <w:r w:rsidRPr="00C352BB">
        <w:rPr>
          <w:rFonts w:ascii="Times New Roman" w:eastAsia="Times New Roman" w:hAnsi="Times New Roman"/>
          <w:sz w:val="24"/>
          <w:szCs w:val="24"/>
        </w:rPr>
        <w:t xml:space="preserve"> </w:t>
      </w:r>
      <w:proofErr w:type="spellStart"/>
      <w:r w:rsidRPr="00C352BB">
        <w:rPr>
          <w:rFonts w:ascii="Times New Roman" w:eastAsia="Times New Roman" w:hAnsi="Times New Roman"/>
          <w:sz w:val="24"/>
          <w:szCs w:val="24"/>
        </w:rPr>
        <w:t>Market</w:t>
      </w:r>
      <w:proofErr w:type="spellEnd"/>
      <w:r w:rsidRPr="00C352BB">
        <w:rPr>
          <w:rFonts w:ascii="Times New Roman" w:eastAsia="Times New Roman" w:hAnsi="Times New Roman"/>
          <w:sz w:val="24"/>
          <w:szCs w:val="24"/>
        </w:rPr>
        <w:t xml:space="preserve">, предназначенная для предоставления субъектам МСБ альтернативного источника финансирования.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Кроме того, постановлением Правительства Республики Казахстан № 32 от 25 января 2018 года был утвержден План совместных действий Правительства Республики Казахстан и Национального Банка по развитию национального фондового рынка на 2018 – 2021 годы, который предусматривает дальнейшие меры по развитию фондового рынка в среднесрочной перспективе. </w:t>
      </w:r>
    </w:p>
    <w:p w:rsidR="00577B5A" w:rsidRPr="00C352BB" w:rsidRDefault="00577B5A" w:rsidP="00577B5A">
      <w:pPr>
        <w:tabs>
          <w:tab w:val="left" w:pos="567"/>
        </w:tabs>
        <w:ind w:firstLine="709"/>
        <w:contextualSpacing/>
        <w:jc w:val="both"/>
      </w:pPr>
      <w:r w:rsidRPr="00C352BB">
        <w:t>Дальнейшие планы по развитию рынка ценных бумаг определены в Плане совместных действий Правительства Республики Казахстан и Национального Банка по развитию национального фондового рынка на 2018 – 2021 годы.</w:t>
      </w:r>
    </w:p>
    <w:p w:rsidR="00664D7D" w:rsidRPr="00C352BB" w:rsidRDefault="00664D7D" w:rsidP="0026419D">
      <w:pPr>
        <w:pStyle w:val="aa"/>
        <w:ind w:firstLine="709"/>
        <w:jc w:val="both"/>
        <w:rPr>
          <w:rFonts w:ascii="Times New Roman" w:eastAsia="Times New Roman" w:hAnsi="Times New Roman"/>
          <w:b/>
          <w:i/>
          <w:sz w:val="24"/>
          <w:szCs w:val="24"/>
        </w:rPr>
      </w:pPr>
      <w:r w:rsidRPr="00C352BB">
        <w:rPr>
          <w:rFonts w:ascii="Times New Roman" w:eastAsia="Times New Roman" w:hAnsi="Times New Roman"/>
          <w:b/>
          <w:i/>
          <w:sz w:val="24"/>
          <w:szCs w:val="24"/>
        </w:rPr>
        <w:t>Страхование</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Принятый Закон также закладывает основу для роста страхового рынка на ближайшие годы и позволит решить ряд задач, связанных с регулированием страхового сектора. </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Основными направлениями законодательных поправок являются следующие вопросы:</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lastRenderedPageBreak/>
        <w:t xml:space="preserve">– внедрение с 2019 года онлайн-страхования, в результате которого население получает возможность заключать договоры страхования в электронной форме через </w:t>
      </w:r>
      <w:proofErr w:type="spellStart"/>
      <w:r w:rsidRPr="00C352BB">
        <w:rPr>
          <w:rFonts w:ascii="Times New Roman" w:eastAsia="Times New Roman" w:hAnsi="Times New Roman"/>
          <w:sz w:val="24"/>
          <w:szCs w:val="24"/>
        </w:rPr>
        <w:t>интернет-ресурсы</w:t>
      </w:r>
      <w:proofErr w:type="spellEnd"/>
      <w:r w:rsidRPr="00C352BB">
        <w:rPr>
          <w:rFonts w:ascii="Times New Roman" w:eastAsia="Times New Roman" w:hAnsi="Times New Roman"/>
          <w:sz w:val="24"/>
          <w:szCs w:val="24"/>
        </w:rPr>
        <w:t xml:space="preserve"> страховых компаний без посещения офиса или участия агента. Онлайн-страхование обеспечит географическую доступность и позволит снизить стоимость страховых услуг для населения и бизнеса. Будут значительно упрощены процедуры страхования и выплат, что позволит значительно ускорить все бизнес-процессы;</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обеспечение сохранности, устойчивости, повышения статуса и расширение функций Единой страховой базы данных, формированию достоверной базы по страховой статистике. К 2022 году база будет содержать всю информацию по обязательным и добровольным классам страхования. Данные поправки позволят ввести своевременную и достоверную страховую статистику;</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переход с 2019 года к обязательному страхованию жизни и здоровья туриста, выезжающего за рубеж, в целях защиты казахстанских туристов;</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введение института вмененного страхования с учетом международной практики. Вмененное страхование – это страхование, которое является обязательным для отдельных профессий, но его условия определяются договором между страховой компанией и ее клиентом, а не прямо законом;</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 расширение полномочий страхового </w:t>
      </w:r>
      <w:proofErr w:type="spellStart"/>
      <w:r w:rsidRPr="00C352BB">
        <w:rPr>
          <w:rFonts w:ascii="Times New Roman" w:eastAsia="Times New Roman" w:hAnsi="Times New Roman"/>
          <w:sz w:val="24"/>
          <w:szCs w:val="24"/>
        </w:rPr>
        <w:t>омбудсмана</w:t>
      </w:r>
      <w:proofErr w:type="spellEnd"/>
      <w:r w:rsidRPr="00C352BB">
        <w:rPr>
          <w:rFonts w:ascii="Times New Roman" w:eastAsia="Times New Roman" w:hAnsi="Times New Roman"/>
          <w:sz w:val="24"/>
          <w:szCs w:val="24"/>
        </w:rPr>
        <w:t xml:space="preserve"> на все классы страхования (обязательные и добровольные) с сохранением права сторон на обращение в суд;</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введение дополнительных гарантий Фонда гарантирования страховых выплат в случаях отсутствия выплат по отдельным социально-значимым продуктам страхования (страховые выплаты по пенсионным аннуитетам и аннуитетам работников потерявших трудоспособность);</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 xml:space="preserve">– введение требований к перестрахованию рисков за рубежом, в том числе с участием </w:t>
      </w:r>
      <w:proofErr w:type="gramStart"/>
      <w:r w:rsidRPr="00C352BB">
        <w:rPr>
          <w:rFonts w:ascii="Times New Roman" w:eastAsia="Times New Roman" w:hAnsi="Times New Roman"/>
          <w:sz w:val="24"/>
          <w:szCs w:val="24"/>
        </w:rPr>
        <w:t>страховых-брокеров</w:t>
      </w:r>
      <w:proofErr w:type="gramEnd"/>
      <w:r w:rsidRPr="00C352BB">
        <w:rPr>
          <w:rFonts w:ascii="Times New Roman" w:eastAsia="Times New Roman" w:hAnsi="Times New Roman"/>
          <w:sz w:val="24"/>
          <w:szCs w:val="24"/>
        </w:rPr>
        <w:t xml:space="preserve"> нерезидентов Республики Казахстан, в целях обеспечения эффективного правового механизма перестрахования, решения проблем по значительному оттоку финансовых ресурсов по каналам перестрахования.</w:t>
      </w:r>
    </w:p>
    <w:p w:rsidR="00664D7D" w:rsidRPr="00C352BB"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До конца 2018 года в рамках реализации Закона будут введены в действие подзаконные акты Национального Банка и других заинтересованных госорганов, регулирующие вопросы электронного обмена информацией при заключении договора страхования, оформления и проверки наличия электронного полиса, предоставления туристских услуг и страхования туристов, порядка осуществления гарантийных выплат, деятельности страховых брокеров.</w:t>
      </w:r>
    </w:p>
    <w:p w:rsidR="00664D7D" w:rsidRDefault="00664D7D" w:rsidP="0026419D">
      <w:pPr>
        <w:pStyle w:val="aa"/>
        <w:ind w:firstLine="709"/>
        <w:jc w:val="both"/>
        <w:rPr>
          <w:rFonts w:ascii="Times New Roman" w:eastAsia="Times New Roman" w:hAnsi="Times New Roman"/>
          <w:sz w:val="24"/>
          <w:szCs w:val="24"/>
        </w:rPr>
      </w:pPr>
      <w:r w:rsidRPr="00C352BB">
        <w:rPr>
          <w:rFonts w:ascii="Times New Roman" w:eastAsia="Times New Roman" w:hAnsi="Times New Roman"/>
          <w:sz w:val="24"/>
          <w:szCs w:val="24"/>
        </w:rPr>
        <w:t>Принимаемые Национальным Банком меры способствуют росту доверия к страховому рынку, развитию качественных и доступных страховых услуг, нацелены на обеспечение конкурентного, устойчивого и динамично-развивающегося страхового рынка, отвечающего потребностям экономики, населения и бизнеса.</w:t>
      </w:r>
    </w:p>
    <w:p w:rsidR="00664D7D" w:rsidRPr="00C352BB" w:rsidRDefault="00664D7D" w:rsidP="0026419D">
      <w:pPr>
        <w:tabs>
          <w:tab w:val="left" w:pos="567"/>
        </w:tabs>
        <w:ind w:firstLine="709"/>
        <w:contextualSpacing/>
        <w:jc w:val="both"/>
      </w:pPr>
      <w:r w:rsidRPr="00C352BB">
        <w:t>В настоящее время проводится работа по разработке концепции нового законопроекта, в рамках которой будут приняты меры по дальнейшему развитию страхового рынка.</w:t>
      </w:r>
    </w:p>
    <w:p w:rsidR="00664D7D" w:rsidRDefault="00664D7D" w:rsidP="0026419D">
      <w:pPr>
        <w:widowControl w:val="0"/>
        <w:ind w:firstLine="709"/>
        <w:jc w:val="both"/>
      </w:pPr>
    </w:p>
    <w:p w:rsidR="00664D7D" w:rsidRPr="00664D7D" w:rsidRDefault="00664D7D" w:rsidP="0026419D">
      <w:pPr>
        <w:widowControl w:val="0"/>
        <w:ind w:firstLine="709"/>
        <w:jc w:val="both"/>
        <w:rPr>
          <w:b/>
          <w:bCs/>
          <w:i/>
          <w:color w:val="000000"/>
          <w:lang w:val="kk-KZ"/>
        </w:rPr>
      </w:pPr>
      <w:r w:rsidRPr="00664D7D">
        <w:rPr>
          <w:b/>
          <w:bCs/>
          <w:i/>
          <w:color w:val="000000"/>
          <w:lang w:val="kk-KZ"/>
        </w:rPr>
        <w:t>54</w:t>
      </w:r>
      <w:r w:rsidR="005E3D53">
        <w:rPr>
          <w:b/>
          <w:bCs/>
          <w:i/>
          <w:color w:val="000000"/>
          <w:lang w:val="kk-KZ"/>
        </w:rPr>
        <w:t>.</w:t>
      </w:r>
      <w:r w:rsidRPr="00664D7D">
        <w:rPr>
          <w:b/>
          <w:bCs/>
          <w:i/>
          <w:color w:val="000000"/>
          <w:lang w:val="kk-KZ"/>
        </w:rPr>
        <w:t xml:space="preserve"> Повышение качества реализации Программы «7-20-25», в том числе за счет активизации участия банков в ее реализации и обеспечения широкой разъяснительной работы среди населения</w:t>
      </w:r>
    </w:p>
    <w:p w:rsidR="00664D7D" w:rsidRPr="00BF131F" w:rsidRDefault="00664D7D" w:rsidP="0026419D">
      <w:pPr>
        <w:ind w:firstLine="709"/>
        <w:jc w:val="both"/>
        <w:rPr>
          <w:bCs/>
          <w:color w:val="000000"/>
        </w:rPr>
      </w:pPr>
      <w:r w:rsidRPr="00BF131F">
        <w:rPr>
          <w:bCs/>
          <w:color w:val="000000"/>
        </w:rPr>
        <w:t xml:space="preserve">Реализация Программы «7-20-25» осуществляется через 7 банков (Банк </w:t>
      </w:r>
      <w:proofErr w:type="spellStart"/>
      <w:r w:rsidRPr="00BF131F">
        <w:rPr>
          <w:bCs/>
          <w:color w:val="000000"/>
        </w:rPr>
        <w:t>ЦентрКредит</w:t>
      </w:r>
      <w:proofErr w:type="spellEnd"/>
      <w:r w:rsidRPr="00BF131F">
        <w:rPr>
          <w:bCs/>
          <w:color w:val="000000"/>
        </w:rPr>
        <w:t xml:space="preserve">, </w:t>
      </w:r>
      <w:proofErr w:type="spellStart"/>
      <w:r w:rsidRPr="00BF131F">
        <w:rPr>
          <w:bCs/>
          <w:color w:val="000000"/>
        </w:rPr>
        <w:t>АТФБанк</w:t>
      </w:r>
      <w:proofErr w:type="spellEnd"/>
      <w:r w:rsidRPr="00BF131F">
        <w:rPr>
          <w:bCs/>
          <w:color w:val="000000"/>
        </w:rPr>
        <w:t xml:space="preserve">, </w:t>
      </w:r>
      <w:proofErr w:type="spellStart"/>
      <w:r w:rsidRPr="00BF131F">
        <w:rPr>
          <w:bCs/>
          <w:color w:val="000000"/>
        </w:rPr>
        <w:t>Цеснабанк</w:t>
      </w:r>
      <w:proofErr w:type="spellEnd"/>
      <w:r w:rsidRPr="00BF131F">
        <w:rPr>
          <w:bCs/>
          <w:color w:val="000000"/>
        </w:rPr>
        <w:t xml:space="preserve">, Банк RBK, Евразийский Банк, </w:t>
      </w:r>
      <w:proofErr w:type="spellStart"/>
      <w:r w:rsidRPr="00BF131F">
        <w:rPr>
          <w:bCs/>
          <w:color w:val="000000"/>
        </w:rPr>
        <w:t>Халык</w:t>
      </w:r>
      <w:proofErr w:type="spellEnd"/>
      <w:r w:rsidRPr="00BF131F">
        <w:rPr>
          <w:bCs/>
          <w:color w:val="000000"/>
        </w:rPr>
        <w:t xml:space="preserve"> банк и </w:t>
      </w:r>
      <w:proofErr w:type="spellStart"/>
      <w:r w:rsidRPr="00BF131F">
        <w:rPr>
          <w:bCs/>
          <w:color w:val="000000"/>
        </w:rPr>
        <w:t>ForteBank</w:t>
      </w:r>
      <w:proofErr w:type="spellEnd"/>
      <w:r w:rsidRPr="00BF131F">
        <w:rPr>
          <w:bCs/>
          <w:color w:val="000000"/>
        </w:rPr>
        <w:t xml:space="preserve">). По состоянию на 6 декабря подано 5 300 заявок на сумму 62 </w:t>
      </w:r>
      <w:proofErr w:type="gramStart"/>
      <w:r w:rsidRPr="00BF131F">
        <w:rPr>
          <w:bCs/>
          <w:color w:val="000000"/>
        </w:rPr>
        <w:t>млрд</w:t>
      </w:r>
      <w:proofErr w:type="gramEnd"/>
      <w:r w:rsidRPr="00BF131F">
        <w:rPr>
          <w:bCs/>
          <w:color w:val="000000"/>
        </w:rPr>
        <w:t xml:space="preserve"> тенге, из них банками одобрено 3 400 заявок на сумму 41 млрд тенге (выдано 2 800 займов на 34 млрд тенге, выкуплено ИО «</w:t>
      </w:r>
      <w:proofErr w:type="spellStart"/>
      <w:r w:rsidRPr="00BF131F">
        <w:rPr>
          <w:bCs/>
          <w:color w:val="000000"/>
        </w:rPr>
        <w:t>Баспана</w:t>
      </w:r>
      <w:proofErr w:type="spellEnd"/>
      <w:r w:rsidRPr="00BF131F">
        <w:rPr>
          <w:bCs/>
          <w:color w:val="000000"/>
        </w:rPr>
        <w:t>» 2 600 займов на 31 млрд тенге).</w:t>
      </w:r>
    </w:p>
    <w:p w:rsidR="00664D7D" w:rsidRPr="00BF131F" w:rsidRDefault="00664D7D" w:rsidP="0026419D">
      <w:pPr>
        <w:ind w:firstLine="709"/>
        <w:jc w:val="both"/>
        <w:rPr>
          <w:bCs/>
          <w:color w:val="000000"/>
        </w:rPr>
      </w:pPr>
      <w:r w:rsidRPr="00BF131F">
        <w:rPr>
          <w:bCs/>
          <w:color w:val="000000"/>
        </w:rPr>
        <w:t>Отказано в выдаче займов по 778 заявкам (14,7% от общего количества). Основная причина отказов это плохая кредитная история и отсутствие достаточных официальных доходов (соответственно 40% и 31% от общего числа отказов).</w:t>
      </w:r>
    </w:p>
    <w:p w:rsidR="00664D7D" w:rsidRPr="007C3E4D" w:rsidRDefault="00664D7D" w:rsidP="0026419D">
      <w:pPr>
        <w:ind w:firstLine="709"/>
        <w:jc w:val="both"/>
        <w:rPr>
          <w:bCs/>
          <w:color w:val="000000"/>
        </w:rPr>
      </w:pPr>
      <w:r w:rsidRPr="007C3E4D">
        <w:rPr>
          <w:bCs/>
          <w:color w:val="000000"/>
        </w:rPr>
        <w:t>Проводится активная разъяснительная работа с населением, которой охв</w:t>
      </w:r>
      <w:r>
        <w:rPr>
          <w:bCs/>
          <w:color w:val="000000"/>
        </w:rPr>
        <w:t xml:space="preserve">ачены свыше 5 </w:t>
      </w:r>
      <w:proofErr w:type="gramStart"/>
      <w:r>
        <w:rPr>
          <w:bCs/>
          <w:color w:val="000000"/>
        </w:rPr>
        <w:t>млн</w:t>
      </w:r>
      <w:proofErr w:type="gramEnd"/>
      <w:r>
        <w:rPr>
          <w:bCs/>
          <w:color w:val="000000"/>
        </w:rPr>
        <w:t xml:space="preserve"> </w:t>
      </w:r>
      <w:proofErr w:type="spellStart"/>
      <w:r>
        <w:rPr>
          <w:bCs/>
          <w:color w:val="000000"/>
        </w:rPr>
        <w:t>казахстанцев</w:t>
      </w:r>
      <w:proofErr w:type="spellEnd"/>
      <w:r>
        <w:rPr>
          <w:bCs/>
          <w:color w:val="000000"/>
        </w:rPr>
        <w:t>.</w:t>
      </w:r>
    </w:p>
    <w:p w:rsidR="00664D7D" w:rsidRPr="007C3E4D" w:rsidRDefault="00664D7D" w:rsidP="0026419D">
      <w:pPr>
        <w:ind w:firstLine="709"/>
        <w:jc w:val="both"/>
        <w:rPr>
          <w:bCs/>
          <w:color w:val="000000"/>
        </w:rPr>
      </w:pPr>
      <w:r w:rsidRPr="007C3E4D">
        <w:rPr>
          <w:bCs/>
          <w:color w:val="000000"/>
        </w:rPr>
        <w:lastRenderedPageBreak/>
        <w:t>АО «Ипотечная организация «</w:t>
      </w:r>
      <w:proofErr w:type="spellStart"/>
      <w:r w:rsidRPr="007C3E4D">
        <w:rPr>
          <w:bCs/>
          <w:color w:val="000000"/>
        </w:rPr>
        <w:t>Баспана</w:t>
      </w:r>
      <w:proofErr w:type="spellEnd"/>
      <w:r w:rsidRPr="007C3E4D">
        <w:rPr>
          <w:bCs/>
          <w:color w:val="000000"/>
        </w:rPr>
        <w:t>» (далее – ИО «</w:t>
      </w:r>
      <w:proofErr w:type="spellStart"/>
      <w:r w:rsidRPr="007C3E4D">
        <w:rPr>
          <w:bCs/>
          <w:color w:val="000000"/>
        </w:rPr>
        <w:t>Баспана</w:t>
      </w:r>
      <w:proofErr w:type="spellEnd"/>
      <w:r w:rsidRPr="007C3E4D">
        <w:rPr>
          <w:bCs/>
          <w:color w:val="000000"/>
        </w:rPr>
        <w:t xml:space="preserve">») совместно с </w:t>
      </w:r>
      <w:proofErr w:type="spellStart"/>
      <w:r w:rsidRPr="007C3E4D">
        <w:rPr>
          <w:bCs/>
          <w:color w:val="000000"/>
        </w:rPr>
        <w:t>акиматами</w:t>
      </w:r>
      <w:proofErr w:type="spellEnd"/>
      <w:r w:rsidRPr="007C3E4D">
        <w:rPr>
          <w:bCs/>
          <w:color w:val="000000"/>
        </w:rPr>
        <w:t xml:space="preserve"> областей и городов, территориальными подразделениями Национального Банка и банков-участников Программы проводятся выездные встречи с населением по разъяснению условий Программы.</w:t>
      </w:r>
    </w:p>
    <w:p w:rsidR="00664D7D" w:rsidRPr="007C3E4D" w:rsidRDefault="00664D7D" w:rsidP="0026419D">
      <w:pPr>
        <w:ind w:firstLine="709"/>
        <w:jc w:val="both"/>
        <w:rPr>
          <w:bCs/>
          <w:color w:val="000000"/>
        </w:rPr>
      </w:pPr>
      <w:r w:rsidRPr="007C3E4D">
        <w:rPr>
          <w:bCs/>
          <w:color w:val="000000"/>
        </w:rPr>
        <w:t xml:space="preserve">Ход реализации Программы регулярно освещается в средствах массовой информации и социальных сетях, действует круглосуточный </w:t>
      </w:r>
      <w:proofErr w:type="spellStart"/>
      <w:r w:rsidRPr="007C3E4D">
        <w:rPr>
          <w:bCs/>
          <w:color w:val="000000"/>
        </w:rPr>
        <w:t>call</w:t>
      </w:r>
      <w:proofErr w:type="spellEnd"/>
      <w:r w:rsidRPr="007C3E4D">
        <w:rPr>
          <w:bCs/>
          <w:color w:val="000000"/>
        </w:rPr>
        <w:t>-центр.</w:t>
      </w:r>
    </w:p>
    <w:p w:rsidR="00664D7D" w:rsidRPr="007C3E4D" w:rsidRDefault="00664D7D" w:rsidP="0026419D">
      <w:pPr>
        <w:ind w:firstLine="709"/>
        <w:jc w:val="both"/>
        <w:rPr>
          <w:bCs/>
          <w:color w:val="000000"/>
        </w:rPr>
      </w:pPr>
      <w:r w:rsidRPr="007C3E4D">
        <w:rPr>
          <w:bCs/>
          <w:color w:val="000000"/>
        </w:rPr>
        <w:t xml:space="preserve">Посредством </w:t>
      </w:r>
      <w:proofErr w:type="spellStart"/>
      <w:r w:rsidRPr="007C3E4D">
        <w:rPr>
          <w:bCs/>
          <w:color w:val="000000"/>
        </w:rPr>
        <w:t>call</w:t>
      </w:r>
      <w:proofErr w:type="spellEnd"/>
      <w:r w:rsidRPr="007C3E4D">
        <w:rPr>
          <w:bCs/>
          <w:color w:val="000000"/>
        </w:rPr>
        <w:t>-центра И</w:t>
      </w:r>
      <w:r>
        <w:rPr>
          <w:bCs/>
          <w:color w:val="000000"/>
        </w:rPr>
        <w:t>О «</w:t>
      </w:r>
      <w:proofErr w:type="spellStart"/>
      <w:r>
        <w:rPr>
          <w:bCs/>
          <w:color w:val="000000"/>
        </w:rPr>
        <w:t>Баспана</w:t>
      </w:r>
      <w:proofErr w:type="spellEnd"/>
      <w:r>
        <w:rPr>
          <w:bCs/>
          <w:color w:val="000000"/>
        </w:rPr>
        <w:t>» обработано более 19 </w:t>
      </w:r>
      <w:r w:rsidRPr="007C3E4D">
        <w:rPr>
          <w:bCs/>
          <w:color w:val="000000"/>
        </w:rPr>
        <w:t>500 обращений граждан по Программе.</w:t>
      </w:r>
    </w:p>
    <w:p w:rsidR="00664D7D" w:rsidRPr="007C3E4D" w:rsidRDefault="00664D7D" w:rsidP="0026419D">
      <w:pPr>
        <w:ind w:firstLine="709"/>
        <w:jc w:val="both"/>
        <w:rPr>
          <w:bCs/>
          <w:color w:val="000000"/>
        </w:rPr>
      </w:pPr>
      <w:proofErr w:type="gramStart"/>
      <w:r w:rsidRPr="007C3E4D">
        <w:rPr>
          <w:bCs/>
          <w:color w:val="000000"/>
        </w:rPr>
        <w:t>На информационном портале Nur.kz создан отдельный новостной раздел по Программе, количество зарегистрированных посещений которого превысило 1 млн. Кроме того, ИО «</w:t>
      </w:r>
      <w:proofErr w:type="spellStart"/>
      <w:r w:rsidRPr="007C3E4D">
        <w:rPr>
          <w:bCs/>
          <w:color w:val="000000"/>
        </w:rPr>
        <w:t>Баспана</w:t>
      </w:r>
      <w:proofErr w:type="spellEnd"/>
      <w:r w:rsidRPr="007C3E4D">
        <w:rPr>
          <w:bCs/>
          <w:color w:val="000000"/>
        </w:rPr>
        <w:t>» совместно с онлайн-сервисом для покупателей недвижимости Homsters.kz проводятся «ярмарки недвижимости», на которых посетители могут получить необходимые разъяснения по условиям Программы и обратиться к застройщикам, предлагающим жилье по Программе.</w:t>
      </w:r>
      <w:proofErr w:type="gramEnd"/>
    </w:p>
    <w:p w:rsidR="00664D7D" w:rsidRDefault="00664D7D" w:rsidP="0026419D">
      <w:pPr>
        <w:widowControl w:val="0"/>
        <w:ind w:firstLine="709"/>
        <w:jc w:val="both"/>
        <w:rPr>
          <w:bCs/>
          <w:color w:val="000000"/>
          <w:lang w:val="kk-KZ"/>
        </w:rPr>
      </w:pPr>
      <w:r w:rsidRPr="007C3E4D">
        <w:rPr>
          <w:bCs/>
          <w:color w:val="000000"/>
        </w:rPr>
        <w:t>В перспективе на базе ИО «</w:t>
      </w:r>
      <w:proofErr w:type="spellStart"/>
      <w:r w:rsidRPr="007C3E4D">
        <w:rPr>
          <w:bCs/>
          <w:color w:val="000000"/>
        </w:rPr>
        <w:t>Баспана</w:t>
      </w:r>
      <w:proofErr w:type="spellEnd"/>
      <w:r w:rsidRPr="007C3E4D">
        <w:rPr>
          <w:bCs/>
          <w:color w:val="000000"/>
        </w:rPr>
        <w:t>» планируется создание специальной электронной платформы, позволяющей гражданам дистанционно подавать заявления на получение займа для предварительного одобрения банка.</w:t>
      </w:r>
    </w:p>
    <w:p w:rsidR="00664D7D" w:rsidRPr="00664D7D" w:rsidRDefault="00664D7D" w:rsidP="0026419D">
      <w:pPr>
        <w:widowControl w:val="0"/>
        <w:ind w:firstLine="709"/>
        <w:jc w:val="both"/>
      </w:pPr>
    </w:p>
    <w:p w:rsidR="00FA5E26" w:rsidRPr="00FA5E26" w:rsidRDefault="00FA5E26" w:rsidP="0026419D">
      <w:pPr>
        <w:ind w:firstLine="709"/>
        <w:jc w:val="both"/>
        <w:rPr>
          <w:b/>
          <w:i/>
          <w:lang w:val="kk-KZ"/>
        </w:rPr>
      </w:pPr>
    </w:p>
    <w:p w:rsidR="00007671" w:rsidRPr="00A17449" w:rsidRDefault="00007671" w:rsidP="0026419D">
      <w:pPr>
        <w:ind w:firstLine="709"/>
        <w:jc w:val="both"/>
        <w:rPr>
          <w:bCs/>
          <w:color w:val="000000"/>
        </w:rPr>
      </w:pPr>
    </w:p>
    <w:sectPr w:rsidR="00007671" w:rsidRPr="00A17449" w:rsidSect="00664D7D">
      <w:footerReference w:type="first" r:id="rId9"/>
      <w:pgSz w:w="11906" w:h="16838"/>
      <w:pgMar w:top="993" w:right="991" w:bottom="426"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05" w:rsidRDefault="00D73905" w:rsidP="00B54721">
      <w:r>
        <w:separator/>
      </w:r>
    </w:p>
  </w:endnote>
  <w:endnote w:type="continuationSeparator" w:id="0">
    <w:p w:rsidR="00D73905" w:rsidRDefault="00D73905" w:rsidP="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721" w:rsidRDefault="00B547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05" w:rsidRDefault="00D73905" w:rsidP="00B54721">
      <w:r>
        <w:separator/>
      </w:r>
    </w:p>
  </w:footnote>
  <w:footnote w:type="continuationSeparator" w:id="0">
    <w:p w:rsidR="00D73905" w:rsidRDefault="00D73905" w:rsidP="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12D2"/>
    <w:multiLevelType w:val="hybridMultilevel"/>
    <w:tmpl w:val="78CE13C2"/>
    <w:lvl w:ilvl="0" w:tplc="21DA33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4AA90611"/>
    <w:multiLevelType w:val="hybridMultilevel"/>
    <w:tmpl w:val="ECB80F40"/>
    <w:lvl w:ilvl="0" w:tplc="1136A04C">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80E"/>
    <w:rsid w:val="00002069"/>
    <w:rsid w:val="00002E14"/>
    <w:rsid w:val="00007671"/>
    <w:rsid w:val="00014A5A"/>
    <w:rsid w:val="00015334"/>
    <w:rsid w:val="00020624"/>
    <w:rsid w:val="0002072F"/>
    <w:rsid w:val="0003280E"/>
    <w:rsid w:val="000400A4"/>
    <w:rsid w:val="000440BA"/>
    <w:rsid w:val="0005476A"/>
    <w:rsid w:val="0007097E"/>
    <w:rsid w:val="00082569"/>
    <w:rsid w:val="00094D32"/>
    <w:rsid w:val="000A7B38"/>
    <w:rsid w:val="000B3214"/>
    <w:rsid w:val="000C2A34"/>
    <w:rsid w:val="000D6999"/>
    <w:rsid w:val="000E2165"/>
    <w:rsid w:val="00101BDB"/>
    <w:rsid w:val="001050C4"/>
    <w:rsid w:val="0010691C"/>
    <w:rsid w:val="00120B5D"/>
    <w:rsid w:val="00141C37"/>
    <w:rsid w:val="00143E28"/>
    <w:rsid w:val="00147918"/>
    <w:rsid w:val="00150D66"/>
    <w:rsid w:val="0016252D"/>
    <w:rsid w:val="001821EA"/>
    <w:rsid w:val="001907AD"/>
    <w:rsid w:val="00190BE3"/>
    <w:rsid w:val="001A130C"/>
    <w:rsid w:val="001A54FA"/>
    <w:rsid w:val="001B18AA"/>
    <w:rsid w:val="001B5501"/>
    <w:rsid w:val="001C6757"/>
    <w:rsid w:val="001D007C"/>
    <w:rsid w:val="001D4DDC"/>
    <w:rsid w:val="001E786D"/>
    <w:rsid w:val="002011DE"/>
    <w:rsid w:val="0021553B"/>
    <w:rsid w:val="00241797"/>
    <w:rsid w:val="0024203A"/>
    <w:rsid w:val="0026419D"/>
    <w:rsid w:val="0026421B"/>
    <w:rsid w:val="002856C0"/>
    <w:rsid w:val="002C089B"/>
    <w:rsid w:val="002C0F12"/>
    <w:rsid w:val="002D6A9C"/>
    <w:rsid w:val="002E66E2"/>
    <w:rsid w:val="002F171E"/>
    <w:rsid w:val="00307EBA"/>
    <w:rsid w:val="00310753"/>
    <w:rsid w:val="00314B31"/>
    <w:rsid w:val="0032226D"/>
    <w:rsid w:val="00353AA0"/>
    <w:rsid w:val="003571E1"/>
    <w:rsid w:val="0036389A"/>
    <w:rsid w:val="00374F84"/>
    <w:rsid w:val="00374FB5"/>
    <w:rsid w:val="003852F3"/>
    <w:rsid w:val="0038705E"/>
    <w:rsid w:val="00396221"/>
    <w:rsid w:val="003E262A"/>
    <w:rsid w:val="003F1F81"/>
    <w:rsid w:val="003F5B20"/>
    <w:rsid w:val="003F7DA9"/>
    <w:rsid w:val="00414031"/>
    <w:rsid w:val="004232B8"/>
    <w:rsid w:val="0043203F"/>
    <w:rsid w:val="00432929"/>
    <w:rsid w:val="00435E54"/>
    <w:rsid w:val="00436476"/>
    <w:rsid w:val="00437697"/>
    <w:rsid w:val="00437C3C"/>
    <w:rsid w:val="0045091F"/>
    <w:rsid w:val="00477B5E"/>
    <w:rsid w:val="00487328"/>
    <w:rsid w:val="004A2B69"/>
    <w:rsid w:val="004B088D"/>
    <w:rsid w:val="004B3DD8"/>
    <w:rsid w:val="004C70D9"/>
    <w:rsid w:val="004D00EA"/>
    <w:rsid w:val="004D2F48"/>
    <w:rsid w:val="004D48AF"/>
    <w:rsid w:val="004D571C"/>
    <w:rsid w:val="004F0C4A"/>
    <w:rsid w:val="004F0EBF"/>
    <w:rsid w:val="004F2743"/>
    <w:rsid w:val="004F5461"/>
    <w:rsid w:val="004F7229"/>
    <w:rsid w:val="005051F4"/>
    <w:rsid w:val="005126C7"/>
    <w:rsid w:val="0051288B"/>
    <w:rsid w:val="00513FC6"/>
    <w:rsid w:val="00517D58"/>
    <w:rsid w:val="00533B20"/>
    <w:rsid w:val="00534408"/>
    <w:rsid w:val="005369CE"/>
    <w:rsid w:val="0054120E"/>
    <w:rsid w:val="00546003"/>
    <w:rsid w:val="00561BD8"/>
    <w:rsid w:val="00564D27"/>
    <w:rsid w:val="0056676A"/>
    <w:rsid w:val="005705A0"/>
    <w:rsid w:val="00577B5A"/>
    <w:rsid w:val="005849B1"/>
    <w:rsid w:val="0058525A"/>
    <w:rsid w:val="00586686"/>
    <w:rsid w:val="00590071"/>
    <w:rsid w:val="00596707"/>
    <w:rsid w:val="005B35B8"/>
    <w:rsid w:val="005B4601"/>
    <w:rsid w:val="005D5C6F"/>
    <w:rsid w:val="005E3D53"/>
    <w:rsid w:val="00604C12"/>
    <w:rsid w:val="00612738"/>
    <w:rsid w:val="006206E1"/>
    <w:rsid w:val="00620FC5"/>
    <w:rsid w:val="00634ACD"/>
    <w:rsid w:val="0064041F"/>
    <w:rsid w:val="00641C4C"/>
    <w:rsid w:val="00647703"/>
    <w:rsid w:val="00655985"/>
    <w:rsid w:val="0065667C"/>
    <w:rsid w:val="00662A68"/>
    <w:rsid w:val="00664D7D"/>
    <w:rsid w:val="00691DB3"/>
    <w:rsid w:val="006A18EF"/>
    <w:rsid w:val="006B22E3"/>
    <w:rsid w:val="006B3A63"/>
    <w:rsid w:val="006B678E"/>
    <w:rsid w:val="006C1D9F"/>
    <w:rsid w:val="006C2ACE"/>
    <w:rsid w:val="006C33B9"/>
    <w:rsid w:val="006D6E31"/>
    <w:rsid w:val="006E0723"/>
    <w:rsid w:val="006E699E"/>
    <w:rsid w:val="006F2E72"/>
    <w:rsid w:val="006F3B56"/>
    <w:rsid w:val="006F7B08"/>
    <w:rsid w:val="00706D3D"/>
    <w:rsid w:val="0072421C"/>
    <w:rsid w:val="00733CB1"/>
    <w:rsid w:val="00753267"/>
    <w:rsid w:val="00754338"/>
    <w:rsid w:val="00757EB0"/>
    <w:rsid w:val="00765A74"/>
    <w:rsid w:val="00780777"/>
    <w:rsid w:val="007808C1"/>
    <w:rsid w:val="00791D50"/>
    <w:rsid w:val="00792557"/>
    <w:rsid w:val="00796F3E"/>
    <w:rsid w:val="007A34E5"/>
    <w:rsid w:val="007A7F17"/>
    <w:rsid w:val="007F6628"/>
    <w:rsid w:val="007F6B8C"/>
    <w:rsid w:val="007F73DF"/>
    <w:rsid w:val="00800048"/>
    <w:rsid w:val="00801E3F"/>
    <w:rsid w:val="008333C1"/>
    <w:rsid w:val="00834DF9"/>
    <w:rsid w:val="00845651"/>
    <w:rsid w:val="00866FA0"/>
    <w:rsid w:val="00870A0F"/>
    <w:rsid w:val="00886588"/>
    <w:rsid w:val="00886894"/>
    <w:rsid w:val="00893A78"/>
    <w:rsid w:val="008C11E1"/>
    <w:rsid w:val="008C26D4"/>
    <w:rsid w:val="008C42BE"/>
    <w:rsid w:val="008E1029"/>
    <w:rsid w:val="008E65F3"/>
    <w:rsid w:val="008F0D35"/>
    <w:rsid w:val="008F435B"/>
    <w:rsid w:val="00913457"/>
    <w:rsid w:val="00917B7C"/>
    <w:rsid w:val="00920228"/>
    <w:rsid w:val="009315A8"/>
    <w:rsid w:val="009320ED"/>
    <w:rsid w:val="0093292B"/>
    <w:rsid w:val="00934711"/>
    <w:rsid w:val="00941433"/>
    <w:rsid w:val="009469B1"/>
    <w:rsid w:val="0095244F"/>
    <w:rsid w:val="00952966"/>
    <w:rsid w:val="00952AE1"/>
    <w:rsid w:val="009647BB"/>
    <w:rsid w:val="0096741E"/>
    <w:rsid w:val="0097139A"/>
    <w:rsid w:val="009764D1"/>
    <w:rsid w:val="00982BF5"/>
    <w:rsid w:val="00985EC4"/>
    <w:rsid w:val="00986F1E"/>
    <w:rsid w:val="00994958"/>
    <w:rsid w:val="00997FD6"/>
    <w:rsid w:val="009B73F7"/>
    <w:rsid w:val="009F7BF3"/>
    <w:rsid w:val="00A06894"/>
    <w:rsid w:val="00A06CDA"/>
    <w:rsid w:val="00A11A98"/>
    <w:rsid w:val="00A17449"/>
    <w:rsid w:val="00A23B36"/>
    <w:rsid w:val="00A26678"/>
    <w:rsid w:val="00A351B9"/>
    <w:rsid w:val="00A3647D"/>
    <w:rsid w:val="00A63D68"/>
    <w:rsid w:val="00A72A6A"/>
    <w:rsid w:val="00AA20C5"/>
    <w:rsid w:val="00AA7BC7"/>
    <w:rsid w:val="00AB471C"/>
    <w:rsid w:val="00AD34A8"/>
    <w:rsid w:val="00B41895"/>
    <w:rsid w:val="00B47A21"/>
    <w:rsid w:val="00B5225C"/>
    <w:rsid w:val="00B52A18"/>
    <w:rsid w:val="00B54721"/>
    <w:rsid w:val="00B5497C"/>
    <w:rsid w:val="00B62B57"/>
    <w:rsid w:val="00BB0CDF"/>
    <w:rsid w:val="00BB2E9A"/>
    <w:rsid w:val="00BD7494"/>
    <w:rsid w:val="00BD76A6"/>
    <w:rsid w:val="00BD7934"/>
    <w:rsid w:val="00BE0940"/>
    <w:rsid w:val="00BF09F3"/>
    <w:rsid w:val="00BF3E75"/>
    <w:rsid w:val="00C1532A"/>
    <w:rsid w:val="00C2078D"/>
    <w:rsid w:val="00C21D9A"/>
    <w:rsid w:val="00C24779"/>
    <w:rsid w:val="00C352BB"/>
    <w:rsid w:val="00C41006"/>
    <w:rsid w:val="00C468FE"/>
    <w:rsid w:val="00C46CD8"/>
    <w:rsid w:val="00C46FC1"/>
    <w:rsid w:val="00C47150"/>
    <w:rsid w:val="00C754BB"/>
    <w:rsid w:val="00C94A5B"/>
    <w:rsid w:val="00CA584F"/>
    <w:rsid w:val="00CB695C"/>
    <w:rsid w:val="00CC2F1D"/>
    <w:rsid w:val="00CC5E67"/>
    <w:rsid w:val="00CC69E9"/>
    <w:rsid w:val="00CD6B99"/>
    <w:rsid w:val="00CF4413"/>
    <w:rsid w:val="00D20295"/>
    <w:rsid w:val="00D34845"/>
    <w:rsid w:val="00D34EBC"/>
    <w:rsid w:val="00D41158"/>
    <w:rsid w:val="00D41208"/>
    <w:rsid w:val="00D540B6"/>
    <w:rsid w:val="00D60DCE"/>
    <w:rsid w:val="00D64EAA"/>
    <w:rsid w:val="00D70E8D"/>
    <w:rsid w:val="00D73905"/>
    <w:rsid w:val="00D8202D"/>
    <w:rsid w:val="00D83D4A"/>
    <w:rsid w:val="00DA3829"/>
    <w:rsid w:val="00DA3B44"/>
    <w:rsid w:val="00DB5FDD"/>
    <w:rsid w:val="00DC5FA2"/>
    <w:rsid w:val="00DE1385"/>
    <w:rsid w:val="00DF1BC7"/>
    <w:rsid w:val="00DF6422"/>
    <w:rsid w:val="00DF6483"/>
    <w:rsid w:val="00DF75D1"/>
    <w:rsid w:val="00E11303"/>
    <w:rsid w:val="00E17E00"/>
    <w:rsid w:val="00E4152D"/>
    <w:rsid w:val="00E47D24"/>
    <w:rsid w:val="00E6481D"/>
    <w:rsid w:val="00E66EE7"/>
    <w:rsid w:val="00E77451"/>
    <w:rsid w:val="00E83A2D"/>
    <w:rsid w:val="00E87012"/>
    <w:rsid w:val="00EA08E4"/>
    <w:rsid w:val="00EA17EC"/>
    <w:rsid w:val="00EA7EA1"/>
    <w:rsid w:val="00EC3ADD"/>
    <w:rsid w:val="00EF5802"/>
    <w:rsid w:val="00F00B92"/>
    <w:rsid w:val="00F0194F"/>
    <w:rsid w:val="00F026A7"/>
    <w:rsid w:val="00F20A36"/>
    <w:rsid w:val="00F2101A"/>
    <w:rsid w:val="00F21487"/>
    <w:rsid w:val="00F27C3B"/>
    <w:rsid w:val="00F400E6"/>
    <w:rsid w:val="00F5739C"/>
    <w:rsid w:val="00F63EF0"/>
    <w:rsid w:val="00F65FBD"/>
    <w:rsid w:val="00F6704B"/>
    <w:rsid w:val="00F711EC"/>
    <w:rsid w:val="00F77665"/>
    <w:rsid w:val="00F85959"/>
    <w:rsid w:val="00F9134F"/>
    <w:rsid w:val="00F914E3"/>
    <w:rsid w:val="00F9797A"/>
    <w:rsid w:val="00F97D5D"/>
    <w:rsid w:val="00FA0C49"/>
    <w:rsid w:val="00FA5E26"/>
    <w:rsid w:val="00FA68D9"/>
    <w:rsid w:val="00FE238D"/>
    <w:rsid w:val="00FE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03280E"/>
    <w:pPr>
      <w:tabs>
        <w:tab w:val="left" w:pos="284"/>
      </w:tabs>
      <w:ind w:left="284" w:right="-199"/>
      <w:jc w:val="both"/>
    </w:pPr>
    <w:rPr>
      <w:b/>
      <w:bCs/>
      <w:szCs w:val="20"/>
    </w:rPr>
  </w:style>
  <w:style w:type="paragraph" w:styleId="a4">
    <w:name w:val="Balloon Text"/>
    <w:basedOn w:val="a"/>
    <w:link w:val="a5"/>
    <w:uiPriority w:val="99"/>
    <w:semiHidden/>
    <w:unhideWhenUsed/>
    <w:rsid w:val="0003280E"/>
    <w:rPr>
      <w:rFonts w:ascii="Tahoma" w:hAnsi="Tahoma" w:cs="Tahoma"/>
      <w:sz w:val="16"/>
      <w:szCs w:val="16"/>
    </w:rPr>
  </w:style>
  <w:style w:type="character" w:customStyle="1" w:styleId="a5">
    <w:name w:val="Текст выноски Знак"/>
    <w:basedOn w:val="a0"/>
    <w:link w:val="a4"/>
    <w:uiPriority w:val="99"/>
    <w:semiHidden/>
    <w:rsid w:val="0003280E"/>
    <w:rPr>
      <w:rFonts w:ascii="Tahoma" w:eastAsia="Times New Roman" w:hAnsi="Tahoma" w:cs="Tahoma"/>
      <w:sz w:val="16"/>
      <w:szCs w:val="16"/>
      <w:lang w:eastAsia="ru-RU"/>
    </w:rPr>
  </w:style>
  <w:style w:type="paragraph" w:styleId="a6">
    <w:name w:val="header"/>
    <w:basedOn w:val="a"/>
    <w:link w:val="a7"/>
    <w:uiPriority w:val="99"/>
    <w:unhideWhenUsed/>
    <w:rsid w:val="00B54721"/>
    <w:pPr>
      <w:tabs>
        <w:tab w:val="center" w:pos="4677"/>
        <w:tab w:val="right" w:pos="9355"/>
      </w:tabs>
    </w:pPr>
  </w:style>
  <w:style w:type="character" w:customStyle="1" w:styleId="a7">
    <w:name w:val="Верхний колонтитул Знак"/>
    <w:basedOn w:val="a0"/>
    <w:link w:val="a6"/>
    <w:uiPriority w:val="99"/>
    <w:rsid w:val="00B5472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54721"/>
    <w:pPr>
      <w:tabs>
        <w:tab w:val="center" w:pos="4677"/>
        <w:tab w:val="right" w:pos="9355"/>
      </w:tabs>
    </w:pPr>
  </w:style>
  <w:style w:type="character" w:customStyle="1" w:styleId="a9">
    <w:name w:val="Нижний колонтитул Знак"/>
    <w:basedOn w:val="a0"/>
    <w:link w:val="a8"/>
    <w:uiPriority w:val="99"/>
    <w:rsid w:val="00B54721"/>
    <w:rPr>
      <w:rFonts w:ascii="Times New Roman" w:eastAsia="Times New Roman" w:hAnsi="Times New Roman" w:cs="Times New Roman"/>
      <w:sz w:val="24"/>
      <w:szCs w:val="24"/>
      <w:lang w:eastAsia="ru-RU"/>
    </w:rPr>
  </w:style>
  <w:style w:type="paragraph" w:styleId="aa">
    <w:name w:val="No Spacing"/>
    <w:link w:val="ab"/>
    <w:uiPriority w:val="1"/>
    <w:qFormat/>
    <w:rsid w:val="002F171E"/>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2F171E"/>
    <w:rPr>
      <w:rFonts w:ascii="Calibri" w:eastAsia="Calibri" w:hAnsi="Calibri" w:cs="Times New Roman"/>
    </w:rPr>
  </w:style>
  <w:style w:type="paragraph" w:styleId="ac">
    <w:name w:val="Body Text"/>
    <w:basedOn w:val="a"/>
    <w:link w:val="ad"/>
    <w:uiPriority w:val="99"/>
    <w:unhideWhenUsed/>
    <w:rsid w:val="00D41208"/>
    <w:pPr>
      <w:spacing w:after="120"/>
    </w:pPr>
    <w:rPr>
      <w:szCs w:val="20"/>
    </w:rPr>
  </w:style>
  <w:style w:type="character" w:customStyle="1" w:styleId="ad">
    <w:name w:val="Основной текст Знак"/>
    <w:basedOn w:val="a0"/>
    <w:link w:val="ac"/>
    <w:uiPriority w:val="99"/>
    <w:rsid w:val="00D41208"/>
    <w:rPr>
      <w:rFonts w:ascii="Times New Roman" w:eastAsia="Times New Roman" w:hAnsi="Times New Roman" w:cs="Times New Roman"/>
      <w:sz w:val="24"/>
      <w:szCs w:val="20"/>
      <w:lang w:eastAsia="ru-RU"/>
    </w:rPr>
  </w:style>
  <w:style w:type="paragraph" w:styleId="ae">
    <w:name w:val="footnote text"/>
    <w:aliases w:val="Текст сноски-FN,single space,footnote text, Знак1, Знак1 Знак Знак, Знак2 Знак, Знак11, Знак2, Знак1 Знак Знак Знак Знак Знак Знак Знак Знак, Знак1 Знак Знак Знак Знак Знак, Знак1 Знак Знак Знак Знак,Знак1,Знак1 Знак Знак,Знак2 Знак,Знак11"/>
    <w:basedOn w:val="a"/>
    <w:link w:val="af"/>
    <w:uiPriority w:val="99"/>
    <w:unhideWhenUsed/>
    <w:rsid w:val="00612738"/>
    <w:pPr>
      <w:spacing w:after="200" w:line="276" w:lineRule="auto"/>
    </w:pPr>
    <w:rPr>
      <w:rFonts w:ascii="Calibri" w:eastAsia="Calibri" w:hAnsi="Calibri"/>
      <w:sz w:val="20"/>
      <w:szCs w:val="20"/>
      <w:lang w:eastAsia="en-US"/>
    </w:rPr>
  </w:style>
  <w:style w:type="character" w:customStyle="1" w:styleId="af">
    <w:name w:val="Текст сноски Знак"/>
    <w:aliases w:val="Текст сноски-FN Знак,single space Знак,footnote text Знак, Знак1 Знак, Знак1 Знак Знак Знак, Знак2 Знак Знак, Знак11 Знак, Знак2 Знак1, Знак1 Знак Знак Знак Знак Знак Знак Знак Знак Знак, Знак1 Знак Знак Знак Знак Знак Знак,Знак1 Знак"/>
    <w:basedOn w:val="a0"/>
    <w:link w:val="ae"/>
    <w:uiPriority w:val="99"/>
    <w:rsid w:val="00612738"/>
    <w:rPr>
      <w:rFonts w:ascii="Calibri" w:eastAsia="Calibri" w:hAnsi="Calibri" w:cs="Times New Roman"/>
      <w:sz w:val="20"/>
      <w:szCs w:val="20"/>
    </w:rPr>
  </w:style>
  <w:style w:type="character" w:styleId="af0">
    <w:name w:val="footnote reference"/>
    <w:aliases w:val="Footnote Reference Number,Footnote Reference_LVL6,Footnote Reference_LVL61,Footnote Reference_LVL62,Footnote Reference_LVL63,Footnote Reference_LVL64,fr,PIC Footnote Reference"/>
    <w:uiPriority w:val="99"/>
    <w:unhideWhenUsed/>
    <w:rsid w:val="00612738"/>
    <w:rPr>
      <w:vertAlign w:val="superscript"/>
    </w:rPr>
  </w:style>
  <w:style w:type="character" w:styleId="af1">
    <w:name w:val="annotation reference"/>
    <w:basedOn w:val="a0"/>
    <w:uiPriority w:val="99"/>
    <w:semiHidden/>
    <w:unhideWhenUsed/>
    <w:rsid w:val="00913457"/>
    <w:rPr>
      <w:sz w:val="16"/>
      <w:szCs w:val="16"/>
    </w:rPr>
  </w:style>
  <w:style w:type="paragraph" w:styleId="af2">
    <w:name w:val="annotation text"/>
    <w:basedOn w:val="a"/>
    <w:link w:val="af3"/>
    <w:uiPriority w:val="99"/>
    <w:semiHidden/>
    <w:unhideWhenUsed/>
    <w:rsid w:val="00913457"/>
    <w:rPr>
      <w:sz w:val="20"/>
      <w:szCs w:val="20"/>
    </w:rPr>
  </w:style>
  <w:style w:type="character" w:customStyle="1" w:styleId="af3">
    <w:name w:val="Текст примечания Знак"/>
    <w:basedOn w:val="a0"/>
    <w:link w:val="af2"/>
    <w:uiPriority w:val="99"/>
    <w:semiHidden/>
    <w:rsid w:val="00913457"/>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913457"/>
    <w:rPr>
      <w:b/>
      <w:bCs/>
    </w:rPr>
  </w:style>
  <w:style w:type="character" w:customStyle="1" w:styleId="af5">
    <w:name w:val="Тема примечания Знак"/>
    <w:basedOn w:val="af3"/>
    <w:link w:val="af4"/>
    <w:uiPriority w:val="99"/>
    <w:semiHidden/>
    <w:rsid w:val="00913457"/>
    <w:rPr>
      <w:rFonts w:ascii="Times New Roman" w:eastAsia="Times New Roman" w:hAnsi="Times New Roman" w:cs="Times New Roman"/>
      <w:b/>
      <w:bCs/>
      <w:sz w:val="20"/>
      <w:szCs w:val="20"/>
      <w:lang w:eastAsia="ru-RU"/>
    </w:rPr>
  </w:style>
  <w:style w:type="paragraph" w:customStyle="1" w:styleId="Default">
    <w:name w:val="Default"/>
    <w:rsid w:val="002C089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basedOn w:val="a"/>
    <w:uiPriority w:val="34"/>
    <w:qFormat/>
    <w:rsid w:val="00190BE3"/>
    <w:pPr>
      <w:ind w:left="720"/>
      <w:contextualSpacing/>
    </w:pPr>
  </w:style>
  <w:style w:type="paragraph" w:styleId="af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f8"/>
    <w:uiPriority w:val="99"/>
    <w:unhideWhenUsed/>
    <w:qFormat/>
    <w:rsid w:val="00007671"/>
    <w:pPr>
      <w:spacing w:before="100" w:beforeAutospacing="1" w:after="100" w:afterAutospacing="1"/>
    </w:pPr>
  </w:style>
  <w:style w:type="table" w:styleId="af9">
    <w:name w:val="Table Grid"/>
    <w:basedOn w:val="a1"/>
    <w:uiPriority w:val="59"/>
    <w:rsid w:val="00FA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7"/>
    <w:uiPriority w:val="99"/>
    <w:locked/>
    <w:rsid w:val="00BF09F3"/>
    <w:rPr>
      <w:rFonts w:ascii="Times New Roman" w:eastAsia="Times New Roman" w:hAnsi="Times New Roman" w:cs="Times New Roman"/>
      <w:sz w:val="24"/>
      <w:szCs w:val="24"/>
      <w:lang w:eastAsia="ru-RU"/>
    </w:rPr>
  </w:style>
  <w:style w:type="character" w:customStyle="1" w:styleId="s19">
    <w:name w:val="s19"/>
    <w:basedOn w:val="a0"/>
    <w:rsid w:val="00BF0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8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1C4C5-413E-457A-B1C0-7AB3D5C57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3698</Words>
  <Characters>21081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 Есафьева</dc:creator>
  <cp:lastModifiedBy>Гульжан Канапьянова</cp:lastModifiedBy>
  <cp:revision>3</cp:revision>
  <cp:lastPrinted>2018-08-27T05:01:00Z</cp:lastPrinted>
  <dcterms:created xsi:type="dcterms:W3CDTF">2018-12-21T10:45:00Z</dcterms:created>
  <dcterms:modified xsi:type="dcterms:W3CDTF">2018-12-21T10:48:00Z</dcterms:modified>
</cp:coreProperties>
</file>