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26" w:rsidRPr="00F94E37" w:rsidRDefault="00FA5E26" w:rsidP="005E3D53">
      <w:pPr>
        <w:widowControl w:val="0"/>
        <w:ind w:firstLine="709"/>
        <w:jc w:val="center"/>
        <w:rPr>
          <w:b/>
        </w:rPr>
      </w:pPr>
      <w:bookmarkStart w:id="0" w:name="_GoBack"/>
      <w:bookmarkEnd w:id="0"/>
      <w:r w:rsidRPr="00F94E37">
        <w:rPr>
          <w:b/>
        </w:rPr>
        <w:t>Информация о ходе исполнения мероприятий ОНП 201</w:t>
      </w:r>
      <w:r w:rsidR="00F94E37" w:rsidRPr="00F94E37">
        <w:rPr>
          <w:b/>
        </w:rPr>
        <w:t>8</w:t>
      </w:r>
      <w:r w:rsidRPr="00F94E37">
        <w:rPr>
          <w:b/>
        </w:rPr>
        <w:t>-2019годов</w:t>
      </w:r>
    </w:p>
    <w:p w:rsidR="00002E14" w:rsidRPr="00F94E37" w:rsidRDefault="00002E14" w:rsidP="0026419D">
      <w:pPr>
        <w:widowControl w:val="0"/>
        <w:ind w:firstLine="709"/>
        <w:jc w:val="both"/>
        <w:rPr>
          <w:b/>
        </w:rPr>
      </w:pPr>
    </w:p>
    <w:p w:rsidR="004232B8" w:rsidRPr="00F94E37" w:rsidRDefault="004232B8" w:rsidP="005E3D53">
      <w:pPr>
        <w:widowControl w:val="0"/>
        <w:ind w:firstLine="709"/>
        <w:jc w:val="center"/>
        <w:rPr>
          <w:b/>
          <w:bCs/>
          <w:lang w:val="kk-KZ"/>
        </w:rPr>
      </w:pPr>
      <w:r w:rsidRPr="00F94E37">
        <w:rPr>
          <w:b/>
          <w:bCs/>
          <w:lang w:val="kk-KZ"/>
        </w:rPr>
        <w:t>ОНП 2018</w:t>
      </w:r>
    </w:p>
    <w:p w:rsidR="00DA3829" w:rsidRPr="00F94E37" w:rsidRDefault="00DA3829" w:rsidP="0026419D">
      <w:pPr>
        <w:widowControl w:val="0"/>
        <w:ind w:firstLine="709"/>
        <w:jc w:val="both"/>
        <w:rPr>
          <w:szCs w:val="28"/>
        </w:rPr>
      </w:pPr>
    </w:p>
    <w:p w:rsidR="00664D7D" w:rsidRPr="00F94E37" w:rsidRDefault="00664D7D" w:rsidP="0026419D">
      <w:pPr>
        <w:ind w:firstLine="709"/>
        <w:jc w:val="both"/>
        <w:rPr>
          <w:b/>
          <w:bCs/>
          <w:i/>
          <w:lang w:val="kk-KZ"/>
        </w:rPr>
      </w:pPr>
      <w:r w:rsidRPr="00F94E37">
        <w:rPr>
          <w:b/>
          <w:bCs/>
          <w:i/>
          <w:lang w:val="kk-KZ"/>
        </w:rPr>
        <w:t>36</w:t>
      </w:r>
      <w:r w:rsidR="0026419D" w:rsidRPr="00F94E37">
        <w:rPr>
          <w:b/>
          <w:bCs/>
          <w:i/>
          <w:lang w:val="kk-KZ"/>
        </w:rPr>
        <w:t>.</w:t>
      </w:r>
      <w:r w:rsidRPr="00F94E37">
        <w:rPr>
          <w:b/>
          <w:bCs/>
          <w:i/>
          <w:lang w:val="kk-KZ"/>
        </w:rPr>
        <w:t xml:space="preserve"> Завершение работы по вопросу валютных ипотечных займов населения, обеспеченных жилой недвижимостью и предоставленных до 1 января 2016 года, путем:</w:t>
      </w:r>
    </w:p>
    <w:p w:rsidR="00664D7D" w:rsidRPr="00F94E37" w:rsidRDefault="00664D7D" w:rsidP="0026419D">
      <w:pPr>
        <w:ind w:firstLine="709"/>
        <w:jc w:val="both"/>
        <w:rPr>
          <w:b/>
          <w:bCs/>
          <w:i/>
          <w:lang w:val="kk-KZ"/>
        </w:rPr>
      </w:pPr>
      <w:r w:rsidRPr="00F94E37">
        <w:rPr>
          <w:b/>
          <w:bCs/>
          <w:i/>
          <w:lang w:val="kk-KZ"/>
        </w:rPr>
        <w:t>внесения изменений и дополнений в Программу рефинансирования ипотечных займов;</w:t>
      </w:r>
    </w:p>
    <w:p w:rsidR="00664D7D" w:rsidRPr="00F94E37" w:rsidRDefault="00664D7D" w:rsidP="0026419D">
      <w:pPr>
        <w:widowControl w:val="0"/>
        <w:ind w:firstLine="709"/>
        <w:jc w:val="both"/>
        <w:rPr>
          <w:b/>
          <w:bCs/>
          <w:i/>
          <w:lang w:val="kk-KZ"/>
        </w:rPr>
      </w:pPr>
      <w:r w:rsidRPr="00F94E37">
        <w:rPr>
          <w:b/>
          <w:bCs/>
          <w:i/>
          <w:lang w:val="kk-KZ"/>
        </w:rPr>
        <w:t>осуществления конвертации валютных займов в соответствии с условиями Программы рефинансирования ипотечных займов</w:t>
      </w:r>
    </w:p>
    <w:p w:rsidR="005A35A3" w:rsidRPr="00F94E37" w:rsidRDefault="005A35A3" w:rsidP="005A35A3">
      <w:pPr>
        <w:widowControl w:val="0"/>
        <w:ind w:firstLine="709"/>
        <w:jc w:val="both"/>
        <w:rPr>
          <w:bCs/>
          <w:lang w:val="kk-KZ"/>
        </w:rPr>
      </w:pPr>
      <w:r w:rsidRPr="00F94E37">
        <w:rPr>
          <w:bCs/>
          <w:lang w:val="kk-KZ"/>
        </w:rPr>
        <w:t xml:space="preserve">С 27 марта 2018 года Программа рефинансирования ипотечных жилищных займов (ипотечных займов), утвержденная постановлением Правления Национального Банка от 24.04.2015 г. № 69 (далее – Программа), предусматривает рефинансирование валютных ипотечных займов физических лиц, выданных до 1 января 2016 года. Займы подлежат рефинансированию в </w:t>
      </w:r>
      <w:r w:rsidR="005D1BCE">
        <w:rPr>
          <w:bCs/>
          <w:lang w:val="kk-KZ"/>
        </w:rPr>
        <w:t>теңге</w:t>
      </w:r>
      <w:r w:rsidRPr="00F94E37">
        <w:rPr>
          <w:bCs/>
          <w:lang w:val="kk-KZ"/>
        </w:rPr>
        <w:t xml:space="preserve"> по курсу Национального Банка на 18 августа 2015 года (188,35 </w:t>
      </w:r>
      <w:r w:rsidR="005D1BCE">
        <w:rPr>
          <w:bCs/>
          <w:lang w:val="kk-KZ"/>
        </w:rPr>
        <w:t>теңге</w:t>
      </w:r>
      <w:r w:rsidRPr="00F94E37">
        <w:rPr>
          <w:bCs/>
          <w:lang w:val="kk-KZ"/>
        </w:rPr>
        <w:t xml:space="preserve"> за долл. США). </w:t>
      </w:r>
    </w:p>
    <w:p w:rsidR="005A35A3" w:rsidRPr="00F94E37" w:rsidRDefault="005A35A3" w:rsidP="005A35A3">
      <w:pPr>
        <w:widowControl w:val="0"/>
        <w:ind w:firstLine="709"/>
        <w:jc w:val="both"/>
        <w:rPr>
          <w:bCs/>
          <w:lang w:val="kk-KZ"/>
        </w:rPr>
      </w:pPr>
      <w:r w:rsidRPr="00F94E37">
        <w:rPr>
          <w:bCs/>
          <w:lang w:val="kk-KZ"/>
        </w:rPr>
        <w:t>Постановлением Правления Национального Банка № 101 от 28.06.2019 г. срок рефинансирования валютных ипотечных займов продлен до 31 декабря 2019 года, срок рефинансирования займов, находящихся в ликвидируемых банках «АО «Банк Астаны» и АО «Qazaq Banki», – до 31 декабря 2020 года.</w:t>
      </w:r>
    </w:p>
    <w:p w:rsidR="00664D7D" w:rsidRPr="00F94E37" w:rsidRDefault="005A35A3" w:rsidP="005A35A3">
      <w:pPr>
        <w:widowControl w:val="0"/>
        <w:ind w:firstLine="709"/>
        <w:jc w:val="both"/>
        <w:rPr>
          <w:bCs/>
          <w:lang w:val="kk-KZ"/>
        </w:rPr>
      </w:pPr>
      <w:r w:rsidRPr="00F94E37">
        <w:rPr>
          <w:bCs/>
          <w:lang w:val="kk-KZ"/>
        </w:rPr>
        <w:t xml:space="preserve">На 10 августа 2019 года банками одобрено 8 154 заявок на рефинансирование валютных ипотечных займов на сумму 71,1 млрд. </w:t>
      </w:r>
      <w:r w:rsidR="005D1BCE">
        <w:rPr>
          <w:bCs/>
          <w:lang w:val="kk-KZ"/>
        </w:rPr>
        <w:t>теңге</w:t>
      </w:r>
      <w:r w:rsidRPr="00F94E37">
        <w:rPr>
          <w:bCs/>
          <w:lang w:val="kk-KZ"/>
        </w:rPr>
        <w:t xml:space="preserve">, рефинансировано 6 745 займа на сумму 56,8 млрд. </w:t>
      </w:r>
      <w:r w:rsidR="005D1BCE">
        <w:rPr>
          <w:bCs/>
          <w:lang w:val="kk-KZ"/>
        </w:rPr>
        <w:t>теңге</w:t>
      </w:r>
      <w:r w:rsidRPr="00F94E37">
        <w:rPr>
          <w:bCs/>
          <w:lang w:val="kk-KZ"/>
        </w:rPr>
        <w:t>.</w:t>
      </w:r>
    </w:p>
    <w:p w:rsidR="005A35A3" w:rsidRPr="00F94E37" w:rsidRDefault="005A35A3" w:rsidP="005A35A3">
      <w:pPr>
        <w:widowControl w:val="0"/>
        <w:ind w:firstLine="709"/>
        <w:jc w:val="both"/>
        <w:rPr>
          <w:b/>
          <w:bCs/>
          <w:lang w:val="kk-KZ"/>
        </w:rPr>
      </w:pPr>
    </w:p>
    <w:p w:rsidR="00002E14" w:rsidRPr="00F94E37" w:rsidRDefault="00664D7D" w:rsidP="0026419D">
      <w:pPr>
        <w:widowControl w:val="0"/>
        <w:ind w:firstLine="709"/>
        <w:jc w:val="center"/>
        <w:rPr>
          <w:b/>
          <w:bCs/>
          <w:lang w:val="kk-KZ"/>
        </w:rPr>
      </w:pPr>
      <w:r w:rsidRPr="00F94E37">
        <w:rPr>
          <w:b/>
          <w:bCs/>
          <w:lang w:val="kk-KZ"/>
        </w:rPr>
        <w:t>ОНП 2019</w:t>
      </w:r>
    </w:p>
    <w:p w:rsidR="0026419D" w:rsidRPr="00F94E37" w:rsidRDefault="0026419D" w:rsidP="0026419D">
      <w:pPr>
        <w:widowControl w:val="0"/>
        <w:ind w:firstLine="709"/>
        <w:jc w:val="center"/>
        <w:rPr>
          <w:b/>
          <w:bCs/>
          <w:lang w:val="kk-KZ"/>
        </w:rPr>
      </w:pPr>
    </w:p>
    <w:p w:rsidR="00664D7D" w:rsidRPr="00F94E37" w:rsidRDefault="00664D7D" w:rsidP="0026419D">
      <w:pPr>
        <w:ind w:firstLine="709"/>
        <w:jc w:val="both"/>
        <w:rPr>
          <w:b/>
          <w:i/>
        </w:rPr>
      </w:pPr>
      <w:r w:rsidRPr="00F94E37">
        <w:rPr>
          <w:b/>
          <w:bCs/>
          <w:i/>
          <w:lang w:val="kk-KZ"/>
        </w:rPr>
        <w:t>16</w:t>
      </w:r>
      <w:r w:rsidR="0026419D" w:rsidRPr="00F94E37">
        <w:rPr>
          <w:b/>
          <w:bCs/>
          <w:i/>
          <w:lang w:val="kk-KZ"/>
        </w:rPr>
        <w:t>.</w:t>
      </w:r>
      <w:r w:rsidRPr="00F94E37">
        <w:rPr>
          <w:b/>
          <w:i/>
        </w:rPr>
        <w:t xml:space="preserve"> Обеспечение долгосрочной </w:t>
      </w:r>
      <w:proofErr w:type="spellStart"/>
      <w:r w:rsidRPr="00F94E37">
        <w:rPr>
          <w:b/>
          <w:i/>
        </w:rPr>
        <w:t>тенговой</w:t>
      </w:r>
      <w:proofErr w:type="spellEnd"/>
      <w:r w:rsidRPr="00F94E37">
        <w:rPr>
          <w:b/>
          <w:i/>
        </w:rPr>
        <w:t xml:space="preserve"> ликвидности в размере не менее 600 миллиардов </w:t>
      </w:r>
      <w:proofErr w:type="spellStart"/>
      <w:r w:rsidR="005D1BCE">
        <w:rPr>
          <w:b/>
          <w:i/>
        </w:rPr>
        <w:t>теңге</w:t>
      </w:r>
      <w:proofErr w:type="spellEnd"/>
      <w:r w:rsidRPr="00F94E37">
        <w:rPr>
          <w:b/>
          <w:i/>
        </w:rPr>
        <w:t xml:space="preserve"> для решения задачи доступного кредитования приоритетных проектов с определением механизма ее предоставления </w:t>
      </w:r>
    </w:p>
    <w:p w:rsidR="00EA3788" w:rsidRPr="00F94E37" w:rsidRDefault="00EA3788" w:rsidP="00EA3788">
      <w:pPr>
        <w:widowControl w:val="0"/>
        <w:ind w:firstLine="709"/>
        <w:jc w:val="both"/>
      </w:pPr>
      <w:r w:rsidRPr="00F94E37">
        <w:t xml:space="preserve">С момента запуска данной программы осуществлен выкуп облигаций трех банков (Банк </w:t>
      </w:r>
      <w:proofErr w:type="spellStart"/>
      <w:r w:rsidRPr="00F94E37">
        <w:t>ЦентрКредит</w:t>
      </w:r>
      <w:proofErr w:type="spellEnd"/>
      <w:r w:rsidRPr="00F94E37">
        <w:t xml:space="preserve">, </w:t>
      </w:r>
      <w:proofErr w:type="spellStart"/>
      <w:r w:rsidRPr="00F94E37">
        <w:t>Нурбанк</w:t>
      </w:r>
      <w:proofErr w:type="spellEnd"/>
      <w:r w:rsidRPr="00F94E37">
        <w:t xml:space="preserve">, </w:t>
      </w:r>
      <w:proofErr w:type="spellStart"/>
      <w:r w:rsidRPr="00F94E37">
        <w:t>АТФБанк</w:t>
      </w:r>
      <w:proofErr w:type="spellEnd"/>
      <w:r w:rsidRPr="00F94E37">
        <w:t xml:space="preserve">) на общую сумму 114,7 </w:t>
      </w:r>
      <w:proofErr w:type="gramStart"/>
      <w:r w:rsidRPr="00F94E37">
        <w:t>млрд</w:t>
      </w:r>
      <w:proofErr w:type="gramEnd"/>
      <w:r w:rsidRPr="00F94E37">
        <w:t xml:space="preserve"> </w:t>
      </w:r>
      <w:proofErr w:type="spellStart"/>
      <w:r w:rsidR="005D1BCE">
        <w:t>теңге</w:t>
      </w:r>
      <w:proofErr w:type="spellEnd"/>
      <w:r w:rsidRPr="00F94E37">
        <w:t xml:space="preserve"> со сроком погашения 7 лет и доходностью 10,95% годовых.</w:t>
      </w:r>
    </w:p>
    <w:p w:rsidR="00664D7D" w:rsidRDefault="00EA3788" w:rsidP="00EA3788">
      <w:pPr>
        <w:widowControl w:val="0"/>
        <w:ind w:firstLine="709"/>
        <w:jc w:val="both"/>
      </w:pPr>
      <w:r w:rsidRPr="00F94E37">
        <w:t xml:space="preserve">По состоянию на 23 августа </w:t>
      </w:r>
      <w:proofErr w:type="spellStart"/>
      <w:r w:rsidRPr="00F94E37">
        <w:t>т.г</w:t>
      </w:r>
      <w:proofErr w:type="spellEnd"/>
      <w:r w:rsidRPr="00F94E37">
        <w:t xml:space="preserve">. банками одобрено 124 проекта на сумму 60,8 </w:t>
      </w:r>
      <w:proofErr w:type="gramStart"/>
      <w:r w:rsidRPr="00F94E37">
        <w:t>млрд</w:t>
      </w:r>
      <w:proofErr w:type="gramEnd"/>
      <w:r w:rsidRPr="00F94E37">
        <w:t xml:space="preserve"> </w:t>
      </w:r>
      <w:proofErr w:type="spellStart"/>
      <w:r w:rsidR="005D1BCE">
        <w:t>теңге</w:t>
      </w:r>
      <w:proofErr w:type="spellEnd"/>
      <w:r w:rsidRPr="00F94E37">
        <w:t>.</w:t>
      </w:r>
    </w:p>
    <w:p w:rsidR="00F94E37" w:rsidRPr="00F94E37" w:rsidRDefault="00F94E37" w:rsidP="00EA3788">
      <w:pPr>
        <w:widowControl w:val="0"/>
        <w:ind w:firstLine="709"/>
        <w:jc w:val="both"/>
      </w:pPr>
    </w:p>
    <w:p w:rsidR="00664D7D" w:rsidRPr="00F94E37" w:rsidRDefault="00664D7D" w:rsidP="0026419D">
      <w:pPr>
        <w:widowControl w:val="0"/>
        <w:ind w:firstLine="709"/>
        <w:jc w:val="both"/>
        <w:rPr>
          <w:b/>
          <w:bCs/>
          <w:i/>
          <w:lang w:val="kk-KZ"/>
        </w:rPr>
      </w:pPr>
      <w:r w:rsidRPr="00F94E37">
        <w:rPr>
          <w:b/>
          <w:bCs/>
          <w:i/>
          <w:lang w:val="kk-KZ"/>
        </w:rPr>
        <w:t>54</w:t>
      </w:r>
      <w:r w:rsidR="005E3D53" w:rsidRPr="00F94E37">
        <w:rPr>
          <w:b/>
          <w:bCs/>
          <w:i/>
          <w:lang w:val="kk-KZ"/>
        </w:rPr>
        <w:t>.</w:t>
      </w:r>
      <w:r w:rsidRPr="00F94E37">
        <w:rPr>
          <w:b/>
          <w:bCs/>
          <w:i/>
          <w:lang w:val="kk-KZ"/>
        </w:rPr>
        <w:t xml:space="preserve"> Повышение качества реализации Программы «7-20-25», в том числе за счет активизации участия банков в ее реализации и обеспечения широкой разъяснительной работы среди населения</w:t>
      </w:r>
    </w:p>
    <w:p w:rsidR="006977CC" w:rsidRPr="00F94E37" w:rsidRDefault="006977CC" w:rsidP="006977CC">
      <w:pPr>
        <w:autoSpaceDE w:val="0"/>
        <w:autoSpaceDN w:val="0"/>
        <w:adjustRightInd w:val="0"/>
        <w:ind w:firstLine="708"/>
        <w:jc w:val="both"/>
        <w:rPr>
          <w:rFonts w:eastAsiaTheme="minorHAnsi"/>
          <w:szCs w:val="28"/>
          <w:lang w:eastAsia="en-US"/>
        </w:rPr>
      </w:pPr>
      <w:r w:rsidRPr="00F94E37">
        <w:rPr>
          <w:rFonts w:eastAsiaTheme="minorHAnsi"/>
          <w:szCs w:val="28"/>
          <w:lang w:eastAsia="en-US"/>
        </w:rPr>
        <w:t xml:space="preserve">Проводится активная разъяснительная работа с населением, которой охвачены свыше </w:t>
      </w:r>
      <w:r w:rsidRPr="00F94E37">
        <w:rPr>
          <w:rFonts w:eastAsiaTheme="minorHAnsi"/>
          <w:szCs w:val="28"/>
          <w:lang w:val="kk-KZ" w:eastAsia="en-US"/>
        </w:rPr>
        <w:t>7</w:t>
      </w:r>
      <w:r w:rsidRPr="00F94E37">
        <w:rPr>
          <w:rFonts w:eastAsiaTheme="minorHAnsi"/>
          <w:szCs w:val="28"/>
          <w:lang w:eastAsia="en-US"/>
        </w:rPr>
        <w:t xml:space="preserve"> </w:t>
      </w:r>
      <w:proofErr w:type="gramStart"/>
      <w:r w:rsidRPr="00F94E37">
        <w:rPr>
          <w:rFonts w:eastAsiaTheme="minorHAnsi"/>
          <w:szCs w:val="28"/>
          <w:lang w:eastAsia="en-US"/>
        </w:rPr>
        <w:t>млн</w:t>
      </w:r>
      <w:proofErr w:type="gramEnd"/>
      <w:r w:rsidRPr="00F94E37">
        <w:rPr>
          <w:rFonts w:eastAsiaTheme="minorHAnsi"/>
          <w:szCs w:val="28"/>
          <w:lang w:eastAsia="en-US"/>
        </w:rPr>
        <w:t xml:space="preserve"> </w:t>
      </w:r>
      <w:proofErr w:type="spellStart"/>
      <w:r w:rsidRPr="00F94E37">
        <w:rPr>
          <w:rFonts w:eastAsiaTheme="minorHAnsi"/>
          <w:szCs w:val="28"/>
          <w:lang w:eastAsia="en-US"/>
        </w:rPr>
        <w:t>казахстанцев</w:t>
      </w:r>
      <w:proofErr w:type="spellEnd"/>
      <w:r w:rsidRPr="00F94E37">
        <w:rPr>
          <w:rFonts w:eastAsiaTheme="minorHAnsi"/>
          <w:szCs w:val="28"/>
          <w:lang w:eastAsia="en-US"/>
        </w:rPr>
        <w:t>. ИО «</w:t>
      </w:r>
      <w:proofErr w:type="spellStart"/>
      <w:r w:rsidRPr="00F94E37">
        <w:rPr>
          <w:rFonts w:eastAsiaTheme="minorHAnsi"/>
          <w:szCs w:val="28"/>
          <w:lang w:eastAsia="en-US"/>
        </w:rPr>
        <w:t>Баспана</w:t>
      </w:r>
      <w:proofErr w:type="spellEnd"/>
      <w:r w:rsidRPr="00F94E37">
        <w:rPr>
          <w:rFonts w:eastAsiaTheme="minorHAnsi"/>
          <w:szCs w:val="28"/>
          <w:lang w:eastAsia="en-US"/>
        </w:rPr>
        <w:t xml:space="preserve">» совместно с </w:t>
      </w:r>
      <w:proofErr w:type="spellStart"/>
      <w:r w:rsidRPr="00F94E37">
        <w:rPr>
          <w:rFonts w:eastAsiaTheme="minorHAnsi"/>
          <w:szCs w:val="28"/>
          <w:lang w:eastAsia="en-US"/>
        </w:rPr>
        <w:t>акиматами</w:t>
      </w:r>
      <w:proofErr w:type="spellEnd"/>
      <w:r w:rsidRPr="00F94E37">
        <w:rPr>
          <w:rFonts w:eastAsiaTheme="minorHAnsi"/>
          <w:szCs w:val="28"/>
          <w:lang w:eastAsia="en-US"/>
        </w:rPr>
        <w:t xml:space="preserve"> областей и городов, территориальными подразделениями Национального Банка и банков – участников Программы проводятся выездные встречи с населением по разъяснению условий Программы. Ход реализации Программы регулярно освещается в средствах массовой информации и социальных сетях, действует круглосуточный </w:t>
      </w:r>
      <w:proofErr w:type="spellStart"/>
      <w:r w:rsidRPr="00F94E37">
        <w:rPr>
          <w:rFonts w:eastAsiaTheme="minorHAnsi"/>
          <w:szCs w:val="28"/>
          <w:lang w:eastAsia="en-US"/>
        </w:rPr>
        <w:t>call</w:t>
      </w:r>
      <w:proofErr w:type="spellEnd"/>
      <w:r w:rsidRPr="00F94E37">
        <w:rPr>
          <w:rFonts w:eastAsiaTheme="minorHAnsi"/>
          <w:szCs w:val="28"/>
          <w:lang w:eastAsia="en-US"/>
        </w:rPr>
        <w:t xml:space="preserve">-центр. </w:t>
      </w:r>
    </w:p>
    <w:p w:rsidR="006977CC" w:rsidRPr="00F94E37" w:rsidRDefault="006977CC" w:rsidP="006977CC">
      <w:pPr>
        <w:autoSpaceDE w:val="0"/>
        <w:autoSpaceDN w:val="0"/>
        <w:adjustRightInd w:val="0"/>
        <w:ind w:firstLine="708"/>
        <w:jc w:val="both"/>
        <w:rPr>
          <w:rFonts w:eastAsiaTheme="minorHAnsi"/>
          <w:szCs w:val="28"/>
          <w:lang w:eastAsia="en-US"/>
        </w:rPr>
      </w:pPr>
      <w:r w:rsidRPr="00F94E37">
        <w:rPr>
          <w:rFonts w:eastAsiaTheme="minorHAnsi"/>
          <w:szCs w:val="28"/>
          <w:lang w:eastAsia="en-US"/>
        </w:rPr>
        <w:t xml:space="preserve">Реализация Программы осуществляется через 8 банков (Банк </w:t>
      </w:r>
      <w:proofErr w:type="spellStart"/>
      <w:r w:rsidRPr="00F94E37">
        <w:rPr>
          <w:rFonts w:eastAsiaTheme="minorHAnsi"/>
          <w:szCs w:val="28"/>
          <w:lang w:eastAsia="en-US"/>
        </w:rPr>
        <w:t>ЦентрКредит</w:t>
      </w:r>
      <w:proofErr w:type="spellEnd"/>
      <w:r w:rsidRPr="00F94E37">
        <w:rPr>
          <w:rFonts w:eastAsiaTheme="minorHAnsi"/>
          <w:szCs w:val="28"/>
          <w:lang w:eastAsia="en-US"/>
        </w:rPr>
        <w:t xml:space="preserve">, </w:t>
      </w:r>
      <w:proofErr w:type="spellStart"/>
      <w:r w:rsidRPr="00F94E37">
        <w:rPr>
          <w:rFonts w:eastAsiaTheme="minorHAnsi"/>
          <w:szCs w:val="28"/>
          <w:lang w:eastAsia="en-US"/>
        </w:rPr>
        <w:t>АТФБанк</w:t>
      </w:r>
      <w:proofErr w:type="spellEnd"/>
      <w:r w:rsidRPr="00F94E37">
        <w:rPr>
          <w:rFonts w:eastAsiaTheme="minorHAnsi"/>
          <w:szCs w:val="28"/>
          <w:lang w:eastAsia="en-US"/>
        </w:rPr>
        <w:t xml:space="preserve">, </w:t>
      </w:r>
      <w:proofErr w:type="spellStart"/>
      <w:r w:rsidRPr="00F94E37">
        <w:rPr>
          <w:rFonts w:eastAsiaTheme="minorHAnsi"/>
          <w:szCs w:val="28"/>
          <w:lang w:eastAsia="en-US"/>
        </w:rPr>
        <w:t>First</w:t>
      </w:r>
      <w:proofErr w:type="spellEnd"/>
      <w:r w:rsidRPr="00F94E37">
        <w:rPr>
          <w:rFonts w:eastAsiaTheme="minorHAnsi"/>
          <w:szCs w:val="28"/>
          <w:lang w:eastAsia="en-US"/>
        </w:rPr>
        <w:t xml:space="preserve"> </w:t>
      </w:r>
      <w:proofErr w:type="spellStart"/>
      <w:r w:rsidRPr="00F94E37">
        <w:rPr>
          <w:rFonts w:eastAsiaTheme="minorHAnsi"/>
          <w:szCs w:val="28"/>
          <w:lang w:eastAsia="en-US"/>
        </w:rPr>
        <w:t>Heartland</w:t>
      </w:r>
      <w:proofErr w:type="spellEnd"/>
      <w:r w:rsidRPr="00F94E37">
        <w:rPr>
          <w:rFonts w:eastAsiaTheme="minorHAnsi"/>
          <w:szCs w:val="28"/>
          <w:lang w:eastAsia="en-US"/>
        </w:rPr>
        <w:t xml:space="preserve"> </w:t>
      </w:r>
      <w:proofErr w:type="spellStart"/>
      <w:r w:rsidRPr="00F94E37">
        <w:rPr>
          <w:rFonts w:eastAsiaTheme="minorHAnsi"/>
          <w:szCs w:val="28"/>
          <w:lang w:eastAsia="en-US"/>
        </w:rPr>
        <w:t>Jysan</w:t>
      </w:r>
      <w:proofErr w:type="spellEnd"/>
      <w:r w:rsidRPr="00F94E37">
        <w:rPr>
          <w:rFonts w:eastAsiaTheme="minorHAnsi"/>
          <w:szCs w:val="28"/>
          <w:lang w:eastAsia="en-US"/>
        </w:rPr>
        <w:t xml:space="preserve"> </w:t>
      </w:r>
      <w:proofErr w:type="spellStart"/>
      <w:r w:rsidRPr="00F94E37">
        <w:rPr>
          <w:rFonts w:eastAsiaTheme="minorHAnsi"/>
          <w:szCs w:val="28"/>
          <w:lang w:eastAsia="en-US"/>
        </w:rPr>
        <w:t>Bank</w:t>
      </w:r>
      <w:proofErr w:type="spellEnd"/>
      <w:r w:rsidRPr="00F94E37">
        <w:rPr>
          <w:rFonts w:eastAsiaTheme="minorHAnsi"/>
          <w:szCs w:val="28"/>
          <w:lang w:eastAsia="en-US"/>
        </w:rPr>
        <w:t xml:space="preserve">, Банк RBK, Евразийский Банк, </w:t>
      </w:r>
      <w:proofErr w:type="spellStart"/>
      <w:r w:rsidRPr="00F94E37">
        <w:rPr>
          <w:rFonts w:eastAsiaTheme="minorHAnsi"/>
          <w:szCs w:val="28"/>
          <w:lang w:eastAsia="en-US"/>
        </w:rPr>
        <w:t>Халык</w:t>
      </w:r>
      <w:proofErr w:type="spellEnd"/>
      <w:r w:rsidRPr="00F94E37">
        <w:rPr>
          <w:rFonts w:eastAsiaTheme="minorHAnsi"/>
          <w:szCs w:val="28"/>
          <w:lang w:eastAsia="en-US"/>
        </w:rPr>
        <w:t xml:space="preserve"> банк, </w:t>
      </w:r>
      <w:proofErr w:type="spellStart"/>
      <w:r w:rsidRPr="00F94E37">
        <w:rPr>
          <w:rFonts w:eastAsiaTheme="minorHAnsi"/>
          <w:szCs w:val="28"/>
          <w:lang w:eastAsia="en-US"/>
        </w:rPr>
        <w:t>Forte</w:t>
      </w:r>
      <w:proofErr w:type="spellEnd"/>
      <w:r w:rsidRPr="00F94E37">
        <w:rPr>
          <w:rFonts w:eastAsiaTheme="minorHAnsi"/>
          <w:szCs w:val="28"/>
          <w:lang w:eastAsia="en-US"/>
        </w:rPr>
        <w:t xml:space="preserve"> </w:t>
      </w:r>
      <w:proofErr w:type="spellStart"/>
      <w:r w:rsidRPr="00F94E37">
        <w:rPr>
          <w:rFonts w:eastAsiaTheme="minorHAnsi"/>
          <w:szCs w:val="28"/>
          <w:lang w:eastAsia="en-US"/>
        </w:rPr>
        <w:t>Bank</w:t>
      </w:r>
      <w:proofErr w:type="spellEnd"/>
      <w:r w:rsidRPr="00F94E37">
        <w:rPr>
          <w:rFonts w:eastAsiaTheme="minorHAnsi"/>
          <w:szCs w:val="28"/>
          <w:lang w:eastAsia="en-US"/>
        </w:rPr>
        <w:t xml:space="preserve"> и ДБ Сбербанк). По состоянию на 22 августа 2019 года одобрено 10 169 заявок на сумму 116,6 </w:t>
      </w:r>
      <w:proofErr w:type="gramStart"/>
      <w:r w:rsidRPr="00F94E37">
        <w:rPr>
          <w:rFonts w:eastAsiaTheme="minorHAnsi"/>
          <w:szCs w:val="28"/>
          <w:lang w:eastAsia="en-US"/>
        </w:rPr>
        <w:t>млрд</w:t>
      </w:r>
      <w:proofErr w:type="gramEnd"/>
      <w:r w:rsidRPr="00F94E37">
        <w:rPr>
          <w:rFonts w:eastAsiaTheme="minorHAnsi"/>
          <w:szCs w:val="28"/>
          <w:lang w:eastAsia="en-US"/>
        </w:rPr>
        <w:t xml:space="preserve"> </w:t>
      </w:r>
      <w:proofErr w:type="spellStart"/>
      <w:r w:rsidR="005D1BCE">
        <w:rPr>
          <w:rFonts w:eastAsiaTheme="minorHAnsi"/>
          <w:szCs w:val="28"/>
          <w:lang w:eastAsia="en-US"/>
        </w:rPr>
        <w:t>теңге</w:t>
      </w:r>
      <w:proofErr w:type="spellEnd"/>
      <w:r w:rsidRPr="00F94E37">
        <w:rPr>
          <w:rFonts w:eastAsiaTheme="minorHAnsi"/>
          <w:szCs w:val="28"/>
          <w:lang w:eastAsia="en-US"/>
        </w:rPr>
        <w:t xml:space="preserve"> (фактически выдано 8 951 займов на 103,2 млрд </w:t>
      </w:r>
      <w:proofErr w:type="spellStart"/>
      <w:r w:rsidR="005D1BCE">
        <w:rPr>
          <w:rFonts w:eastAsiaTheme="minorHAnsi"/>
          <w:szCs w:val="28"/>
          <w:lang w:eastAsia="en-US"/>
        </w:rPr>
        <w:t>теңге</w:t>
      </w:r>
      <w:proofErr w:type="spellEnd"/>
      <w:r w:rsidRPr="00F94E37">
        <w:rPr>
          <w:rFonts w:eastAsiaTheme="minorHAnsi"/>
          <w:szCs w:val="28"/>
          <w:lang w:eastAsia="en-US"/>
        </w:rPr>
        <w:t>).</w:t>
      </w:r>
    </w:p>
    <w:p w:rsidR="00F94E37" w:rsidRPr="00F94E37" w:rsidRDefault="00F94E37" w:rsidP="006977CC">
      <w:pPr>
        <w:autoSpaceDE w:val="0"/>
        <w:autoSpaceDN w:val="0"/>
        <w:adjustRightInd w:val="0"/>
        <w:ind w:firstLine="708"/>
        <w:jc w:val="both"/>
        <w:rPr>
          <w:rFonts w:eastAsiaTheme="minorHAnsi"/>
          <w:szCs w:val="28"/>
          <w:lang w:eastAsia="en-US"/>
        </w:rPr>
      </w:pPr>
      <w:r w:rsidRPr="00F94E37">
        <w:rPr>
          <w:rFonts w:eastAsiaTheme="minorHAnsi"/>
          <w:szCs w:val="28"/>
          <w:lang w:eastAsia="en-US"/>
        </w:rPr>
        <w:t>Вместе с тем Национальным Банком внесены изменения в условия Программы «7-20-25», в части предоставления права заемщикам по собственной инициативе внести первоначальный взнос свыше 20% от стоимости жилья и снижения требований к банкам для участия в Программе «7-20-25» по рейтингу с «В» до «</w:t>
      </w:r>
      <w:proofErr w:type="gramStart"/>
      <w:r w:rsidRPr="00F94E37">
        <w:rPr>
          <w:rFonts w:eastAsiaTheme="minorHAnsi"/>
          <w:szCs w:val="28"/>
          <w:lang w:eastAsia="en-US"/>
        </w:rPr>
        <w:t>В-</w:t>
      </w:r>
      <w:proofErr w:type="gramEnd"/>
      <w:r w:rsidRPr="00F94E37">
        <w:rPr>
          <w:rFonts w:eastAsiaTheme="minorHAnsi"/>
          <w:szCs w:val="28"/>
          <w:lang w:eastAsia="en-US"/>
        </w:rPr>
        <w:t xml:space="preserve">» и доле на рынке с 3% до 1% от совокупных активов банковского сектора (постановление Правления Национального Банка № </w:t>
      </w:r>
      <w:proofErr w:type="gramStart"/>
      <w:r w:rsidRPr="00F94E37">
        <w:rPr>
          <w:rFonts w:eastAsiaTheme="minorHAnsi"/>
          <w:szCs w:val="28"/>
          <w:lang w:eastAsia="en-US"/>
        </w:rPr>
        <w:t>80 от 31.05.2019г.).</w:t>
      </w:r>
      <w:proofErr w:type="gramEnd"/>
    </w:p>
    <w:p w:rsidR="00664D7D" w:rsidRPr="00F94E37" w:rsidRDefault="00EA3788" w:rsidP="0026419D">
      <w:pPr>
        <w:widowControl w:val="0"/>
        <w:ind w:firstLine="709"/>
        <w:jc w:val="both"/>
      </w:pPr>
      <w:r w:rsidRPr="00F94E37">
        <w:lastRenderedPageBreak/>
        <w:t>Поручение исполнено.</w:t>
      </w:r>
    </w:p>
    <w:p w:rsidR="003972C8" w:rsidRPr="00F94E37" w:rsidRDefault="003972C8" w:rsidP="0026419D">
      <w:pPr>
        <w:widowControl w:val="0"/>
        <w:ind w:firstLine="709"/>
        <w:jc w:val="both"/>
      </w:pPr>
    </w:p>
    <w:p w:rsidR="003972C8" w:rsidRPr="00F94E37" w:rsidRDefault="003972C8" w:rsidP="003972C8">
      <w:pPr>
        <w:ind w:firstLine="708"/>
        <w:jc w:val="both"/>
        <w:rPr>
          <w:b/>
          <w:i/>
          <w:szCs w:val="28"/>
        </w:rPr>
      </w:pPr>
      <w:r w:rsidRPr="00F94E37">
        <w:rPr>
          <w:b/>
          <w:i/>
          <w:szCs w:val="28"/>
        </w:rPr>
        <w:t xml:space="preserve">96. Обеспечение системного и своевременного информационного продвижения (в </w:t>
      </w:r>
      <w:proofErr w:type="spellStart"/>
      <w:r w:rsidRPr="00F94E37">
        <w:rPr>
          <w:b/>
          <w:i/>
          <w:szCs w:val="28"/>
        </w:rPr>
        <w:t>т.ч</w:t>
      </w:r>
      <w:proofErr w:type="spellEnd"/>
      <w:r w:rsidRPr="00F94E37">
        <w:rPr>
          <w:b/>
          <w:i/>
          <w:szCs w:val="28"/>
        </w:rPr>
        <w:t>. с использованием новых способов и форматов подачи информации) общественно значимых инициатив Главы государства</w:t>
      </w:r>
    </w:p>
    <w:p w:rsidR="003972C8" w:rsidRPr="00F94E37" w:rsidRDefault="003972C8" w:rsidP="003972C8">
      <w:pPr>
        <w:ind w:firstLine="708"/>
        <w:jc w:val="both"/>
        <w:rPr>
          <w:szCs w:val="28"/>
        </w:rPr>
      </w:pPr>
      <w:r w:rsidRPr="00F94E37">
        <w:rPr>
          <w:szCs w:val="28"/>
        </w:rPr>
        <w:t xml:space="preserve">Национальный Банк на системной основе проводит информационно-разъяснительную работу, в рамках которой проводятся брифинги и пресс-конференции руководства Национального Банка, в том числе в регионах Республики. В отчетном периоде проведен 1 брифинг, руководителями территориальных филиалов – 14 брифингов. </w:t>
      </w:r>
    </w:p>
    <w:p w:rsidR="003972C8" w:rsidRPr="00F94E37" w:rsidRDefault="003972C8" w:rsidP="003972C8">
      <w:pPr>
        <w:ind w:firstLine="708"/>
        <w:jc w:val="both"/>
        <w:rPr>
          <w:szCs w:val="28"/>
        </w:rPr>
      </w:pPr>
      <w:r w:rsidRPr="00F94E37">
        <w:rPr>
          <w:szCs w:val="28"/>
        </w:rPr>
        <w:t>Проводится разъяснительная работа в СМИ: в отчетном периоде было опубликовано 68 материалов и интервью сотрудников и руководства Национального Банка в ряде казахстанских СМИ: «</w:t>
      </w:r>
      <w:proofErr w:type="spellStart"/>
      <w:r w:rsidRPr="00F94E37">
        <w:rPr>
          <w:szCs w:val="28"/>
        </w:rPr>
        <w:t>Forbes</w:t>
      </w:r>
      <w:proofErr w:type="spellEnd"/>
      <w:r w:rsidRPr="00F94E37">
        <w:rPr>
          <w:szCs w:val="28"/>
        </w:rPr>
        <w:t>», «Деловой Казахстан», «</w:t>
      </w:r>
      <w:proofErr w:type="spellStart"/>
      <w:r w:rsidRPr="00F94E37">
        <w:rPr>
          <w:szCs w:val="28"/>
        </w:rPr>
        <w:t>Курсивъ</w:t>
      </w:r>
      <w:proofErr w:type="spellEnd"/>
      <w:r w:rsidRPr="00F94E37">
        <w:rPr>
          <w:szCs w:val="28"/>
        </w:rPr>
        <w:t>», «Капитал», «Личный счет», «Информбюро», «</w:t>
      </w:r>
      <w:proofErr w:type="spellStart"/>
      <w:r w:rsidRPr="00F94E37">
        <w:rPr>
          <w:szCs w:val="28"/>
        </w:rPr>
        <w:t>Атамекен</w:t>
      </w:r>
      <w:proofErr w:type="spellEnd"/>
      <w:r w:rsidRPr="00F94E37">
        <w:rPr>
          <w:szCs w:val="28"/>
        </w:rPr>
        <w:t>», «31 канал», «</w:t>
      </w:r>
      <w:proofErr w:type="gramStart"/>
      <w:r w:rsidRPr="00F94E37">
        <w:rPr>
          <w:szCs w:val="28"/>
        </w:rPr>
        <w:t>Хабар</w:t>
      </w:r>
      <w:proofErr w:type="gramEnd"/>
      <w:r w:rsidRPr="00F94E37">
        <w:rPr>
          <w:szCs w:val="28"/>
        </w:rPr>
        <w:t xml:space="preserve">», «Хабар24», «1 канал Евразия». Территориальными филиалами за тот же период опубликовано свыше 110 тематических материалов в региональных СМИ. Также в СМИ было направлено 101 информационные сообщение, предоставлено 106 ответов на запросы СМИ. </w:t>
      </w:r>
    </w:p>
    <w:p w:rsidR="003972C8" w:rsidRPr="00F94E37" w:rsidRDefault="003972C8" w:rsidP="003972C8">
      <w:pPr>
        <w:ind w:firstLine="708"/>
        <w:jc w:val="both"/>
        <w:rPr>
          <w:szCs w:val="28"/>
        </w:rPr>
      </w:pPr>
      <w:proofErr w:type="gramStart"/>
      <w:r w:rsidRPr="00F94E37">
        <w:rPr>
          <w:szCs w:val="28"/>
        </w:rPr>
        <w:t xml:space="preserve">На официальной странице НБРК в </w:t>
      </w:r>
      <w:proofErr w:type="spellStart"/>
      <w:r w:rsidRPr="00F94E37">
        <w:rPr>
          <w:szCs w:val="28"/>
        </w:rPr>
        <w:t>Facebook</w:t>
      </w:r>
      <w:proofErr w:type="spellEnd"/>
      <w:r w:rsidRPr="00F94E37">
        <w:rPr>
          <w:szCs w:val="28"/>
        </w:rPr>
        <w:t xml:space="preserve"> размещено 164 публикации, в </w:t>
      </w:r>
      <w:proofErr w:type="spellStart"/>
      <w:r w:rsidRPr="00F94E37">
        <w:rPr>
          <w:szCs w:val="28"/>
        </w:rPr>
        <w:t>Twitter</w:t>
      </w:r>
      <w:proofErr w:type="spellEnd"/>
      <w:r w:rsidRPr="00F94E37">
        <w:rPr>
          <w:szCs w:val="28"/>
        </w:rPr>
        <w:t xml:space="preserve"> – 226, в </w:t>
      </w:r>
      <w:proofErr w:type="spellStart"/>
      <w:r w:rsidRPr="00F94E37">
        <w:rPr>
          <w:szCs w:val="28"/>
        </w:rPr>
        <w:t>Instagram</w:t>
      </w:r>
      <w:proofErr w:type="spellEnd"/>
      <w:r w:rsidRPr="00F94E37">
        <w:rPr>
          <w:szCs w:val="28"/>
        </w:rPr>
        <w:t xml:space="preserve"> – 109 и в новостной ленте мобильного приложения «НБК </w:t>
      </w:r>
      <w:proofErr w:type="spellStart"/>
      <w:r w:rsidRPr="00F94E37">
        <w:rPr>
          <w:szCs w:val="28"/>
        </w:rPr>
        <w:t>Online</w:t>
      </w:r>
      <w:proofErr w:type="spellEnd"/>
      <w:r w:rsidRPr="00F94E37">
        <w:rPr>
          <w:szCs w:val="28"/>
        </w:rPr>
        <w:t>» размещена 109 публикаций об основных направлениях деятельности Национального Банка.</w:t>
      </w:r>
      <w:proofErr w:type="gramEnd"/>
      <w:r w:rsidRPr="00F94E37">
        <w:rPr>
          <w:szCs w:val="28"/>
        </w:rPr>
        <w:t xml:space="preserve"> Функционирует канал Национального Банка в </w:t>
      </w:r>
      <w:proofErr w:type="spellStart"/>
      <w:r w:rsidRPr="00F94E37">
        <w:rPr>
          <w:szCs w:val="28"/>
        </w:rPr>
        <w:t>Telegram</w:t>
      </w:r>
      <w:proofErr w:type="spellEnd"/>
      <w:r w:rsidRPr="00F94E37">
        <w:rPr>
          <w:szCs w:val="28"/>
        </w:rPr>
        <w:t>, где также размещаются основные новости и публикации. В отчетном периоде размещено 182 публикации.</w:t>
      </w:r>
    </w:p>
    <w:sectPr w:rsidR="003972C8" w:rsidRPr="00F94E37" w:rsidSect="00664D7D">
      <w:footerReference w:type="first" r:id="rId9"/>
      <w:pgSz w:w="11906" w:h="16838"/>
      <w:pgMar w:top="993" w:right="991" w:bottom="426"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4A" w:rsidRDefault="00E0724A" w:rsidP="00B54721">
      <w:r>
        <w:separator/>
      </w:r>
    </w:p>
  </w:endnote>
  <w:endnote w:type="continuationSeparator" w:id="0">
    <w:p w:rsidR="00E0724A" w:rsidRDefault="00E0724A" w:rsidP="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21" w:rsidRDefault="00B547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4A" w:rsidRDefault="00E0724A" w:rsidP="00B54721">
      <w:r>
        <w:separator/>
      </w:r>
    </w:p>
  </w:footnote>
  <w:footnote w:type="continuationSeparator" w:id="0">
    <w:p w:rsidR="00E0724A" w:rsidRDefault="00E0724A" w:rsidP="00B5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2D2"/>
    <w:multiLevelType w:val="hybridMultilevel"/>
    <w:tmpl w:val="78CE13C2"/>
    <w:lvl w:ilvl="0" w:tplc="21DA33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4AA90611"/>
    <w:multiLevelType w:val="hybridMultilevel"/>
    <w:tmpl w:val="ECB80F40"/>
    <w:lvl w:ilvl="0" w:tplc="1136A04C">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02069"/>
    <w:rsid w:val="00002E14"/>
    <w:rsid w:val="00007671"/>
    <w:rsid w:val="00014A5A"/>
    <w:rsid w:val="00015334"/>
    <w:rsid w:val="00020624"/>
    <w:rsid w:val="0002072F"/>
    <w:rsid w:val="0003280E"/>
    <w:rsid w:val="00037533"/>
    <w:rsid w:val="000400A4"/>
    <w:rsid w:val="000440BA"/>
    <w:rsid w:val="0005476A"/>
    <w:rsid w:val="0007097E"/>
    <w:rsid w:val="00082569"/>
    <w:rsid w:val="00094D32"/>
    <w:rsid w:val="000A7B38"/>
    <w:rsid w:val="000B3214"/>
    <w:rsid w:val="000C2A34"/>
    <w:rsid w:val="000D6999"/>
    <w:rsid w:val="000E2165"/>
    <w:rsid w:val="00101BDB"/>
    <w:rsid w:val="001050C4"/>
    <w:rsid w:val="00105392"/>
    <w:rsid w:val="0010691C"/>
    <w:rsid w:val="00120B5D"/>
    <w:rsid w:val="00141C37"/>
    <w:rsid w:val="00143E28"/>
    <w:rsid w:val="00147918"/>
    <w:rsid w:val="00150D66"/>
    <w:rsid w:val="0016252D"/>
    <w:rsid w:val="001821EA"/>
    <w:rsid w:val="001907AD"/>
    <w:rsid w:val="00190BE3"/>
    <w:rsid w:val="001A130C"/>
    <w:rsid w:val="001A54FA"/>
    <w:rsid w:val="001B18AA"/>
    <w:rsid w:val="001B5501"/>
    <w:rsid w:val="001C6757"/>
    <w:rsid w:val="001D007C"/>
    <w:rsid w:val="001D4DDC"/>
    <w:rsid w:val="001D54F8"/>
    <w:rsid w:val="001E5904"/>
    <w:rsid w:val="001E786D"/>
    <w:rsid w:val="002011DE"/>
    <w:rsid w:val="0021553B"/>
    <w:rsid w:val="00241797"/>
    <w:rsid w:val="0024203A"/>
    <w:rsid w:val="0026419D"/>
    <w:rsid w:val="0026421B"/>
    <w:rsid w:val="002856C0"/>
    <w:rsid w:val="002C089B"/>
    <w:rsid w:val="002C0F12"/>
    <w:rsid w:val="002D6A9C"/>
    <w:rsid w:val="002E66E2"/>
    <w:rsid w:val="002F171E"/>
    <w:rsid w:val="00307EBA"/>
    <w:rsid w:val="00310753"/>
    <w:rsid w:val="00314B31"/>
    <w:rsid w:val="0032226D"/>
    <w:rsid w:val="00353AA0"/>
    <w:rsid w:val="003571E1"/>
    <w:rsid w:val="0036389A"/>
    <w:rsid w:val="00374F84"/>
    <w:rsid w:val="00374FB5"/>
    <w:rsid w:val="003852F3"/>
    <w:rsid w:val="0038705E"/>
    <w:rsid w:val="00396221"/>
    <w:rsid w:val="003972C8"/>
    <w:rsid w:val="003E262A"/>
    <w:rsid w:val="003F1F81"/>
    <w:rsid w:val="003F5B20"/>
    <w:rsid w:val="003F7DA9"/>
    <w:rsid w:val="00414031"/>
    <w:rsid w:val="004232B8"/>
    <w:rsid w:val="00423F85"/>
    <w:rsid w:val="0043203F"/>
    <w:rsid w:val="00432929"/>
    <w:rsid w:val="00435E54"/>
    <w:rsid w:val="00436476"/>
    <w:rsid w:val="00437697"/>
    <w:rsid w:val="00437C3C"/>
    <w:rsid w:val="0045091F"/>
    <w:rsid w:val="00477B5E"/>
    <w:rsid w:val="00487328"/>
    <w:rsid w:val="004A2B69"/>
    <w:rsid w:val="004B088D"/>
    <w:rsid w:val="004B3DD8"/>
    <w:rsid w:val="004C70D9"/>
    <w:rsid w:val="004D00EA"/>
    <w:rsid w:val="004D2F48"/>
    <w:rsid w:val="004D48AF"/>
    <w:rsid w:val="004D571C"/>
    <w:rsid w:val="004F0C4A"/>
    <w:rsid w:val="004F0EBF"/>
    <w:rsid w:val="004F2743"/>
    <w:rsid w:val="004F5461"/>
    <w:rsid w:val="004F7229"/>
    <w:rsid w:val="005051F4"/>
    <w:rsid w:val="005126C7"/>
    <w:rsid w:val="00513FC6"/>
    <w:rsid w:val="00517D58"/>
    <w:rsid w:val="00533B20"/>
    <w:rsid w:val="00534408"/>
    <w:rsid w:val="005369CE"/>
    <w:rsid w:val="0054120E"/>
    <w:rsid w:val="00546003"/>
    <w:rsid w:val="00561BD8"/>
    <w:rsid w:val="00564D27"/>
    <w:rsid w:val="0056676A"/>
    <w:rsid w:val="005705A0"/>
    <w:rsid w:val="00577B5A"/>
    <w:rsid w:val="005849B1"/>
    <w:rsid w:val="0058525A"/>
    <w:rsid w:val="00586686"/>
    <w:rsid w:val="00590071"/>
    <w:rsid w:val="00596707"/>
    <w:rsid w:val="005A35A3"/>
    <w:rsid w:val="005B35B8"/>
    <w:rsid w:val="005B4601"/>
    <w:rsid w:val="005D1BCE"/>
    <w:rsid w:val="005D5C6F"/>
    <w:rsid w:val="005E3D53"/>
    <w:rsid w:val="00604C12"/>
    <w:rsid w:val="00612738"/>
    <w:rsid w:val="006206E1"/>
    <w:rsid w:val="00620FC5"/>
    <w:rsid w:val="00634ACD"/>
    <w:rsid w:val="0064041F"/>
    <w:rsid w:val="00647703"/>
    <w:rsid w:val="00655985"/>
    <w:rsid w:val="0065667C"/>
    <w:rsid w:val="00662A68"/>
    <w:rsid w:val="00664D7D"/>
    <w:rsid w:val="00691DB3"/>
    <w:rsid w:val="006977CC"/>
    <w:rsid w:val="006A18EF"/>
    <w:rsid w:val="006B22E3"/>
    <w:rsid w:val="006B3A63"/>
    <w:rsid w:val="006B678E"/>
    <w:rsid w:val="006C1D9F"/>
    <w:rsid w:val="006C2ACE"/>
    <w:rsid w:val="006C33B9"/>
    <w:rsid w:val="006D6E31"/>
    <w:rsid w:val="006E0723"/>
    <w:rsid w:val="006E699E"/>
    <w:rsid w:val="006F2E72"/>
    <w:rsid w:val="006F3B56"/>
    <w:rsid w:val="006F7B08"/>
    <w:rsid w:val="00706D3D"/>
    <w:rsid w:val="0072421C"/>
    <w:rsid w:val="00733CB1"/>
    <w:rsid w:val="007341C5"/>
    <w:rsid w:val="00753267"/>
    <w:rsid w:val="00754338"/>
    <w:rsid w:val="00757EB0"/>
    <w:rsid w:val="00765A74"/>
    <w:rsid w:val="00780777"/>
    <w:rsid w:val="007808C1"/>
    <w:rsid w:val="00791D50"/>
    <w:rsid w:val="00792557"/>
    <w:rsid w:val="00796F3E"/>
    <w:rsid w:val="007A34E5"/>
    <w:rsid w:val="007A7F17"/>
    <w:rsid w:val="007B701D"/>
    <w:rsid w:val="007F6628"/>
    <w:rsid w:val="007F6B8C"/>
    <w:rsid w:val="007F73DF"/>
    <w:rsid w:val="00800048"/>
    <w:rsid w:val="00801E3F"/>
    <w:rsid w:val="008333C1"/>
    <w:rsid w:val="00834DF9"/>
    <w:rsid w:val="00845651"/>
    <w:rsid w:val="00866FA0"/>
    <w:rsid w:val="00870A0F"/>
    <w:rsid w:val="00886588"/>
    <w:rsid w:val="00886894"/>
    <w:rsid w:val="00893A78"/>
    <w:rsid w:val="008C11E1"/>
    <w:rsid w:val="008C26D4"/>
    <w:rsid w:val="008C42BE"/>
    <w:rsid w:val="008E1029"/>
    <w:rsid w:val="008E65F3"/>
    <w:rsid w:val="008F0D35"/>
    <w:rsid w:val="008F435B"/>
    <w:rsid w:val="00913457"/>
    <w:rsid w:val="00917B7C"/>
    <w:rsid w:val="00920228"/>
    <w:rsid w:val="009315A8"/>
    <w:rsid w:val="009320ED"/>
    <w:rsid w:val="0093292B"/>
    <w:rsid w:val="00941433"/>
    <w:rsid w:val="009469B1"/>
    <w:rsid w:val="0095244F"/>
    <w:rsid w:val="00952966"/>
    <w:rsid w:val="00952AE1"/>
    <w:rsid w:val="009647BB"/>
    <w:rsid w:val="0096741E"/>
    <w:rsid w:val="0097139A"/>
    <w:rsid w:val="009764D1"/>
    <w:rsid w:val="00982BF5"/>
    <w:rsid w:val="00985EC4"/>
    <w:rsid w:val="00986F1E"/>
    <w:rsid w:val="00994958"/>
    <w:rsid w:val="00997FD6"/>
    <w:rsid w:val="009B73F7"/>
    <w:rsid w:val="009F2CEE"/>
    <w:rsid w:val="009F7BF3"/>
    <w:rsid w:val="00A06894"/>
    <w:rsid w:val="00A06CDA"/>
    <w:rsid w:val="00A11A98"/>
    <w:rsid w:val="00A17449"/>
    <w:rsid w:val="00A23B36"/>
    <w:rsid w:val="00A26678"/>
    <w:rsid w:val="00A351B9"/>
    <w:rsid w:val="00A3647D"/>
    <w:rsid w:val="00A63D68"/>
    <w:rsid w:val="00A72A6A"/>
    <w:rsid w:val="00A83D95"/>
    <w:rsid w:val="00AA20C5"/>
    <w:rsid w:val="00AA7BC7"/>
    <w:rsid w:val="00AB471C"/>
    <w:rsid w:val="00AD34A8"/>
    <w:rsid w:val="00B2694E"/>
    <w:rsid w:val="00B323E2"/>
    <w:rsid w:val="00B41895"/>
    <w:rsid w:val="00B47A21"/>
    <w:rsid w:val="00B5225C"/>
    <w:rsid w:val="00B52A18"/>
    <w:rsid w:val="00B54721"/>
    <w:rsid w:val="00B5497C"/>
    <w:rsid w:val="00B62B57"/>
    <w:rsid w:val="00BB0CDF"/>
    <w:rsid w:val="00BB2E9A"/>
    <w:rsid w:val="00BD7494"/>
    <w:rsid w:val="00BD76A6"/>
    <w:rsid w:val="00BD7934"/>
    <w:rsid w:val="00BE0940"/>
    <w:rsid w:val="00BF09F3"/>
    <w:rsid w:val="00BF3E75"/>
    <w:rsid w:val="00C1532A"/>
    <w:rsid w:val="00C2078D"/>
    <w:rsid w:val="00C21D9A"/>
    <w:rsid w:val="00C24779"/>
    <w:rsid w:val="00C352BB"/>
    <w:rsid w:val="00C41006"/>
    <w:rsid w:val="00C468FE"/>
    <w:rsid w:val="00C46CD8"/>
    <w:rsid w:val="00C46FC1"/>
    <w:rsid w:val="00C47150"/>
    <w:rsid w:val="00C754BB"/>
    <w:rsid w:val="00C94A5B"/>
    <w:rsid w:val="00CA584F"/>
    <w:rsid w:val="00CB695C"/>
    <w:rsid w:val="00CC2F1D"/>
    <w:rsid w:val="00CC5E67"/>
    <w:rsid w:val="00CC69E9"/>
    <w:rsid w:val="00CD6B99"/>
    <w:rsid w:val="00CF4413"/>
    <w:rsid w:val="00D20295"/>
    <w:rsid w:val="00D34845"/>
    <w:rsid w:val="00D34EBC"/>
    <w:rsid w:val="00D41158"/>
    <w:rsid w:val="00D41208"/>
    <w:rsid w:val="00D540B6"/>
    <w:rsid w:val="00D60DCE"/>
    <w:rsid w:val="00D64EAA"/>
    <w:rsid w:val="00D70E8D"/>
    <w:rsid w:val="00D8202D"/>
    <w:rsid w:val="00D83D4A"/>
    <w:rsid w:val="00DA3829"/>
    <w:rsid w:val="00DA3B44"/>
    <w:rsid w:val="00DB5FDD"/>
    <w:rsid w:val="00DC5FA2"/>
    <w:rsid w:val="00DE1385"/>
    <w:rsid w:val="00DF1BC7"/>
    <w:rsid w:val="00DF6422"/>
    <w:rsid w:val="00DF6483"/>
    <w:rsid w:val="00DF75D1"/>
    <w:rsid w:val="00E0724A"/>
    <w:rsid w:val="00E11303"/>
    <w:rsid w:val="00E17E00"/>
    <w:rsid w:val="00E4152D"/>
    <w:rsid w:val="00E47D24"/>
    <w:rsid w:val="00E6481D"/>
    <w:rsid w:val="00E66EE7"/>
    <w:rsid w:val="00E77451"/>
    <w:rsid w:val="00E83A2D"/>
    <w:rsid w:val="00E87012"/>
    <w:rsid w:val="00EA08E4"/>
    <w:rsid w:val="00EA17EC"/>
    <w:rsid w:val="00EA3788"/>
    <w:rsid w:val="00EA7EA1"/>
    <w:rsid w:val="00EC3ADD"/>
    <w:rsid w:val="00EF5802"/>
    <w:rsid w:val="00F00B92"/>
    <w:rsid w:val="00F0194F"/>
    <w:rsid w:val="00F026A7"/>
    <w:rsid w:val="00F20A36"/>
    <w:rsid w:val="00F2101A"/>
    <w:rsid w:val="00F21487"/>
    <w:rsid w:val="00F27C3B"/>
    <w:rsid w:val="00F400E6"/>
    <w:rsid w:val="00F5739C"/>
    <w:rsid w:val="00F63EF0"/>
    <w:rsid w:val="00F65FBD"/>
    <w:rsid w:val="00F6704B"/>
    <w:rsid w:val="00F711EC"/>
    <w:rsid w:val="00F767D6"/>
    <w:rsid w:val="00F77665"/>
    <w:rsid w:val="00F85959"/>
    <w:rsid w:val="00F9134F"/>
    <w:rsid w:val="00F914E3"/>
    <w:rsid w:val="00F94E37"/>
    <w:rsid w:val="00F9797A"/>
    <w:rsid w:val="00F97D5D"/>
    <w:rsid w:val="00FA0C49"/>
    <w:rsid w:val="00FA5E26"/>
    <w:rsid w:val="00FA68D9"/>
    <w:rsid w:val="00FE238D"/>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43A4-FC3A-43A4-BBB0-E1C19483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Гульжан Канапьянова</cp:lastModifiedBy>
  <cp:revision>2</cp:revision>
  <cp:lastPrinted>2018-08-27T05:01:00Z</cp:lastPrinted>
  <dcterms:created xsi:type="dcterms:W3CDTF">2019-09-03T10:11:00Z</dcterms:created>
  <dcterms:modified xsi:type="dcterms:W3CDTF">2019-09-03T10:11:00Z</dcterms:modified>
</cp:coreProperties>
</file>