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EE" w:rsidRDefault="00BF09F3" w:rsidP="009F2CEE">
      <w:pPr>
        <w:widowControl w:val="0"/>
        <w:jc w:val="center"/>
        <w:rPr>
          <w:b/>
          <w:lang w:val="kk-KZ"/>
        </w:rPr>
      </w:pPr>
      <w:r w:rsidRPr="00F94E37">
        <w:rPr>
          <w:b/>
          <w:lang w:val="kk-KZ"/>
        </w:rPr>
        <w:t>201</w:t>
      </w:r>
      <w:r w:rsidR="00F94E37" w:rsidRPr="00F94E37">
        <w:rPr>
          <w:b/>
          <w:lang w:val="kk-KZ"/>
        </w:rPr>
        <w:t>8</w:t>
      </w:r>
      <w:r w:rsidRPr="00F94E37">
        <w:rPr>
          <w:b/>
          <w:lang w:val="kk-KZ"/>
        </w:rPr>
        <w:t>-2019 жылдарға арналған жалпыұлттық іс-шаралар жоспарларының</w:t>
      </w:r>
    </w:p>
    <w:p w:rsidR="00BF09F3" w:rsidRPr="00F94E37" w:rsidRDefault="00BF09F3" w:rsidP="009F2CEE">
      <w:pPr>
        <w:widowControl w:val="0"/>
        <w:jc w:val="center"/>
        <w:rPr>
          <w:b/>
          <w:lang w:val="kk-KZ"/>
        </w:rPr>
      </w:pPr>
      <w:r w:rsidRPr="00F94E37">
        <w:rPr>
          <w:b/>
          <w:lang w:val="kk-KZ"/>
        </w:rPr>
        <w:t>орындалу барысы туралы ақпарат</w:t>
      </w:r>
    </w:p>
    <w:p w:rsidR="00BF09F3" w:rsidRPr="00F94E37" w:rsidRDefault="00BF09F3" w:rsidP="0026419D">
      <w:pPr>
        <w:widowControl w:val="0"/>
        <w:ind w:firstLine="709"/>
        <w:jc w:val="both"/>
        <w:rPr>
          <w:b/>
          <w:i/>
          <w:lang w:val="kk-KZ"/>
        </w:rPr>
      </w:pPr>
    </w:p>
    <w:p w:rsidR="004232B8" w:rsidRPr="00F94E37" w:rsidRDefault="004232B8" w:rsidP="009F2CEE">
      <w:pPr>
        <w:widowControl w:val="0"/>
        <w:jc w:val="center"/>
        <w:rPr>
          <w:b/>
          <w:bCs/>
          <w:lang w:val="kk-KZ"/>
        </w:rPr>
      </w:pPr>
      <w:r w:rsidRPr="00F94E37">
        <w:rPr>
          <w:b/>
          <w:bCs/>
          <w:lang w:val="kk-KZ"/>
        </w:rPr>
        <w:t>2018 ЖҰЖ</w:t>
      </w:r>
    </w:p>
    <w:p w:rsidR="004232B8" w:rsidRPr="00F94E37" w:rsidRDefault="004232B8" w:rsidP="0026419D">
      <w:pPr>
        <w:widowControl w:val="0"/>
        <w:ind w:firstLine="709"/>
        <w:jc w:val="both"/>
        <w:rPr>
          <w:b/>
          <w:lang w:val="kk-KZ"/>
        </w:rPr>
      </w:pPr>
    </w:p>
    <w:p w:rsidR="00664D7D" w:rsidRPr="00F94E37" w:rsidRDefault="00664D7D" w:rsidP="0026419D">
      <w:pPr>
        <w:pStyle w:val="af7"/>
        <w:spacing w:before="0" w:beforeAutospacing="0" w:after="0" w:afterAutospacing="0"/>
        <w:ind w:firstLine="709"/>
        <w:jc w:val="both"/>
        <w:textAlignment w:val="baseline"/>
        <w:rPr>
          <w:b/>
          <w:i/>
          <w:szCs w:val="28"/>
          <w:lang w:val="kk-KZ"/>
        </w:rPr>
      </w:pPr>
      <w:r w:rsidRPr="00F94E37">
        <w:rPr>
          <w:b/>
          <w:bCs/>
          <w:i/>
          <w:lang w:val="kk-KZ"/>
        </w:rPr>
        <w:t>36</w:t>
      </w:r>
      <w:r w:rsidR="0026419D" w:rsidRPr="00F94E37">
        <w:rPr>
          <w:b/>
          <w:bCs/>
          <w:i/>
          <w:lang w:val="kk-KZ"/>
        </w:rPr>
        <w:t xml:space="preserve">. </w:t>
      </w:r>
      <w:r w:rsidRPr="00F94E37">
        <w:rPr>
          <w:b/>
          <w:i/>
          <w:szCs w:val="28"/>
          <w:lang w:val="kk-KZ"/>
        </w:rPr>
        <w:t>Мыналар:</w:t>
      </w:r>
    </w:p>
    <w:p w:rsidR="00664D7D" w:rsidRPr="00F94E37" w:rsidRDefault="00664D7D" w:rsidP="0026419D">
      <w:pPr>
        <w:ind w:firstLine="709"/>
        <w:jc w:val="both"/>
        <w:textAlignment w:val="baseline"/>
        <w:rPr>
          <w:b/>
          <w:i/>
          <w:szCs w:val="28"/>
          <w:lang w:val="kk-KZ"/>
        </w:rPr>
      </w:pPr>
      <w:r w:rsidRPr="00F94E37">
        <w:rPr>
          <w:b/>
          <w:i/>
          <w:szCs w:val="28"/>
          <w:lang w:val="kk-KZ"/>
        </w:rPr>
        <w:t>Ипотекалық қарыздарды қайта қаржыландыру бағдарламасына өзгерістер мен толықтырулар енгізу;</w:t>
      </w:r>
    </w:p>
    <w:p w:rsidR="00664D7D" w:rsidRPr="00F94E37" w:rsidRDefault="00664D7D" w:rsidP="0026419D">
      <w:pPr>
        <w:widowControl w:val="0"/>
        <w:ind w:firstLine="709"/>
        <w:jc w:val="both"/>
        <w:rPr>
          <w:b/>
          <w:i/>
          <w:lang w:val="kk-KZ"/>
        </w:rPr>
      </w:pPr>
      <w:r w:rsidRPr="00F94E37">
        <w:rPr>
          <w:b/>
          <w:i/>
          <w:szCs w:val="28"/>
          <w:lang w:val="kk-KZ"/>
        </w:rPr>
        <w:t>Ипотекалық қарыздарды қайта қаржыландыру бағдарламасының шарттарына сәйкес валюталық қарыздарды айырбастауды жүзеге асыру арқылы халықтың жылжымайтын тұрғын үй мүлігімен қамтамасыз етілген және 2016 жылғы 1 қаңтарға дейін берілген валюталық ипотекалық қарыздар мәселесі бойынша жұмысты аяқтау</w:t>
      </w:r>
    </w:p>
    <w:p w:rsidR="005A35A3" w:rsidRPr="00F94E37" w:rsidRDefault="005A35A3" w:rsidP="005A35A3">
      <w:pPr>
        <w:widowControl w:val="0"/>
        <w:ind w:firstLine="709"/>
        <w:jc w:val="both"/>
        <w:rPr>
          <w:bCs/>
          <w:lang w:val="kk-KZ"/>
        </w:rPr>
      </w:pPr>
      <w:r w:rsidRPr="00F94E37">
        <w:rPr>
          <w:bCs/>
          <w:lang w:val="kk-KZ"/>
        </w:rPr>
        <w:t xml:space="preserve">2018 жылғы 27 наурыздан бастап Ұлттық Банк Басқармасының 2015 жылғы 24 сәуірдегі № 69 қаулысымен бекітілген Ипотекалық тұрғын үй қарыздарын (ипотекалық қарыздарды) қайта қаржыландыру бағдарламасымен (бұдан әрі – Бағдарлама) 2016 жылғы 1 қаңтарға дейін берілген валюталық ипотекалық қарыздарды қайта қаржыландыру көзделеді. Қарыздар Ұлттық Банктің 2015 жылғы 18 тамыздағы бағамы (бір АҚШ доллары үшін 188,35 теңге) бойынша теңгемен қайта қаржыландырылуға тиіс. </w:t>
      </w:r>
    </w:p>
    <w:p w:rsidR="005A35A3" w:rsidRPr="00F94E37" w:rsidRDefault="005A35A3" w:rsidP="005A35A3">
      <w:pPr>
        <w:widowControl w:val="0"/>
        <w:ind w:firstLine="709"/>
        <w:jc w:val="both"/>
        <w:rPr>
          <w:bCs/>
          <w:lang w:val="kk-KZ"/>
        </w:rPr>
      </w:pPr>
      <w:r w:rsidRPr="00F94E37">
        <w:rPr>
          <w:bCs/>
          <w:lang w:val="kk-KZ"/>
        </w:rPr>
        <w:t>Ұлттық Банк Басқармасының 2019 жылғы 28 маусымдағы № 101 қаулысымен валюталық ипотекалық қарыздарды қайта қаржыландыру мерзімі 2019 жылғы 31 желтоқсанға дейін, жабылатын «Астана Банкі» АҚ және «Qazaq Banki» АҚ банктердегі қарыздарды қайта қаржыландыру мерзімі – 2020 жылғы 31 желтоқсанға дейін ұзартылды.</w:t>
      </w:r>
    </w:p>
    <w:p w:rsidR="00664D7D" w:rsidRPr="00F94E37" w:rsidRDefault="005A35A3" w:rsidP="005A35A3">
      <w:pPr>
        <w:widowControl w:val="0"/>
        <w:ind w:firstLine="709"/>
        <w:jc w:val="both"/>
        <w:rPr>
          <w:bCs/>
          <w:lang w:val="kk-KZ"/>
        </w:rPr>
      </w:pPr>
      <w:r w:rsidRPr="00F94E37">
        <w:rPr>
          <w:bCs/>
          <w:lang w:val="kk-KZ"/>
        </w:rPr>
        <w:t>2019 жылғы 10 тамызда банктер 71,1 млрд. теңге сома</w:t>
      </w:r>
      <w:r w:rsidR="00B323E2">
        <w:rPr>
          <w:bCs/>
          <w:lang w:val="kk-KZ"/>
        </w:rPr>
        <w:t>ға</w:t>
      </w:r>
      <w:r w:rsidRPr="00F94E37">
        <w:rPr>
          <w:bCs/>
          <w:lang w:val="kk-KZ"/>
        </w:rPr>
        <w:t xml:space="preserve"> валюталық ипотекалық қарызды қайта қаржыландыруға 8 154 өтінімді мақұлдады, 56,8 млрд. теңге сома</w:t>
      </w:r>
      <w:r w:rsidR="007341C5">
        <w:rPr>
          <w:bCs/>
          <w:lang w:val="kk-KZ"/>
        </w:rPr>
        <w:t>ға</w:t>
      </w:r>
      <w:r w:rsidRPr="00F94E37">
        <w:rPr>
          <w:bCs/>
          <w:lang w:val="kk-KZ"/>
        </w:rPr>
        <w:t xml:space="preserve"> 6 745 қарыз қайта қаржыландырылды.</w:t>
      </w:r>
    </w:p>
    <w:p w:rsidR="005A35A3" w:rsidRPr="00F94E37" w:rsidRDefault="005A35A3" w:rsidP="005A35A3">
      <w:pPr>
        <w:widowControl w:val="0"/>
        <w:ind w:firstLine="709"/>
        <w:jc w:val="both"/>
        <w:rPr>
          <w:b/>
          <w:lang w:val="kk-KZ"/>
        </w:rPr>
      </w:pPr>
    </w:p>
    <w:p w:rsidR="00664D7D" w:rsidRPr="00F94E37" w:rsidRDefault="00664D7D" w:rsidP="007341C5">
      <w:pPr>
        <w:widowControl w:val="0"/>
        <w:jc w:val="center"/>
        <w:rPr>
          <w:b/>
          <w:lang w:val="kk-KZ"/>
        </w:rPr>
      </w:pPr>
      <w:r w:rsidRPr="00F94E37">
        <w:rPr>
          <w:b/>
          <w:bCs/>
          <w:lang w:val="kk-KZ"/>
        </w:rPr>
        <w:t>2019 ЖҰЖ</w:t>
      </w:r>
    </w:p>
    <w:p w:rsidR="004232B8" w:rsidRPr="00F94E37" w:rsidRDefault="004232B8" w:rsidP="0026419D">
      <w:pPr>
        <w:widowControl w:val="0"/>
        <w:ind w:firstLine="709"/>
        <w:jc w:val="both"/>
        <w:rPr>
          <w:b/>
          <w:i/>
          <w:lang w:val="kk-KZ"/>
        </w:rPr>
      </w:pPr>
    </w:p>
    <w:p w:rsidR="00664D7D" w:rsidRPr="00F94E37" w:rsidRDefault="00664D7D" w:rsidP="0026419D">
      <w:pPr>
        <w:widowControl w:val="0"/>
        <w:ind w:firstLine="709"/>
        <w:jc w:val="both"/>
        <w:rPr>
          <w:b/>
          <w:i/>
          <w:lang w:val="kk-KZ"/>
        </w:rPr>
      </w:pPr>
      <w:r w:rsidRPr="00F94E37">
        <w:rPr>
          <w:b/>
          <w:bCs/>
          <w:i/>
          <w:lang w:val="kk-KZ"/>
        </w:rPr>
        <w:t>16</w:t>
      </w:r>
      <w:r w:rsidR="0026419D" w:rsidRPr="00F94E37">
        <w:rPr>
          <w:b/>
          <w:bCs/>
          <w:i/>
          <w:lang w:val="kk-KZ"/>
        </w:rPr>
        <w:t>.</w:t>
      </w:r>
      <w:r w:rsidRPr="00F94E37">
        <w:rPr>
          <w:b/>
          <w:i/>
          <w:lang w:val="kk-KZ"/>
        </w:rPr>
        <w:t xml:space="preserve"> Басым жобаларға қолжетімді кредит берудің тетіктерін айқындай отырып, осы міндеттерді шешу үшін кемінде 600 миллиард теңге мөлшерінде ұзақ мерзімді теңгелік өтімділікті қамтамасыз ету</w:t>
      </w:r>
    </w:p>
    <w:p w:rsidR="00EA3788" w:rsidRPr="00105392" w:rsidRDefault="005D1BCE" w:rsidP="00EA3788">
      <w:pPr>
        <w:widowControl w:val="0"/>
        <w:ind w:firstLine="709"/>
        <w:jc w:val="both"/>
        <w:rPr>
          <w:lang w:val="kk-KZ"/>
        </w:rPr>
      </w:pPr>
      <w:r w:rsidRPr="00105392">
        <w:rPr>
          <w:lang w:val="kk-KZ"/>
        </w:rPr>
        <w:t xml:space="preserve">Осы бағдарлама іске асырылған сәттен бастап өтеу мерзімі </w:t>
      </w:r>
      <w:r w:rsidR="00EA3788" w:rsidRPr="00105392">
        <w:rPr>
          <w:lang w:val="kk-KZ"/>
        </w:rPr>
        <w:t xml:space="preserve">7 </w:t>
      </w:r>
      <w:r w:rsidRPr="00105392">
        <w:rPr>
          <w:lang w:val="kk-KZ"/>
        </w:rPr>
        <w:t xml:space="preserve">жыл және кірістілігі жылдық </w:t>
      </w:r>
      <w:r w:rsidR="00EA3788" w:rsidRPr="00105392">
        <w:rPr>
          <w:lang w:val="kk-KZ"/>
        </w:rPr>
        <w:t>10,95%</w:t>
      </w:r>
      <w:r w:rsidRPr="00105392">
        <w:rPr>
          <w:lang w:val="kk-KZ"/>
        </w:rPr>
        <w:t>-бен жалпы сомасы 114,7 млрд теңге сомаға үш банктің (</w:t>
      </w:r>
      <w:r w:rsidR="00105392" w:rsidRPr="00105392">
        <w:rPr>
          <w:lang w:val="kk-KZ"/>
        </w:rPr>
        <w:t>Банк ЦентрКредит, Нұрбанк, АТФБанк</w:t>
      </w:r>
      <w:r w:rsidRPr="00105392">
        <w:rPr>
          <w:lang w:val="kk-KZ"/>
        </w:rPr>
        <w:t>) облигацияларын сатып алу жүзеге асыр</w:t>
      </w:r>
      <w:r w:rsidR="00105392" w:rsidRPr="00105392">
        <w:rPr>
          <w:lang w:val="kk-KZ"/>
        </w:rPr>
        <w:t>ыл</w:t>
      </w:r>
      <w:r w:rsidRPr="00105392">
        <w:rPr>
          <w:lang w:val="kk-KZ"/>
        </w:rPr>
        <w:t>ды</w:t>
      </w:r>
      <w:r w:rsidR="00EA3788" w:rsidRPr="00105392">
        <w:rPr>
          <w:lang w:val="kk-KZ"/>
        </w:rPr>
        <w:t>.</w:t>
      </w:r>
    </w:p>
    <w:p w:rsidR="00664D7D" w:rsidRPr="00F94E37" w:rsidRDefault="005D1BCE" w:rsidP="00EA3788">
      <w:pPr>
        <w:widowControl w:val="0"/>
        <w:ind w:firstLine="709"/>
        <w:jc w:val="both"/>
        <w:rPr>
          <w:lang w:val="kk-KZ"/>
        </w:rPr>
      </w:pPr>
      <w:r w:rsidRPr="00105392">
        <w:rPr>
          <w:lang w:val="kk-KZ"/>
        </w:rPr>
        <w:t xml:space="preserve">Ағымдағы жылғы 23 тамыздағы жағдай бойынша </w:t>
      </w:r>
      <w:r w:rsidR="00EA3788" w:rsidRPr="00105392">
        <w:rPr>
          <w:lang w:val="kk-KZ"/>
        </w:rPr>
        <w:t>банк</w:t>
      </w:r>
      <w:r w:rsidRPr="00105392">
        <w:rPr>
          <w:lang w:val="kk-KZ"/>
        </w:rPr>
        <w:t xml:space="preserve">тер </w:t>
      </w:r>
      <w:r w:rsidR="00EA3788" w:rsidRPr="00105392">
        <w:rPr>
          <w:lang w:val="kk-KZ"/>
        </w:rPr>
        <w:t xml:space="preserve">60,8 млрд </w:t>
      </w:r>
      <w:r w:rsidRPr="00105392">
        <w:rPr>
          <w:lang w:val="kk-KZ"/>
        </w:rPr>
        <w:t>теңге сомаға 124 жобаны мақұлдады</w:t>
      </w:r>
      <w:r w:rsidR="00EA3788" w:rsidRPr="00105392">
        <w:rPr>
          <w:lang w:val="kk-KZ"/>
        </w:rPr>
        <w:t>.</w:t>
      </w:r>
    </w:p>
    <w:p w:rsidR="00EA3788" w:rsidRPr="00F94E37" w:rsidRDefault="00EA3788" w:rsidP="00EA3788">
      <w:pPr>
        <w:widowControl w:val="0"/>
        <w:ind w:firstLine="709"/>
        <w:jc w:val="both"/>
        <w:rPr>
          <w:b/>
          <w:i/>
          <w:lang w:val="kk-KZ"/>
        </w:rPr>
      </w:pPr>
    </w:p>
    <w:p w:rsidR="009F2CEE" w:rsidRPr="00F94E37" w:rsidRDefault="009F2CEE" w:rsidP="009F2CEE">
      <w:pPr>
        <w:widowControl w:val="0"/>
        <w:ind w:firstLine="709"/>
        <w:jc w:val="both"/>
        <w:rPr>
          <w:b/>
          <w:i/>
          <w:lang w:val="kk-KZ"/>
        </w:rPr>
      </w:pPr>
      <w:r w:rsidRPr="00F94E37">
        <w:rPr>
          <w:b/>
          <w:bCs/>
          <w:i/>
          <w:lang w:val="kk-KZ"/>
        </w:rPr>
        <w:t xml:space="preserve">54. </w:t>
      </w:r>
      <w:r w:rsidRPr="00F94E37">
        <w:rPr>
          <w:b/>
          <w:i/>
          <w:lang w:val="kk-KZ"/>
        </w:rPr>
        <w:t>«7-20-25» бағдарламасын іске асыру сапасын арттыру, оның ішінде банктердің оны іске асыруға белсенді қатысуы мен халық арасында кеңінен түсіндіру жұмыстарын жүргізу есебінен қамтамасыз ету</w:t>
      </w:r>
    </w:p>
    <w:p w:rsidR="009F2CEE" w:rsidRPr="00F94E37" w:rsidRDefault="009F2CEE" w:rsidP="009F2CEE">
      <w:pPr>
        <w:widowControl w:val="0"/>
        <w:ind w:firstLine="709"/>
        <w:jc w:val="both"/>
        <w:rPr>
          <w:szCs w:val="28"/>
          <w:lang w:val="kk-KZ"/>
        </w:rPr>
      </w:pPr>
      <w:r w:rsidRPr="00F94E37">
        <w:rPr>
          <w:szCs w:val="28"/>
          <w:lang w:val="kk-KZ"/>
        </w:rPr>
        <w:t xml:space="preserve">7 миллионнан астам қазақстандықты қамтитын халықпен белсенді түсіндіру жұмыстары жүргізілуде. «Баспана» ҚБ облыстық және қалалық әкімдіктермен, Ұлттық Банктің аумақтық бөлімшелерімен және Бағдарламаға қатысатын банктермен бірлесіп Бағдарламаның шарттарын түсіндіру мақсатында жұртшылықпен кездесулер өткізеді. Бағдарламаны </w:t>
      </w:r>
      <w:r>
        <w:rPr>
          <w:szCs w:val="28"/>
          <w:lang w:val="kk-KZ"/>
        </w:rPr>
        <w:t xml:space="preserve">іске </w:t>
      </w:r>
      <w:r w:rsidRPr="00F94E37">
        <w:rPr>
          <w:szCs w:val="28"/>
          <w:lang w:val="kk-KZ"/>
        </w:rPr>
        <w:t xml:space="preserve">асыру </w:t>
      </w:r>
      <w:r>
        <w:rPr>
          <w:szCs w:val="28"/>
          <w:lang w:val="kk-KZ"/>
        </w:rPr>
        <w:t xml:space="preserve">барысы </w:t>
      </w:r>
      <w:r w:rsidRPr="00F94E37">
        <w:rPr>
          <w:szCs w:val="28"/>
          <w:lang w:val="kk-KZ"/>
        </w:rPr>
        <w:t>бұқаралық ақпарат құралдарында және әлеуметтік желілерде үнемі қамтылып отырады, тәулік бойы қызмет көрсет</w:t>
      </w:r>
      <w:r>
        <w:rPr>
          <w:szCs w:val="28"/>
          <w:lang w:val="kk-KZ"/>
        </w:rPr>
        <w:t>етін</w:t>
      </w:r>
      <w:r w:rsidRPr="00F94E37">
        <w:rPr>
          <w:szCs w:val="28"/>
          <w:lang w:val="kk-KZ"/>
        </w:rPr>
        <w:t xml:space="preserve"> орталығы бар.</w:t>
      </w:r>
    </w:p>
    <w:p w:rsidR="009F2CEE" w:rsidRPr="00F94E37" w:rsidRDefault="009F2CEE" w:rsidP="009F2CEE">
      <w:pPr>
        <w:ind w:firstLine="709"/>
        <w:jc w:val="both"/>
        <w:rPr>
          <w:szCs w:val="28"/>
          <w:lang w:val="kk-KZ"/>
        </w:rPr>
      </w:pPr>
      <w:r w:rsidRPr="00F94E37">
        <w:rPr>
          <w:szCs w:val="28"/>
          <w:lang w:val="kk-KZ"/>
        </w:rPr>
        <w:t xml:space="preserve">Бағдарламаны 8 банк (Банк ЦентрКредит, АТФБанк, First Heartland Jysan Bank, Банк RBK, Еуразиялық Банк, Халық банкі, Forte Bank және Сбербанк ЕБ) </w:t>
      </w:r>
      <w:r>
        <w:rPr>
          <w:szCs w:val="28"/>
          <w:lang w:val="kk-KZ"/>
        </w:rPr>
        <w:t xml:space="preserve">жүзеге </w:t>
      </w:r>
      <w:r w:rsidRPr="00F94E37">
        <w:rPr>
          <w:szCs w:val="28"/>
          <w:lang w:val="kk-KZ"/>
        </w:rPr>
        <w:t xml:space="preserve"> асыруда. </w:t>
      </w:r>
      <w:r>
        <w:rPr>
          <w:szCs w:val="28"/>
          <w:lang w:val="kk-KZ"/>
        </w:rPr>
        <w:t xml:space="preserve">2019 жылғы </w:t>
      </w:r>
      <w:r w:rsidRPr="00F94E37">
        <w:rPr>
          <w:szCs w:val="28"/>
          <w:lang w:val="kk-KZ"/>
        </w:rPr>
        <w:t xml:space="preserve">22 тамыздағы жағдай бойынша </w:t>
      </w:r>
      <w:r w:rsidRPr="00F94E37">
        <w:rPr>
          <w:rFonts w:eastAsiaTheme="minorHAnsi"/>
          <w:szCs w:val="28"/>
          <w:lang w:val="kk-KZ" w:eastAsia="en-US"/>
        </w:rPr>
        <w:t>116</w:t>
      </w:r>
      <w:r>
        <w:rPr>
          <w:rFonts w:eastAsiaTheme="minorHAnsi"/>
          <w:szCs w:val="28"/>
          <w:lang w:val="kk-KZ" w:eastAsia="en-US"/>
        </w:rPr>
        <w:t>,6</w:t>
      </w:r>
      <w:r w:rsidRPr="00F94E37">
        <w:rPr>
          <w:rFonts w:eastAsiaTheme="minorHAnsi"/>
          <w:szCs w:val="28"/>
          <w:lang w:val="kk-KZ" w:eastAsia="en-US"/>
        </w:rPr>
        <w:t xml:space="preserve"> </w:t>
      </w:r>
      <w:r w:rsidRPr="00F94E37">
        <w:rPr>
          <w:szCs w:val="28"/>
          <w:lang w:val="kk-KZ"/>
        </w:rPr>
        <w:t>млрд теңге</w:t>
      </w:r>
      <w:r>
        <w:rPr>
          <w:szCs w:val="28"/>
          <w:lang w:val="kk-KZ"/>
        </w:rPr>
        <w:t xml:space="preserve"> сомаға</w:t>
      </w:r>
      <w:r w:rsidRPr="00F94E37">
        <w:rPr>
          <w:szCs w:val="28"/>
          <w:lang w:val="kk-KZ"/>
        </w:rPr>
        <w:t xml:space="preserve"> </w:t>
      </w:r>
      <w:r w:rsidRPr="00F94E37">
        <w:rPr>
          <w:rFonts w:eastAsiaTheme="minorHAnsi"/>
          <w:szCs w:val="28"/>
          <w:lang w:val="kk-KZ" w:eastAsia="en-US"/>
        </w:rPr>
        <w:t xml:space="preserve">10 169 </w:t>
      </w:r>
      <w:r w:rsidRPr="00F94E37">
        <w:rPr>
          <w:szCs w:val="28"/>
          <w:lang w:val="kk-KZ"/>
        </w:rPr>
        <w:t xml:space="preserve">өтінім мақұлданды (іс жүзінде 103,2 млрд теңгеге 8 951 қарыз берілді). </w:t>
      </w:r>
    </w:p>
    <w:p w:rsidR="009F2CEE" w:rsidRPr="00F94E37" w:rsidRDefault="009F2CEE" w:rsidP="009F2CEE">
      <w:pPr>
        <w:ind w:firstLine="709"/>
        <w:jc w:val="both"/>
        <w:rPr>
          <w:szCs w:val="28"/>
          <w:lang w:val="kk-KZ"/>
        </w:rPr>
      </w:pPr>
      <w:r>
        <w:rPr>
          <w:szCs w:val="28"/>
          <w:lang w:val="kk-KZ"/>
        </w:rPr>
        <w:t xml:space="preserve">Сонымен қатар, </w:t>
      </w:r>
      <w:r w:rsidRPr="00F94E37">
        <w:rPr>
          <w:szCs w:val="28"/>
          <w:lang w:val="kk-KZ"/>
        </w:rPr>
        <w:t xml:space="preserve">Ұлттық Банк </w:t>
      </w:r>
      <w:r>
        <w:rPr>
          <w:szCs w:val="28"/>
          <w:lang w:val="kk-KZ"/>
        </w:rPr>
        <w:t>қ</w:t>
      </w:r>
      <w:r w:rsidRPr="00F94E37">
        <w:rPr>
          <w:szCs w:val="28"/>
          <w:lang w:val="kk-KZ"/>
        </w:rPr>
        <w:t>арыз алушы</w:t>
      </w:r>
      <w:r>
        <w:rPr>
          <w:szCs w:val="28"/>
          <w:lang w:val="kk-KZ"/>
        </w:rPr>
        <w:t>лар</w:t>
      </w:r>
      <w:r w:rsidRPr="00F94E37">
        <w:rPr>
          <w:szCs w:val="28"/>
          <w:lang w:val="kk-KZ"/>
        </w:rPr>
        <w:t xml:space="preserve">ға </w:t>
      </w:r>
      <w:r>
        <w:rPr>
          <w:szCs w:val="28"/>
          <w:lang w:val="kk-KZ"/>
        </w:rPr>
        <w:t xml:space="preserve">өз бастамасы бойынша тұрғын үй құнының </w:t>
      </w:r>
      <w:r w:rsidRPr="00F94E37">
        <w:rPr>
          <w:szCs w:val="28"/>
          <w:lang w:val="kk-KZ"/>
        </w:rPr>
        <w:t>20%-</w:t>
      </w:r>
      <w:r>
        <w:rPr>
          <w:szCs w:val="28"/>
          <w:lang w:val="kk-KZ"/>
        </w:rPr>
        <w:t>н</w:t>
      </w:r>
      <w:r w:rsidRPr="00F94E37">
        <w:rPr>
          <w:szCs w:val="28"/>
          <w:lang w:val="kk-KZ"/>
        </w:rPr>
        <w:t>ан</w:t>
      </w:r>
      <w:r>
        <w:rPr>
          <w:szCs w:val="28"/>
          <w:lang w:val="kk-KZ"/>
        </w:rPr>
        <w:t xml:space="preserve"> астам бастапқы жарнаны енгізу құқығын беруге және «</w:t>
      </w:r>
      <w:r w:rsidRPr="00F94E37">
        <w:rPr>
          <w:szCs w:val="28"/>
          <w:lang w:val="kk-KZ"/>
        </w:rPr>
        <w:t>В»-дан «В-»-қа дейін</w:t>
      </w:r>
      <w:r>
        <w:rPr>
          <w:szCs w:val="28"/>
          <w:lang w:val="kk-KZ"/>
        </w:rPr>
        <w:t xml:space="preserve">гі рейтинг және </w:t>
      </w:r>
      <w:r w:rsidRPr="00F94E37">
        <w:rPr>
          <w:szCs w:val="28"/>
          <w:lang w:val="kk-KZ"/>
        </w:rPr>
        <w:t>банк секторының жиынтық активтерінің 3%-дан 1%-ға дейін</w:t>
      </w:r>
      <w:r>
        <w:rPr>
          <w:szCs w:val="28"/>
          <w:lang w:val="kk-KZ"/>
        </w:rPr>
        <w:t xml:space="preserve"> </w:t>
      </w:r>
      <w:r>
        <w:rPr>
          <w:szCs w:val="28"/>
          <w:lang w:val="kk-KZ"/>
        </w:rPr>
        <w:lastRenderedPageBreak/>
        <w:t xml:space="preserve">нарықтағы үлесі бойынша </w:t>
      </w:r>
      <w:r w:rsidRPr="00F94E37">
        <w:rPr>
          <w:szCs w:val="28"/>
          <w:lang w:val="kk-KZ"/>
        </w:rPr>
        <w:t>банктер</w:t>
      </w:r>
      <w:r>
        <w:rPr>
          <w:szCs w:val="28"/>
          <w:lang w:val="kk-KZ"/>
        </w:rPr>
        <w:t>ге</w:t>
      </w:r>
      <w:r w:rsidRPr="00F94E37">
        <w:rPr>
          <w:szCs w:val="28"/>
          <w:lang w:val="kk-KZ"/>
        </w:rPr>
        <w:t xml:space="preserve"> </w:t>
      </w:r>
      <w:r w:rsidRPr="00BC233E">
        <w:rPr>
          <w:lang w:val="kk-KZ"/>
        </w:rPr>
        <w:t>«7-20-25» бағдарламасын</w:t>
      </w:r>
      <w:r>
        <w:rPr>
          <w:lang w:val="kk-KZ"/>
        </w:rPr>
        <w:t>а</w:t>
      </w:r>
      <w:r w:rsidRPr="00F94E37">
        <w:rPr>
          <w:b/>
          <w:i/>
          <w:lang w:val="kk-KZ"/>
        </w:rPr>
        <w:t xml:space="preserve"> </w:t>
      </w:r>
      <w:r w:rsidRPr="00F94E37">
        <w:rPr>
          <w:szCs w:val="28"/>
          <w:lang w:val="kk-KZ"/>
        </w:rPr>
        <w:t xml:space="preserve">қатысу </w:t>
      </w:r>
      <w:r>
        <w:rPr>
          <w:szCs w:val="28"/>
          <w:lang w:val="kk-KZ"/>
        </w:rPr>
        <w:t xml:space="preserve">үшін </w:t>
      </w:r>
      <w:r w:rsidRPr="00F94E37">
        <w:rPr>
          <w:szCs w:val="28"/>
          <w:lang w:val="kk-KZ"/>
        </w:rPr>
        <w:t>қойылатын талаптарды</w:t>
      </w:r>
      <w:r>
        <w:rPr>
          <w:szCs w:val="28"/>
          <w:lang w:val="kk-KZ"/>
        </w:rPr>
        <w:t xml:space="preserve"> төмендетуге қатысты </w:t>
      </w:r>
      <w:r w:rsidRPr="00F94E37">
        <w:rPr>
          <w:szCs w:val="28"/>
          <w:lang w:val="kk-KZ"/>
        </w:rPr>
        <w:t xml:space="preserve">«7-20-25» </w:t>
      </w:r>
      <w:r>
        <w:rPr>
          <w:szCs w:val="28"/>
          <w:lang w:val="kk-KZ"/>
        </w:rPr>
        <w:t>б</w:t>
      </w:r>
      <w:r w:rsidRPr="00F94E37">
        <w:rPr>
          <w:szCs w:val="28"/>
          <w:lang w:val="kk-KZ"/>
        </w:rPr>
        <w:t>ағдарламаның шарттарына өзгертулер енгізді</w:t>
      </w:r>
      <w:r>
        <w:rPr>
          <w:szCs w:val="28"/>
          <w:lang w:val="kk-KZ"/>
        </w:rPr>
        <w:t xml:space="preserve"> </w:t>
      </w:r>
      <w:r w:rsidRPr="00F94E37">
        <w:rPr>
          <w:szCs w:val="28"/>
          <w:lang w:val="kk-KZ"/>
        </w:rPr>
        <w:t>(Ұлттық Банк Басқармасының 31.05.2019 ж. № 80 қаулысы).</w:t>
      </w:r>
    </w:p>
    <w:p w:rsidR="009F2CEE" w:rsidRPr="00F94E37" w:rsidRDefault="009F2CEE" w:rsidP="009F2CEE">
      <w:pPr>
        <w:ind w:firstLine="709"/>
        <w:jc w:val="both"/>
        <w:rPr>
          <w:bCs/>
          <w:lang w:val="kk-KZ"/>
        </w:rPr>
      </w:pPr>
      <w:r w:rsidRPr="00F94E37">
        <w:rPr>
          <w:bCs/>
          <w:lang w:val="kk-KZ"/>
        </w:rPr>
        <w:t>Тапсырма орындалды.</w:t>
      </w:r>
    </w:p>
    <w:p w:rsidR="009F2CEE" w:rsidRPr="00F94E37" w:rsidRDefault="009F2CEE" w:rsidP="009F2CEE">
      <w:pPr>
        <w:ind w:firstLine="709"/>
        <w:jc w:val="both"/>
        <w:rPr>
          <w:bCs/>
          <w:lang w:val="kk-KZ"/>
        </w:rPr>
      </w:pPr>
    </w:p>
    <w:p w:rsidR="009F2CEE" w:rsidRPr="00F94E37" w:rsidRDefault="009F2CEE" w:rsidP="009F2CEE">
      <w:pPr>
        <w:widowControl w:val="0"/>
        <w:ind w:firstLine="708"/>
        <w:jc w:val="both"/>
        <w:rPr>
          <w:b/>
          <w:i/>
          <w:szCs w:val="28"/>
          <w:lang w:val="kk-KZ"/>
        </w:rPr>
      </w:pPr>
      <w:r w:rsidRPr="00F94E37">
        <w:rPr>
          <w:b/>
          <w:i/>
          <w:szCs w:val="28"/>
          <w:lang w:val="kk-KZ"/>
        </w:rPr>
        <w:t>96. Мемлекет басшысының қоғамдық мәні бар бастамаларын жүйелі және уақтылы ақпараттық ілгерілетуді (оның ішінде ақпаратты ұсынудың жаңа тәсілдері мен форматтарын пайдалана отырып) қамтамасыз ету</w:t>
      </w:r>
    </w:p>
    <w:p w:rsidR="009F2CEE" w:rsidRPr="00F94E37" w:rsidRDefault="009F2CEE" w:rsidP="009F2CEE">
      <w:pPr>
        <w:ind w:firstLine="708"/>
        <w:jc w:val="both"/>
        <w:rPr>
          <w:szCs w:val="28"/>
          <w:lang w:val="kk-KZ"/>
        </w:rPr>
      </w:pPr>
      <w:r w:rsidRPr="00F94E37">
        <w:rPr>
          <w:szCs w:val="28"/>
          <w:lang w:val="kk-KZ"/>
        </w:rPr>
        <w:t xml:space="preserve">Ұлттық Банк жүйелі </w:t>
      </w:r>
      <w:r>
        <w:rPr>
          <w:szCs w:val="28"/>
          <w:lang w:val="kk-KZ"/>
        </w:rPr>
        <w:t xml:space="preserve">негізде </w:t>
      </w:r>
      <w:r w:rsidRPr="00F94E37">
        <w:rPr>
          <w:szCs w:val="28"/>
          <w:lang w:val="kk-KZ"/>
        </w:rPr>
        <w:t>ақпараттық-түсіндірме жұмысын жүргіз</w:t>
      </w:r>
      <w:r>
        <w:rPr>
          <w:szCs w:val="28"/>
          <w:lang w:val="kk-KZ"/>
        </w:rPr>
        <w:t>еді, о</w:t>
      </w:r>
      <w:r w:rsidRPr="00F94E37">
        <w:rPr>
          <w:szCs w:val="28"/>
          <w:lang w:val="kk-KZ"/>
        </w:rPr>
        <w:t xml:space="preserve">ның шеңберінде Ұлттық Банк басшылығының брифингтері мен </w:t>
      </w:r>
      <w:r>
        <w:rPr>
          <w:szCs w:val="28"/>
          <w:lang w:val="kk-KZ"/>
        </w:rPr>
        <w:t xml:space="preserve">баспасөз </w:t>
      </w:r>
      <w:r w:rsidRPr="00F94E37">
        <w:rPr>
          <w:szCs w:val="28"/>
          <w:lang w:val="kk-KZ"/>
        </w:rPr>
        <w:t>конференциялары, оның ішінде Республика өңірлерінде өт</w:t>
      </w:r>
      <w:r>
        <w:rPr>
          <w:szCs w:val="28"/>
          <w:lang w:val="kk-KZ"/>
        </w:rPr>
        <w:t>кізіл</w:t>
      </w:r>
      <w:r w:rsidRPr="00F94E37">
        <w:rPr>
          <w:szCs w:val="28"/>
          <w:lang w:val="kk-KZ"/>
        </w:rPr>
        <w:t>еді. Есепті кезеңде 1 брифинг өт</w:t>
      </w:r>
      <w:r>
        <w:rPr>
          <w:szCs w:val="28"/>
          <w:lang w:val="kk-KZ"/>
        </w:rPr>
        <w:t>кізілді</w:t>
      </w:r>
      <w:r w:rsidRPr="00F94E37">
        <w:rPr>
          <w:szCs w:val="28"/>
          <w:lang w:val="kk-KZ"/>
        </w:rPr>
        <w:t xml:space="preserve">, аумақтық филиалдардың басшылары 14 брифинг өткізді. </w:t>
      </w:r>
    </w:p>
    <w:p w:rsidR="009F2CEE" w:rsidRPr="00F94E37" w:rsidRDefault="009F2CEE" w:rsidP="009F2CEE">
      <w:pPr>
        <w:ind w:firstLine="708"/>
        <w:jc w:val="both"/>
        <w:rPr>
          <w:szCs w:val="28"/>
          <w:lang w:val="kk-KZ"/>
        </w:rPr>
      </w:pPr>
      <w:r w:rsidRPr="00F94E37">
        <w:rPr>
          <w:szCs w:val="28"/>
          <w:lang w:val="kk-KZ"/>
        </w:rPr>
        <w:t>БАҚ-та түсіндіру жұмыстар</w:t>
      </w:r>
      <w:r>
        <w:rPr>
          <w:szCs w:val="28"/>
          <w:lang w:val="kk-KZ"/>
        </w:rPr>
        <w:t>ы</w:t>
      </w:r>
      <w:r w:rsidRPr="00F94E37">
        <w:rPr>
          <w:szCs w:val="28"/>
          <w:lang w:val="kk-KZ"/>
        </w:rPr>
        <w:t xml:space="preserve"> жүргізілуде: есепті кезеңде қазақстандық бірқатар БАҚ-та: «Forbes», «Деловой Казахстан», «Курсивъ», «Капитал», «Личный счет», «Информбюро», «Атамекен», «31 арна», «Хабар», «Хабар24», «1 канал Евразия» 68 материал және Ұлттық Банктің қызметкерлері мен басшылығының сұхбаттары жарияланды</w:t>
      </w:r>
      <w:r>
        <w:rPr>
          <w:szCs w:val="28"/>
          <w:lang w:val="kk-KZ"/>
        </w:rPr>
        <w:t>.</w:t>
      </w:r>
      <w:r w:rsidRPr="00F94E37">
        <w:rPr>
          <w:szCs w:val="28"/>
          <w:lang w:val="kk-KZ"/>
        </w:rPr>
        <w:t xml:space="preserve"> Аумақтық филиалдар сол кезеңде өңірлік БАҚ-та 110-нан астам тақырыптық материалдар</w:t>
      </w:r>
      <w:r>
        <w:rPr>
          <w:szCs w:val="28"/>
          <w:lang w:val="kk-KZ"/>
        </w:rPr>
        <w:t>ды</w:t>
      </w:r>
      <w:r w:rsidRPr="00F94E37">
        <w:rPr>
          <w:szCs w:val="28"/>
          <w:lang w:val="kk-KZ"/>
        </w:rPr>
        <w:t xml:space="preserve"> жариялады. БАҚ-қа 101 ақпараттық хабарлама </w:t>
      </w:r>
      <w:r>
        <w:rPr>
          <w:szCs w:val="28"/>
          <w:lang w:val="kk-KZ"/>
        </w:rPr>
        <w:t xml:space="preserve">да </w:t>
      </w:r>
      <w:r w:rsidRPr="00F94E37">
        <w:rPr>
          <w:szCs w:val="28"/>
          <w:lang w:val="kk-KZ"/>
        </w:rPr>
        <w:t xml:space="preserve">жіберілді, БАҚ-тың сұратуларына 106 жауап </w:t>
      </w:r>
      <w:r>
        <w:rPr>
          <w:szCs w:val="28"/>
          <w:lang w:val="kk-KZ"/>
        </w:rPr>
        <w:t>берілді</w:t>
      </w:r>
      <w:r w:rsidRPr="00F94E37">
        <w:rPr>
          <w:szCs w:val="28"/>
          <w:lang w:val="kk-KZ"/>
        </w:rPr>
        <w:t xml:space="preserve">. </w:t>
      </w:r>
      <w:r>
        <w:rPr>
          <w:szCs w:val="28"/>
          <w:lang w:val="kk-KZ"/>
        </w:rPr>
        <w:t xml:space="preserve"> </w:t>
      </w:r>
    </w:p>
    <w:p w:rsidR="009F2CEE" w:rsidRPr="00F94E37" w:rsidRDefault="009F2CEE" w:rsidP="009F2CEE">
      <w:pPr>
        <w:ind w:firstLine="708"/>
        <w:jc w:val="both"/>
        <w:rPr>
          <w:szCs w:val="28"/>
          <w:lang w:val="kk-KZ"/>
        </w:rPr>
      </w:pPr>
      <w:r w:rsidRPr="00F94E37">
        <w:rPr>
          <w:szCs w:val="28"/>
          <w:lang w:val="kk-KZ"/>
        </w:rPr>
        <w:t>Ұлттық Банк қызметінің негізгі бағыттары туралы ҚРҰБ-тың Facebook-тегі ресми парағында 164 жарияланым, Twitter-де – 226, Instagram-да-109 және «ҚҰБ Online» мобильдік қосымшасының жаңалықтар жолында 109 жарияланым орналастырылды. Telegram-да Ұлттық Банктің арнасы жұмыс істейді, онда негізгі жаңалықтар мен жарияланымдар да орналастырылады. Есепті кезеңде 182 жарияланым орналастырылды.</w:t>
      </w:r>
    </w:p>
    <w:p w:rsidR="009F2CEE" w:rsidRDefault="009F2CEE" w:rsidP="0026419D">
      <w:pPr>
        <w:spacing w:after="200" w:line="276" w:lineRule="auto"/>
        <w:ind w:firstLine="709"/>
        <w:jc w:val="both"/>
        <w:rPr>
          <w:b/>
          <w:lang w:val="kk-KZ"/>
        </w:rPr>
      </w:pPr>
    </w:p>
    <w:p w:rsidR="00F767D6" w:rsidRDefault="00F767D6">
      <w:pPr>
        <w:spacing w:after="200" w:line="276" w:lineRule="auto"/>
        <w:rPr>
          <w:b/>
          <w:lang w:val="kk-KZ"/>
        </w:rPr>
      </w:pPr>
      <w:bookmarkStart w:id="0" w:name="_GoBack"/>
      <w:bookmarkEnd w:id="0"/>
    </w:p>
    <w:sectPr w:rsidR="00F767D6" w:rsidSect="00664D7D">
      <w:footerReference w:type="first" r:id="rId9"/>
      <w:pgSz w:w="11906" w:h="16838"/>
      <w:pgMar w:top="993" w:right="991" w:bottom="426"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46" w:rsidRDefault="003E2746" w:rsidP="00B54721">
      <w:r>
        <w:separator/>
      </w:r>
    </w:p>
  </w:endnote>
  <w:endnote w:type="continuationSeparator" w:id="0">
    <w:p w:rsidR="003E2746" w:rsidRDefault="003E2746" w:rsidP="00B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721" w:rsidRDefault="00B547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46" w:rsidRDefault="003E2746" w:rsidP="00B54721">
      <w:r>
        <w:separator/>
      </w:r>
    </w:p>
  </w:footnote>
  <w:footnote w:type="continuationSeparator" w:id="0">
    <w:p w:rsidR="003E2746" w:rsidRDefault="003E2746" w:rsidP="00B54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2D2"/>
    <w:multiLevelType w:val="hybridMultilevel"/>
    <w:tmpl w:val="78CE13C2"/>
    <w:lvl w:ilvl="0" w:tplc="21DA33E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4AA90611"/>
    <w:multiLevelType w:val="hybridMultilevel"/>
    <w:tmpl w:val="ECB80F40"/>
    <w:lvl w:ilvl="0" w:tplc="1136A04C">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E"/>
    <w:rsid w:val="00002069"/>
    <w:rsid w:val="00002E14"/>
    <w:rsid w:val="00007671"/>
    <w:rsid w:val="00014A5A"/>
    <w:rsid w:val="00015334"/>
    <w:rsid w:val="00020624"/>
    <w:rsid w:val="0002072F"/>
    <w:rsid w:val="0003280E"/>
    <w:rsid w:val="00037533"/>
    <w:rsid w:val="000400A4"/>
    <w:rsid w:val="000440BA"/>
    <w:rsid w:val="0005476A"/>
    <w:rsid w:val="0007097E"/>
    <w:rsid w:val="00082569"/>
    <w:rsid w:val="00094D32"/>
    <w:rsid w:val="000A7B38"/>
    <w:rsid w:val="000B3214"/>
    <w:rsid w:val="000C2A34"/>
    <w:rsid w:val="000D6999"/>
    <w:rsid w:val="000E2165"/>
    <w:rsid w:val="00101BDB"/>
    <w:rsid w:val="001050C4"/>
    <w:rsid w:val="00105392"/>
    <w:rsid w:val="0010691C"/>
    <w:rsid w:val="00120B5D"/>
    <w:rsid w:val="00141C37"/>
    <w:rsid w:val="00143E28"/>
    <w:rsid w:val="00147918"/>
    <w:rsid w:val="00150D66"/>
    <w:rsid w:val="0016252D"/>
    <w:rsid w:val="001821EA"/>
    <w:rsid w:val="001907AD"/>
    <w:rsid w:val="00190BE3"/>
    <w:rsid w:val="001A130C"/>
    <w:rsid w:val="001A54FA"/>
    <w:rsid w:val="001B18AA"/>
    <w:rsid w:val="001B5501"/>
    <w:rsid w:val="001C6757"/>
    <w:rsid w:val="001D007C"/>
    <w:rsid w:val="001D4DDC"/>
    <w:rsid w:val="001D54F8"/>
    <w:rsid w:val="001E5904"/>
    <w:rsid w:val="001E786D"/>
    <w:rsid w:val="002011DE"/>
    <w:rsid w:val="0021553B"/>
    <w:rsid w:val="00241797"/>
    <w:rsid w:val="0024203A"/>
    <w:rsid w:val="0026419D"/>
    <w:rsid w:val="0026421B"/>
    <w:rsid w:val="002856C0"/>
    <w:rsid w:val="002C089B"/>
    <w:rsid w:val="002C0F12"/>
    <w:rsid w:val="002D6A9C"/>
    <w:rsid w:val="002E66E2"/>
    <w:rsid w:val="002F171E"/>
    <w:rsid w:val="00307EBA"/>
    <w:rsid w:val="00310753"/>
    <w:rsid w:val="00314B31"/>
    <w:rsid w:val="0032226D"/>
    <w:rsid w:val="00353AA0"/>
    <w:rsid w:val="003571E1"/>
    <w:rsid w:val="0036389A"/>
    <w:rsid w:val="00374F84"/>
    <w:rsid w:val="00374FB5"/>
    <w:rsid w:val="003852F3"/>
    <w:rsid w:val="0038705E"/>
    <w:rsid w:val="00396221"/>
    <w:rsid w:val="003972C8"/>
    <w:rsid w:val="003E262A"/>
    <w:rsid w:val="003E2746"/>
    <w:rsid w:val="003F1F81"/>
    <w:rsid w:val="003F5B20"/>
    <w:rsid w:val="003F7DA9"/>
    <w:rsid w:val="00414031"/>
    <w:rsid w:val="004232B8"/>
    <w:rsid w:val="00423F85"/>
    <w:rsid w:val="0043203F"/>
    <w:rsid w:val="00432929"/>
    <w:rsid w:val="00435E54"/>
    <w:rsid w:val="00436476"/>
    <w:rsid w:val="00437697"/>
    <w:rsid w:val="00437C3C"/>
    <w:rsid w:val="0045091F"/>
    <w:rsid w:val="00477B5E"/>
    <w:rsid w:val="00487328"/>
    <w:rsid w:val="004A2B69"/>
    <w:rsid w:val="004B088D"/>
    <w:rsid w:val="004B3DD8"/>
    <w:rsid w:val="004C70D9"/>
    <w:rsid w:val="004D00EA"/>
    <w:rsid w:val="004D2F48"/>
    <w:rsid w:val="004D48AF"/>
    <w:rsid w:val="004D571C"/>
    <w:rsid w:val="004F0C4A"/>
    <w:rsid w:val="004F0EBF"/>
    <w:rsid w:val="004F2743"/>
    <w:rsid w:val="004F5461"/>
    <w:rsid w:val="004F7229"/>
    <w:rsid w:val="005051F4"/>
    <w:rsid w:val="005126C7"/>
    <w:rsid w:val="00513FC6"/>
    <w:rsid w:val="00517D58"/>
    <w:rsid w:val="00533B20"/>
    <w:rsid w:val="00534408"/>
    <w:rsid w:val="005369CE"/>
    <w:rsid w:val="0054120E"/>
    <w:rsid w:val="00546003"/>
    <w:rsid w:val="00561BD8"/>
    <w:rsid w:val="00564D27"/>
    <w:rsid w:val="0056676A"/>
    <w:rsid w:val="005705A0"/>
    <w:rsid w:val="00577B5A"/>
    <w:rsid w:val="005849B1"/>
    <w:rsid w:val="0058525A"/>
    <w:rsid w:val="00586686"/>
    <w:rsid w:val="00590071"/>
    <w:rsid w:val="00596707"/>
    <w:rsid w:val="005A35A3"/>
    <w:rsid w:val="005B35B8"/>
    <w:rsid w:val="005B4601"/>
    <w:rsid w:val="005D1BCE"/>
    <w:rsid w:val="005D5C6F"/>
    <w:rsid w:val="005D7C06"/>
    <w:rsid w:val="005E3D53"/>
    <w:rsid w:val="00604C12"/>
    <w:rsid w:val="00612738"/>
    <w:rsid w:val="006206E1"/>
    <w:rsid w:val="00620FC5"/>
    <w:rsid w:val="00634ACD"/>
    <w:rsid w:val="0064041F"/>
    <w:rsid w:val="00647703"/>
    <w:rsid w:val="00655985"/>
    <w:rsid w:val="0065667C"/>
    <w:rsid w:val="00662A68"/>
    <w:rsid w:val="00664D7D"/>
    <w:rsid w:val="00691DB3"/>
    <w:rsid w:val="006977CC"/>
    <w:rsid w:val="006A18EF"/>
    <w:rsid w:val="006B22E3"/>
    <w:rsid w:val="006B3A63"/>
    <w:rsid w:val="006B678E"/>
    <w:rsid w:val="006C1D9F"/>
    <w:rsid w:val="006C2ACE"/>
    <w:rsid w:val="006C33B9"/>
    <w:rsid w:val="006D6E31"/>
    <w:rsid w:val="006E0723"/>
    <w:rsid w:val="006E699E"/>
    <w:rsid w:val="006F2E72"/>
    <w:rsid w:val="006F3B56"/>
    <w:rsid w:val="006F7B08"/>
    <w:rsid w:val="00706D3D"/>
    <w:rsid w:val="0072421C"/>
    <w:rsid w:val="00733CB1"/>
    <w:rsid w:val="007341C5"/>
    <w:rsid w:val="00753267"/>
    <w:rsid w:val="00754338"/>
    <w:rsid w:val="00757EB0"/>
    <w:rsid w:val="00765A74"/>
    <w:rsid w:val="00780777"/>
    <w:rsid w:val="007808C1"/>
    <w:rsid w:val="00791D50"/>
    <w:rsid w:val="00792557"/>
    <w:rsid w:val="00796F3E"/>
    <w:rsid w:val="007A34E5"/>
    <w:rsid w:val="007A7F17"/>
    <w:rsid w:val="007B701D"/>
    <w:rsid w:val="007F6628"/>
    <w:rsid w:val="007F6B8C"/>
    <w:rsid w:val="007F73DF"/>
    <w:rsid w:val="00800048"/>
    <w:rsid w:val="00801E3F"/>
    <w:rsid w:val="008333C1"/>
    <w:rsid w:val="00834DF9"/>
    <w:rsid w:val="00845651"/>
    <w:rsid w:val="00866FA0"/>
    <w:rsid w:val="00870A0F"/>
    <w:rsid w:val="00886588"/>
    <w:rsid w:val="00886894"/>
    <w:rsid w:val="00893A78"/>
    <w:rsid w:val="008C11E1"/>
    <w:rsid w:val="008C26D4"/>
    <w:rsid w:val="008C42BE"/>
    <w:rsid w:val="008E1029"/>
    <w:rsid w:val="008E65F3"/>
    <w:rsid w:val="008F0D35"/>
    <w:rsid w:val="008F435B"/>
    <w:rsid w:val="00913457"/>
    <w:rsid w:val="00917B7C"/>
    <w:rsid w:val="00920228"/>
    <w:rsid w:val="009315A8"/>
    <w:rsid w:val="009320ED"/>
    <w:rsid w:val="0093292B"/>
    <w:rsid w:val="00941433"/>
    <w:rsid w:val="009469B1"/>
    <w:rsid w:val="0095244F"/>
    <w:rsid w:val="00952966"/>
    <w:rsid w:val="00952AE1"/>
    <w:rsid w:val="009647BB"/>
    <w:rsid w:val="0096741E"/>
    <w:rsid w:val="0097139A"/>
    <w:rsid w:val="009764D1"/>
    <w:rsid w:val="00982BF5"/>
    <w:rsid w:val="00985EC4"/>
    <w:rsid w:val="00986F1E"/>
    <w:rsid w:val="00994958"/>
    <w:rsid w:val="00997FD6"/>
    <w:rsid w:val="009B73F7"/>
    <w:rsid w:val="009F2CEE"/>
    <w:rsid w:val="009F7BF3"/>
    <w:rsid w:val="00A06894"/>
    <w:rsid w:val="00A06CDA"/>
    <w:rsid w:val="00A11A98"/>
    <w:rsid w:val="00A17449"/>
    <w:rsid w:val="00A23B36"/>
    <w:rsid w:val="00A26678"/>
    <w:rsid w:val="00A351B9"/>
    <w:rsid w:val="00A3647D"/>
    <w:rsid w:val="00A63D68"/>
    <w:rsid w:val="00A72A6A"/>
    <w:rsid w:val="00A83D95"/>
    <w:rsid w:val="00AA20C5"/>
    <w:rsid w:val="00AA7BC7"/>
    <w:rsid w:val="00AB471C"/>
    <w:rsid w:val="00AD34A8"/>
    <w:rsid w:val="00B323E2"/>
    <w:rsid w:val="00B41895"/>
    <w:rsid w:val="00B47A21"/>
    <w:rsid w:val="00B5225C"/>
    <w:rsid w:val="00B52A18"/>
    <w:rsid w:val="00B54721"/>
    <w:rsid w:val="00B5497C"/>
    <w:rsid w:val="00B62B57"/>
    <w:rsid w:val="00BB0CDF"/>
    <w:rsid w:val="00BB2E9A"/>
    <w:rsid w:val="00BD7494"/>
    <w:rsid w:val="00BD76A6"/>
    <w:rsid w:val="00BD7934"/>
    <w:rsid w:val="00BE0940"/>
    <w:rsid w:val="00BF09F3"/>
    <w:rsid w:val="00BF3E75"/>
    <w:rsid w:val="00C1532A"/>
    <w:rsid w:val="00C2078D"/>
    <w:rsid w:val="00C21D9A"/>
    <w:rsid w:val="00C24779"/>
    <w:rsid w:val="00C352BB"/>
    <w:rsid w:val="00C41006"/>
    <w:rsid w:val="00C468FE"/>
    <w:rsid w:val="00C46CD8"/>
    <w:rsid w:val="00C46FC1"/>
    <w:rsid w:val="00C47150"/>
    <w:rsid w:val="00C754BB"/>
    <w:rsid w:val="00C94A5B"/>
    <w:rsid w:val="00CA584F"/>
    <w:rsid w:val="00CB695C"/>
    <w:rsid w:val="00CC2F1D"/>
    <w:rsid w:val="00CC5E67"/>
    <w:rsid w:val="00CC69E9"/>
    <w:rsid w:val="00CD6B99"/>
    <w:rsid w:val="00CF4413"/>
    <w:rsid w:val="00D20295"/>
    <w:rsid w:val="00D34845"/>
    <w:rsid w:val="00D34EBC"/>
    <w:rsid w:val="00D41158"/>
    <w:rsid w:val="00D41208"/>
    <w:rsid w:val="00D540B6"/>
    <w:rsid w:val="00D60DCE"/>
    <w:rsid w:val="00D64EAA"/>
    <w:rsid w:val="00D70E8D"/>
    <w:rsid w:val="00D8202D"/>
    <w:rsid w:val="00D83D4A"/>
    <w:rsid w:val="00DA3829"/>
    <w:rsid w:val="00DA3B44"/>
    <w:rsid w:val="00DB5FDD"/>
    <w:rsid w:val="00DC5FA2"/>
    <w:rsid w:val="00DE1385"/>
    <w:rsid w:val="00DE26A7"/>
    <w:rsid w:val="00DF1BC7"/>
    <w:rsid w:val="00DF6422"/>
    <w:rsid w:val="00DF6483"/>
    <w:rsid w:val="00DF75D1"/>
    <w:rsid w:val="00E11303"/>
    <w:rsid w:val="00E17E00"/>
    <w:rsid w:val="00E4152D"/>
    <w:rsid w:val="00E47D24"/>
    <w:rsid w:val="00E6481D"/>
    <w:rsid w:val="00E66EE7"/>
    <w:rsid w:val="00E77451"/>
    <w:rsid w:val="00E83A2D"/>
    <w:rsid w:val="00E87012"/>
    <w:rsid w:val="00EA08E4"/>
    <w:rsid w:val="00EA17EC"/>
    <w:rsid w:val="00EA3788"/>
    <w:rsid w:val="00EA7EA1"/>
    <w:rsid w:val="00EC3ADD"/>
    <w:rsid w:val="00EF5802"/>
    <w:rsid w:val="00F00B92"/>
    <w:rsid w:val="00F0194F"/>
    <w:rsid w:val="00F026A7"/>
    <w:rsid w:val="00F20A36"/>
    <w:rsid w:val="00F2101A"/>
    <w:rsid w:val="00F21487"/>
    <w:rsid w:val="00F27C3B"/>
    <w:rsid w:val="00F400E6"/>
    <w:rsid w:val="00F5739C"/>
    <w:rsid w:val="00F63EF0"/>
    <w:rsid w:val="00F65FBD"/>
    <w:rsid w:val="00F6704B"/>
    <w:rsid w:val="00F711EC"/>
    <w:rsid w:val="00F767D6"/>
    <w:rsid w:val="00F77665"/>
    <w:rsid w:val="00F85959"/>
    <w:rsid w:val="00F9134F"/>
    <w:rsid w:val="00F914E3"/>
    <w:rsid w:val="00F94E37"/>
    <w:rsid w:val="00F9797A"/>
    <w:rsid w:val="00F97D5D"/>
    <w:rsid w:val="00FA0C49"/>
    <w:rsid w:val="00FA5E26"/>
    <w:rsid w:val="00FA68D9"/>
    <w:rsid w:val="00FE238D"/>
    <w:rsid w:val="00FE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007671"/>
    <w:pPr>
      <w:spacing w:before="100" w:beforeAutospacing="1" w:after="100" w:afterAutospacing="1"/>
    </w:pPr>
  </w:style>
  <w:style w:type="table" w:styleId="af9">
    <w:name w:val="Table Grid"/>
    <w:basedOn w:val="a1"/>
    <w:uiPriority w:val="59"/>
    <w:rsid w:val="00FA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BF09F3"/>
    <w:rPr>
      <w:rFonts w:ascii="Times New Roman" w:eastAsia="Times New Roman" w:hAnsi="Times New Roman" w:cs="Times New Roman"/>
      <w:sz w:val="24"/>
      <w:szCs w:val="24"/>
      <w:lang w:eastAsia="ru-RU"/>
    </w:rPr>
  </w:style>
  <w:style w:type="character" w:customStyle="1" w:styleId="s19">
    <w:name w:val="s19"/>
    <w:basedOn w:val="a0"/>
    <w:rsid w:val="00BF0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007671"/>
    <w:pPr>
      <w:spacing w:before="100" w:beforeAutospacing="1" w:after="100" w:afterAutospacing="1"/>
    </w:pPr>
  </w:style>
  <w:style w:type="table" w:styleId="af9">
    <w:name w:val="Table Grid"/>
    <w:basedOn w:val="a1"/>
    <w:uiPriority w:val="59"/>
    <w:rsid w:val="00FA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BF09F3"/>
    <w:rPr>
      <w:rFonts w:ascii="Times New Roman" w:eastAsia="Times New Roman" w:hAnsi="Times New Roman" w:cs="Times New Roman"/>
      <w:sz w:val="24"/>
      <w:szCs w:val="24"/>
      <w:lang w:eastAsia="ru-RU"/>
    </w:rPr>
  </w:style>
  <w:style w:type="character" w:customStyle="1" w:styleId="s19">
    <w:name w:val="s19"/>
    <w:basedOn w:val="a0"/>
    <w:rsid w:val="00BF0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768E1-920E-4124-807C-B9DE0C06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Есафьева</dc:creator>
  <cp:lastModifiedBy>Гульжан Канапьянова</cp:lastModifiedBy>
  <cp:revision>3</cp:revision>
  <cp:lastPrinted>2018-08-27T05:01:00Z</cp:lastPrinted>
  <dcterms:created xsi:type="dcterms:W3CDTF">2019-09-03T10:10:00Z</dcterms:created>
  <dcterms:modified xsi:type="dcterms:W3CDTF">2019-09-03T10:10:00Z</dcterms:modified>
</cp:coreProperties>
</file>