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EE" w:rsidRPr="004C71D4" w:rsidRDefault="008774EE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3C5A41C" wp14:editId="60359598">
            <wp:simplePos x="0" y="0"/>
            <wp:positionH relativeFrom="column">
              <wp:posOffset>-232410</wp:posOffset>
            </wp:positionH>
            <wp:positionV relativeFrom="paragraph">
              <wp:posOffset>-453390</wp:posOffset>
            </wp:positionV>
            <wp:extent cx="1932980" cy="1924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NATIONAL BANK</w:t>
      </w:r>
    </w:p>
    <w:p w:rsidR="008774EE" w:rsidRPr="004C71D4" w:rsidRDefault="004C71D4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OF THE REPUBLIC OF KAZAKHSTAN</w:t>
      </w:r>
    </w:p>
    <w:p w:rsidR="008774EE" w:rsidRPr="00102908" w:rsidRDefault="004C71D4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PRESS</w:t>
      </w:r>
      <w:r w:rsidRPr="0010290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RELEASE</w:t>
      </w:r>
      <w:r w:rsidRPr="0010290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NO</w:t>
      </w:r>
      <w:r w:rsidRPr="0010290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.</w:t>
      </w:r>
      <w:proofErr w:type="gramEnd"/>
      <w:r w:rsidR="00451AAF" w:rsidRPr="0010290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35</w:t>
      </w:r>
    </w:p>
    <w:p w:rsidR="008774EE" w:rsidRPr="004C71D4" w:rsidRDefault="00005FB3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4C7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="004C7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of</w:t>
      </w:r>
      <w:proofErr w:type="gramEnd"/>
      <w:r w:rsidR="004C7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October </w:t>
      </w:r>
      <w:r w:rsidR="00451AAF" w:rsidRPr="004C7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17</w:t>
      </w:r>
      <w:r w:rsidR="004C7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,</w:t>
      </w:r>
      <w:r w:rsidR="008774EE" w:rsidRPr="004C71D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2013 </w:t>
      </w:r>
    </w:p>
    <w:p w:rsidR="008774EE" w:rsidRPr="004C71D4" w:rsidRDefault="008774EE" w:rsidP="008774EE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/>
          <w:b/>
          <w:bCs/>
          <w:snapToGrid w:val="0"/>
          <w:sz w:val="24"/>
          <w:szCs w:val="24"/>
          <w:lang w:val="en-US" w:eastAsia="ru-RU"/>
        </w:rPr>
      </w:pPr>
    </w:p>
    <w:p w:rsidR="008774EE" w:rsidRPr="004C71D4" w:rsidRDefault="004C71D4" w:rsidP="008774EE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napToGrid w:val="0"/>
          <w:sz w:val="24"/>
          <w:szCs w:val="24"/>
          <w:lang w:val="en-US" w:eastAsia="ru-RU"/>
        </w:rPr>
        <w:t>Regarding the Situation in the Financial Market</w:t>
      </w:r>
    </w:p>
    <w:p w:rsidR="008774EE" w:rsidRPr="004C71D4" w:rsidRDefault="008774EE" w:rsidP="0087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en-US" w:eastAsia="ru-RU"/>
        </w:rPr>
      </w:pPr>
    </w:p>
    <w:p w:rsidR="007300F1" w:rsidRPr="004C71D4" w:rsidRDefault="007300F1" w:rsidP="0087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4"/>
          <w:szCs w:val="24"/>
          <w:lang w:val="en-US" w:eastAsia="ru-RU"/>
        </w:rPr>
      </w:pPr>
    </w:p>
    <w:p w:rsidR="00BC0245" w:rsidRPr="0017242A" w:rsidRDefault="004C71D4" w:rsidP="00751D8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val="en-US" w:eastAsia="ru-RU"/>
        </w:rPr>
        <w:t>Inflation</w:t>
      </w:r>
      <w:r w:rsidR="00BC0245" w:rsidRPr="0017242A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</w:p>
    <w:p w:rsidR="00AC355B" w:rsidRPr="00102908" w:rsidRDefault="00447107" w:rsidP="00AC35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1450A">
        <w:rPr>
          <w:rFonts w:ascii="Times New Roman" w:hAnsi="Times New Roman"/>
          <w:snapToGrid w:val="0"/>
          <w:sz w:val="24"/>
          <w:szCs w:val="24"/>
          <w:lang w:val="en-US"/>
        </w:rPr>
        <w:t>According to the official data from the Agency of Statistics of the Republic of Kazakhstan</w:t>
      </w:r>
      <w:r w:rsidR="00AC355B" w:rsidRPr="00447107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in September</w:t>
      </w:r>
      <w:r w:rsidR="00AC355B" w:rsidRPr="00447107">
        <w:rPr>
          <w:rFonts w:ascii="Times New Roman" w:hAnsi="Times New Roman"/>
          <w:sz w:val="24"/>
          <w:szCs w:val="24"/>
          <w:lang w:val="en-US"/>
        </w:rPr>
        <w:t xml:space="preserve"> 2013 </w:t>
      </w:r>
      <w:r>
        <w:rPr>
          <w:rFonts w:ascii="Times New Roman" w:hAnsi="Times New Roman"/>
          <w:sz w:val="24"/>
          <w:szCs w:val="24"/>
          <w:lang w:val="en-US"/>
        </w:rPr>
        <w:t>the inflation had been at 0.</w:t>
      </w:r>
      <w:r w:rsidR="00AC355B" w:rsidRPr="00447107">
        <w:rPr>
          <w:rFonts w:ascii="Times New Roman" w:hAnsi="Times New Roman"/>
          <w:sz w:val="24"/>
          <w:szCs w:val="24"/>
          <w:lang w:val="en-US"/>
        </w:rPr>
        <w:t>2% (</w:t>
      </w:r>
      <w:r w:rsidRPr="00447107">
        <w:rPr>
          <w:rFonts w:ascii="Times New Roman" w:hAnsi="Times New Roman"/>
          <w:sz w:val="24"/>
          <w:szCs w:val="24"/>
          <w:lang w:val="en-US"/>
        </w:rPr>
        <w:t>in September 2012</w:t>
      </w:r>
      <w:r>
        <w:rPr>
          <w:rFonts w:ascii="Times New Roman" w:hAnsi="Times New Roman"/>
          <w:sz w:val="24"/>
          <w:szCs w:val="24"/>
          <w:lang w:val="en-US"/>
        </w:rPr>
        <w:t xml:space="preserve"> – 0.</w:t>
      </w:r>
      <w:r w:rsidR="00AC355B" w:rsidRPr="00447107">
        <w:rPr>
          <w:rFonts w:ascii="Times New Roman" w:hAnsi="Times New Roman"/>
          <w:sz w:val="24"/>
          <w:szCs w:val="24"/>
          <w:lang w:val="en-US"/>
        </w:rPr>
        <w:t xml:space="preserve">6%). </w:t>
      </w:r>
      <w:r w:rsidR="00BE6839">
        <w:rPr>
          <w:rFonts w:ascii="Times New Roman" w:hAnsi="Times New Roman"/>
          <w:sz w:val="24"/>
          <w:szCs w:val="24"/>
          <w:lang w:val="en-US"/>
        </w:rPr>
        <w:t>Foodstuff</w:t>
      </w:r>
      <w:r w:rsidR="00BE6839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6839">
        <w:rPr>
          <w:rFonts w:ascii="Times New Roman" w:hAnsi="Times New Roman"/>
          <w:sz w:val="24"/>
          <w:szCs w:val="24"/>
          <w:lang w:val="en-US"/>
        </w:rPr>
        <w:t>prices</w:t>
      </w:r>
      <w:r w:rsidR="00BE6839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6839">
        <w:rPr>
          <w:rFonts w:ascii="Times New Roman" w:hAnsi="Times New Roman"/>
          <w:sz w:val="24"/>
          <w:szCs w:val="24"/>
          <w:lang w:val="en-US"/>
        </w:rPr>
        <w:t>decreased</w:t>
      </w:r>
      <w:r w:rsidR="00BE6839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6839">
        <w:rPr>
          <w:rFonts w:ascii="Times New Roman" w:hAnsi="Times New Roman"/>
          <w:sz w:val="24"/>
          <w:szCs w:val="24"/>
          <w:lang w:val="en-US"/>
        </w:rPr>
        <w:t>by</w:t>
      </w:r>
      <w:r w:rsidR="00BE6839" w:rsidRPr="00102908"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>2% (</w:t>
      </w:r>
      <w:r w:rsidR="00BE6839" w:rsidRPr="00102908">
        <w:rPr>
          <w:rFonts w:ascii="Times New Roman" w:hAnsi="Times New Roman"/>
          <w:sz w:val="24"/>
          <w:szCs w:val="24"/>
          <w:lang w:val="en-US"/>
        </w:rPr>
        <w:t>0</w:t>
      </w:r>
      <w:r w:rsidR="00BE6839">
        <w:rPr>
          <w:rFonts w:ascii="Times New Roman" w:hAnsi="Times New Roman"/>
          <w:sz w:val="24"/>
          <w:szCs w:val="24"/>
          <w:lang w:val="en-US"/>
        </w:rPr>
        <w:t>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>4%</w:t>
      </w:r>
      <w:r w:rsidR="00BE6839" w:rsidRPr="00102908">
        <w:rPr>
          <w:rFonts w:ascii="Times New Roman" w:hAnsi="Times New Roman"/>
          <w:sz w:val="24"/>
          <w:szCs w:val="24"/>
          <w:lang w:val="en-US"/>
        </w:rPr>
        <w:t xml:space="preserve"> growth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), </w:t>
      </w:r>
      <w:r w:rsidR="00102908">
        <w:rPr>
          <w:rFonts w:ascii="Times New Roman" w:hAnsi="Times New Roman"/>
          <w:sz w:val="24"/>
          <w:szCs w:val="24"/>
          <w:lang w:val="en-US"/>
        </w:rPr>
        <w:t>and prices of non-food products increased by 0.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>2% (</w:t>
      </w:r>
      <w:r w:rsidR="00102908">
        <w:rPr>
          <w:rFonts w:ascii="Times New Roman" w:hAnsi="Times New Roman"/>
          <w:sz w:val="24"/>
          <w:szCs w:val="24"/>
          <w:lang w:val="en-US"/>
        </w:rPr>
        <w:t>0.</w:t>
      </w:r>
      <w:r w:rsidR="00102908" w:rsidRPr="00102908">
        <w:rPr>
          <w:rFonts w:ascii="Times New Roman" w:hAnsi="Times New Roman"/>
          <w:sz w:val="24"/>
          <w:szCs w:val="24"/>
          <w:lang w:val="en-US"/>
        </w:rPr>
        <w:t>2%</w:t>
      </w:r>
      <w:r w:rsid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6839" w:rsidRPr="00102908">
        <w:rPr>
          <w:rFonts w:ascii="Times New Roman" w:hAnsi="Times New Roman"/>
          <w:sz w:val="24"/>
          <w:szCs w:val="24"/>
          <w:lang w:val="en-US"/>
        </w:rPr>
        <w:t>growth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). </w:t>
      </w:r>
      <w:proofErr w:type="gramStart"/>
      <w:r w:rsidR="00102908">
        <w:rPr>
          <w:rFonts w:ascii="Times New Roman" w:hAnsi="Times New Roman"/>
          <w:sz w:val="24"/>
          <w:szCs w:val="24"/>
          <w:lang w:val="en-US"/>
        </w:rPr>
        <w:t>Tariffs</w:t>
      </w:r>
      <w:r w:rsidR="00102908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>
        <w:rPr>
          <w:rFonts w:ascii="Times New Roman" w:hAnsi="Times New Roman"/>
          <w:sz w:val="24"/>
          <w:szCs w:val="24"/>
          <w:lang w:val="en-US"/>
        </w:rPr>
        <w:t>for</w:t>
      </w:r>
      <w:r w:rsidR="00102908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>
        <w:rPr>
          <w:rFonts w:ascii="Times New Roman" w:hAnsi="Times New Roman"/>
          <w:sz w:val="24"/>
          <w:szCs w:val="24"/>
          <w:lang w:val="en-US"/>
        </w:rPr>
        <w:t>paid</w:t>
      </w:r>
      <w:r w:rsidR="00102908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>
        <w:rPr>
          <w:rFonts w:ascii="Times New Roman" w:hAnsi="Times New Roman"/>
          <w:sz w:val="24"/>
          <w:szCs w:val="24"/>
          <w:lang w:val="en-US"/>
        </w:rPr>
        <w:t>services</w:t>
      </w:r>
      <w:r w:rsidR="00102908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>
        <w:rPr>
          <w:rFonts w:ascii="Times New Roman" w:hAnsi="Times New Roman"/>
          <w:sz w:val="24"/>
          <w:szCs w:val="24"/>
          <w:lang w:val="en-US"/>
        </w:rPr>
        <w:t>increased</w:t>
      </w:r>
      <w:r w:rsidR="00102908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>
        <w:rPr>
          <w:rFonts w:ascii="Times New Roman" w:hAnsi="Times New Roman"/>
          <w:sz w:val="24"/>
          <w:szCs w:val="24"/>
          <w:lang w:val="en-US"/>
        </w:rPr>
        <w:t>by</w:t>
      </w:r>
      <w:r w:rsidR="00102908" w:rsidRPr="00102908">
        <w:rPr>
          <w:rFonts w:ascii="Times New Roman" w:hAnsi="Times New Roman"/>
          <w:sz w:val="24"/>
          <w:szCs w:val="24"/>
          <w:lang w:val="en-US"/>
        </w:rPr>
        <w:t xml:space="preserve"> 0</w:t>
      </w:r>
      <w:r w:rsidR="00102908">
        <w:rPr>
          <w:rFonts w:ascii="Times New Roman" w:hAnsi="Times New Roman"/>
          <w:sz w:val="24"/>
          <w:szCs w:val="24"/>
          <w:lang w:val="en-US"/>
        </w:rPr>
        <w:t>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>6% (</w:t>
      </w:r>
      <w:r w:rsidR="00102908">
        <w:rPr>
          <w:rFonts w:ascii="Times New Roman" w:hAnsi="Times New Roman"/>
          <w:sz w:val="24"/>
          <w:szCs w:val="24"/>
          <w:lang w:val="en-US"/>
        </w:rPr>
        <w:t>by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 w:rsidRPr="00102908">
        <w:rPr>
          <w:rFonts w:ascii="Times New Roman" w:hAnsi="Times New Roman"/>
          <w:sz w:val="24"/>
          <w:szCs w:val="24"/>
          <w:lang w:val="en-US"/>
        </w:rPr>
        <w:t>1</w:t>
      </w:r>
      <w:r w:rsidR="00102908">
        <w:rPr>
          <w:rFonts w:ascii="Times New Roman" w:hAnsi="Times New Roman"/>
          <w:sz w:val="24"/>
          <w:szCs w:val="24"/>
          <w:lang w:val="en-US"/>
        </w:rPr>
        <w:t>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>3%).</w:t>
      </w:r>
      <w:proofErr w:type="gramEnd"/>
    </w:p>
    <w:p w:rsidR="00AC355B" w:rsidRPr="00102908" w:rsidRDefault="00102908" w:rsidP="00AC35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48390B" w:rsidRPr="00102908">
        <w:rPr>
          <w:rFonts w:ascii="Times New Roman" w:hAnsi="Times New Roman"/>
          <w:sz w:val="24"/>
          <w:szCs w:val="24"/>
          <w:lang w:val="en-US"/>
        </w:rPr>
        <w:t>n September 2013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highest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increase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prices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foodstuffs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market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was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demonstrated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by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prices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eggs – by 3.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7%, </w:t>
      </w:r>
      <w:r>
        <w:rPr>
          <w:rFonts w:ascii="Times New Roman" w:hAnsi="Times New Roman"/>
          <w:sz w:val="24"/>
          <w:szCs w:val="24"/>
          <w:lang w:val="en-US"/>
        </w:rPr>
        <w:t>rice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102908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2.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2%, </w:t>
      </w:r>
      <w:r>
        <w:rPr>
          <w:rFonts w:ascii="Times New Roman" w:hAnsi="Times New Roman"/>
          <w:sz w:val="24"/>
          <w:szCs w:val="24"/>
          <w:lang w:val="en-US"/>
        </w:rPr>
        <w:t>meat and me</w:t>
      </w:r>
      <w:r w:rsidR="00133F00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t products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102908">
        <w:rPr>
          <w:rFonts w:ascii="Times New Roman" w:hAnsi="Times New Roman"/>
          <w:sz w:val="24"/>
          <w:szCs w:val="24"/>
          <w:lang w:val="en-US"/>
        </w:rPr>
        <w:t>by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0.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5%, </w:t>
      </w:r>
      <w:r>
        <w:rPr>
          <w:rFonts w:ascii="Times New Roman" w:hAnsi="Times New Roman"/>
          <w:sz w:val="24"/>
          <w:szCs w:val="24"/>
          <w:lang w:val="en-US"/>
        </w:rPr>
        <w:t>dairy products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102908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4%, </w:t>
      </w:r>
      <w:r>
        <w:rPr>
          <w:rFonts w:ascii="Times New Roman" w:hAnsi="Times New Roman"/>
          <w:sz w:val="24"/>
          <w:szCs w:val="24"/>
          <w:lang w:val="en-US"/>
        </w:rPr>
        <w:t>confectionery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102908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3%.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In addition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tobacco prices increased </w:t>
      </w:r>
      <w:r w:rsidRPr="00102908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2908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>5%.</w:t>
      </w:r>
      <w:proofErr w:type="gramEnd"/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="00133F00">
        <w:rPr>
          <w:rFonts w:ascii="Times New Roman" w:hAnsi="Times New Roman"/>
          <w:sz w:val="24"/>
          <w:szCs w:val="24"/>
          <w:lang w:val="en-US"/>
        </w:rPr>
        <w:t>re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was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5.7% decline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 prices for fruits and vegetables, including prices for potatoes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102908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10.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7%, </w:t>
      </w:r>
      <w:r>
        <w:rPr>
          <w:rFonts w:ascii="Times New Roman" w:hAnsi="Times New Roman"/>
          <w:sz w:val="24"/>
          <w:szCs w:val="24"/>
          <w:lang w:val="en-US"/>
        </w:rPr>
        <w:t>carrots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102908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9.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9%, </w:t>
      </w:r>
      <w:r>
        <w:rPr>
          <w:rFonts w:ascii="Times New Roman" w:hAnsi="Times New Roman"/>
          <w:sz w:val="24"/>
          <w:szCs w:val="24"/>
          <w:lang w:val="en-US"/>
        </w:rPr>
        <w:t>onions and cabbage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by 9.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>4%</w:t>
      </w:r>
      <w:r>
        <w:rPr>
          <w:rFonts w:ascii="Times New Roman" w:hAnsi="Times New Roman"/>
          <w:sz w:val="24"/>
          <w:szCs w:val="24"/>
          <w:lang w:val="en-US"/>
        </w:rPr>
        <w:t xml:space="preserve"> each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Also</w:t>
      </w:r>
      <w:r w:rsidRPr="00102908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the price of sugar decreased </w:t>
      </w:r>
      <w:r w:rsidRPr="00102908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4%, </w:t>
      </w:r>
      <w:r>
        <w:rPr>
          <w:rFonts w:ascii="Times New Roman" w:hAnsi="Times New Roman"/>
          <w:sz w:val="24"/>
          <w:szCs w:val="24"/>
          <w:lang w:val="en-US"/>
        </w:rPr>
        <w:t>and the price of cereals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102908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 xml:space="preserve">2%, </w:t>
      </w:r>
      <w:r>
        <w:rPr>
          <w:rFonts w:ascii="Times New Roman" w:hAnsi="Times New Roman"/>
          <w:sz w:val="24"/>
          <w:szCs w:val="24"/>
          <w:lang w:val="en-US"/>
        </w:rPr>
        <w:t>including 0.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>9%</w:t>
      </w:r>
      <w:r>
        <w:rPr>
          <w:rFonts w:ascii="Times New Roman" w:hAnsi="Times New Roman"/>
          <w:sz w:val="24"/>
          <w:szCs w:val="24"/>
          <w:lang w:val="en-US"/>
        </w:rPr>
        <w:t xml:space="preserve"> decrease in the price of buckwheat</w:t>
      </w:r>
      <w:r w:rsidR="00AC355B" w:rsidRPr="00102908">
        <w:rPr>
          <w:rFonts w:ascii="Times New Roman" w:hAnsi="Times New Roman"/>
          <w:sz w:val="24"/>
          <w:szCs w:val="24"/>
          <w:lang w:val="en-US"/>
        </w:rPr>
        <w:t>.</w:t>
      </w:r>
    </w:p>
    <w:p w:rsidR="00AC355B" w:rsidRPr="00FC75DC" w:rsidRDefault="00FC75DC" w:rsidP="00AC35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</w:t>
      </w:r>
      <w:r w:rsidRPr="005002B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</w:t>
      </w:r>
      <w:r w:rsidRPr="005002B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group</w:t>
      </w:r>
      <w:r w:rsidRPr="005002B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 w:rsidRPr="005002B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non-food products, the prices for upper garments increased </w:t>
      </w:r>
      <w:r w:rsidR="00102908" w:rsidRPr="00FC75DC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FC75DC">
        <w:rPr>
          <w:rFonts w:ascii="Times New Roman" w:hAnsi="Times New Roman"/>
          <w:sz w:val="24"/>
          <w:szCs w:val="24"/>
          <w:lang w:val="en-US"/>
        </w:rPr>
        <w:t xml:space="preserve">3%, </w:t>
      </w:r>
      <w:r>
        <w:rPr>
          <w:rFonts w:ascii="Times New Roman" w:hAnsi="Times New Roman"/>
          <w:sz w:val="24"/>
          <w:szCs w:val="24"/>
          <w:lang w:val="en-US"/>
        </w:rPr>
        <w:t>head wear</w:t>
      </w:r>
      <w:r w:rsidR="00AC355B" w:rsidRPr="00FC75DC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102908" w:rsidRPr="00FC75DC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FC75DC">
        <w:rPr>
          <w:rFonts w:ascii="Times New Roman" w:hAnsi="Times New Roman"/>
          <w:sz w:val="24"/>
          <w:szCs w:val="24"/>
          <w:lang w:val="en-US"/>
        </w:rPr>
        <w:t xml:space="preserve">4%, </w:t>
      </w:r>
      <w:r>
        <w:rPr>
          <w:rFonts w:ascii="Times New Roman" w:hAnsi="Times New Roman"/>
          <w:sz w:val="24"/>
          <w:szCs w:val="24"/>
          <w:lang w:val="en-US"/>
        </w:rPr>
        <w:t>footwear</w:t>
      </w:r>
      <w:r w:rsidR="00AC355B" w:rsidRPr="00FC75DC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102908" w:rsidRPr="00FC75DC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FC75DC">
        <w:rPr>
          <w:rFonts w:ascii="Times New Roman" w:hAnsi="Times New Roman"/>
          <w:sz w:val="24"/>
          <w:szCs w:val="24"/>
          <w:lang w:val="en-US"/>
        </w:rPr>
        <w:t xml:space="preserve">2%.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The price of gasoline increased</w:t>
      </w:r>
      <w:r w:rsidR="00AC355B" w:rsidRPr="00FC75D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 w:rsidRPr="00FC75DC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FC75DC">
        <w:rPr>
          <w:rFonts w:ascii="Times New Roman" w:hAnsi="Times New Roman"/>
          <w:sz w:val="24"/>
          <w:szCs w:val="24"/>
          <w:lang w:val="en-US"/>
        </w:rPr>
        <w:t xml:space="preserve">2%, </w:t>
      </w:r>
      <w:r>
        <w:rPr>
          <w:rFonts w:ascii="Times New Roman" w:hAnsi="Times New Roman"/>
          <w:sz w:val="24"/>
          <w:szCs w:val="24"/>
          <w:lang w:val="en-US"/>
        </w:rPr>
        <w:t>and the price of diesel fuel increased</w:t>
      </w:r>
      <w:r w:rsidR="00AC355B" w:rsidRPr="00FC75D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 w:rsidRPr="00FC75DC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FC75DC">
        <w:rPr>
          <w:rFonts w:ascii="Times New Roman" w:hAnsi="Times New Roman"/>
          <w:sz w:val="24"/>
          <w:szCs w:val="24"/>
          <w:lang w:val="en-US"/>
        </w:rPr>
        <w:t>3%.</w:t>
      </w:r>
      <w:proofErr w:type="gramEnd"/>
    </w:p>
    <w:p w:rsidR="00AC355B" w:rsidRPr="005433C5" w:rsidRDefault="005433C5" w:rsidP="00AC35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</w:t>
      </w:r>
      <w:r w:rsidRPr="005002B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</w:t>
      </w:r>
      <w:r w:rsidRPr="005002B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group</w:t>
      </w:r>
      <w:r w:rsidRPr="005002B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 w:rsidRPr="005002B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paid</w:t>
      </w:r>
      <w:r w:rsidRPr="005002B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services, the utilities payments increased</w:t>
      </w:r>
      <w:r w:rsidRPr="00CA74F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02908" w:rsidRPr="005433C5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2%. </w:t>
      </w:r>
      <w:r>
        <w:rPr>
          <w:rFonts w:ascii="Times New Roman" w:hAnsi="Times New Roman"/>
          <w:sz w:val="24"/>
          <w:szCs w:val="24"/>
          <w:lang w:val="en-US"/>
        </w:rPr>
        <w:t>Alongside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that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rental cost increased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 w:rsidRPr="005433C5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1.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4%, </w:t>
      </w:r>
      <w:r>
        <w:rPr>
          <w:rFonts w:ascii="Times New Roman" w:hAnsi="Times New Roman"/>
          <w:sz w:val="24"/>
          <w:szCs w:val="24"/>
          <w:lang w:val="en-US"/>
        </w:rPr>
        <w:t>upkeep costs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102908" w:rsidRPr="005433C5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8%. </w:t>
      </w:r>
      <w:r>
        <w:rPr>
          <w:rFonts w:ascii="Times New Roman" w:hAnsi="Times New Roman"/>
          <w:sz w:val="24"/>
          <w:szCs w:val="24"/>
          <w:lang w:val="en-US"/>
        </w:rPr>
        <w:t>Apart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from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that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during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past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month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the price of education </w:t>
      </w:r>
      <w:r w:rsidR="00133F00">
        <w:rPr>
          <w:rFonts w:ascii="Times New Roman" w:hAnsi="Times New Roman"/>
          <w:sz w:val="24"/>
          <w:szCs w:val="24"/>
          <w:lang w:val="en-US"/>
        </w:rPr>
        <w:t xml:space="preserve">services </w:t>
      </w:r>
      <w:r>
        <w:rPr>
          <w:rFonts w:ascii="Times New Roman" w:hAnsi="Times New Roman"/>
          <w:sz w:val="24"/>
          <w:szCs w:val="24"/>
          <w:lang w:val="en-US"/>
        </w:rPr>
        <w:t>increased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 w:rsidRPr="005433C5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4.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1%, </w:t>
      </w:r>
      <w:r>
        <w:rPr>
          <w:rFonts w:ascii="Times New Roman" w:hAnsi="Times New Roman"/>
          <w:sz w:val="24"/>
          <w:szCs w:val="24"/>
          <w:lang w:val="en-US"/>
        </w:rPr>
        <w:t>including a 6.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>1%</w:t>
      </w:r>
      <w:r>
        <w:rPr>
          <w:rFonts w:ascii="Times New Roman" w:hAnsi="Times New Roman"/>
          <w:sz w:val="24"/>
          <w:szCs w:val="24"/>
          <w:lang w:val="en-US"/>
        </w:rPr>
        <w:t xml:space="preserve"> increase in the price of university education and 2.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>9%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increase in the price of secondary education; the price of healthcare services also increased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 w:rsidRPr="005433C5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3.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1%.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price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transport services decreased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 w:rsidRPr="005433C5">
        <w:rPr>
          <w:rFonts w:ascii="Times New Roman" w:hAnsi="Times New Roman"/>
          <w:sz w:val="24"/>
          <w:szCs w:val="24"/>
          <w:lang w:val="en-US"/>
        </w:rPr>
        <w:t>by</w:t>
      </w:r>
      <w:r w:rsidRPr="005433C5">
        <w:rPr>
          <w:rFonts w:ascii="Times New Roman" w:hAnsi="Times New Roman"/>
          <w:sz w:val="24"/>
          <w:szCs w:val="24"/>
          <w:lang w:val="en-US"/>
        </w:rPr>
        <w:t xml:space="preserve"> 0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2%, </w:t>
      </w:r>
      <w:r>
        <w:rPr>
          <w:rFonts w:ascii="Times New Roman" w:hAnsi="Times New Roman"/>
          <w:sz w:val="24"/>
          <w:szCs w:val="24"/>
          <w:lang w:val="en-US"/>
        </w:rPr>
        <w:t>including railroad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services 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="00102908" w:rsidRPr="005433C5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1.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5%, </w:t>
      </w:r>
      <w:r>
        <w:rPr>
          <w:rFonts w:ascii="Times New Roman" w:hAnsi="Times New Roman"/>
          <w:sz w:val="24"/>
          <w:szCs w:val="24"/>
          <w:lang w:val="en-US"/>
        </w:rPr>
        <w:t>and air services</w:t>
      </w:r>
      <w:r w:rsidRPr="003A24B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="00102908" w:rsidRPr="005433C5">
        <w:rPr>
          <w:rFonts w:ascii="Times New Roman" w:hAnsi="Times New Roman"/>
          <w:sz w:val="24"/>
          <w:szCs w:val="24"/>
          <w:lang w:val="en-US"/>
        </w:rPr>
        <w:t>by</w:t>
      </w:r>
      <w:r>
        <w:rPr>
          <w:rFonts w:ascii="Times New Roman" w:hAnsi="Times New Roman"/>
          <w:sz w:val="24"/>
          <w:szCs w:val="24"/>
          <w:lang w:val="en-US"/>
        </w:rPr>
        <w:t xml:space="preserve"> 0.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>2%.</w:t>
      </w:r>
    </w:p>
    <w:p w:rsidR="00AC355B" w:rsidRPr="00940AE7" w:rsidRDefault="005433C5" w:rsidP="00AC35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5433C5">
        <w:rPr>
          <w:rFonts w:ascii="Times New Roman" w:hAnsi="Times New Roman"/>
          <w:sz w:val="24"/>
          <w:szCs w:val="24"/>
          <w:lang w:val="en-US"/>
        </w:rPr>
        <w:t>During January-September 2013</w:t>
      </w:r>
      <w:r>
        <w:rPr>
          <w:rFonts w:ascii="Times New Roman" w:hAnsi="Times New Roman"/>
          <w:sz w:val="24"/>
          <w:szCs w:val="24"/>
          <w:lang w:val="en-US"/>
        </w:rPr>
        <w:t>, the inflation accounted for</w:t>
      </w:r>
      <w:r w:rsidR="00940AE7">
        <w:rPr>
          <w:rFonts w:ascii="Times New Roman" w:hAnsi="Times New Roman"/>
          <w:sz w:val="24"/>
          <w:szCs w:val="24"/>
          <w:lang w:val="en-US"/>
        </w:rPr>
        <w:t xml:space="preserve"> 3.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>3% (</w:t>
      </w:r>
      <w:r w:rsidR="0048390B" w:rsidRPr="005433C5">
        <w:rPr>
          <w:rFonts w:ascii="Times New Roman" w:hAnsi="Times New Roman"/>
          <w:sz w:val="24"/>
          <w:szCs w:val="24"/>
          <w:lang w:val="en-US"/>
        </w:rPr>
        <w:t>in January-September 2012</w:t>
      </w:r>
      <w:r w:rsidR="00940AE7">
        <w:rPr>
          <w:rFonts w:ascii="Times New Roman" w:hAnsi="Times New Roman"/>
          <w:sz w:val="24"/>
          <w:szCs w:val="24"/>
          <w:lang w:val="en-US"/>
        </w:rPr>
        <w:t xml:space="preserve"> – 3.</w:t>
      </w:r>
      <w:r w:rsidR="00AC355B" w:rsidRPr="005433C5">
        <w:rPr>
          <w:rFonts w:ascii="Times New Roman" w:hAnsi="Times New Roman"/>
          <w:sz w:val="24"/>
          <w:szCs w:val="24"/>
          <w:lang w:val="en-US"/>
        </w:rPr>
        <w:t xml:space="preserve">9%). </w:t>
      </w:r>
      <w:r w:rsidR="00940AE7">
        <w:rPr>
          <w:rFonts w:ascii="Times New Roman" w:hAnsi="Times New Roman"/>
          <w:sz w:val="24"/>
          <w:szCs w:val="24"/>
          <w:lang w:val="en-US"/>
        </w:rPr>
        <w:t>Since</w:t>
      </w:r>
      <w:r w:rsidR="00940AE7" w:rsidRPr="00940AE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0AE7">
        <w:rPr>
          <w:rFonts w:ascii="Times New Roman" w:hAnsi="Times New Roman"/>
          <w:sz w:val="24"/>
          <w:szCs w:val="24"/>
          <w:lang w:val="en-US"/>
        </w:rPr>
        <w:t>the</w:t>
      </w:r>
      <w:r w:rsidR="00940AE7" w:rsidRPr="00940AE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0AE7">
        <w:rPr>
          <w:rFonts w:ascii="Times New Roman" w:hAnsi="Times New Roman"/>
          <w:sz w:val="24"/>
          <w:szCs w:val="24"/>
          <w:lang w:val="en-US"/>
        </w:rPr>
        <w:t>beginning</w:t>
      </w:r>
      <w:r w:rsidR="00940AE7" w:rsidRPr="00940AE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0AE7">
        <w:rPr>
          <w:rFonts w:ascii="Times New Roman" w:hAnsi="Times New Roman"/>
          <w:sz w:val="24"/>
          <w:szCs w:val="24"/>
          <w:lang w:val="en-US"/>
        </w:rPr>
        <w:t>of</w:t>
      </w:r>
      <w:r w:rsidR="00940AE7" w:rsidRPr="00940AE7">
        <w:rPr>
          <w:rFonts w:ascii="Times New Roman" w:hAnsi="Times New Roman"/>
          <w:sz w:val="24"/>
          <w:szCs w:val="24"/>
          <w:lang w:val="en-US"/>
        </w:rPr>
        <w:t xml:space="preserve"> 2013, </w:t>
      </w:r>
      <w:r w:rsidR="00940AE7">
        <w:rPr>
          <w:rFonts w:ascii="Times New Roman" w:hAnsi="Times New Roman"/>
          <w:sz w:val="24"/>
          <w:szCs w:val="24"/>
          <w:lang w:val="en-US"/>
        </w:rPr>
        <w:t xml:space="preserve">the price of foodstuffs had increased </w:t>
      </w:r>
      <w:r w:rsidR="00102908" w:rsidRPr="00940AE7">
        <w:rPr>
          <w:rFonts w:ascii="Times New Roman" w:hAnsi="Times New Roman"/>
          <w:sz w:val="24"/>
          <w:szCs w:val="24"/>
          <w:lang w:val="en-US"/>
        </w:rPr>
        <w:t>by</w:t>
      </w:r>
      <w:r w:rsidR="00940AE7">
        <w:rPr>
          <w:rFonts w:ascii="Times New Roman" w:hAnsi="Times New Roman"/>
          <w:sz w:val="24"/>
          <w:szCs w:val="24"/>
          <w:lang w:val="en-US"/>
        </w:rPr>
        <w:t xml:space="preserve"> 1.</w:t>
      </w:r>
      <w:r w:rsidR="00AC355B" w:rsidRPr="00940AE7">
        <w:rPr>
          <w:rFonts w:ascii="Times New Roman" w:hAnsi="Times New Roman"/>
          <w:sz w:val="24"/>
          <w:szCs w:val="24"/>
          <w:lang w:val="en-US"/>
        </w:rPr>
        <w:t>6% (</w:t>
      </w:r>
      <w:r w:rsidR="00102908" w:rsidRPr="00940AE7">
        <w:rPr>
          <w:rFonts w:ascii="Times New Roman" w:hAnsi="Times New Roman"/>
          <w:sz w:val="24"/>
          <w:szCs w:val="24"/>
          <w:lang w:val="en-US"/>
        </w:rPr>
        <w:t>by</w:t>
      </w:r>
      <w:r w:rsidR="00AC355B" w:rsidRPr="00940AE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0AE7">
        <w:rPr>
          <w:rFonts w:ascii="Times New Roman" w:hAnsi="Times New Roman"/>
          <w:sz w:val="24"/>
          <w:szCs w:val="24"/>
          <w:lang w:val="en-US"/>
        </w:rPr>
        <w:t>3.</w:t>
      </w:r>
      <w:r w:rsidR="00AC355B" w:rsidRPr="00940AE7">
        <w:rPr>
          <w:rFonts w:ascii="Times New Roman" w:hAnsi="Times New Roman"/>
          <w:sz w:val="24"/>
          <w:szCs w:val="24"/>
          <w:lang w:val="en-US"/>
        </w:rPr>
        <w:t xml:space="preserve">2%), </w:t>
      </w:r>
      <w:r w:rsidR="00940AE7">
        <w:rPr>
          <w:rFonts w:ascii="Times New Roman" w:hAnsi="Times New Roman"/>
          <w:sz w:val="24"/>
          <w:szCs w:val="24"/>
          <w:lang w:val="en-US"/>
        </w:rPr>
        <w:t>the price of non-food products</w:t>
      </w:r>
      <w:r w:rsidR="00AC355B" w:rsidRPr="00940AE7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102908" w:rsidRPr="00940AE7">
        <w:rPr>
          <w:rFonts w:ascii="Times New Roman" w:hAnsi="Times New Roman"/>
          <w:sz w:val="24"/>
          <w:szCs w:val="24"/>
          <w:lang w:val="en-US"/>
        </w:rPr>
        <w:t>by</w:t>
      </w:r>
      <w:r w:rsidR="00940AE7">
        <w:rPr>
          <w:rFonts w:ascii="Times New Roman" w:hAnsi="Times New Roman"/>
          <w:sz w:val="24"/>
          <w:szCs w:val="24"/>
          <w:lang w:val="en-US"/>
        </w:rPr>
        <w:t xml:space="preserve"> 1.</w:t>
      </w:r>
      <w:r w:rsidR="00AC355B" w:rsidRPr="00940AE7">
        <w:rPr>
          <w:rFonts w:ascii="Times New Roman" w:hAnsi="Times New Roman"/>
          <w:sz w:val="24"/>
          <w:szCs w:val="24"/>
          <w:lang w:val="en-US"/>
        </w:rPr>
        <w:t>8% (</w:t>
      </w:r>
      <w:r w:rsidR="00102908" w:rsidRPr="00940AE7">
        <w:rPr>
          <w:rFonts w:ascii="Times New Roman" w:hAnsi="Times New Roman"/>
          <w:sz w:val="24"/>
          <w:szCs w:val="24"/>
          <w:lang w:val="en-US"/>
        </w:rPr>
        <w:t>by</w:t>
      </w:r>
      <w:r w:rsidR="00940AE7">
        <w:rPr>
          <w:rFonts w:ascii="Times New Roman" w:hAnsi="Times New Roman"/>
          <w:sz w:val="24"/>
          <w:szCs w:val="24"/>
          <w:lang w:val="en-US"/>
        </w:rPr>
        <w:t xml:space="preserve"> 2.</w:t>
      </w:r>
      <w:r w:rsidR="00AC355B" w:rsidRPr="00940AE7">
        <w:rPr>
          <w:rFonts w:ascii="Times New Roman" w:hAnsi="Times New Roman"/>
          <w:sz w:val="24"/>
          <w:szCs w:val="24"/>
          <w:lang w:val="en-US"/>
        </w:rPr>
        <w:t xml:space="preserve">2%), </w:t>
      </w:r>
      <w:r w:rsidR="00940AE7">
        <w:rPr>
          <w:rFonts w:ascii="Times New Roman" w:hAnsi="Times New Roman"/>
          <w:sz w:val="24"/>
          <w:szCs w:val="24"/>
          <w:lang w:val="en-US"/>
        </w:rPr>
        <w:t>and the price of paid services</w:t>
      </w:r>
      <w:r w:rsidR="00AC355B" w:rsidRPr="00940AE7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102908" w:rsidRPr="00940AE7">
        <w:rPr>
          <w:rFonts w:ascii="Times New Roman" w:hAnsi="Times New Roman"/>
          <w:sz w:val="24"/>
          <w:szCs w:val="24"/>
          <w:lang w:val="en-US"/>
        </w:rPr>
        <w:t>by</w:t>
      </w:r>
      <w:r w:rsidR="00940AE7">
        <w:rPr>
          <w:rFonts w:ascii="Times New Roman" w:hAnsi="Times New Roman"/>
          <w:sz w:val="24"/>
          <w:szCs w:val="24"/>
          <w:lang w:val="en-US"/>
        </w:rPr>
        <w:t xml:space="preserve"> 6.</w:t>
      </w:r>
      <w:r w:rsidR="00AC355B" w:rsidRPr="00940AE7">
        <w:rPr>
          <w:rFonts w:ascii="Times New Roman" w:hAnsi="Times New Roman"/>
          <w:sz w:val="24"/>
          <w:szCs w:val="24"/>
          <w:lang w:val="en-US"/>
        </w:rPr>
        <w:t>9% (</w:t>
      </w:r>
      <w:r w:rsidR="00102908" w:rsidRPr="00940AE7">
        <w:rPr>
          <w:rFonts w:ascii="Times New Roman" w:hAnsi="Times New Roman"/>
          <w:sz w:val="24"/>
          <w:szCs w:val="24"/>
          <w:lang w:val="en-US"/>
        </w:rPr>
        <w:t>by</w:t>
      </w:r>
      <w:r w:rsidR="00AC355B" w:rsidRPr="00940AE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0AE7">
        <w:rPr>
          <w:rFonts w:ascii="Times New Roman" w:hAnsi="Times New Roman"/>
          <w:sz w:val="24"/>
          <w:szCs w:val="24"/>
          <w:lang w:val="en-US"/>
        </w:rPr>
        <w:t>6.</w:t>
      </w:r>
      <w:r w:rsidR="00AC355B" w:rsidRPr="00940AE7">
        <w:rPr>
          <w:rFonts w:ascii="Times New Roman" w:hAnsi="Times New Roman"/>
          <w:sz w:val="24"/>
          <w:szCs w:val="24"/>
          <w:lang w:val="en-US"/>
        </w:rPr>
        <w:t xml:space="preserve">5%) </w:t>
      </w:r>
      <w:r w:rsidR="00AC355B" w:rsidRPr="00900F7C">
        <w:rPr>
          <w:rFonts w:ascii="Times New Roman" w:hAnsi="Times New Roman"/>
          <w:snapToGrid w:val="0"/>
          <w:sz w:val="24"/>
          <w:szCs w:val="24"/>
          <w:lang w:val="kk-KZ"/>
        </w:rPr>
        <w:t>(</w:t>
      </w:r>
      <w:r w:rsidR="00940AE7">
        <w:rPr>
          <w:rFonts w:ascii="Times New Roman" w:hAnsi="Times New Roman"/>
          <w:snapToGrid w:val="0"/>
          <w:sz w:val="24"/>
          <w:szCs w:val="24"/>
          <w:lang w:val="en-US"/>
        </w:rPr>
        <w:t>Figure</w:t>
      </w:r>
      <w:r w:rsidR="00AC355B" w:rsidRPr="00900F7C">
        <w:rPr>
          <w:rFonts w:ascii="Times New Roman" w:hAnsi="Times New Roman"/>
          <w:snapToGrid w:val="0"/>
          <w:sz w:val="24"/>
          <w:szCs w:val="24"/>
          <w:lang w:val="kk-KZ"/>
        </w:rPr>
        <w:t xml:space="preserve"> 1)</w:t>
      </w:r>
      <w:r w:rsidR="00AC355B" w:rsidRPr="00940AE7">
        <w:rPr>
          <w:rFonts w:ascii="Times New Roman" w:hAnsi="Times New Roman"/>
          <w:snapToGrid w:val="0"/>
          <w:sz w:val="24"/>
          <w:szCs w:val="24"/>
          <w:lang w:val="en-US"/>
        </w:rPr>
        <w:t>.</w:t>
      </w:r>
    </w:p>
    <w:p w:rsidR="00AC355B" w:rsidRPr="003334C6" w:rsidRDefault="00940AE7" w:rsidP="00AC355B">
      <w:pPr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4"/>
          <w:szCs w:val="24"/>
          <w:lang w:val="en-US"/>
        </w:rPr>
      </w:pPr>
      <w:r>
        <w:rPr>
          <w:rFonts w:ascii="Times New Roman" w:hAnsi="Times New Roman"/>
          <w:snapToGrid w:val="0"/>
          <w:sz w:val="24"/>
          <w:szCs w:val="24"/>
          <w:lang w:val="en-US"/>
        </w:rPr>
        <w:t>Figure</w:t>
      </w:r>
      <w:r w:rsidR="00AC355B" w:rsidRPr="003334C6">
        <w:rPr>
          <w:rFonts w:ascii="Times New Roman" w:hAnsi="Times New Roman"/>
          <w:snapToGrid w:val="0"/>
          <w:sz w:val="24"/>
          <w:szCs w:val="24"/>
          <w:lang w:val="en-US"/>
        </w:rPr>
        <w:t xml:space="preserve"> 1</w:t>
      </w:r>
    </w:p>
    <w:p w:rsidR="00AC355B" w:rsidRPr="00940AE7" w:rsidRDefault="00940AE7" w:rsidP="00AC355B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4"/>
          <w:szCs w:val="24"/>
          <w:lang w:val="en-US"/>
        </w:rPr>
      </w:pPr>
      <w:r>
        <w:rPr>
          <w:rFonts w:ascii="Times New Roman" w:hAnsi="Times New Roman"/>
          <w:b/>
          <w:snapToGrid w:val="0"/>
          <w:sz w:val="24"/>
          <w:szCs w:val="24"/>
          <w:lang w:val="en-US"/>
        </w:rPr>
        <w:t>Inflation</w:t>
      </w:r>
      <w:r w:rsidRPr="00940AE7">
        <w:rPr>
          <w:rFonts w:ascii="Times New Roman" w:hAnsi="Times New Roman"/>
          <w:b/>
          <w:snapToGrid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  <w:lang w:val="en-US"/>
        </w:rPr>
        <w:t>and</w:t>
      </w:r>
      <w:r w:rsidRPr="00940AE7">
        <w:rPr>
          <w:rFonts w:ascii="Times New Roman" w:hAnsi="Times New Roman"/>
          <w:b/>
          <w:snapToGrid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  <w:lang w:val="en-US"/>
        </w:rPr>
        <w:t>its</w:t>
      </w:r>
      <w:r w:rsidRPr="00940AE7">
        <w:rPr>
          <w:rFonts w:ascii="Times New Roman" w:hAnsi="Times New Roman"/>
          <w:b/>
          <w:snapToGrid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  <w:lang w:val="en-US"/>
        </w:rPr>
        <w:t>Components</w:t>
      </w:r>
      <w:r w:rsidRPr="00940AE7">
        <w:rPr>
          <w:rFonts w:ascii="Times New Roman" w:hAnsi="Times New Roman"/>
          <w:b/>
          <w:snapToGrid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  <w:lang w:val="en-US"/>
        </w:rPr>
        <w:t>in January-September</w:t>
      </w:r>
      <w:r w:rsidR="00AC355B" w:rsidRPr="00940AE7">
        <w:rPr>
          <w:rFonts w:ascii="Times New Roman" w:hAnsi="Times New Roman"/>
          <w:b/>
          <w:snapToGrid w:val="0"/>
          <w:sz w:val="24"/>
          <w:szCs w:val="24"/>
          <w:lang w:val="en-US"/>
        </w:rPr>
        <w:t xml:space="preserve"> 2012 </w:t>
      </w:r>
      <w:r>
        <w:rPr>
          <w:rFonts w:ascii="Times New Roman" w:hAnsi="Times New Roman"/>
          <w:b/>
          <w:snapToGrid w:val="0"/>
          <w:sz w:val="24"/>
          <w:szCs w:val="24"/>
          <w:lang w:val="en-US"/>
        </w:rPr>
        <w:t>and</w:t>
      </w:r>
      <w:r w:rsidR="00AC355B" w:rsidRPr="00940AE7">
        <w:rPr>
          <w:rFonts w:ascii="Times New Roman" w:hAnsi="Times New Roman"/>
          <w:b/>
          <w:snapToGrid w:val="0"/>
          <w:sz w:val="24"/>
          <w:szCs w:val="24"/>
          <w:lang w:val="en-US"/>
        </w:rPr>
        <w:t xml:space="preserve"> 2013 </w:t>
      </w:r>
    </w:p>
    <w:p w:rsidR="00AC355B" w:rsidRPr="001917AA" w:rsidRDefault="00AC355B" w:rsidP="00AC355B">
      <w:pPr>
        <w:jc w:val="both"/>
        <w:rPr>
          <w:snapToGrid w:val="0"/>
          <w:sz w:val="24"/>
          <w:szCs w:val="24"/>
          <w:lang w:val="kk-KZ"/>
        </w:rPr>
      </w:pPr>
      <w:r w:rsidRPr="001917AA">
        <w:rPr>
          <w:noProof/>
          <w:sz w:val="24"/>
          <w:szCs w:val="24"/>
          <w:lang w:eastAsia="ru-RU"/>
        </w:rPr>
        <w:drawing>
          <wp:inline distT="0" distB="0" distL="0" distR="0" wp14:anchorId="6D004F92" wp14:editId="3FF99750">
            <wp:extent cx="5940425" cy="1913255"/>
            <wp:effectExtent l="0" t="0" r="3175" b="0"/>
            <wp:docPr id="1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355B" w:rsidRPr="00656652" w:rsidRDefault="0048390B" w:rsidP="00AC355B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940AE7">
        <w:rPr>
          <w:rFonts w:ascii="Times New Roman" w:hAnsi="Times New Roman"/>
          <w:sz w:val="24"/>
          <w:lang w:val="en-US"/>
        </w:rPr>
        <w:t>In September 2013</w:t>
      </w:r>
      <w:r w:rsidR="00940AE7" w:rsidRPr="00940AE7">
        <w:rPr>
          <w:rFonts w:ascii="Times New Roman" w:hAnsi="Times New Roman"/>
          <w:sz w:val="24"/>
          <w:lang w:val="en-US"/>
        </w:rPr>
        <w:t>,</w:t>
      </w:r>
      <w:r w:rsidR="00AC355B" w:rsidRPr="00940AE7">
        <w:rPr>
          <w:rFonts w:ascii="Times New Roman" w:hAnsi="Times New Roman"/>
          <w:sz w:val="24"/>
          <w:lang w:val="en-US"/>
        </w:rPr>
        <w:t xml:space="preserve"> </w:t>
      </w:r>
      <w:r w:rsidR="00940AE7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 annual inflation accounted for</w:t>
      </w:r>
      <w:r w:rsidR="00940AE7" w:rsidRPr="003A24B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0AE7" w:rsidRPr="00940AE7">
        <w:rPr>
          <w:rFonts w:ascii="Times New Roman" w:hAnsi="Times New Roman"/>
          <w:sz w:val="24"/>
          <w:lang w:val="en-US"/>
        </w:rPr>
        <w:t>5</w:t>
      </w:r>
      <w:r w:rsidR="00940AE7">
        <w:rPr>
          <w:rFonts w:ascii="Times New Roman" w:hAnsi="Times New Roman"/>
          <w:sz w:val="24"/>
          <w:lang w:val="en-US"/>
        </w:rPr>
        <w:t>.</w:t>
      </w:r>
      <w:r w:rsidR="00AC355B" w:rsidRPr="00940AE7">
        <w:rPr>
          <w:rFonts w:ascii="Times New Roman" w:hAnsi="Times New Roman"/>
          <w:sz w:val="24"/>
          <w:lang w:val="en-US"/>
        </w:rPr>
        <w:t>4% (</w:t>
      </w:r>
      <w:r w:rsidR="00940AE7" w:rsidRPr="00940AE7">
        <w:rPr>
          <w:rFonts w:ascii="Times New Roman" w:hAnsi="Times New Roman"/>
          <w:sz w:val="24"/>
          <w:lang w:val="en-US"/>
        </w:rPr>
        <w:t>in December 2012</w:t>
      </w:r>
      <w:r w:rsidR="00940AE7">
        <w:rPr>
          <w:rFonts w:ascii="Times New Roman" w:hAnsi="Times New Roman"/>
          <w:sz w:val="24"/>
          <w:lang w:val="en-US"/>
        </w:rPr>
        <w:t xml:space="preserve"> – 6.</w:t>
      </w:r>
      <w:r w:rsidR="00AC355B" w:rsidRPr="00133F00">
        <w:rPr>
          <w:rFonts w:ascii="Times New Roman" w:hAnsi="Times New Roman"/>
          <w:sz w:val="24"/>
          <w:lang w:val="en-US"/>
        </w:rPr>
        <w:t xml:space="preserve">0%). </w:t>
      </w:r>
      <w:r w:rsidR="00014EB3">
        <w:rPr>
          <w:rFonts w:ascii="Times New Roman" w:hAnsi="Times New Roman"/>
          <w:sz w:val="24"/>
          <w:lang w:val="en-US"/>
        </w:rPr>
        <w:t>Over</w:t>
      </w:r>
      <w:r w:rsidR="00014EB3" w:rsidRPr="00656652">
        <w:rPr>
          <w:rFonts w:ascii="Times New Roman" w:hAnsi="Times New Roman"/>
          <w:sz w:val="24"/>
          <w:lang w:val="en-US"/>
        </w:rPr>
        <w:t xml:space="preserve"> </w:t>
      </w:r>
      <w:r w:rsidR="00014EB3">
        <w:rPr>
          <w:rFonts w:ascii="Times New Roman" w:hAnsi="Times New Roman"/>
          <w:sz w:val="24"/>
          <w:lang w:val="en-US"/>
        </w:rPr>
        <w:t>the</w:t>
      </w:r>
      <w:r w:rsidR="00014EB3" w:rsidRPr="00656652">
        <w:rPr>
          <w:rFonts w:ascii="Times New Roman" w:hAnsi="Times New Roman"/>
          <w:sz w:val="24"/>
          <w:lang w:val="en-US"/>
        </w:rPr>
        <w:t xml:space="preserve"> </w:t>
      </w:r>
      <w:r w:rsidR="00014EB3">
        <w:rPr>
          <w:rFonts w:ascii="Times New Roman" w:hAnsi="Times New Roman"/>
          <w:sz w:val="24"/>
          <w:lang w:val="en-US"/>
        </w:rPr>
        <w:t>last</w:t>
      </w:r>
      <w:r w:rsidR="00014EB3" w:rsidRPr="00656652">
        <w:rPr>
          <w:rFonts w:ascii="Times New Roman" w:hAnsi="Times New Roman"/>
          <w:sz w:val="24"/>
          <w:lang w:val="en-US"/>
        </w:rPr>
        <w:t xml:space="preserve"> </w:t>
      </w:r>
      <w:r w:rsidR="00656652" w:rsidRPr="00656652">
        <w:rPr>
          <w:rFonts w:ascii="Times New Roman" w:hAnsi="Times New Roman"/>
          <w:sz w:val="24"/>
          <w:lang w:val="en-US"/>
        </w:rPr>
        <w:t xml:space="preserve">12 </w:t>
      </w:r>
      <w:r w:rsidR="00656652">
        <w:rPr>
          <w:rFonts w:ascii="Times New Roman" w:hAnsi="Times New Roman"/>
          <w:sz w:val="24"/>
          <w:lang w:val="en-US"/>
        </w:rPr>
        <w:t>months</w:t>
      </w:r>
      <w:r w:rsidR="00656652" w:rsidRPr="00656652">
        <w:rPr>
          <w:rFonts w:ascii="Times New Roman" w:hAnsi="Times New Roman"/>
          <w:sz w:val="24"/>
          <w:lang w:val="en-US"/>
        </w:rPr>
        <w:t xml:space="preserve"> </w:t>
      </w:r>
      <w:r w:rsidR="00656652">
        <w:rPr>
          <w:rFonts w:ascii="Times New Roman" w:hAnsi="Times New Roman"/>
          <w:sz w:val="24"/>
          <w:lang w:val="en-US"/>
        </w:rPr>
        <w:t>the</w:t>
      </w:r>
      <w:r w:rsidR="00656652" w:rsidRPr="00656652">
        <w:rPr>
          <w:rFonts w:ascii="Times New Roman" w:hAnsi="Times New Roman"/>
          <w:sz w:val="24"/>
          <w:lang w:val="en-US"/>
        </w:rPr>
        <w:t xml:space="preserve"> </w:t>
      </w:r>
      <w:r w:rsidR="00656652">
        <w:rPr>
          <w:rFonts w:ascii="Times New Roman" w:hAnsi="Times New Roman"/>
          <w:sz w:val="24"/>
          <w:lang w:val="en-US"/>
        </w:rPr>
        <w:t>price</w:t>
      </w:r>
      <w:r w:rsidR="00656652" w:rsidRPr="00656652">
        <w:rPr>
          <w:rFonts w:ascii="Times New Roman" w:hAnsi="Times New Roman"/>
          <w:sz w:val="24"/>
          <w:lang w:val="en-US"/>
        </w:rPr>
        <w:t xml:space="preserve"> </w:t>
      </w:r>
      <w:r w:rsidR="00656652">
        <w:rPr>
          <w:rFonts w:ascii="Times New Roman" w:hAnsi="Times New Roman"/>
          <w:sz w:val="24"/>
          <w:lang w:val="en-US"/>
        </w:rPr>
        <w:t>of</w:t>
      </w:r>
      <w:r w:rsidR="00656652" w:rsidRPr="00656652">
        <w:rPr>
          <w:rFonts w:ascii="Times New Roman" w:hAnsi="Times New Roman"/>
          <w:sz w:val="24"/>
          <w:lang w:val="en-US"/>
        </w:rPr>
        <w:t xml:space="preserve"> </w:t>
      </w:r>
      <w:r w:rsidR="00656652">
        <w:rPr>
          <w:rFonts w:ascii="Times New Roman" w:hAnsi="Times New Roman"/>
          <w:sz w:val="24"/>
          <w:lang w:val="en-US"/>
        </w:rPr>
        <w:t>foodstuffs</w:t>
      </w:r>
      <w:r w:rsidR="00656652" w:rsidRPr="00656652">
        <w:rPr>
          <w:rFonts w:ascii="Times New Roman" w:hAnsi="Times New Roman"/>
          <w:sz w:val="24"/>
          <w:lang w:val="en-US"/>
        </w:rPr>
        <w:t xml:space="preserve"> </w:t>
      </w:r>
      <w:r w:rsidR="00656652">
        <w:rPr>
          <w:rFonts w:ascii="Times New Roman" w:hAnsi="Times New Roman"/>
          <w:sz w:val="24"/>
          <w:lang w:val="en-US"/>
        </w:rPr>
        <w:t>has</w:t>
      </w:r>
      <w:r w:rsidR="00656652" w:rsidRPr="00656652">
        <w:rPr>
          <w:rFonts w:ascii="Times New Roman" w:hAnsi="Times New Roman"/>
          <w:sz w:val="24"/>
          <w:lang w:val="en-US"/>
        </w:rPr>
        <w:t xml:space="preserve"> </w:t>
      </w:r>
      <w:r w:rsidR="00656652">
        <w:rPr>
          <w:rFonts w:ascii="Times New Roman" w:hAnsi="Times New Roman"/>
          <w:sz w:val="24"/>
          <w:lang w:val="en-US"/>
        </w:rPr>
        <w:t>increased</w:t>
      </w:r>
      <w:r w:rsidR="00AC355B" w:rsidRPr="00656652">
        <w:rPr>
          <w:rFonts w:ascii="Times New Roman" w:hAnsi="Times New Roman"/>
          <w:sz w:val="24"/>
          <w:lang w:val="en-US"/>
        </w:rPr>
        <w:t xml:space="preserve"> </w:t>
      </w:r>
      <w:r w:rsidR="00102908" w:rsidRPr="00656652">
        <w:rPr>
          <w:rFonts w:ascii="Times New Roman" w:hAnsi="Times New Roman"/>
          <w:sz w:val="24"/>
          <w:lang w:val="en-US"/>
        </w:rPr>
        <w:t>by</w:t>
      </w:r>
      <w:r w:rsidR="00AC355B" w:rsidRPr="00656652">
        <w:rPr>
          <w:rFonts w:ascii="Times New Roman" w:hAnsi="Times New Roman"/>
          <w:sz w:val="24"/>
          <w:lang w:val="en-US"/>
        </w:rPr>
        <w:t xml:space="preserve"> </w:t>
      </w:r>
      <w:r w:rsidR="00656652" w:rsidRPr="00656652">
        <w:rPr>
          <w:rFonts w:ascii="Times New Roman" w:hAnsi="Times New Roman"/>
          <w:sz w:val="24"/>
          <w:lang w:val="en-US"/>
        </w:rPr>
        <w:t>3</w:t>
      </w:r>
      <w:r w:rsidR="00656652">
        <w:rPr>
          <w:rFonts w:ascii="Times New Roman" w:hAnsi="Times New Roman"/>
          <w:sz w:val="24"/>
          <w:lang w:val="en-US"/>
        </w:rPr>
        <w:t>.</w:t>
      </w:r>
      <w:r w:rsidR="00AC355B" w:rsidRPr="00656652">
        <w:rPr>
          <w:rFonts w:ascii="Times New Roman" w:hAnsi="Times New Roman"/>
          <w:sz w:val="24"/>
          <w:lang w:val="en-US"/>
        </w:rPr>
        <w:t>7% (</w:t>
      </w:r>
      <w:r w:rsidR="00102908" w:rsidRPr="00656652">
        <w:rPr>
          <w:rFonts w:ascii="Times New Roman" w:hAnsi="Times New Roman"/>
          <w:sz w:val="24"/>
          <w:lang w:val="en-US"/>
        </w:rPr>
        <w:t>by</w:t>
      </w:r>
      <w:r w:rsidR="00AC355B" w:rsidRPr="00656652">
        <w:rPr>
          <w:rFonts w:ascii="Times New Roman" w:hAnsi="Times New Roman"/>
          <w:sz w:val="24"/>
          <w:lang w:val="en-US"/>
        </w:rPr>
        <w:t xml:space="preserve"> </w:t>
      </w:r>
      <w:r w:rsidR="00656652">
        <w:rPr>
          <w:rFonts w:ascii="Times New Roman" w:hAnsi="Times New Roman"/>
          <w:sz w:val="24"/>
          <w:lang w:val="en-US"/>
        </w:rPr>
        <w:t>5.</w:t>
      </w:r>
      <w:r w:rsidR="00AC355B" w:rsidRPr="00656652">
        <w:rPr>
          <w:rFonts w:ascii="Times New Roman" w:hAnsi="Times New Roman"/>
          <w:sz w:val="24"/>
          <w:lang w:val="en-US"/>
        </w:rPr>
        <w:t xml:space="preserve">3%), </w:t>
      </w:r>
      <w:r w:rsidR="00656652">
        <w:rPr>
          <w:rFonts w:ascii="Times New Roman" w:hAnsi="Times New Roman"/>
          <w:sz w:val="24"/>
          <w:lang w:val="en-US"/>
        </w:rPr>
        <w:t>the price of non-food products</w:t>
      </w:r>
      <w:r w:rsidR="00AC355B" w:rsidRPr="00656652">
        <w:rPr>
          <w:rFonts w:ascii="Times New Roman" w:hAnsi="Times New Roman"/>
          <w:sz w:val="24"/>
          <w:lang w:val="en-US"/>
        </w:rPr>
        <w:t xml:space="preserve"> – </w:t>
      </w:r>
      <w:r w:rsidR="00102908" w:rsidRPr="00656652">
        <w:rPr>
          <w:rFonts w:ascii="Times New Roman" w:hAnsi="Times New Roman"/>
          <w:sz w:val="24"/>
          <w:lang w:val="en-US"/>
        </w:rPr>
        <w:t>by</w:t>
      </w:r>
      <w:r w:rsidR="00656652">
        <w:rPr>
          <w:rFonts w:ascii="Times New Roman" w:hAnsi="Times New Roman"/>
          <w:sz w:val="24"/>
          <w:lang w:val="en-US"/>
        </w:rPr>
        <w:t xml:space="preserve"> 3.</w:t>
      </w:r>
      <w:r w:rsidR="00AC355B" w:rsidRPr="00656652">
        <w:rPr>
          <w:rFonts w:ascii="Times New Roman" w:hAnsi="Times New Roman"/>
          <w:sz w:val="24"/>
          <w:lang w:val="en-US"/>
        </w:rPr>
        <w:t>1% (</w:t>
      </w:r>
      <w:r w:rsidR="00102908" w:rsidRPr="00656652">
        <w:rPr>
          <w:rFonts w:ascii="Times New Roman" w:hAnsi="Times New Roman"/>
          <w:sz w:val="24"/>
          <w:lang w:val="en-US"/>
        </w:rPr>
        <w:t>by</w:t>
      </w:r>
      <w:r w:rsidR="00656652">
        <w:rPr>
          <w:rFonts w:ascii="Times New Roman" w:hAnsi="Times New Roman"/>
          <w:sz w:val="24"/>
          <w:lang w:val="en-US"/>
        </w:rPr>
        <w:t xml:space="preserve"> 3.</w:t>
      </w:r>
      <w:r w:rsidR="00AC355B" w:rsidRPr="00656652">
        <w:rPr>
          <w:rFonts w:ascii="Times New Roman" w:hAnsi="Times New Roman"/>
          <w:sz w:val="24"/>
          <w:lang w:val="en-US"/>
        </w:rPr>
        <w:t xml:space="preserve">5%), </w:t>
      </w:r>
      <w:r w:rsidR="00656652">
        <w:rPr>
          <w:rFonts w:ascii="Times New Roman" w:hAnsi="Times New Roman"/>
          <w:sz w:val="24"/>
          <w:lang w:val="en-US"/>
        </w:rPr>
        <w:t>and the price of paid services</w:t>
      </w:r>
      <w:r w:rsidR="00AC355B" w:rsidRPr="00656652">
        <w:rPr>
          <w:rFonts w:ascii="Times New Roman" w:hAnsi="Times New Roman"/>
          <w:sz w:val="24"/>
          <w:lang w:val="en-US"/>
        </w:rPr>
        <w:t xml:space="preserve"> – </w:t>
      </w:r>
      <w:r w:rsidR="00102908" w:rsidRPr="00656652">
        <w:rPr>
          <w:rFonts w:ascii="Times New Roman" w:hAnsi="Times New Roman"/>
          <w:sz w:val="24"/>
          <w:lang w:val="en-US"/>
        </w:rPr>
        <w:t>by</w:t>
      </w:r>
      <w:r w:rsidR="00AC355B" w:rsidRPr="00656652">
        <w:rPr>
          <w:rFonts w:ascii="Times New Roman" w:hAnsi="Times New Roman"/>
          <w:sz w:val="24"/>
          <w:lang w:val="en-US"/>
        </w:rPr>
        <w:t xml:space="preserve"> </w:t>
      </w:r>
      <w:r w:rsidR="00656652">
        <w:rPr>
          <w:rFonts w:ascii="Times New Roman" w:hAnsi="Times New Roman"/>
          <w:sz w:val="24"/>
          <w:lang w:val="en-US"/>
        </w:rPr>
        <w:t>9.</w:t>
      </w:r>
      <w:r w:rsidR="00AC355B" w:rsidRPr="00656652">
        <w:rPr>
          <w:rFonts w:ascii="Times New Roman" w:hAnsi="Times New Roman"/>
          <w:sz w:val="24"/>
          <w:lang w:val="en-US"/>
        </w:rPr>
        <w:t>7% (</w:t>
      </w:r>
      <w:r w:rsidR="00102908" w:rsidRPr="00656652">
        <w:rPr>
          <w:rFonts w:ascii="Times New Roman" w:hAnsi="Times New Roman"/>
          <w:sz w:val="24"/>
          <w:lang w:val="en-US"/>
        </w:rPr>
        <w:t>by</w:t>
      </w:r>
      <w:r w:rsidR="00656652">
        <w:rPr>
          <w:rFonts w:ascii="Times New Roman" w:hAnsi="Times New Roman"/>
          <w:sz w:val="24"/>
          <w:lang w:val="en-US"/>
        </w:rPr>
        <w:t xml:space="preserve"> 9.</w:t>
      </w:r>
      <w:r w:rsidR="00AC355B" w:rsidRPr="00656652">
        <w:rPr>
          <w:rFonts w:ascii="Times New Roman" w:hAnsi="Times New Roman"/>
          <w:sz w:val="24"/>
          <w:lang w:val="en-US"/>
        </w:rPr>
        <w:t>3%).</w:t>
      </w:r>
    </w:p>
    <w:p w:rsidR="0017242A" w:rsidRPr="0048390B" w:rsidRDefault="0048390B" w:rsidP="0017242A">
      <w:pPr>
        <w:pStyle w:val="a5"/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Balance of Payments and External Debt in the First Half of </w:t>
      </w:r>
      <w:r w:rsidR="00052698" w:rsidRPr="0048390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2013</w:t>
      </w:r>
      <w:r w:rsidR="0017242A" w:rsidRPr="0048390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</w:p>
    <w:p w:rsidR="0017242A" w:rsidRPr="00656652" w:rsidRDefault="00656652" w:rsidP="001724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Trade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operations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resulted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significant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decrease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current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account surplus </w:t>
      </w:r>
      <w:r w:rsidR="00133F00">
        <w:rPr>
          <w:rFonts w:ascii="Times New Roman" w:eastAsia="Times New Roman" w:hAnsi="Times New Roman"/>
          <w:sz w:val="24"/>
          <w:szCs w:val="24"/>
          <w:lang w:val="en-US" w:eastAsia="ru-RU"/>
        </w:rPr>
        <w:t>for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first half of 2013 versus the corresponding indicator </w:t>
      </w:r>
      <w:r w:rsidR="00133F00">
        <w:rPr>
          <w:rFonts w:ascii="Times New Roman" w:eastAsia="Times New Roman" w:hAnsi="Times New Roman"/>
          <w:sz w:val="24"/>
          <w:szCs w:val="24"/>
          <w:lang w:val="en-US" w:eastAsia="ru-RU"/>
        </w:rPr>
        <w:t>for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first half of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2012 </w:t>
      </w:r>
      <w:r w:rsidR="00102908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63.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>3%</w:t>
      </w:r>
      <w:r w:rsidR="0017242A" w:rsidRPr="00D053E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"/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17242A" w:rsidRPr="00656652" w:rsidRDefault="00656652" w:rsidP="0017242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The</w:t>
      </w:r>
      <w:r w:rsidRPr="00656652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current</w:t>
      </w:r>
      <w:r w:rsidRPr="00656652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account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surplus in the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52698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 w:rsidRPr="00656652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half of</w:t>
      </w:r>
      <w:r w:rsidR="00052698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2013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amounted to US$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E104DD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versus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US$ 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1</w:t>
      </w:r>
      <w:r w:rsidRPr="00656652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st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half of 2012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while in the 2</w:t>
      </w:r>
      <w:r w:rsidRPr="00656652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nd</w:t>
      </w:r>
      <w:r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quarter of 2013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current account had been negative amounting to US$  224.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mln</w:t>
      </w:r>
      <w:proofErr w:type="spellEnd"/>
      <w:r w:rsidR="009959E7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17242A" w:rsidRPr="00A85D53" w:rsidRDefault="000A2E44" w:rsidP="0017242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During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</w:t>
      </w:r>
      <w:r w:rsidRPr="000A2E44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st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half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2013,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world price of oil (Brent) was US$ 108.0 per barrel on average, being </w:t>
      </w:r>
      <w:r w:rsidR="00102908"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5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7242A"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1% 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less than its average</w:t>
      </w:r>
      <w:r w:rsidR="0017242A"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 the 1</w:t>
      </w:r>
      <w:r w:rsidRPr="000A2E44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st</w:t>
      </w:r>
      <w:r w:rsidR="00656652"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half of 2012</w:t>
      </w:r>
      <w:r w:rsidR="0017242A"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US$ 113.</w:t>
      </w:r>
      <w:r w:rsidR="0017242A"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per barrel</w:t>
      </w:r>
      <w:r w:rsidR="0017242A"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With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7.0%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decrease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exports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goods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r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10.</w:t>
      </w:r>
      <w:r w:rsidR="0017242A"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9%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increase in the imports of goods, the trade surplus decreased </w:t>
      </w:r>
      <w:r w:rsidR="00102908"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23.2%, exceeding US$ 17.</w:t>
      </w:r>
      <w:r w:rsidR="0017242A"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17242A" w:rsidRPr="000A2E4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US</w:t>
      </w:r>
      <w:r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$ 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>23</w:t>
      </w:r>
      <w:r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</w:t>
      </w:r>
      <w:r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>in the 1</w:t>
      </w:r>
      <w:r w:rsidRPr="000A2E44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st</w:t>
      </w:r>
      <w:r w:rsidR="00656652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half of 2012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>).</w:t>
      </w:r>
      <w:proofErr w:type="gramEnd"/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17242A" w:rsidRPr="00A85D53" w:rsidRDefault="00A85D53" w:rsidP="001724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A negative balance of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primary income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which amounted to US$ 12.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bln.,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decreased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17.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5%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mainly because of decreased payouts of returns on direct investments to foreign direct investors from US$ 13.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E104DD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proofErr w:type="gramEnd"/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1</w:t>
      </w:r>
      <w:r w:rsidR="00760F85" w:rsidRPr="00760F85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st</w:t>
      </w:r>
      <w:r w:rsidR="00656652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half of 2012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to US$ 11.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1</w:t>
      </w:r>
      <w:r w:rsidRPr="00A85D5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st</w:t>
      </w:r>
      <w:r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half of 2013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r w:rsidR="00102908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13.</w:t>
      </w:r>
      <w:r w:rsidR="0017242A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7%). </w:t>
      </w:r>
    </w:p>
    <w:p w:rsidR="0017242A" w:rsidRPr="00B84753" w:rsidRDefault="00B84753" w:rsidP="001724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40024">
        <w:rPr>
          <w:rFonts w:ascii="Times New Roman" w:hAnsi="Times New Roman"/>
          <w:sz w:val="24"/>
          <w:szCs w:val="24"/>
          <w:lang w:val="en-US"/>
        </w:rPr>
        <w:t xml:space="preserve">On other current account components, negative imbalances of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international services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secondary income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40024">
        <w:rPr>
          <w:rFonts w:ascii="Times New Roman" w:hAnsi="Times New Roman"/>
          <w:sz w:val="24"/>
          <w:szCs w:val="24"/>
          <w:lang w:val="en-US"/>
        </w:rPr>
        <w:t>amounted to US</w:t>
      </w:r>
      <w:proofErr w:type="gramStart"/>
      <w:r w:rsidRPr="00A40024">
        <w:rPr>
          <w:rFonts w:ascii="Times New Roman" w:hAnsi="Times New Roman"/>
          <w:sz w:val="24"/>
          <w:szCs w:val="24"/>
          <w:lang w:val="en-US"/>
        </w:rPr>
        <w:t>$</w:t>
      </w:r>
      <w:r>
        <w:rPr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3.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>3</w:t>
      </w:r>
      <w:proofErr w:type="gramEnd"/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US$ 0.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6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275CD2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>respectively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17242A" w:rsidRPr="00B84753" w:rsidRDefault="00B84753" w:rsidP="0017242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7710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balance</w:t>
      </w:r>
      <w:r w:rsidRPr="007710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on</w:t>
      </w:r>
      <w:r w:rsidRPr="007710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7710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B84753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financial account</w:t>
      </w:r>
      <w:r w:rsidRPr="007710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excluding reserve assets</w:t>
      </w:r>
      <w:r w:rsidRPr="007710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was negative and amounted to US$ 1.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positive balance of US$ 1.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33F00">
        <w:rPr>
          <w:rFonts w:ascii="Times New Roman" w:eastAsia="Times New Roman" w:hAnsi="Times New Roman"/>
          <w:sz w:val="24"/>
          <w:szCs w:val="24"/>
          <w:lang w:val="en-US" w:eastAsia="ru-RU"/>
        </w:rPr>
        <w:t>in the 1</w:t>
      </w:r>
      <w:r w:rsidR="00133F00" w:rsidRPr="00133F00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st</w:t>
      </w:r>
      <w:r w:rsidR="00656652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half of 2012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resulting from operations in the 2</w:t>
      </w:r>
      <w:r w:rsidRPr="00B8475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nd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quarter of this year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</w:p>
    <w:p w:rsidR="0017242A" w:rsidRPr="007B1903" w:rsidRDefault="00B84753" w:rsidP="0017242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</w:t>
      </w:r>
      <w:r w:rsidRPr="00B8475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Pr="00B84753">
        <w:rPr>
          <w:rFonts w:ascii="Times New Roman" w:eastAsia="Times New Roman" w:hAnsi="Times New Roman"/>
          <w:i/>
          <w:snapToGrid w:val="0"/>
          <w:sz w:val="24"/>
          <w:szCs w:val="24"/>
          <w:lang w:val="en-US" w:eastAsia="ru-RU"/>
        </w:rPr>
        <w:t>direct investments</w:t>
      </w:r>
      <w:r w:rsidRPr="00B8475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, there had been a negative balance</w:t>
      </w:r>
      <w:r w:rsidRPr="00B84753">
        <w:rPr>
          <w:rFonts w:ascii="Times New Roman" w:eastAsia="Times New Roman" w:hAnsi="Times New Roman"/>
          <w:i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 w:rsidRPr="00B8475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Pr="000A19D6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US</w:t>
      </w:r>
      <w:r w:rsidRPr="00B8475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$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4.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</w:t>
      </w:r>
      <w:r w:rsidR="009959E7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When</w:t>
      </w:r>
      <w:r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accounting</w:t>
      </w:r>
      <w:r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under</w:t>
      </w:r>
      <w:r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“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assets</w:t>
      </w:r>
      <w:r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r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liabilities</w:t>
      </w:r>
      <w:r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basis,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val="en-US" w:eastAsia="ru-RU"/>
        </w:rPr>
        <w:t>net acquisition of financial assets</w:t>
      </w:r>
      <w:r w:rsidRPr="000A19D6">
        <w:rPr>
          <w:rFonts w:ascii="Times New Roman" w:eastAsia="Times New Roman" w:hAnsi="Times New Roman"/>
          <w:i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val="en-US" w:eastAsia="ru-RU"/>
        </w:rPr>
        <w:t>on direct investments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amounted to US$ 1.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proofErr w:type="gramEnd"/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i/>
          <w:snapToGrid w:val="0"/>
          <w:sz w:val="24"/>
          <w:szCs w:val="24"/>
          <w:lang w:val="en-US" w:eastAsia="ru-RU"/>
        </w:rPr>
        <w:t xml:space="preserve">net incurred liabilities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amounted to US$ 5.</w:t>
      </w:r>
      <w:r w:rsidR="0017242A" w:rsidRPr="00B847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bln</w:t>
      </w:r>
      <w:r w:rsidR="009959E7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="00760F85" w:rsidRPr="00760F8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gross</w:t>
      </w:r>
      <w:r w:rsidR="00760F85" w:rsidRPr="00760F8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inflow</w:t>
      </w:r>
      <w:r w:rsidR="00760F85" w:rsidRPr="00760F8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of</w:t>
      </w:r>
      <w:r w:rsidR="00760F85" w:rsidRPr="00760F8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direct</w:t>
      </w:r>
      <w:r w:rsidR="00760F85" w:rsidRPr="00760F8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investments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from foreign direct investors under the “area of investment” basis decreased from US$ 16.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959E7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proofErr w:type="gramEnd"/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1</w:t>
      </w:r>
      <w:r w:rsidR="00760F85" w:rsidRPr="00760F85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st</w:t>
      </w:r>
      <w:r w:rsidR="00656652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half of 2012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to US$ 12.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6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proofErr w:type="gramEnd"/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1</w:t>
      </w:r>
      <w:r w:rsidR="00760F85" w:rsidRPr="00A85D5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st</w:t>
      </w:r>
      <w:r w:rsidR="00760F85" w:rsidRPr="00A85D5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half of 2013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="00760F85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doing</w:t>
      </w:r>
      <w:r w:rsidR="00760F85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so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="00760F85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net inflow of direct investments into Kazakhstan amounted US$ 5.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 </w:t>
      </w:r>
      <w:proofErr w:type="gramStart"/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proofErr w:type="gramEnd"/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and a net outflow abroad 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–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to US$ 1.</w:t>
      </w:r>
      <w:r w:rsidR="0017242A" w:rsidRPr="00760F8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 </w:t>
      </w:r>
      <w:r w:rsidR="00760F85">
        <w:rPr>
          <w:rFonts w:ascii="Times New Roman" w:eastAsia="Times New Roman" w:hAnsi="Times New Roman"/>
          <w:sz w:val="24"/>
          <w:szCs w:val="24"/>
          <w:lang w:val="en-US" w:eastAsia="ru-RU"/>
        </w:rPr>
        <w:t>bln</w:t>
      </w:r>
      <w:r w:rsidR="009959E7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17242A" w:rsidRPr="00F22D80" w:rsidRDefault="007B1903" w:rsidP="0017242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Portfolio</w:t>
      </w:r>
      <w:r w:rsidRPr="007B1903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investments</w:t>
      </w:r>
      <w:r w:rsidRPr="007B1903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have had a surplus of US$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bln.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as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 result of the excessive </w:t>
      </w:r>
      <w:r w:rsidR="00BE6839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 assets on portfolio investments over the </w:t>
      </w:r>
      <w:r w:rsidR="00BE6839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 relevant liabilities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Net</w:t>
      </w:r>
      <w:r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acquisition</w:t>
      </w:r>
      <w:r w:rsidR="00133F0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assets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increase in assets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on portfolio investments of US$ 5.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has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been secured by the US$ 5.1 bln. </w:t>
      </w:r>
      <w:r w:rsidR="00BE6839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foreign assets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of the National Fund of Kazakhstan</w:t>
      </w:r>
      <w:r w:rsidR="009959E7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Net</w:t>
      </w:r>
      <w:r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incurred</w:t>
      </w:r>
      <w:r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liabilities</w:t>
      </w:r>
      <w:r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</w:t>
      </w:r>
      <w:r w:rsidR="00BE6839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 liabilities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on portfolio investments of US$ 4.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resulted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from new issues of debt securities </w:t>
      </w:r>
      <w:r w:rsidR="00133F00">
        <w:rPr>
          <w:rFonts w:ascii="Times New Roman" w:eastAsia="Times New Roman" w:hAnsi="Times New Roman"/>
          <w:sz w:val="24"/>
          <w:szCs w:val="24"/>
          <w:lang w:val="en-US" w:eastAsia="ru-RU"/>
        </w:rPr>
        <w:t>worth US$</w:t>
      </w:r>
      <w:r w:rsidR="00133F00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425 </w:t>
      </w:r>
      <w:proofErr w:type="spellStart"/>
      <w:r w:rsidR="00133F00">
        <w:rPr>
          <w:rFonts w:ascii="Times New Roman" w:eastAsia="Times New Roman" w:hAnsi="Times New Roman"/>
          <w:sz w:val="24"/>
          <w:szCs w:val="24"/>
          <w:lang w:val="en-US" w:eastAsia="ru-RU"/>
        </w:rPr>
        <w:t>mln</w:t>
      </w:r>
      <w:proofErr w:type="spellEnd"/>
      <w:r w:rsidR="00133F0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by the Development Bank of Kazakhstan in the first quarter of </w:t>
      </w:r>
      <w:r w:rsidR="002A1C5F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>2013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 and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 the 2</w:t>
      </w:r>
      <w:r w:rsidRPr="007B190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nd</w:t>
      </w:r>
      <w:r w:rsidR="00656652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quarter of 2013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by the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National Company “</w:t>
      </w:r>
      <w:proofErr w:type="spellStart"/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KazMunaiGas</w:t>
      </w:r>
      <w:proofErr w:type="spellEnd"/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”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US$ 3.</w:t>
      </w:r>
      <w:r w:rsidR="0017242A" w:rsidRPr="0065665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National Management Holding Company “</w:t>
      </w:r>
      <w:proofErr w:type="spellStart"/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KazAgro</w:t>
      </w:r>
      <w:proofErr w:type="spellEnd"/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–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US$ 1.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</w:t>
      </w:r>
      <w:r w:rsidR="0017242A" w:rsidRPr="007B190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“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Eastcomtrans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” LLP </w:t>
      </w:r>
      <w:r w:rsidR="00F22D80">
        <w:rPr>
          <w:rFonts w:ascii="Times New Roman" w:eastAsia="Times New Roman" w:hAnsi="Times New Roman"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F22D80">
        <w:rPr>
          <w:rFonts w:ascii="Times New Roman" w:eastAsia="Times New Roman" w:hAnsi="Times New Roman"/>
          <w:sz w:val="24"/>
          <w:szCs w:val="24"/>
          <w:lang w:val="en-US" w:eastAsia="ru-RU"/>
        </w:rPr>
        <w:t>US$</w:t>
      </w:r>
      <w:r w:rsidR="0017242A" w:rsidRPr="00F22D8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100 </w:t>
      </w:r>
      <w:proofErr w:type="spellStart"/>
      <w:r w:rsidR="00F22D80">
        <w:rPr>
          <w:rFonts w:ascii="Times New Roman" w:eastAsia="Times New Roman" w:hAnsi="Times New Roman"/>
          <w:sz w:val="24"/>
          <w:szCs w:val="24"/>
          <w:lang w:val="en-US" w:eastAsia="ru-RU"/>
        </w:rPr>
        <w:t>mln</w:t>
      </w:r>
      <w:proofErr w:type="spellEnd"/>
      <w:r w:rsidR="009959E7" w:rsidRPr="00F22D80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17242A" w:rsidRPr="00F22D80" w:rsidRDefault="00F22D80" w:rsidP="00172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At</w:t>
      </w:r>
      <w:r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June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 30</w:t>
      </w:r>
      <w:r w:rsidRPr="00F22D80">
        <w:rPr>
          <w:rFonts w:ascii="Times New Roman" w:hAnsi="Times New Roman"/>
          <w:sz w:val="24"/>
          <w:szCs w:val="24"/>
          <w:lang w:val="en-US"/>
        </w:rPr>
        <w:t>,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 2013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country</w:t>
      </w:r>
      <w:r w:rsidRPr="00F22D80"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external</w:t>
      </w:r>
      <w:r w:rsidRPr="00F22D80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debt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totaled</w:t>
      </w:r>
      <w:r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US</w:t>
      </w:r>
      <w:r w:rsidRPr="00F22D80">
        <w:rPr>
          <w:rFonts w:ascii="Times New Roman" w:hAnsi="Times New Roman"/>
          <w:sz w:val="24"/>
          <w:szCs w:val="24"/>
          <w:lang w:val="en-US"/>
        </w:rPr>
        <w:t>$ 145.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4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bln</w:t>
      </w:r>
      <w:r w:rsidRPr="00F22D80">
        <w:rPr>
          <w:rFonts w:ascii="Times New Roman" w:hAnsi="Times New Roman"/>
          <w:sz w:val="24"/>
          <w:szCs w:val="24"/>
          <w:lang w:val="en-US"/>
        </w:rPr>
        <w:t>.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which</w:t>
      </w:r>
      <w:r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US</w:t>
      </w:r>
      <w:r w:rsidRPr="00F22D80">
        <w:rPr>
          <w:rFonts w:ascii="Times New Roman" w:hAnsi="Times New Roman"/>
          <w:sz w:val="24"/>
          <w:szCs w:val="24"/>
          <w:lang w:val="en-US"/>
        </w:rPr>
        <w:t>$ 5.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sz w:val="24"/>
          <w:szCs w:val="24"/>
          <w:lang w:val="en-US"/>
        </w:rPr>
        <w:t>bln</w:t>
      </w:r>
      <w:r w:rsidRPr="00F22D8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or</w:t>
      </w:r>
      <w:proofErr w:type="gramEnd"/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 4% </w:t>
      </w:r>
      <w:r>
        <w:rPr>
          <w:rFonts w:ascii="Times New Roman" w:hAnsi="Times New Roman"/>
          <w:sz w:val="24"/>
          <w:szCs w:val="24"/>
          <w:lang w:val="en-US"/>
        </w:rPr>
        <w:t>is represented by the government sector’s</w:t>
      </w:r>
      <w:r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external</w:t>
      </w:r>
      <w:r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debt</w:t>
      </w:r>
      <w:r w:rsidRPr="00F22D8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liabilities of the Government and the National Bank of Kazakhstan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/>
          <w:sz w:val="24"/>
          <w:szCs w:val="24"/>
          <w:lang w:val="en-US"/>
        </w:rPr>
        <w:t>intercompany debt amounts to US$ 70.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9 </w:t>
      </w:r>
      <w:r>
        <w:rPr>
          <w:rFonts w:ascii="Times New Roman" w:hAnsi="Times New Roman"/>
          <w:sz w:val="24"/>
          <w:szCs w:val="24"/>
          <w:lang w:val="en-US"/>
        </w:rPr>
        <w:t>bln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or</w:t>
      </w:r>
      <w:proofErr w:type="gramEnd"/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 49%, </w:t>
      </w:r>
      <w:r>
        <w:rPr>
          <w:rFonts w:ascii="Times New Roman" w:hAnsi="Times New Roman"/>
          <w:sz w:val="24"/>
          <w:szCs w:val="24"/>
          <w:lang w:val="en-US"/>
        </w:rPr>
        <w:t>and the banking sector’s debt amounts to US$ 11.</w:t>
      </w:r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/>
          <w:sz w:val="24"/>
          <w:szCs w:val="24"/>
          <w:lang w:val="en-US"/>
        </w:rPr>
        <w:t xml:space="preserve">bln.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or</w:t>
      </w:r>
      <w:proofErr w:type="gramEnd"/>
      <w:r w:rsidR="0017242A" w:rsidRPr="00F22D80">
        <w:rPr>
          <w:rFonts w:ascii="Times New Roman" w:hAnsi="Times New Roman"/>
          <w:sz w:val="24"/>
          <w:szCs w:val="24"/>
          <w:lang w:val="en-US"/>
        </w:rPr>
        <w:t xml:space="preserve"> 8%.</w:t>
      </w:r>
    </w:p>
    <w:p w:rsidR="0017242A" w:rsidRPr="003508EE" w:rsidRDefault="000B417E" w:rsidP="00172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During the 2</w:t>
      </w:r>
      <w:r w:rsidRPr="000B417E">
        <w:rPr>
          <w:rFonts w:ascii="Times New Roman" w:hAnsi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/>
          <w:sz w:val="24"/>
          <w:szCs w:val="24"/>
          <w:lang w:val="en-US"/>
        </w:rPr>
        <w:t xml:space="preserve"> quarter of</w:t>
      </w:r>
      <w:r w:rsidR="0017242A" w:rsidRPr="000B417E">
        <w:rPr>
          <w:rFonts w:ascii="Times New Roman" w:hAnsi="Times New Roman"/>
          <w:sz w:val="24"/>
          <w:szCs w:val="24"/>
          <w:lang w:val="en-US"/>
        </w:rPr>
        <w:t xml:space="preserve"> 2013 </w:t>
      </w:r>
      <w:r>
        <w:rPr>
          <w:rFonts w:ascii="Times New Roman" w:hAnsi="Times New Roman"/>
          <w:sz w:val="24"/>
          <w:szCs w:val="24"/>
          <w:lang w:val="en-US"/>
        </w:rPr>
        <w:t>the external debt increased</w:t>
      </w:r>
      <w:r w:rsidR="0017242A" w:rsidRPr="000B417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2908" w:rsidRPr="000B417E">
        <w:rPr>
          <w:rFonts w:ascii="Times New Roman" w:hAnsi="Times New Roman"/>
          <w:sz w:val="24"/>
          <w:szCs w:val="24"/>
          <w:lang w:val="en-US"/>
        </w:rPr>
        <w:t>by</w:t>
      </w:r>
      <w:r w:rsidR="0017242A" w:rsidRPr="000B417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US$ 5.</w:t>
      </w:r>
      <w:r w:rsidR="0017242A" w:rsidRPr="000B417E">
        <w:rPr>
          <w:rFonts w:ascii="Times New Roman" w:hAnsi="Times New Roman"/>
          <w:sz w:val="24"/>
          <w:szCs w:val="24"/>
          <w:lang w:val="en-US"/>
        </w:rPr>
        <w:t xml:space="preserve">8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bln.</w:t>
      </w:r>
      <w:r w:rsidR="0017242A" w:rsidRPr="000B417E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="0017242A" w:rsidRPr="000B417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mainly due to the </w:t>
      </w:r>
      <w:r w:rsidR="00BE6839" w:rsidRPr="000B417E">
        <w:rPr>
          <w:rFonts w:ascii="Times New Roman" w:hAnsi="Times New Roman"/>
          <w:sz w:val="24"/>
          <w:szCs w:val="24"/>
          <w:lang w:val="en-US"/>
        </w:rPr>
        <w:t>growth</w:t>
      </w:r>
      <w:r>
        <w:rPr>
          <w:rFonts w:ascii="Times New Roman" w:hAnsi="Times New Roman"/>
          <w:sz w:val="24"/>
          <w:szCs w:val="24"/>
          <w:lang w:val="en-US"/>
        </w:rPr>
        <w:t xml:space="preserve"> in the external </w:t>
      </w:r>
      <w:r w:rsidR="003508EE">
        <w:rPr>
          <w:rFonts w:ascii="Times New Roman" w:hAnsi="Times New Roman"/>
          <w:sz w:val="24"/>
          <w:szCs w:val="24"/>
          <w:lang w:val="en-US"/>
        </w:rPr>
        <w:t>indebtedness</w:t>
      </w:r>
      <w:r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3508EE">
        <w:rPr>
          <w:rFonts w:ascii="Times New Roman" w:hAnsi="Times New Roman"/>
          <w:sz w:val="24"/>
          <w:szCs w:val="24"/>
          <w:lang w:val="en-US"/>
        </w:rPr>
        <w:t>“Other sectors”</w:t>
      </w:r>
      <w:r w:rsidR="0017242A" w:rsidRPr="000B417E">
        <w:rPr>
          <w:rFonts w:ascii="Times New Roman" w:hAnsi="Times New Roman"/>
          <w:sz w:val="24"/>
          <w:szCs w:val="24"/>
          <w:lang w:val="en-US"/>
        </w:rPr>
        <w:t xml:space="preserve"> (+</w:t>
      </w:r>
      <w:r w:rsidR="003508EE">
        <w:rPr>
          <w:rFonts w:ascii="Times New Roman" w:hAnsi="Times New Roman"/>
          <w:sz w:val="24"/>
          <w:szCs w:val="24"/>
          <w:lang w:val="en-US"/>
        </w:rPr>
        <w:t>US$ 5.</w:t>
      </w:r>
      <w:r w:rsidR="0017242A" w:rsidRPr="000B417E">
        <w:rPr>
          <w:rFonts w:ascii="Times New Roman" w:hAnsi="Times New Roman"/>
          <w:sz w:val="24"/>
          <w:szCs w:val="24"/>
          <w:lang w:val="en-US"/>
        </w:rPr>
        <w:t xml:space="preserve">5 </w:t>
      </w:r>
      <w:r w:rsidR="003508EE">
        <w:rPr>
          <w:rFonts w:ascii="Times New Roman" w:hAnsi="Times New Roman"/>
          <w:sz w:val="24"/>
          <w:szCs w:val="24"/>
          <w:lang w:val="en-US"/>
        </w:rPr>
        <w:t>bln.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 xml:space="preserve">). </w:t>
      </w:r>
      <w:r w:rsidR="00133F00">
        <w:rPr>
          <w:rFonts w:ascii="Times New Roman" w:hAnsi="Times New Roman"/>
          <w:sz w:val="24"/>
          <w:szCs w:val="24"/>
          <w:lang w:val="en-US"/>
        </w:rPr>
        <w:t>Growth was also observed</w:t>
      </w:r>
      <w:r w:rsidR="003508EE">
        <w:rPr>
          <w:rFonts w:ascii="Times New Roman" w:hAnsi="Times New Roman"/>
          <w:sz w:val="24"/>
          <w:szCs w:val="24"/>
          <w:lang w:val="en-US"/>
        </w:rPr>
        <w:t xml:space="preserve"> in the intercompany debt 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>(+</w:t>
      </w:r>
      <w:r w:rsidR="003508EE">
        <w:rPr>
          <w:rFonts w:ascii="Times New Roman" w:hAnsi="Times New Roman"/>
          <w:sz w:val="24"/>
          <w:szCs w:val="24"/>
          <w:lang w:val="en-US"/>
        </w:rPr>
        <w:t>US$ 1.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 xml:space="preserve">3 </w:t>
      </w:r>
      <w:r w:rsidR="003508EE">
        <w:rPr>
          <w:rFonts w:ascii="Times New Roman" w:hAnsi="Times New Roman"/>
          <w:sz w:val="24"/>
          <w:szCs w:val="24"/>
          <w:lang w:val="en-US"/>
        </w:rPr>
        <w:t>bln.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 xml:space="preserve">), </w:t>
      </w:r>
      <w:r w:rsidR="003508EE">
        <w:rPr>
          <w:rFonts w:ascii="Times New Roman" w:hAnsi="Times New Roman"/>
          <w:sz w:val="24"/>
          <w:szCs w:val="24"/>
          <w:lang w:val="en-US"/>
        </w:rPr>
        <w:t xml:space="preserve">which was partially offset by the decreased external debt of “Banks” 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>(-</w:t>
      </w:r>
      <w:r w:rsidR="003508EE">
        <w:rPr>
          <w:rFonts w:ascii="Times New Roman" w:hAnsi="Times New Roman"/>
          <w:sz w:val="24"/>
          <w:szCs w:val="24"/>
          <w:lang w:val="en-US"/>
        </w:rPr>
        <w:t>US$ 1.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 xml:space="preserve">2 </w:t>
      </w:r>
      <w:r w:rsidR="003508EE">
        <w:rPr>
          <w:rFonts w:ascii="Times New Roman" w:hAnsi="Times New Roman"/>
          <w:sz w:val="24"/>
          <w:szCs w:val="24"/>
          <w:lang w:val="en-US"/>
        </w:rPr>
        <w:t>bln.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 xml:space="preserve">). </w:t>
      </w:r>
    </w:p>
    <w:p w:rsidR="0017242A" w:rsidRPr="00646397" w:rsidRDefault="003508EE" w:rsidP="00172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Such</w:t>
      </w:r>
      <w:r w:rsidRPr="003508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decrease</w:t>
      </w:r>
      <w:r w:rsidRPr="003508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was</w:t>
      </w:r>
      <w:r w:rsidRPr="003508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mainly</w:t>
      </w:r>
      <w:r w:rsidRPr="003508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caused</w:t>
      </w:r>
      <w:r w:rsidRPr="003508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by</w:t>
      </w:r>
      <w:r w:rsidRPr="003508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3508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repayment of Euro bonds in the 2</w:t>
      </w:r>
      <w:r w:rsidRPr="003508EE">
        <w:rPr>
          <w:rFonts w:ascii="Times New Roman" w:hAnsi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/>
          <w:sz w:val="24"/>
          <w:szCs w:val="24"/>
          <w:lang w:val="en-US"/>
        </w:rPr>
        <w:t xml:space="preserve"> quarter of 2013 by such banks as ATF Bank,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Kazcommertsbank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Bank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CenterCredit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Halyk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Bank 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totaling US$ 0.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/>
          <w:sz w:val="24"/>
          <w:szCs w:val="24"/>
          <w:lang w:val="en-US"/>
        </w:rPr>
        <w:t>bln.</w:t>
      </w:r>
      <w:r w:rsidR="00133F00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as well as by the decreased value of international bonds issued by the banking sector of Kazakhstan</w:t>
      </w:r>
      <w:r w:rsidR="006463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as a result of exchange rate fluctuations 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>(-</w:t>
      </w:r>
      <w:r>
        <w:rPr>
          <w:rFonts w:ascii="Times New Roman" w:hAnsi="Times New Roman"/>
          <w:sz w:val="24"/>
          <w:szCs w:val="24"/>
          <w:lang w:val="en-US"/>
        </w:rPr>
        <w:t>US$ 0.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sz w:val="24"/>
          <w:szCs w:val="24"/>
          <w:lang w:val="en-US"/>
        </w:rPr>
        <w:t>bln</w:t>
      </w:r>
      <w:r w:rsidR="0017242A" w:rsidRPr="003508EE">
        <w:rPr>
          <w:rFonts w:ascii="Times New Roman" w:hAnsi="Times New Roman"/>
          <w:sz w:val="24"/>
          <w:szCs w:val="24"/>
          <w:lang w:val="en-US"/>
        </w:rPr>
        <w:t>.</w:t>
      </w:r>
      <w:r w:rsidR="0017242A" w:rsidRPr="00646397">
        <w:rPr>
          <w:rFonts w:ascii="Times New Roman" w:hAnsi="Times New Roman"/>
          <w:sz w:val="24"/>
          <w:szCs w:val="24"/>
          <w:lang w:val="en-US"/>
        </w:rPr>
        <w:t xml:space="preserve">). </w:t>
      </w:r>
    </w:p>
    <w:p w:rsidR="0017242A" w:rsidRPr="00646397" w:rsidRDefault="00646397" w:rsidP="006463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</w:t>
      </w:r>
      <w:r w:rsidRPr="006463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increase</w:t>
      </w:r>
      <w:r w:rsidRPr="006463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6463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6463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external</w:t>
      </w:r>
      <w:r w:rsidRPr="006463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debt</w:t>
      </w:r>
      <w:r w:rsidRPr="006463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646397">
        <w:rPr>
          <w:rFonts w:ascii="Times New Roman" w:hAnsi="Times New Roman"/>
          <w:sz w:val="24"/>
          <w:szCs w:val="24"/>
          <w:lang w:val="en-US"/>
        </w:rPr>
        <w:t xml:space="preserve"> “</w:t>
      </w:r>
      <w:r>
        <w:rPr>
          <w:rFonts w:ascii="Times New Roman" w:hAnsi="Times New Roman"/>
          <w:sz w:val="24"/>
          <w:szCs w:val="24"/>
          <w:lang w:val="en-US"/>
        </w:rPr>
        <w:t>Other</w:t>
      </w:r>
      <w:r w:rsidRPr="006463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sectors</w:t>
      </w:r>
      <w:r w:rsidRPr="00646397">
        <w:rPr>
          <w:rFonts w:ascii="Times New Roman" w:hAnsi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6463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6463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second quarter of 2013 occurred mainly due to the issue of Euro bonds by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 National Company “</w:t>
      </w:r>
      <w:proofErr w:type="spellStart"/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KazMunaiGas</w:t>
      </w:r>
      <w:proofErr w:type="spellEnd"/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” and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lastRenderedPageBreak/>
        <w:t>National Management Holding Company “</w:t>
      </w:r>
      <w:proofErr w:type="spellStart"/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KazAgro</w:t>
      </w:r>
      <w:proofErr w:type="spellEnd"/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”,</w:t>
      </w:r>
      <w:r w:rsidRPr="00F95D7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totaling </w:t>
      </w:r>
      <w:r w:rsidRPr="00F95D7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US$ 4.</w:t>
      </w:r>
      <w:r w:rsidRPr="00F95D7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0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bln as well as by the continuing draw down of foreign loans by the residents</w:t>
      </w:r>
      <w:r w:rsidR="0017242A" w:rsidRPr="00646397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US$ 2.</w:t>
      </w:r>
      <w:r w:rsidR="0017242A" w:rsidRPr="00646397">
        <w:rPr>
          <w:rFonts w:ascii="Times New Roman" w:hAnsi="Times New Roman"/>
          <w:sz w:val="24"/>
          <w:szCs w:val="24"/>
          <w:lang w:val="en-US"/>
        </w:rPr>
        <w:t xml:space="preserve">8 </w:t>
      </w:r>
      <w:r>
        <w:rPr>
          <w:rFonts w:ascii="Times New Roman" w:hAnsi="Times New Roman"/>
          <w:sz w:val="24"/>
          <w:szCs w:val="24"/>
          <w:lang w:val="en-US"/>
        </w:rPr>
        <w:t>bln.</w:t>
      </w:r>
      <w:r w:rsidR="0017242A" w:rsidRPr="00646397">
        <w:rPr>
          <w:rFonts w:ascii="Times New Roman" w:hAnsi="Times New Roman"/>
          <w:sz w:val="24"/>
          <w:szCs w:val="24"/>
          <w:lang w:val="en-US"/>
        </w:rPr>
        <w:t xml:space="preserve">). </w:t>
      </w:r>
    </w:p>
    <w:p w:rsidR="0017242A" w:rsidRPr="002E1417" w:rsidRDefault="002E1417" w:rsidP="00172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As</w:t>
      </w:r>
      <w:r w:rsidRPr="002E141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2E141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2E141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intercompany</w:t>
      </w:r>
      <w:r w:rsidRPr="002E141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debt</w:t>
      </w:r>
      <w:r w:rsidR="0017242A" w:rsidRPr="002E1417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its</w:t>
      </w:r>
      <w:r w:rsidR="0017242A" w:rsidRPr="002E14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6839" w:rsidRPr="002E1417">
        <w:rPr>
          <w:rFonts w:ascii="Times New Roman" w:hAnsi="Times New Roman"/>
          <w:sz w:val="24"/>
          <w:szCs w:val="24"/>
          <w:lang w:val="en-US"/>
        </w:rPr>
        <w:t>growth</w:t>
      </w:r>
      <w:r w:rsidR="0017242A" w:rsidRPr="002E141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was primarily </w:t>
      </w:r>
      <w:r w:rsidR="00133F00">
        <w:rPr>
          <w:rFonts w:ascii="Times New Roman" w:hAnsi="Times New Roman"/>
          <w:sz w:val="24"/>
          <w:szCs w:val="24"/>
          <w:lang w:val="en-US"/>
        </w:rPr>
        <w:t>induc</w:t>
      </w:r>
      <w:r>
        <w:rPr>
          <w:rFonts w:ascii="Times New Roman" w:hAnsi="Times New Roman"/>
          <w:sz w:val="24"/>
          <w:szCs w:val="24"/>
          <w:lang w:val="en-US"/>
        </w:rPr>
        <w:t>ed by the funding provide</w:t>
      </w:r>
      <w:r w:rsidR="00133F00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lang w:val="en-US"/>
        </w:rPr>
        <w:t xml:space="preserve"> by parent companies to their branches implementing oil and gas projects within Kazakhstan</w:t>
      </w:r>
      <w:r w:rsidR="0017242A" w:rsidRPr="002E1417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US$ 1.</w:t>
      </w:r>
      <w:r w:rsidR="0017242A" w:rsidRPr="002E1417">
        <w:rPr>
          <w:rFonts w:ascii="Times New Roman" w:hAnsi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sz w:val="24"/>
          <w:szCs w:val="24"/>
          <w:lang w:val="en-US"/>
        </w:rPr>
        <w:t>bln.</w:t>
      </w:r>
      <w:r w:rsidR="0017242A" w:rsidRPr="002E1417">
        <w:rPr>
          <w:rFonts w:ascii="Times New Roman" w:hAnsi="Times New Roman"/>
          <w:sz w:val="24"/>
          <w:szCs w:val="24"/>
          <w:lang w:val="en-US"/>
        </w:rPr>
        <w:t>).</w:t>
      </w:r>
    </w:p>
    <w:p w:rsidR="0017242A" w:rsidRPr="003125C6" w:rsidRDefault="002E1417" w:rsidP="00172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>At</w:t>
      </w:r>
      <w:r w:rsidRPr="003125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June</w:t>
      </w:r>
      <w:r w:rsidRPr="003125C6">
        <w:rPr>
          <w:rFonts w:ascii="Times New Roman" w:hAnsi="Times New Roman"/>
          <w:sz w:val="24"/>
          <w:szCs w:val="24"/>
          <w:lang w:val="en-US"/>
        </w:rPr>
        <w:t xml:space="preserve"> 30, 2013, (</w:t>
      </w:r>
      <w:r>
        <w:rPr>
          <w:rFonts w:ascii="Times New Roman" w:hAnsi="Times New Roman"/>
          <w:sz w:val="24"/>
          <w:szCs w:val="24"/>
          <w:lang w:val="en-US"/>
        </w:rPr>
        <w:t>gross</w:t>
      </w:r>
      <w:r w:rsidRPr="003125C6"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external</w:t>
      </w:r>
      <w:r w:rsidRPr="003125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debt</w:t>
      </w:r>
      <w:r w:rsidRPr="003125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3125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GDP</w:t>
      </w:r>
      <w:r w:rsidRPr="003125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was</w:t>
      </w:r>
      <w:r w:rsidRPr="003125C6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>69.</w:t>
      </w:r>
      <w:r w:rsidR="003125C6">
        <w:rPr>
          <w:rFonts w:ascii="Times New Roman" w:eastAsia="Times New Roman" w:hAnsi="Times New Roman"/>
          <w:sz w:val="24"/>
          <w:szCs w:val="24"/>
          <w:lang w:val="en-US" w:eastAsia="ru-RU"/>
        </w:rPr>
        <w:t>0%,</w:t>
      </w:r>
      <w:r w:rsidR="003125C6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3125C6" w:rsidRPr="003125C6">
        <w:rPr>
          <w:rFonts w:ascii="Times New Roman" w:hAnsi="Times New Roman"/>
          <w:sz w:val="24"/>
          <w:szCs w:val="24"/>
          <w:lang w:val="en-US"/>
        </w:rPr>
        <w:t>(</w:t>
      </w:r>
      <w:r w:rsidR="003125C6">
        <w:rPr>
          <w:rFonts w:ascii="Times New Roman" w:hAnsi="Times New Roman"/>
          <w:sz w:val="24"/>
          <w:szCs w:val="24"/>
          <w:lang w:val="en-US"/>
        </w:rPr>
        <w:t>gross</w:t>
      </w:r>
      <w:r w:rsidR="003125C6" w:rsidRPr="003125C6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3125C6">
        <w:rPr>
          <w:rFonts w:ascii="Times New Roman" w:hAnsi="Times New Roman"/>
          <w:sz w:val="24"/>
          <w:szCs w:val="24"/>
          <w:lang w:val="en-US"/>
        </w:rPr>
        <w:t>external</w:t>
      </w:r>
      <w:r w:rsidR="003125C6" w:rsidRPr="003125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25C6">
        <w:rPr>
          <w:rFonts w:ascii="Times New Roman" w:hAnsi="Times New Roman"/>
          <w:sz w:val="24"/>
          <w:szCs w:val="24"/>
          <w:lang w:val="en-US"/>
        </w:rPr>
        <w:t>debt</w:t>
      </w:r>
      <w:r w:rsidR="003125C6" w:rsidRPr="003125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25C6">
        <w:rPr>
          <w:rFonts w:ascii="Times New Roman" w:hAnsi="Times New Roman"/>
          <w:sz w:val="24"/>
          <w:szCs w:val="24"/>
          <w:lang w:val="en-US"/>
        </w:rPr>
        <w:t>to</w:t>
      </w:r>
      <w:r w:rsidR="003125C6" w:rsidRPr="003125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25C6">
        <w:rPr>
          <w:rFonts w:ascii="Times New Roman" w:hAnsi="Times New Roman"/>
          <w:sz w:val="24"/>
          <w:szCs w:val="24"/>
          <w:lang w:val="en-US"/>
        </w:rPr>
        <w:t>EGS</w:t>
      </w:r>
      <w:r w:rsid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164.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>1%</w:t>
      </w:r>
      <w:r w:rsidR="003125C6">
        <w:rPr>
          <w:rFonts w:ascii="Times New Roman" w:eastAsia="Times New Roman" w:hAnsi="Times New Roman"/>
          <w:sz w:val="24"/>
          <w:szCs w:val="24"/>
          <w:lang w:val="en-US" w:eastAsia="ru-RU"/>
        </w:rPr>
        <w:t>; gross international reserves of the National Bank exceeded short-term external debt (based on the original maturity) by 2.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 </w:t>
      </w:r>
      <w:r w:rsidR="003125C6">
        <w:rPr>
          <w:rFonts w:ascii="Times New Roman" w:eastAsia="Times New Roman" w:hAnsi="Times New Roman"/>
          <w:sz w:val="24"/>
          <w:szCs w:val="24"/>
          <w:lang w:val="en-US" w:eastAsia="ru-RU"/>
        </w:rPr>
        <w:t>times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17242A" w:rsidRPr="003125C6" w:rsidRDefault="003125C6" w:rsidP="00172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r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BE6839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country</w:t>
      </w:r>
      <w:r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foreign</w:t>
      </w:r>
      <w:r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liabilities</w:t>
      </w:r>
      <w:r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exceeded</w:t>
      </w:r>
      <w:r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BE6839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foreign assets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Kazakhstan’s net external debt which is determined as the difference between the country’s foreign liabilities and foreign assets on debt instruments increased </w:t>
      </w:r>
      <w:r w:rsidR="00102908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US$ 1.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9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bln.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during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second quarter of 2013 and amounted to US$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18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bln.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or</w:t>
      </w:r>
      <w:proofErr w:type="gramEnd"/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9%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of </w:t>
      </w:r>
      <w:r w:rsidR="00133F00">
        <w:rPr>
          <w:rFonts w:ascii="Times New Roman" w:eastAsia="Times New Roman" w:hAnsi="Times New Roman"/>
          <w:sz w:val="24"/>
          <w:szCs w:val="24"/>
          <w:lang w:val="en-US" w:eastAsia="ru-RU"/>
        </w:rPr>
        <w:t>GDP at June 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0, 2013</w:t>
      </w:r>
      <w:r w:rsidR="0017242A" w:rsidRPr="003125C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17242A" w:rsidRPr="003125C6" w:rsidRDefault="0017242A" w:rsidP="00172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val="en-US" w:eastAsia="ru-RU"/>
        </w:rPr>
      </w:pPr>
    </w:p>
    <w:p w:rsidR="0087659B" w:rsidRPr="00C50933" w:rsidRDefault="00C50933" w:rsidP="00751D8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en-US" w:eastAsia="ru-RU"/>
        </w:rPr>
      </w:pPr>
      <w:r w:rsidRPr="00524956"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>International Reserves and Monetary Aggregates</w:t>
      </w:r>
      <w:r w:rsidR="0087659B" w:rsidRPr="00C50933">
        <w:rPr>
          <w:rFonts w:ascii="Times New Roman" w:eastAsia="Times New Roman" w:hAnsi="Times New Roman"/>
          <w:b/>
          <w:snapToGrid w:val="0"/>
          <w:sz w:val="24"/>
          <w:szCs w:val="24"/>
          <w:lang w:val="en-US" w:eastAsia="ru-RU"/>
        </w:rPr>
        <w:t xml:space="preserve"> </w:t>
      </w:r>
    </w:p>
    <w:p w:rsidR="0017242A" w:rsidRPr="00C04BAD" w:rsidRDefault="0048390B" w:rsidP="00172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</w:pPr>
      <w:r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 September 2013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international reserves of the</w:t>
      </w:r>
      <w:r w:rsidR="00C50933" w:rsidRPr="003A15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National Bank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decreased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.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Gross international reserves of the</w:t>
      </w:r>
      <w:r w:rsidR="00C50933" w:rsidRPr="003A15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National Bank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decreased</w:t>
      </w:r>
      <w:r w:rsidR="00BB519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02908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by</w:t>
      </w:r>
      <w:r w:rsidR="00BB519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6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.</w:t>
      </w:r>
      <w:r w:rsidR="00BB519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5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% </w:t>
      </w:r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to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US$ 24.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2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bln.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(</w:t>
      </w:r>
      <w:proofErr w:type="gramStart"/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since</w:t>
      </w:r>
      <w:proofErr w:type="gramEnd"/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the beginning of the year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–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 decrease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33F0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14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6%).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Net</w:t>
      </w:r>
      <w:r w:rsidR="00C50933" w:rsidRPr="003A15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international reserves of the</w:t>
      </w:r>
      <w:r w:rsidR="00C50933" w:rsidRPr="003A15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National Bank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reduced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02908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by</w:t>
      </w:r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6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6%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and amounted to US$ 23.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6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bln.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(</w:t>
      </w:r>
      <w:proofErr w:type="gramStart"/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since</w:t>
      </w:r>
      <w:proofErr w:type="gramEnd"/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the beginning of the year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– 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 decrease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33F0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 w:rsid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14.</w:t>
      </w:r>
      <w:r w:rsidR="00BB519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9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%).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Foreign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exchange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sales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domestic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foreign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currency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market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,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servicing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Government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’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external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debt,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replenishment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National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Fund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’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assets, and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decreased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bank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correspondent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account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balances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with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National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Bank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denominated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foreign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currency were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partially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neutralized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by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foreign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currency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receipts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to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Government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’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accounts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with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National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Bank</w:t>
      </w:r>
      <w:r w:rsidR="0017242A" w:rsidRP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.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As a result, d</w:t>
      </w:r>
      <w:r w:rsidR="00C04BAD" w:rsidRPr="003A15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uring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September</w:t>
      </w:r>
      <w:r w:rsidR="00C04BAD" w:rsidRPr="003A1591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2013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, </w:t>
      </w:r>
      <w:r w:rsidR="00C04BAD" w:rsidRPr="003A1591">
        <w:rPr>
          <w:rFonts w:ascii="TimesNewRomanPSMT" w:hAnsi="TimesNewRomanPSMT" w:cs="TimesNewRomanPSMT"/>
          <w:sz w:val="24"/>
          <w:szCs w:val="24"/>
          <w:lang w:val="en-US"/>
        </w:rPr>
        <w:t>net currency reserves (FCC) decreased</w:t>
      </w:r>
      <w:r w:rsidR="00C04BAD" w:rsidRP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02908" w:rsidRP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by</w:t>
      </w:r>
      <w:r w:rsidR="0017242A" w:rsidRP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7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.</w:t>
      </w:r>
      <w:r w:rsidR="00BB5193" w:rsidRP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7</w:t>
      </w:r>
      <w:r w:rsidR="0017242A" w:rsidRP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%,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and assets denominated in gold decreased</w:t>
      </w:r>
      <w:r w:rsidR="00C04BAD" w:rsidRPr="004B53E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by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3.2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% </w:t>
      </w:r>
      <w:r w:rsidR="00133F0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due to</w:t>
      </w:r>
      <w:r w:rsidR="00C04BAD" w:rsidRPr="00F940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its decreased price in the global markets</w:t>
      </w:r>
      <w:r w:rsidR="0017242A" w:rsidRPr="00C04BA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. </w:t>
      </w:r>
    </w:p>
    <w:p w:rsidR="0017242A" w:rsidRPr="00C50933" w:rsidRDefault="003F3C6A" w:rsidP="00172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</w:pPr>
      <w:r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During September 2013,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Pr="003A1591">
        <w:rPr>
          <w:rFonts w:ascii="TimesNewRomanPSMT" w:hAnsi="TimesNewRomanPSMT" w:cs="TimesNewRomanPSMT"/>
          <w:sz w:val="24"/>
          <w:szCs w:val="24"/>
          <w:lang w:val="en-US"/>
        </w:rPr>
        <w:t>the country’s total international reserves including assets of the National Fund denominated in foreign currency (according to preliminary data – US$</w:t>
      </w:r>
      <w:r>
        <w:rPr>
          <w:rFonts w:ascii="TimesNewRomanPSMT" w:hAnsi="TimesNewRomanPSMT" w:cs="TimesNewRomanPSMT"/>
          <w:lang w:val="en-US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66.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6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bln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) decreased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02908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1.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1% </w:t>
      </w:r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to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US$ 90.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8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bln.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(</w:t>
      </w:r>
      <w:proofErr w:type="gramStart"/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since</w:t>
      </w:r>
      <w:proofErr w:type="gramEnd"/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the beginning of the year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– </w:t>
      </w:r>
      <w:r w:rsidR="00133F0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the </w:t>
      </w:r>
      <w:r w:rsidR="00BE6839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growth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33F0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5.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5%). </w:t>
      </w:r>
    </w:p>
    <w:p w:rsidR="0017242A" w:rsidRPr="003F3C6A" w:rsidRDefault="003F3C6A" w:rsidP="00172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</w:pPr>
      <w:r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During September 2013,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 reserve money contracted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02908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4.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3%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and amounted to KZT 2781.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8 </w:t>
      </w:r>
      <w:r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bln.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(</w:t>
      </w:r>
      <w:proofErr w:type="gramStart"/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since</w:t>
      </w:r>
      <w:proofErr w:type="gramEnd"/>
      <w:r w:rsidR="00C50933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the beginning of the year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–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contraction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33F0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3.</w:t>
      </w:r>
      <w:r w:rsidR="0017242A" w:rsidRPr="00C50933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7%). </w:t>
      </w:r>
      <w:proofErr w:type="gramStart"/>
      <w:r w:rsidRPr="003A1591">
        <w:rPr>
          <w:rFonts w:ascii="TimesNewRomanPSMT" w:hAnsi="TimesNewRomanPSMT" w:cs="TimesNewRomanPSMT"/>
          <w:sz w:val="24"/>
          <w:szCs w:val="24"/>
          <w:lang w:val="en-US"/>
        </w:rPr>
        <w:t xml:space="preserve">Narrow reserve money, i.e. reserve money excluding time deposits of banks with the National Bank, </w:t>
      </w:r>
      <w:r>
        <w:rPr>
          <w:rFonts w:ascii="TimesNewRomanPSMT" w:hAnsi="TimesNewRomanPSMT" w:cs="TimesNewRomanPSMT"/>
          <w:sz w:val="24"/>
          <w:szCs w:val="24"/>
          <w:lang w:val="en-US"/>
        </w:rPr>
        <w:t>contract</w:t>
      </w:r>
      <w:r w:rsidRPr="003A1591">
        <w:rPr>
          <w:rFonts w:ascii="TimesNewRomanPSMT" w:hAnsi="TimesNewRomanPSMT" w:cs="TimesNewRomanPSMT"/>
          <w:sz w:val="24"/>
          <w:szCs w:val="24"/>
          <w:lang w:val="en-US"/>
        </w:rPr>
        <w:t>ed</w:t>
      </w:r>
      <w:r w:rsidRPr="004B53E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02908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4.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3% </w:t>
      </w:r>
      <w:r w:rsidR="00C50933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to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KZT 2752.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3 </w:t>
      </w:r>
      <w:r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bln.</w:t>
      </w:r>
      <w:proofErr w:type="gramEnd"/>
    </w:p>
    <w:p w:rsidR="00A553B6" w:rsidRPr="00A0274C" w:rsidRDefault="003F3C6A" w:rsidP="00172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</w:pPr>
      <w:r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During August 2013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 money supply decreased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02908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2.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8% </w:t>
      </w:r>
      <w:r w:rsidR="00C50933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to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KZT 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11350.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6 </w:t>
      </w:r>
      <w:r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bln.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(</w:t>
      </w:r>
      <w:proofErr w:type="gramStart"/>
      <w:r w:rsidR="00C50933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since</w:t>
      </w:r>
      <w:proofErr w:type="gramEnd"/>
      <w:r w:rsidR="00C50933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the beginning of the year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– 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the </w:t>
      </w:r>
      <w:r w:rsidR="00BE6839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growth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33F0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7.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9%), 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 volume of cash in circulation decreased</w:t>
      </w:r>
      <w:r w:rsidR="00A0274C" w:rsidRPr="00AC6874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02908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by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0.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6% </w:t>
      </w:r>
      <w:r w:rsidR="00C50933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to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KZT 1467.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7 </w:t>
      </w:r>
      <w:r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bln.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(</w:t>
      </w:r>
      <w:proofErr w:type="gramStart"/>
      <w:r w:rsidR="00C50933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since</w:t>
      </w:r>
      <w:proofErr w:type="gramEnd"/>
      <w:r w:rsidR="00C50933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the beginning of the year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– 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 decrease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33F0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3.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9%), 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deposits in the banking system decreased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02908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by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3.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2% </w:t>
      </w:r>
      <w:r w:rsidR="00C50933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to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KZT 9882.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9 </w:t>
      </w:r>
      <w:r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bln.</w:t>
      </w:r>
      <w:r w:rsidR="0017242A" w:rsidRPr="003F3C6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(</w:t>
      </w:r>
      <w:proofErr w:type="gramStart"/>
      <w:r w:rsidR="00C50933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since</w:t>
      </w:r>
      <w:proofErr w:type="gramEnd"/>
      <w:r w:rsidR="00C50933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the beginning of the year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–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the </w:t>
      </w:r>
      <w:r w:rsidR="00BE6839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growth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33F0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of</w:t>
      </w:r>
      <w:r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9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.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9%). 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 share of deposits in the structure of money supply</w:t>
      </w:r>
      <w:r w:rsidR="00A0274C" w:rsidRPr="008B2498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increased from</w:t>
      </w:r>
      <w:r w:rsidR="00A0274C" w:rsidRPr="000F26B5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85.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5% </w:t>
      </w:r>
      <w:r w:rsidR="00940AE7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 December 2012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C50933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to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87.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1% </w:t>
      </w:r>
      <w:r w:rsidR="00A0274C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 August 2013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133F0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as a result of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="00BE6839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growth</w:t>
      </w:r>
      <w:r w:rsid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in the deposit volumes against the contraction of cash in circulation</w:t>
      </w:r>
      <w:r w:rsidR="00A553B6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.</w:t>
      </w:r>
    </w:p>
    <w:p w:rsidR="003D6A4F" w:rsidRPr="00A0274C" w:rsidRDefault="00A0274C" w:rsidP="00172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The</w:t>
      </w:r>
      <w:r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money</w:t>
      </w:r>
      <w:r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multiplier</w:t>
      </w:r>
      <w:r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increased</w:t>
      </w:r>
      <w:r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from</w:t>
      </w:r>
      <w:r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3.64 </w:t>
      </w:r>
      <w:r w:rsidRPr="004B53E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</w:t>
      </w:r>
      <w:r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 w:rsidRPr="004B53E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December</w:t>
      </w:r>
      <w:r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2012 </w:t>
      </w:r>
      <w:r w:rsidRPr="004B53ED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to</w:t>
      </w:r>
      <w:r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3.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91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at end-August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2013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as a result of outstripping rates</w:t>
      </w:r>
      <w:r w:rsidRPr="001247F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of </w:t>
      </w:r>
      <w:r w:rsidRPr="001247F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growth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in money supply versus </w:t>
      </w:r>
      <w:r w:rsidRPr="001247FA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the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rates of expansion in the reserve money recorded</w:t>
      </w:r>
      <w:r w:rsidRPr="005377CE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in</w:t>
      </w:r>
      <w:r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January-August 2013</w:t>
      </w:r>
      <w:r w:rsidR="0017242A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.</w:t>
      </w:r>
    </w:p>
    <w:p w:rsidR="0017242A" w:rsidRPr="00A0274C" w:rsidRDefault="0017242A" w:rsidP="00172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</w:pPr>
    </w:p>
    <w:p w:rsidR="0087659B" w:rsidRPr="00751D83" w:rsidRDefault="00A0274C" w:rsidP="00751D8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val="en-US" w:eastAsia="ru-RU"/>
        </w:rPr>
        <w:t>Foreign Exchange Market</w:t>
      </w:r>
      <w:r w:rsidR="0087659B" w:rsidRPr="00751D83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</w:p>
    <w:p w:rsidR="00D539A4" w:rsidRPr="00A65FBE" w:rsidRDefault="0048390B" w:rsidP="00D539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>In September 2013</w:t>
      </w:r>
      <w:r w:rsidR="00D539A4"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65FBE" w:rsidRPr="00467F27">
        <w:rPr>
          <w:rFonts w:ascii="Times New Roman" w:hAnsi="Times New Roman"/>
          <w:color w:val="000000"/>
          <w:sz w:val="24"/>
          <w:szCs w:val="24"/>
          <w:lang w:val="en-US"/>
        </w:rPr>
        <w:t>the exchange rate of the Tenge versus the US Dollar was fluctuating within KZT</w:t>
      </w:r>
      <w:r w:rsidR="00A65FBE" w:rsidRPr="00BB1F08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="00A65FB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152.90–153.81</w:t>
      </w:r>
      <w:r w:rsidR="00A65FBE" w:rsidRPr="00BB1F08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="00A65FB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per 1 US Dollar</w:t>
      </w:r>
      <w:r w:rsidR="00A65FBE" w:rsidRPr="00BB1F08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. </w:t>
      </w:r>
      <w:r w:rsidR="00A65FBE">
        <w:rPr>
          <w:rFonts w:ascii="Times New Roman" w:eastAsia="Times New Roman" w:hAnsi="Times New Roman"/>
          <w:sz w:val="24"/>
          <w:szCs w:val="24"/>
          <w:lang w:val="en-US" w:eastAsia="ru-RU"/>
        </w:rPr>
        <w:t>At</w:t>
      </w:r>
      <w:r w:rsidR="00A65FBE" w:rsidRPr="00467F2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65FBE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A65FBE" w:rsidRPr="00467F2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65FBE">
        <w:rPr>
          <w:rFonts w:ascii="Times New Roman" w:eastAsia="Times New Roman" w:hAnsi="Times New Roman"/>
          <w:sz w:val="24"/>
          <w:szCs w:val="24"/>
          <w:lang w:val="en-US" w:eastAsia="ru-RU"/>
        </w:rPr>
        <w:t>end</w:t>
      </w:r>
      <w:r w:rsidR="00A65FBE" w:rsidRPr="00467F2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65FBE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A65FBE" w:rsidRPr="00467F2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65FBE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A65FBE" w:rsidRPr="00467F2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65F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month, the exchange </w:t>
      </w:r>
      <w:r w:rsidR="00A65FBE" w:rsidRPr="00467F27">
        <w:rPr>
          <w:rFonts w:ascii="Times New Roman" w:hAnsi="Times New Roman"/>
          <w:color w:val="000000"/>
          <w:sz w:val="24"/>
          <w:szCs w:val="24"/>
          <w:lang w:val="en-US"/>
        </w:rPr>
        <w:t>rate of the Tenge</w:t>
      </w:r>
      <w:r w:rsidR="00A65FBE">
        <w:rPr>
          <w:rFonts w:ascii="Times New Roman" w:hAnsi="Times New Roman"/>
          <w:color w:val="000000"/>
          <w:sz w:val="24"/>
          <w:szCs w:val="24"/>
          <w:lang w:val="en-US"/>
        </w:rPr>
        <w:t xml:space="preserve"> was KZT</w:t>
      </w:r>
      <w:r w:rsidR="00A65FBE" w:rsidRPr="00BB1F08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153</w:t>
      </w:r>
      <w:r w:rsidR="00A65FB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.81</w:t>
      </w:r>
      <w:r w:rsidR="00A65FBE" w:rsidRPr="00BB1F08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="00A65FB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per 1 US Dollar</w:t>
      </w:r>
      <w:r w:rsidR="00D539A4"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A65FBE">
        <w:rPr>
          <w:rFonts w:ascii="Times New Roman" w:eastAsia="Times New Roman" w:hAnsi="Times New Roman"/>
          <w:sz w:val="24"/>
          <w:szCs w:val="24"/>
          <w:lang w:val="en-US" w:eastAsia="ru-RU"/>
        </w:rPr>
        <w:t>having decreased</w:t>
      </w:r>
      <w:r w:rsidR="00D539A4"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A65F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0.</w:t>
      </w:r>
      <w:r w:rsidR="00D539A4"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>7%</w:t>
      </w:r>
      <w:r w:rsidR="00275CD2"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65F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over the month </w:t>
      </w:r>
      <w:r w:rsidR="00275CD2"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r w:rsidR="00A65FBE" w:rsidRPr="00A0274C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since the beginning of the year</w:t>
      </w:r>
      <w:r w:rsidR="00275CD2"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 w:rsidR="00A65FBE">
        <w:rPr>
          <w:rFonts w:ascii="Times New Roman" w:eastAsia="Times New Roman" w:hAnsi="Times New Roman"/>
          <w:sz w:val="24"/>
          <w:szCs w:val="24"/>
          <w:lang w:val="en-US" w:eastAsia="ru-RU"/>
        </w:rPr>
        <w:t>the depreciation</w:t>
      </w:r>
      <w:r w:rsidR="00275CD2"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33F00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A65FB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2.</w:t>
      </w:r>
      <w:r w:rsidR="00275CD2"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>0%)</w:t>
      </w:r>
      <w:r w:rsidR="00D539A4" w:rsidRPr="00A65FBE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D539A4" w:rsidRPr="008D2159" w:rsidRDefault="0048390B" w:rsidP="00D539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In September 2013</w:t>
      </w:r>
      <w:r w:rsidR="00D539A4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8D2159" w:rsidRPr="00467F27">
        <w:rPr>
          <w:rFonts w:ascii="Times New Roman" w:hAnsi="Times New Roman"/>
          <w:color w:val="000000"/>
          <w:sz w:val="24"/>
          <w:szCs w:val="24"/>
          <w:lang w:val="en-US"/>
        </w:rPr>
        <w:t>the volume of stock exchange transactions at the Kazakhstan Stock Exchange including transacti</w:t>
      </w:r>
      <w:r w:rsidR="008D2159">
        <w:rPr>
          <w:rFonts w:ascii="Times New Roman" w:hAnsi="Times New Roman"/>
          <w:color w:val="000000"/>
          <w:sz w:val="24"/>
          <w:szCs w:val="24"/>
          <w:lang w:val="en-US"/>
        </w:rPr>
        <w:t>ons at supplementary auctions de</w:t>
      </w:r>
      <w:r w:rsidR="008D2159" w:rsidRPr="00467F27">
        <w:rPr>
          <w:rFonts w:ascii="Times New Roman" w:hAnsi="Times New Roman"/>
          <w:color w:val="000000"/>
          <w:sz w:val="24"/>
          <w:szCs w:val="24"/>
          <w:lang w:val="en-US"/>
        </w:rPr>
        <w:t>creased</w:t>
      </w:r>
      <w:r w:rsidR="008D2159">
        <w:rPr>
          <w:color w:val="000000"/>
          <w:lang w:val="en-US"/>
        </w:rPr>
        <w:t xml:space="preserve"> </w:t>
      </w:r>
      <w:r w:rsidR="008D2159">
        <w:rPr>
          <w:rFonts w:ascii="Times New Roman" w:eastAsia="Times New Roman" w:hAnsi="Times New Roman"/>
          <w:sz w:val="24"/>
          <w:szCs w:val="24"/>
          <w:lang w:val="en-US" w:eastAsia="ru-RU"/>
        </w:rPr>
        <w:t>as compared to August</w:t>
      </w:r>
      <w:r w:rsidR="00A553B6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2013 </w:t>
      </w:r>
      <w:r w:rsidR="00102908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42.</w:t>
      </w:r>
      <w:r w:rsidR="00A553B6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 w:rsidR="00D539A4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% </w:t>
      </w:r>
      <w:r w:rsidR="008D2159">
        <w:rPr>
          <w:rFonts w:ascii="Times New Roman" w:eastAsia="Times New Roman" w:hAnsi="Times New Roman"/>
          <w:sz w:val="24"/>
          <w:szCs w:val="24"/>
          <w:lang w:val="en-US" w:eastAsia="ru-RU"/>
        </w:rPr>
        <w:t>and amounted to US$ 3.</w:t>
      </w:r>
      <w:r w:rsidR="00D539A4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9 </w:t>
      </w:r>
      <w:r w:rsidR="008D2159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275CD2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gramStart"/>
      <w:r w:rsidR="00C50933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proofErr w:type="gramEnd"/>
      <w:r w:rsidR="00C50933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beginning of the year</w:t>
      </w:r>
      <w:r w:rsidR="00275CD2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 w:rsidR="008D2159">
        <w:rPr>
          <w:rFonts w:ascii="Times New Roman" w:eastAsia="Times New Roman" w:hAnsi="Times New Roman"/>
          <w:sz w:val="24"/>
          <w:szCs w:val="24"/>
          <w:lang w:val="en-US" w:eastAsia="ru-RU"/>
        </w:rPr>
        <w:t>US$ 40.</w:t>
      </w:r>
      <w:r w:rsidR="00275CD2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9 </w:t>
      </w:r>
      <w:r w:rsidR="008D2159">
        <w:rPr>
          <w:rFonts w:ascii="Times New Roman" w:eastAsia="Times New Roman" w:hAnsi="Times New Roman"/>
          <w:sz w:val="24"/>
          <w:szCs w:val="24"/>
          <w:lang w:val="en-US" w:eastAsia="ru-RU"/>
        </w:rPr>
        <w:t>bln</w:t>
      </w:r>
      <w:r w:rsidR="00D539A4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275CD2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).</w:t>
      </w:r>
      <w:r w:rsidR="00D539A4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 w:rsidR="008D2159" w:rsidRPr="00467F27">
        <w:rPr>
          <w:rFonts w:ascii="Times New Roman" w:hAnsi="Times New Roman"/>
          <w:sz w:val="24"/>
          <w:szCs w:val="24"/>
          <w:lang w:val="en-US"/>
        </w:rPr>
        <w:t>The transaction volume in the off-exc</w:t>
      </w:r>
      <w:r w:rsidR="008D2159">
        <w:rPr>
          <w:rFonts w:ascii="Times New Roman" w:hAnsi="Times New Roman"/>
          <w:sz w:val="24"/>
          <w:szCs w:val="24"/>
          <w:lang w:val="en-US"/>
        </w:rPr>
        <w:t>hange foreign currency market de</w:t>
      </w:r>
      <w:r w:rsidR="008D2159" w:rsidRPr="00467F27">
        <w:rPr>
          <w:rFonts w:ascii="Times New Roman" w:hAnsi="Times New Roman"/>
          <w:sz w:val="24"/>
          <w:szCs w:val="24"/>
          <w:lang w:val="en-US"/>
        </w:rPr>
        <w:t>creased</w:t>
      </w:r>
      <w:r w:rsidR="008D2159" w:rsidRPr="00D21C95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by</w:t>
      </w:r>
      <w:r w:rsidR="008D215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40.6</w:t>
      </w:r>
      <w:r w:rsidR="008D2159" w:rsidRPr="00D21C95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% </w:t>
      </w:r>
      <w:r w:rsidR="008D215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to US$ </w:t>
      </w:r>
      <w:r w:rsidR="008D2159">
        <w:rPr>
          <w:rFonts w:ascii="Times New Roman" w:eastAsia="Times New Roman" w:hAnsi="Times New Roman"/>
          <w:sz w:val="24"/>
          <w:szCs w:val="24"/>
          <w:lang w:val="en-US" w:eastAsia="ru-RU"/>
        </w:rPr>
        <w:t>1.</w:t>
      </w:r>
      <w:r w:rsidR="00D539A4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 </w:t>
      </w:r>
      <w:r w:rsidR="008D2159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proofErr w:type="gramEnd"/>
      <w:r w:rsidR="00275CD2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gramStart"/>
      <w:r w:rsidR="00C50933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proofErr w:type="gramEnd"/>
      <w:r w:rsidR="00C50933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beginning of the year</w:t>
      </w:r>
      <w:r w:rsidR="00275CD2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 w:rsidR="008D2159">
        <w:rPr>
          <w:rFonts w:ascii="Times New Roman" w:eastAsia="Times New Roman" w:hAnsi="Times New Roman"/>
          <w:sz w:val="24"/>
          <w:szCs w:val="24"/>
          <w:lang w:val="en-US" w:eastAsia="ru-RU"/>
        </w:rPr>
        <w:t>US$ 15.</w:t>
      </w:r>
      <w:r w:rsidR="00275CD2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6 </w:t>
      </w:r>
      <w:r w:rsidR="008D2159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275CD2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="00D539A4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900F7C" w:rsidRPr="00C50933" w:rsidRDefault="008D2159" w:rsidP="00D539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lastRenderedPageBreak/>
        <w:t>In general</w:t>
      </w:r>
      <w:r w:rsidRPr="006B35F2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the operations volume in the domestic foreign exchange market decreased </w:t>
      </w:r>
      <w:r w:rsidR="00102908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D539A4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4</w:t>
      </w:r>
      <w:r w:rsidR="00A553B6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A553B6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>0</w:t>
      </w:r>
      <w:r w:rsidR="00D539A4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%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as compared to August</w:t>
      </w:r>
      <w:r w:rsidR="00D539A4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2013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amounted to US$ 5.</w:t>
      </w:r>
      <w:r w:rsidR="00D539A4" w:rsidRPr="008D215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870172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gramStart"/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proofErr w:type="gramEnd"/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beginning of the year</w:t>
      </w:r>
      <w:r w:rsidR="00870172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US$ 56.</w:t>
      </w:r>
      <w:r w:rsidR="00870172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 w:rsidR="00275CD2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275CD2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="00D539A4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D539A4" w:rsidRPr="00C50933" w:rsidRDefault="00D539A4" w:rsidP="00D539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C0245" w:rsidRPr="00751D83" w:rsidRDefault="0030585A" w:rsidP="00751D8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Government Securities Market</w:t>
      </w:r>
    </w:p>
    <w:p w:rsidR="00931186" w:rsidRPr="00B001EE" w:rsidRDefault="0048390B" w:rsidP="00931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B001EE">
        <w:rPr>
          <w:rFonts w:ascii="Times New Roman" w:hAnsi="Times New Roman"/>
          <w:sz w:val="24"/>
          <w:lang w:val="en-US"/>
        </w:rPr>
        <w:t>In September 2013</w:t>
      </w:r>
      <w:r w:rsidR="0030585A" w:rsidRPr="00B001EE">
        <w:rPr>
          <w:rFonts w:ascii="Times New Roman" w:hAnsi="Times New Roman"/>
          <w:sz w:val="24"/>
          <w:lang w:val="en-US"/>
        </w:rPr>
        <w:t>,</w:t>
      </w:r>
      <w:r w:rsidR="00931186" w:rsidRPr="00B001EE">
        <w:rPr>
          <w:rFonts w:ascii="Times New Roman" w:hAnsi="Times New Roman"/>
          <w:sz w:val="24"/>
          <w:lang w:val="en-US"/>
        </w:rPr>
        <w:t xml:space="preserve"> 6 </w:t>
      </w:r>
      <w:r w:rsidR="00B001EE" w:rsidRPr="006E7CCF">
        <w:rPr>
          <w:rFonts w:ascii="Times New Roman" w:hAnsi="Times New Roman"/>
          <w:sz w:val="24"/>
          <w:szCs w:val="24"/>
          <w:lang w:val="kk-KZ"/>
        </w:rPr>
        <w:t>auctions offering government securities of the Ministry of Finance were held where the following government securities were placed:</w:t>
      </w:r>
      <w:r w:rsidR="00931186" w:rsidRPr="00B001EE">
        <w:rPr>
          <w:rFonts w:ascii="Times New Roman" w:hAnsi="Times New Roman"/>
          <w:sz w:val="24"/>
          <w:lang w:val="en-US"/>
        </w:rPr>
        <w:t xml:space="preserve">  </w:t>
      </w:r>
      <w:r w:rsidR="00931186" w:rsidRPr="00931186">
        <w:rPr>
          <w:rFonts w:ascii="Times New Roman" w:hAnsi="Times New Roman"/>
          <w:sz w:val="24"/>
          <w:lang w:val="kk-KZ"/>
        </w:rPr>
        <w:t>4</w:t>
      </w:r>
      <w:r w:rsidR="00931186" w:rsidRPr="00B001EE">
        <w:rPr>
          <w:rFonts w:ascii="Times New Roman" w:hAnsi="Times New Roman"/>
          <w:sz w:val="24"/>
          <w:lang w:val="en-US"/>
        </w:rPr>
        <w:t>-</w:t>
      </w:r>
      <w:r w:rsidR="00B001EE" w:rsidRPr="00B001EE">
        <w:rPr>
          <w:rFonts w:ascii="Times New Roman" w:hAnsi="Times New Roman"/>
          <w:sz w:val="24"/>
          <w:lang w:val="en-US"/>
        </w:rPr>
        <w:t>year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 w:rsidR="00931186" w:rsidRPr="00931186">
        <w:rPr>
          <w:rFonts w:ascii="Times New Roman" w:hAnsi="Times New Roman"/>
          <w:sz w:val="24"/>
        </w:rPr>
        <w:t>МЕОКАМ</w:t>
      </w:r>
      <w:r w:rsidR="00B001EE">
        <w:rPr>
          <w:rFonts w:ascii="Times New Roman" w:hAnsi="Times New Roman"/>
          <w:sz w:val="24"/>
          <w:lang w:val="en-US"/>
        </w:rPr>
        <w:t>s</w:t>
      </w:r>
      <w:r w:rsidR="00931186" w:rsidRPr="00B001EE">
        <w:rPr>
          <w:rFonts w:ascii="Times New Roman" w:hAnsi="Times New Roman"/>
          <w:sz w:val="24"/>
          <w:lang w:val="en-US"/>
        </w:rPr>
        <w:t xml:space="preserve"> (</w:t>
      </w:r>
      <w:r w:rsidR="00B001EE">
        <w:rPr>
          <w:rFonts w:ascii="Times New Roman" w:hAnsi="Times New Roman"/>
          <w:sz w:val="24"/>
          <w:lang w:val="en-US"/>
        </w:rPr>
        <w:t xml:space="preserve">KZT </w:t>
      </w:r>
      <w:r w:rsidR="00B001EE">
        <w:rPr>
          <w:rFonts w:ascii="Times New Roman" w:hAnsi="Times New Roman"/>
          <w:sz w:val="24"/>
          <w:lang w:val="kk-KZ"/>
        </w:rPr>
        <w:t>2</w:t>
      </w:r>
      <w:r w:rsidR="00B001EE">
        <w:rPr>
          <w:rFonts w:ascii="Times New Roman" w:hAnsi="Times New Roman"/>
          <w:sz w:val="24"/>
          <w:lang w:val="en-US"/>
        </w:rPr>
        <w:t>.</w:t>
      </w:r>
      <w:r w:rsidR="00931186" w:rsidRPr="00931186">
        <w:rPr>
          <w:rFonts w:ascii="Times New Roman" w:hAnsi="Times New Roman"/>
          <w:sz w:val="24"/>
          <w:lang w:val="kk-KZ"/>
        </w:rPr>
        <w:t>0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 w:rsidR="003F3C6A" w:rsidRPr="00B001EE">
        <w:rPr>
          <w:rFonts w:ascii="Times New Roman" w:hAnsi="Times New Roman"/>
          <w:sz w:val="24"/>
          <w:lang w:val="en-US"/>
        </w:rPr>
        <w:t>bln.</w:t>
      </w:r>
      <w:r w:rsidR="00931186" w:rsidRPr="00B001EE">
        <w:rPr>
          <w:rFonts w:ascii="Times New Roman" w:hAnsi="Times New Roman"/>
          <w:sz w:val="24"/>
          <w:lang w:val="en-US"/>
        </w:rPr>
        <w:t>), 10-</w:t>
      </w:r>
      <w:r w:rsidR="00B001EE" w:rsidRPr="00B001EE">
        <w:rPr>
          <w:rFonts w:ascii="Times New Roman" w:hAnsi="Times New Roman"/>
          <w:sz w:val="24"/>
          <w:lang w:val="en-US"/>
        </w:rPr>
        <w:t>year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 w:rsidR="00B001EE">
        <w:rPr>
          <w:rFonts w:ascii="Times New Roman" w:hAnsi="Times New Roman"/>
          <w:sz w:val="24"/>
        </w:rPr>
        <w:t>МЕ</w:t>
      </w:r>
      <w:r w:rsidR="00B001EE">
        <w:rPr>
          <w:rFonts w:ascii="Times New Roman" w:hAnsi="Times New Roman"/>
          <w:sz w:val="24"/>
          <w:lang w:val="en-US"/>
        </w:rPr>
        <w:t>U</w:t>
      </w:r>
      <w:r w:rsidR="00931186" w:rsidRPr="00931186">
        <w:rPr>
          <w:rFonts w:ascii="Times New Roman" w:hAnsi="Times New Roman"/>
          <w:sz w:val="24"/>
        </w:rPr>
        <w:t>КАМ</w:t>
      </w:r>
      <w:r w:rsidR="00B001EE">
        <w:rPr>
          <w:rFonts w:ascii="Times New Roman" w:hAnsi="Times New Roman"/>
          <w:sz w:val="24"/>
          <w:lang w:val="en-US"/>
        </w:rPr>
        <w:t>s</w:t>
      </w:r>
      <w:r w:rsidR="00931186" w:rsidRPr="00B001EE">
        <w:rPr>
          <w:rFonts w:ascii="Times New Roman" w:hAnsi="Times New Roman"/>
          <w:sz w:val="24"/>
          <w:lang w:val="en-US"/>
        </w:rPr>
        <w:t xml:space="preserve"> (</w:t>
      </w:r>
      <w:r w:rsidR="00B001EE">
        <w:rPr>
          <w:rFonts w:ascii="Times New Roman" w:hAnsi="Times New Roman"/>
          <w:sz w:val="24"/>
          <w:lang w:val="en-US"/>
        </w:rPr>
        <w:t>KZT 7.</w:t>
      </w:r>
      <w:r w:rsidR="00931186" w:rsidRPr="00B001EE">
        <w:rPr>
          <w:rFonts w:ascii="Times New Roman" w:hAnsi="Times New Roman"/>
          <w:sz w:val="24"/>
          <w:lang w:val="en-US"/>
        </w:rPr>
        <w:t xml:space="preserve">8 </w:t>
      </w:r>
      <w:proofErr w:type="gramStart"/>
      <w:r w:rsidR="003F3C6A" w:rsidRPr="00B001EE">
        <w:rPr>
          <w:rFonts w:ascii="Times New Roman" w:hAnsi="Times New Roman"/>
          <w:sz w:val="24"/>
          <w:lang w:val="en-US"/>
        </w:rPr>
        <w:t>bln.</w:t>
      </w:r>
      <w:r w:rsidR="00931186" w:rsidRPr="00B001EE">
        <w:rPr>
          <w:rFonts w:ascii="Times New Roman" w:hAnsi="Times New Roman"/>
          <w:sz w:val="24"/>
          <w:lang w:val="en-US"/>
        </w:rPr>
        <w:t>,</w:t>
      </w:r>
      <w:proofErr w:type="gramEnd"/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 w:rsidR="00B001EE">
        <w:rPr>
          <w:rFonts w:ascii="Times New Roman" w:hAnsi="Times New Roman"/>
          <w:sz w:val="24"/>
          <w:lang w:val="en-US"/>
        </w:rPr>
        <w:t>KZT 3.</w:t>
      </w:r>
      <w:r w:rsidR="00931186" w:rsidRPr="00B001EE">
        <w:rPr>
          <w:rFonts w:ascii="Times New Roman" w:hAnsi="Times New Roman"/>
          <w:sz w:val="24"/>
          <w:lang w:val="en-US"/>
        </w:rPr>
        <w:t xml:space="preserve">2 </w:t>
      </w:r>
      <w:r w:rsidR="003F3C6A" w:rsidRPr="00B001EE">
        <w:rPr>
          <w:rFonts w:ascii="Times New Roman" w:hAnsi="Times New Roman"/>
          <w:sz w:val="24"/>
          <w:lang w:val="en-US"/>
        </w:rPr>
        <w:t>bln.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 w:rsidR="00B001EE">
        <w:rPr>
          <w:rFonts w:ascii="Times New Roman" w:hAnsi="Times New Roman"/>
          <w:sz w:val="24"/>
          <w:lang w:val="en-US"/>
        </w:rPr>
        <w:t>and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 w:rsidR="00B001EE">
        <w:rPr>
          <w:rFonts w:ascii="Times New Roman" w:hAnsi="Times New Roman"/>
          <w:sz w:val="24"/>
          <w:lang w:val="en-US"/>
        </w:rPr>
        <w:t>KZT 2.</w:t>
      </w:r>
      <w:r w:rsidR="00931186" w:rsidRPr="00B001EE">
        <w:rPr>
          <w:rFonts w:ascii="Times New Roman" w:hAnsi="Times New Roman"/>
          <w:sz w:val="24"/>
          <w:lang w:val="en-US"/>
        </w:rPr>
        <w:t xml:space="preserve">8 </w:t>
      </w:r>
      <w:r w:rsidR="003F3C6A" w:rsidRPr="00B001EE">
        <w:rPr>
          <w:rFonts w:ascii="Times New Roman" w:hAnsi="Times New Roman"/>
          <w:sz w:val="24"/>
          <w:lang w:val="en-US"/>
        </w:rPr>
        <w:t>bln.</w:t>
      </w:r>
      <w:r w:rsidR="00931186" w:rsidRPr="00B001EE">
        <w:rPr>
          <w:rFonts w:ascii="Times New Roman" w:hAnsi="Times New Roman"/>
          <w:sz w:val="24"/>
          <w:lang w:val="en-US"/>
        </w:rPr>
        <w:t>), 13-</w:t>
      </w:r>
      <w:r w:rsidR="00B001EE" w:rsidRPr="00B001EE">
        <w:rPr>
          <w:rFonts w:ascii="Times New Roman" w:hAnsi="Times New Roman"/>
          <w:sz w:val="24"/>
          <w:lang w:val="en-US"/>
        </w:rPr>
        <w:t>year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 w:rsidR="00B001EE">
        <w:rPr>
          <w:rFonts w:ascii="Times New Roman" w:hAnsi="Times New Roman"/>
          <w:sz w:val="24"/>
        </w:rPr>
        <w:t>МЕ</w:t>
      </w:r>
      <w:r w:rsidR="00B001EE">
        <w:rPr>
          <w:rFonts w:ascii="Times New Roman" w:hAnsi="Times New Roman"/>
          <w:sz w:val="24"/>
          <w:lang w:val="en-US"/>
        </w:rPr>
        <w:t>U</w:t>
      </w:r>
      <w:r w:rsidR="00931186" w:rsidRPr="00931186">
        <w:rPr>
          <w:rFonts w:ascii="Times New Roman" w:hAnsi="Times New Roman"/>
          <w:sz w:val="24"/>
        </w:rPr>
        <w:t>КАМ</w:t>
      </w:r>
      <w:r w:rsidR="00B001EE">
        <w:rPr>
          <w:rFonts w:ascii="Times New Roman" w:hAnsi="Times New Roman"/>
          <w:sz w:val="24"/>
          <w:lang w:val="en-US"/>
        </w:rPr>
        <w:t>s</w:t>
      </w:r>
      <w:r w:rsidR="00931186" w:rsidRPr="00B001EE">
        <w:rPr>
          <w:rFonts w:ascii="Times New Roman" w:hAnsi="Times New Roman"/>
          <w:sz w:val="24"/>
          <w:lang w:val="en-US"/>
        </w:rPr>
        <w:t xml:space="preserve"> (</w:t>
      </w:r>
      <w:r w:rsidR="00B001EE">
        <w:rPr>
          <w:rFonts w:ascii="Times New Roman" w:hAnsi="Times New Roman"/>
          <w:sz w:val="24"/>
          <w:lang w:val="en-US"/>
        </w:rPr>
        <w:t>KZT 1.</w:t>
      </w:r>
      <w:r w:rsidR="00931186" w:rsidRPr="00B001EE">
        <w:rPr>
          <w:rFonts w:ascii="Times New Roman" w:hAnsi="Times New Roman"/>
          <w:sz w:val="24"/>
          <w:lang w:val="en-US"/>
        </w:rPr>
        <w:t xml:space="preserve">9 </w:t>
      </w:r>
      <w:r w:rsidR="003F3C6A" w:rsidRPr="00B001EE">
        <w:rPr>
          <w:rFonts w:ascii="Times New Roman" w:hAnsi="Times New Roman"/>
          <w:sz w:val="24"/>
          <w:lang w:val="en-US"/>
        </w:rPr>
        <w:t>bln.</w:t>
      </w:r>
      <w:r w:rsidR="00931186" w:rsidRPr="00B001EE">
        <w:rPr>
          <w:rFonts w:ascii="Times New Roman" w:hAnsi="Times New Roman"/>
          <w:sz w:val="24"/>
          <w:lang w:val="en-US"/>
        </w:rPr>
        <w:t xml:space="preserve">), </w:t>
      </w:r>
      <w:r w:rsidR="00B001EE">
        <w:rPr>
          <w:rFonts w:ascii="Times New Roman" w:hAnsi="Times New Roman"/>
          <w:sz w:val="24"/>
          <w:lang w:val="en-US"/>
        </w:rPr>
        <w:t xml:space="preserve">and </w:t>
      </w:r>
      <w:r w:rsidR="00931186" w:rsidRPr="00B001EE">
        <w:rPr>
          <w:rFonts w:ascii="Times New Roman" w:hAnsi="Times New Roman"/>
          <w:sz w:val="24"/>
          <w:lang w:val="en-US"/>
        </w:rPr>
        <w:t>13-</w:t>
      </w:r>
      <w:r w:rsidR="00B001EE" w:rsidRPr="00B001EE">
        <w:rPr>
          <w:rFonts w:ascii="Times New Roman" w:hAnsi="Times New Roman"/>
          <w:sz w:val="24"/>
          <w:lang w:val="en-US"/>
        </w:rPr>
        <w:t>year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 w:rsidR="00B001EE">
        <w:rPr>
          <w:rFonts w:ascii="Times New Roman" w:hAnsi="Times New Roman"/>
          <w:sz w:val="24"/>
        </w:rPr>
        <w:t>МЕ</w:t>
      </w:r>
      <w:r w:rsidR="00B001EE">
        <w:rPr>
          <w:rFonts w:ascii="Times New Roman" w:hAnsi="Times New Roman"/>
          <w:sz w:val="24"/>
          <w:lang w:val="en-US"/>
        </w:rPr>
        <w:t>UZH</w:t>
      </w:r>
      <w:r w:rsidR="00931186" w:rsidRPr="00931186">
        <w:rPr>
          <w:rFonts w:ascii="Times New Roman" w:hAnsi="Times New Roman"/>
          <w:sz w:val="24"/>
        </w:rPr>
        <w:t>КАМ</w:t>
      </w:r>
      <w:r w:rsidR="00B001EE">
        <w:rPr>
          <w:rFonts w:ascii="Times New Roman" w:hAnsi="Times New Roman"/>
          <w:sz w:val="24"/>
          <w:lang w:val="en-US"/>
        </w:rPr>
        <w:t>s</w:t>
      </w:r>
      <w:r w:rsidR="00931186" w:rsidRPr="00B001EE">
        <w:rPr>
          <w:rFonts w:ascii="Times New Roman" w:hAnsi="Times New Roman"/>
          <w:sz w:val="24"/>
          <w:lang w:val="en-US"/>
        </w:rPr>
        <w:t xml:space="preserve"> (80 </w:t>
      </w:r>
      <w:r w:rsidR="003F3C6A" w:rsidRPr="00B001EE">
        <w:rPr>
          <w:rFonts w:ascii="Times New Roman" w:hAnsi="Times New Roman"/>
          <w:sz w:val="24"/>
          <w:lang w:val="en-US"/>
        </w:rPr>
        <w:t>bln.</w:t>
      </w:r>
      <w:r w:rsidR="00931186" w:rsidRPr="00B001EE">
        <w:rPr>
          <w:rFonts w:ascii="Times New Roman" w:hAnsi="Times New Roman"/>
          <w:sz w:val="24"/>
          <w:lang w:val="en-US"/>
        </w:rPr>
        <w:t xml:space="preserve">). </w:t>
      </w:r>
    </w:p>
    <w:p w:rsidR="00931186" w:rsidRPr="00B001EE" w:rsidRDefault="00B001EE" w:rsidP="00931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DA489C">
        <w:rPr>
          <w:rFonts w:ascii="Times New Roman" w:hAnsi="Times New Roman"/>
          <w:sz w:val="24"/>
          <w:szCs w:val="24"/>
          <w:lang w:val="kk-KZ"/>
        </w:rPr>
        <w:t xml:space="preserve">The effective yield on placed securities was as follows: </w:t>
      </w:r>
      <w:r>
        <w:rPr>
          <w:rFonts w:ascii="Times New Roman" w:hAnsi="Times New Roman"/>
          <w:sz w:val="24"/>
          <w:szCs w:val="24"/>
          <w:lang w:val="en-US"/>
        </w:rPr>
        <w:t>on</w:t>
      </w:r>
      <w:r w:rsidR="00931186" w:rsidRPr="00B001EE">
        <w:rPr>
          <w:rFonts w:ascii="Times New Roman" w:hAnsi="Times New Roman"/>
          <w:sz w:val="24"/>
          <w:lang w:val="en-US"/>
        </w:rPr>
        <w:t xml:space="preserve"> 4-</w:t>
      </w:r>
      <w:r w:rsidRPr="00B001EE">
        <w:rPr>
          <w:rFonts w:ascii="Times New Roman" w:hAnsi="Times New Roman"/>
          <w:sz w:val="24"/>
          <w:lang w:val="en-US"/>
        </w:rPr>
        <w:t>year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 w:rsidR="00931186" w:rsidRPr="00931186">
        <w:rPr>
          <w:rFonts w:ascii="Times New Roman" w:hAnsi="Times New Roman"/>
          <w:sz w:val="24"/>
        </w:rPr>
        <w:t>МЕОКАМ</w:t>
      </w:r>
      <w:r>
        <w:rPr>
          <w:rFonts w:ascii="Times New Roman" w:hAnsi="Times New Roman"/>
          <w:sz w:val="24"/>
          <w:lang w:val="en-US"/>
        </w:rPr>
        <w:t>s – 4.</w:t>
      </w:r>
      <w:r w:rsidR="00931186" w:rsidRPr="00B001EE">
        <w:rPr>
          <w:rFonts w:ascii="Times New Roman" w:hAnsi="Times New Roman"/>
          <w:sz w:val="24"/>
          <w:lang w:val="en-US"/>
        </w:rPr>
        <w:t xml:space="preserve">04%, </w:t>
      </w:r>
      <w:r>
        <w:rPr>
          <w:rFonts w:ascii="Times New Roman" w:hAnsi="Times New Roman"/>
          <w:sz w:val="24"/>
          <w:lang w:val="en-US"/>
        </w:rPr>
        <w:t>on</w:t>
      </w:r>
      <w:r w:rsidR="00931186" w:rsidRPr="00B001EE">
        <w:rPr>
          <w:rFonts w:ascii="Times New Roman" w:hAnsi="Times New Roman"/>
          <w:sz w:val="24"/>
          <w:lang w:val="en-US"/>
        </w:rPr>
        <w:t xml:space="preserve"> 10-</w:t>
      </w:r>
      <w:r w:rsidRPr="00B001EE">
        <w:rPr>
          <w:rFonts w:ascii="Times New Roman" w:hAnsi="Times New Roman"/>
          <w:sz w:val="24"/>
          <w:lang w:val="en-US"/>
        </w:rPr>
        <w:t>year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МЕ</w:t>
      </w:r>
      <w:r>
        <w:rPr>
          <w:rFonts w:ascii="Times New Roman" w:hAnsi="Times New Roman"/>
          <w:sz w:val="24"/>
          <w:lang w:val="en-US"/>
        </w:rPr>
        <w:t>U</w:t>
      </w:r>
      <w:r w:rsidR="00931186" w:rsidRPr="00931186">
        <w:rPr>
          <w:rFonts w:ascii="Times New Roman" w:hAnsi="Times New Roman"/>
          <w:sz w:val="24"/>
        </w:rPr>
        <w:t>КАМ</w:t>
      </w:r>
      <w:r>
        <w:rPr>
          <w:rFonts w:ascii="Times New Roman" w:hAnsi="Times New Roman"/>
          <w:sz w:val="24"/>
          <w:lang w:val="en-US"/>
        </w:rPr>
        <w:t>s</w:t>
      </w:r>
      <w:r w:rsidR="00931186" w:rsidRPr="00B001EE">
        <w:rPr>
          <w:rFonts w:ascii="Times New Roman" w:hAnsi="Times New Roman"/>
          <w:sz w:val="24"/>
          <w:lang w:val="en-US"/>
        </w:rPr>
        <w:t xml:space="preserve"> –</w:t>
      </w:r>
      <w:r>
        <w:rPr>
          <w:rFonts w:ascii="Times New Roman" w:hAnsi="Times New Roman"/>
          <w:sz w:val="24"/>
          <w:lang w:val="en-US"/>
        </w:rPr>
        <w:t xml:space="preserve"> 6.00%, 6.</w:t>
      </w:r>
      <w:r w:rsidR="00931186" w:rsidRPr="00B001EE">
        <w:rPr>
          <w:rFonts w:ascii="Times New Roman" w:hAnsi="Times New Roman"/>
          <w:sz w:val="24"/>
          <w:lang w:val="en-US"/>
        </w:rPr>
        <w:t xml:space="preserve">20% </w:t>
      </w:r>
      <w:r>
        <w:rPr>
          <w:rFonts w:ascii="Times New Roman" w:hAnsi="Times New Roman"/>
          <w:sz w:val="24"/>
          <w:lang w:val="en-US"/>
        </w:rPr>
        <w:t>and 6.</w:t>
      </w:r>
      <w:r w:rsidR="00931186" w:rsidRPr="00B001EE">
        <w:rPr>
          <w:rFonts w:ascii="Times New Roman" w:hAnsi="Times New Roman"/>
          <w:sz w:val="24"/>
          <w:lang w:val="en-US"/>
        </w:rPr>
        <w:t xml:space="preserve">00%, </w:t>
      </w:r>
      <w:r>
        <w:rPr>
          <w:rFonts w:ascii="Times New Roman" w:hAnsi="Times New Roman"/>
          <w:sz w:val="24"/>
          <w:lang w:val="en-US"/>
        </w:rPr>
        <w:t>on</w:t>
      </w:r>
      <w:r w:rsidR="00931186" w:rsidRPr="00B001EE">
        <w:rPr>
          <w:rFonts w:ascii="Times New Roman" w:hAnsi="Times New Roman"/>
          <w:sz w:val="24"/>
          <w:lang w:val="en-US"/>
        </w:rPr>
        <w:t xml:space="preserve"> 13-</w:t>
      </w:r>
      <w:r w:rsidRPr="00B001EE">
        <w:rPr>
          <w:rFonts w:ascii="Times New Roman" w:hAnsi="Times New Roman"/>
          <w:sz w:val="24"/>
          <w:lang w:val="en-US"/>
        </w:rPr>
        <w:t>year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МЕ</w:t>
      </w:r>
      <w:r>
        <w:rPr>
          <w:rFonts w:ascii="Times New Roman" w:hAnsi="Times New Roman"/>
          <w:sz w:val="24"/>
          <w:lang w:val="en-US"/>
        </w:rPr>
        <w:t>U</w:t>
      </w:r>
      <w:r w:rsidR="00931186" w:rsidRPr="00931186">
        <w:rPr>
          <w:rFonts w:ascii="Times New Roman" w:hAnsi="Times New Roman"/>
          <w:sz w:val="24"/>
        </w:rPr>
        <w:t>КАМ</w:t>
      </w:r>
      <w:r>
        <w:rPr>
          <w:rFonts w:ascii="Times New Roman" w:hAnsi="Times New Roman"/>
          <w:sz w:val="24"/>
          <w:lang w:val="en-US"/>
        </w:rPr>
        <w:t>s – 6.</w:t>
      </w:r>
      <w:r w:rsidR="00931186" w:rsidRPr="00B001EE">
        <w:rPr>
          <w:rFonts w:ascii="Times New Roman" w:hAnsi="Times New Roman"/>
          <w:sz w:val="24"/>
          <w:lang w:val="en-US"/>
        </w:rPr>
        <w:t>56</w:t>
      </w:r>
      <w:r w:rsidR="00931186" w:rsidRPr="00B001EE">
        <w:rPr>
          <w:rFonts w:ascii="Times New Roman" w:hAnsi="Times New Roman"/>
          <w:snapToGrid w:val="0"/>
          <w:sz w:val="24"/>
          <w:lang w:val="en-US"/>
        </w:rPr>
        <w:t xml:space="preserve">%, </w:t>
      </w:r>
      <w:r>
        <w:rPr>
          <w:rFonts w:ascii="Times New Roman" w:hAnsi="Times New Roman"/>
          <w:sz w:val="24"/>
          <w:lang w:val="en-US"/>
        </w:rPr>
        <w:t>on</w:t>
      </w:r>
      <w:r w:rsidR="00931186" w:rsidRPr="00B001EE">
        <w:rPr>
          <w:rFonts w:ascii="Times New Roman" w:hAnsi="Times New Roman"/>
          <w:sz w:val="24"/>
          <w:lang w:val="en-US"/>
        </w:rPr>
        <w:t xml:space="preserve"> 13-</w:t>
      </w:r>
      <w:r w:rsidRPr="00B001EE">
        <w:rPr>
          <w:rFonts w:ascii="Times New Roman" w:hAnsi="Times New Roman"/>
          <w:sz w:val="24"/>
          <w:lang w:val="en-US"/>
        </w:rPr>
        <w:t>year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МЕ</w:t>
      </w:r>
      <w:r>
        <w:rPr>
          <w:rFonts w:ascii="Times New Roman" w:hAnsi="Times New Roman"/>
          <w:sz w:val="24"/>
          <w:lang w:val="en-US"/>
        </w:rPr>
        <w:t>UZH</w:t>
      </w:r>
      <w:r w:rsidR="00931186" w:rsidRPr="00931186">
        <w:rPr>
          <w:rFonts w:ascii="Times New Roman" w:hAnsi="Times New Roman"/>
          <w:sz w:val="24"/>
        </w:rPr>
        <w:t>КАМ</w:t>
      </w:r>
      <w:r>
        <w:rPr>
          <w:rFonts w:ascii="Times New Roman" w:hAnsi="Times New Roman"/>
          <w:sz w:val="24"/>
          <w:lang w:val="en-US"/>
        </w:rPr>
        <w:t>s</w:t>
      </w:r>
      <w:r w:rsidR="00931186" w:rsidRPr="00B001EE">
        <w:rPr>
          <w:rFonts w:ascii="Times New Roman" w:hAnsi="Times New Roman"/>
          <w:sz w:val="24"/>
          <w:lang w:val="en-US"/>
        </w:rPr>
        <w:t xml:space="preserve"> – </w:t>
      </w:r>
      <w:r>
        <w:rPr>
          <w:rFonts w:ascii="Times New Roman" w:hAnsi="Times New Roman"/>
          <w:snapToGrid w:val="0"/>
          <w:sz w:val="24"/>
          <w:lang w:val="en-US"/>
        </w:rPr>
        <w:t>0.</w:t>
      </w:r>
      <w:r w:rsidR="00931186" w:rsidRPr="00B001EE">
        <w:rPr>
          <w:rFonts w:ascii="Times New Roman" w:hAnsi="Times New Roman"/>
          <w:snapToGrid w:val="0"/>
          <w:sz w:val="24"/>
          <w:lang w:val="en-US"/>
        </w:rPr>
        <w:t xml:space="preserve">01%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above the inflation rate</w:t>
      </w:r>
      <w:r w:rsidR="00931186" w:rsidRPr="00B001EE">
        <w:rPr>
          <w:rFonts w:ascii="Times New Roman" w:hAnsi="Times New Roman"/>
          <w:snapToGrid w:val="0"/>
          <w:sz w:val="24"/>
          <w:lang w:val="en-US"/>
        </w:rPr>
        <w:t>.</w:t>
      </w:r>
    </w:p>
    <w:p w:rsidR="00931186" w:rsidRPr="00B001EE" w:rsidRDefault="00B001EE" w:rsidP="00931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At end-September 2013 </w:t>
      </w:r>
      <w:r w:rsidRPr="00AA1CF4">
        <w:rPr>
          <w:rFonts w:ascii="Times New Roman" w:hAnsi="Times New Roman"/>
          <w:sz w:val="24"/>
          <w:szCs w:val="24"/>
          <w:lang w:val="en-US"/>
        </w:rPr>
        <w:t>the volume of outstanding securities of the Ministry of Finance amounted to KZT</w:t>
      </w:r>
      <w:r w:rsidRPr="00FC044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3305.</w:t>
      </w:r>
      <w:r w:rsidR="00931186" w:rsidRPr="00B001EE">
        <w:rPr>
          <w:rFonts w:ascii="Times New Roman" w:hAnsi="Times New Roman"/>
          <w:sz w:val="24"/>
          <w:lang w:val="en-US"/>
        </w:rPr>
        <w:t xml:space="preserve">1 </w:t>
      </w:r>
      <w:proofErr w:type="gramStart"/>
      <w:r w:rsidR="003F3C6A" w:rsidRPr="00B001EE">
        <w:rPr>
          <w:rFonts w:ascii="Times New Roman" w:hAnsi="Times New Roman"/>
          <w:sz w:val="24"/>
          <w:lang w:val="en-US"/>
        </w:rPr>
        <w:t>bln.</w:t>
      </w:r>
      <w:r w:rsidR="00931186" w:rsidRPr="00B001EE">
        <w:rPr>
          <w:rFonts w:ascii="Times New Roman" w:hAnsi="Times New Roman"/>
          <w:sz w:val="24"/>
          <w:lang w:val="en-US"/>
        </w:rPr>
        <w:t>,</w:t>
      </w:r>
      <w:proofErr w:type="gramEnd"/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having increased</w:t>
      </w:r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  <w:r w:rsidR="00102908" w:rsidRPr="00B001EE">
        <w:rPr>
          <w:rFonts w:ascii="Times New Roman" w:hAnsi="Times New Roman"/>
          <w:sz w:val="24"/>
          <w:lang w:val="en-US"/>
        </w:rPr>
        <w:t>by</w:t>
      </w:r>
      <w:r>
        <w:rPr>
          <w:rFonts w:ascii="Times New Roman" w:hAnsi="Times New Roman"/>
          <w:sz w:val="24"/>
          <w:lang w:val="en-US"/>
        </w:rPr>
        <w:t xml:space="preserve"> 3.</w:t>
      </w:r>
      <w:r w:rsidR="00931186" w:rsidRPr="00B001EE">
        <w:rPr>
          <w:rFonts w:ascii="Times New Roman" w:hAnsi="Times New Roman"/>
          <w:sz w:val="24"/>
          <w:lang w:val="en-US"/>
        </w:rPr>
        <w:t>0%</w:t>
      </w:r>
      <w:r w:rsidRPr="00B001E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as compared to the previous month</w:t>
      </w:r>
      <w:r w:rsidR="00931186" w:rsidRPr="00B001EE">
        <w:rPr>
          <w:rFonts w:ascii="Times New Roman" w:hAnsi="Times New Roman"/>
          <w:sz w:val="24"/>
          <w:lang w:val="en-US"/>
        </w:rPr>
        <w:t>.</w:t>
      </w:r>
    </w:p>
    <w:p w:rsidR="00931186" w:rsidRPr="00931186" w:rsidRDefault="00B001EE" w:rsidP="009311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lang w:val="kk-KZ"/>
        </w:rPr>
      </w:pPr>
      <w:proofErr w:type="gramStart"/>
      <w:r w:rsidRPr="00FC0446">
        <w:rPr>
          <w:rFonts w:ascii="Times New Roman" w:hAnsi="Times New Roman"/>
          <w:b/>
          <w:i/>
          <w:iCs/>
          <w:sz w:val="24"/>
          <w:szCs w:val="24"/>
          <w:lang w:val="en-US"/>
        </w:rPr>
        <w:t>Short-term Notes of the National Bank of Kazakhstan</w:t>
      </w:r>
      <w:r w:rsidR="00931186" w:rsidRPr="00B001EE">
        <w:rPr>
          <w:rFonts w:ascii="Times New Roman" w:hAnsi="Times New Roman"/>
          <w:iCs/>
          <w:sz w:val="24"/>
          <w:lang w:val="en-US"/>
        </w:rPr>
        <w:t>.</w:t>
      </w:r>
      <w:proofErr w:type="gramEnd"/>
      <w:r w:rsidR="00931186" w:rsidRPr="00B001EE">
        <w:rPr>
          <w:rFonts w:ascii="Times New Roman" w:hAnsi="Times New Roman"/>
          <w:sz w:val="24"/>
          <w:lang w:val="en-US"/>
        </w:rPr>
        <w:t xml:space="preserve"> </w:t>
      </w:r>
    </w:p>
    <w:p w:rsidR="00931186" w:rsidRPr="00A45BEC" w:rsidRDefault="0048390B" w:rsidP="00931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 w:rsidRPr="00A45BEC">
        <w:rPr>
          <w:rFonts w:ascii="Times New Roman" w:hAnsi="Times New Roman"/>
          <w:sz w:val="24"/>
          <w:lang w:val="en-US"/>
        </w:rPr>
        <w:t>In September 2013</w:t>
      </w:r>
      <w:r w:rsidR="00B001EE" w:rsidRPr="00A45BEC">
        <w:rPr>
          <w:rFonts w:ascii="Times New Roman" w:hAnsi="Times New Roman"/>
          <w:sz w:val="24"/>
          <w:lang w:val="en-US"/>
        </w:rPr>
        <w:t xml:space="preserve">, </w:t>
      </w:r>
      <w:r w:rsidR="00B001EE">
        <w:rPr>
          <w:rFonts w:ascii="Times New Roman" w:hAnsi="Times New Roman"/>
          <w:sz w:val="24"/>
          <w:lang w:val="en-US"/>
        </w:rPr>
        <w:t>no</w:t>
      </w:r>
      <w:r w:rsidR="00B001EE" w:rsidRPr="00A45BEC">
        <w:rPr>
          <w:rFonts w:ascii="Times New Roman" w:hAnsi="Times New Roman"/>
          <w:sz w:val="24"/>
          <w:lang w:val="en-US"/>
        </w:rPr>
        <w:t xml:space="preserve"> </w:t>
      </w:r>
      <w:r w:rsidR="00B001EE">
        <w:rPr>
          <w:rFonts w:ascii="Times New Roman" w:hAnsi="Times New Roman"/>
          <w:sz w:val="24"/>
          <w:lang w:val="en-US"/>
        </w:rPr>
        <w:t>auctions</w:t>
      </w:r>
      <w:r w:rsidR="00B001EE" w:rsidRPr="00A45BEC">
        <w:rPr>
          <w:rFonts w:ascii="Times New Roman" w:hAnsi="Times New Roman"/>
          <w:sz w:val="24"/>
          <w:lang w:val="en-US"/>
        </w:rPr>
        <w:t xml:space="preserve"> </w:t>
      </w:r>
      <w:r w:rsidR="00A45BEC">
        <w:rPr>
          <w:rFonts w:ascii="Times New Roman" w:hAnsi="Times New Roman"/>
          <w:sz w:val="24"/>
          <w:lang w:val="en-US"/>
        </w:rPr>
        <w:t>were</w:t>
      </w:r>
      <w:r w:rsidR="00A45BEC" w:rsidRPr="00A45BEC">
        <w:rPr>
          <w:rFonts w:ascii="Times New Roman" w:hAnsi="Times New Roman"/>
          <w:sz w:val="24"/>
          <w:lang w:val="en-US"/>
        </w:rPr>
        <w:t xml:space="preserve"> </w:t>
      </w:r>
      <w:r w:rsidR="00A45BEC">
        <w:rPr>
          <w:rFonts w:ascii="Times New Roman" w:hAnsi="Times New Roman"/>
          <w:sz w:val="24"/>
          <w:lang w:val="en-US"/>
        </w:rPr>
        <w:t>held</w:t>
      </w:r>
      <w:r w:rsidR="00A45BEC" w:rsidRPr="00A45BEC">
        <w:rPr>
          <w:rFonts w:ascii="Times New Roman" w:hAnsi="Times New Roman"/>
          <w:sz w:val="24"/>
          <w:lang w:val="en-US"/>
        </w:rPr>
        <w:t xml:space="preserve"> </w:t>
      </w:r>
      <w:r w:rsidR="00A45BEC">
        <w:rPr>
          <w:rFonts w:ascii="Times New Roman" w:hAnsi="Times New Roman"/>
          <w:sz w:val="24"/>
          <w:lang w:val="en-US"/>
        </w:rPr>
        <w:t>to</w:t>
      </w:r>
      <w:r w:rsidR="00A45BEC" w:rsidRPr="00A45BEC">
        <w:rPr>
          <w:rFonts w:ascii="Times New Roman" w:hAnsi="Times New Roman"/>
          <w:sz w:val="24"/>
          <w:lang w:val="en-US"/>
        </w:rPr>
        <w:t xml:space="preserve"> </w:t>
      </w:r>
      <w:r w:rsidR="00A45BEC">
        <w:rPr>
          <w:rFonts w:ascii="Times New Roman" w:hAnsi="Times New Roman"/>
          <w:sz w:val="24"/>
          <w:lang w:val="en-US"/>
        </w:rPr>
        <w:t>place the National Bank’s notes</w:t>
      </w:r>
      <w:r w:rsidR="00931186" w:rsidRPr="00A45BEC">
        <w:rPr>
          <w:rFonts w:ascii="Times New Roman" w:hAnsi="Times New Roman"/>
          <w:sz w:val="24"/>
          <w:lang w:val="en-US"/>
        </w:rPr>
        <w:t>.</w:t>
      </w:r>
    </w:p>
    <w:p w:rsidR="00931186" w:rsidRPr="00931186" w:rsidRDefault="00A45BEC" w:rsidP="00931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en-US"/>
        </w:rPr>
        <w:t>As</w:t>
      </w:r>
      <w:r w:rsidRPr="00A45BE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a</w:t>
      </w:r>
      <w:r w:rsidRPr="00A45BE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result</w:t>
      </w:r>
      <w:r w:rsidRPr="00A45BEC"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  <w:lang w:val="en-US"/>
        </w:rPr>
        <w:t xml:space="preserve">at </w:t>
      </w:r>
      <w:r>
        <w:rPr>
          <w:rFonts w:ascii="Times New Roman" w:hAnsi="Times New Roman"/>
          <w:sz w:val="24"/>
          <w:szCs w:val="24"/>
          <w:lang w:val="en-US"/>
        </w:rPr>
        <w:t xml:space="preserve">end-September 2013 as compared to August 2013, </w:t>
      </w:r>
      <w:r>
        <w:rPr>
          <w:rFonts w:ascii="Times New Roman" w:hAnsi="Times New Roman"/>
          <w:sz w:val="24"/>
          <w:lang w:val="en-US"/>
        </w:rPr>
        <w:t>the</w:t>
      </w:r>
      <w:r w:rsidRPr="00A45BE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volume</w:t>
      </w:r>
      <w:r w:rsidRPr="00A45BE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of</w:t>
      </w:r>
      <w:r w:rsidRPr="00A45BE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notes</w:t>
      </w:r>
      <w:r w:rsidRPr="00A45BE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in</w:t>
      </w:r>
      <w:r w:rsidRPr="00A45BE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circulation</w:t>
      </w:r>
      <w:r w:rsidRPr="00A45BE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reduced</w:t>
      </w:r>
      <w:r w:rsidR="00931186" w:rsidRPr="00A45BEC">
        <w:rPr>
          <w:rFonts w:ascii="Times New Roman" w:hAnsi="Times New Roman"/>
          <w:snapToGrid w:val="0"/>
          <w:sz w:val="24"/>
          <w:lang w:val="en-US"/>
        </w:rPr>
        <w:t xml:space="preserve"> </w:t>
      </w:r>
      <w:r w:rsidR="00102908" w:rsidRPr="00A45BEC">
        <w:rPr>
          <w:rFonts w:ascii="Times New Roman" w:hAnsi="Times New Roman"/>
          <w:snapToGrid w:val="0"/>
          <w:sz w:val="24"/>
          <w:lang w:val="en-US"/>
        </w:rPr>
        <w:t>by</w:t>
      </w:r>
      <w:r>
        <w:rPr>
          <w:rFonts w:ascii="Times New Roman" w:hAnsi="Times New Roman"/>
          <w:snapToGrid w:val="0"/>
          <w:sz w:val="24"/>
          <w:lang w:val="en-US"/>
        </w:rPr>
        <w:t xml:space="preserve"> 51.</w:t>
      </w:r>
      <w:r w:rsidR="00931186" w:rsidRPr="00A45BEC">
        <w:rPr>
          <w:rFonts w:ascii="Times New Roman" w:hAnsi="Times New Roman"/>
          <w:snapToGrid w:val="0"/>
          <w:sz w:val="24"/>
          <w:lang w:val="en-US"/>
        </w:rPr>
        <w:t xml:space="preserve">9% </w:t>
      </w:r>
      <w:r>
        <w:rPr>
          <w:rFonts w:ascii="Times New Roman" w:hAnsi="Times New Roman"/>
          <w:snapToGrid w:val="0"/>
          <w:sz w:val="24"/>
          <w:lang w:val="en-US"/>
        </w:rPr>
        <w:t>and amounted to KZT</w:t>
      </w:r>
      <w:r>
        <w:rPr>
          <w:rFonts w:ascii="Times New Roman" w:hAnsi="Times New Roman"/>
          <w:sz w:val="24"/>
          <w:lang w:val="en-US"/>
        </w:rPr>
        <w:t xml:space="preserve"> 16.</w:t>
      </w:r>
      <w:r w:rsidR="00931186" w:rsidRPr="00A45BEC">
        <w:rPr>
          <w:rFonts w:ascii="Times New Roman" w:hAnsi="Times New Roman"/>
          <w:sz w:val="24"/>
          <w:lang w:val="en-US"/>
        </w:rPr>
        <w:t xml:space="preserve">4 </w:t>
      </w:r>
      <w:r w:rsidR="003F3C6A" w:rsidRPr="00A45BEC">
        <w:rPr>
          <w:rFonts w:ascii="Times New Roman" w:hAnsi="Times New Roman"/>
          <w:sz w:val="24"/>
          <w:lang w:val="en-US"/>
        </w:rPr>
        <w:t>bln.</w:t>
      </w:r>
    </w:p>
    <w:p w:rsidR="00055120" w:rsidRPr="00D539A4" w:rsidRDefault="00055120" w:rsidP="00055120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/>
          <w:b/>
          <w:snapToGrid w:val="0"/>
          <w:sz w:val="24"/>
          <w:szCs w:val="24"/>
          <w:highlight w:val="yellow"/>
          <w:lang w:val="kk-KZ" w:eastAsia="ru-RU"/>
        </w:rPr>
      </w:pPr>
    </w:p>
    <w:p w:rsidR="00BC0245" w:rsidRPr="00931186" w:rsidRDefault="007A7C91" w:rsidP="00751D8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val="en-US" w:eastAsia="ru-RU"/>
        </w:rPr>
        <w:t>Interbank Money Market</w:t>
      </w:r>
      <w:r w:rsidR="00BC0245" w:rsidRPr="00931186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</w:p>
    <w:p w:rsidR="00931186" w:rsidRPr="007A7C91" w:rsidRDefault="00A0274C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In August 2013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as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compared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July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2013, </w:t>
      </w:r>
      <w:r w:rsidR="007A7C91" w:rsidRPr="00687935">
        <w:rPr>
          <w:rFonts w:ascii="Times New Roman" w:hAnsi="Times New Roman"/>
          <w:sz w:val="24"/>
          <w:szCs w:val="24"/>
          <w:lang w:val="en-US"/>
        </w:rPr>
        <w:t>the</w:t>
      </w:r>
      <w:r w:rsidR="007A7C91" w:rsidRPr="00C344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7C91" w:rsidRPr="00687935">
        <w:rPr>
          <w:rFonts w:ascii="Times New Roman" w:hAnsi="Times New Roman"/>
          <w:sz w:val="24"/>
          <w:szCs w:val="24"/>
          <w:lang w:val="en-US"/>
        </w:rPr>
        <w:t>total</w:t>
      </w:r>
      <w:r w:rsidR="007A7C91" w:rsidRPr="00C344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7C91" w:rsidRPr="00687935">
        <w:rPr>
          <w:rFonts w:ascii="Times New Roman" w:hAnsi="Times New Roman"/>
          <w:sz w:val="24"/>
          <w:szCs w:val="24"/>
          <w:lang w:val="en-US"/>
        </w:rPr>
        <w:t>volume</w:t>
      </w:r>
      <w:r w:rsidR="007A7C91" w:rsidRPr="00C344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7C91" w:rsidRPr="00687935">
        <w:rPr>
          <w:rFonts w:ascii="Times New Roman" w:hAnsi="Times New Roman"/>
          <w:sz w:val="24"/>
          <w:szCs w:val="24"/>
          <w:lang w:val="en-US"/>
        </w:rPr>
        <w:t>of</w:t>
      </w:r>
      <w:r w:rsidR="007A7C91" w:rsidRPr="00C344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7C91" w:rsidRPr="00687935">
        <w:rPr>
          <w:rFonts w:ascii="Times New Roman" w:hAnsi="Times New Roman"/>
          <w:sz w:val="24"/>
          <w:szCs w:val="24"/>
          <w:lang w:val="en-US"/>
        </w:rPr>
        <w:t>placed</w:t>
      </w:r>
      <w:r w:rsidR="007A7C91" w:rsidRPr="00C344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7C91" w:rsidRPr="00687935">
        <w:rPr>
          <w:rFonts w:ascii="Times New Roman" w:hAnsi="Times New Roman"/>
          <w:sz w:val="24"/>
          <w:szCs w:val="24"/>
          <w:lang w:val="en-US"/>
        </w:rPr>
        <w:t>interbank</w:t>
      </w:r>
      <w:r w:rsidR="007A7C91" w:rsidRPr="00C344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7C91" w:rsidRPr="00687935">
        <w:rPr>
          <w:rFonts w:ascii="Times New Roman" w:hAnsi="Times New Roman"/>
          <w:sz w:val="24"/>
          <w:szCs w:val="24"/>
          <w:lang w:val="en-US"/>
        </w:rPr>
        <w:t>deposits</w:t>
      </w:r>
      <w:r w:rsidR="007A7C91" w:rsidRPr="00C344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7C91">
        <w:rPr>
          <w:rFonts w:ascii="Times New Roman" w:hAnsi="Times New Roman"/>
          <w:sz w:val="24"/>
          <w:szCs w:val="24"/>
          <w:lang w:val="en-US"/>
        </w:rPr>
        <w:t>de</w:t>
      </w:r>
      <w:r w:rsidR="007A7C91" w:rsidRPr="00687935">
        <w:rPr>
          <w:rFonts w:ascii="Times New Roman" w:hAnsi="Times New Roman"/>
          <w:sz w:val="24"/>
          <w:szCs w:val="24"/>
          <w:lang w:val="en-US"/>
        </w:rPr>
        <w:t>creased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22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6%,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amounting</w:t>
      </w:r>
      <w:r w:rsidR="007A7C91" w:rsidRPr="006633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7A7C91" w:rsidRPr="006633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7A7C91" w:rsidRPr="006633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equivalent</w:t>
      </w:r>
      <w:r w:rsidR="007A7C91" w:rsidRPr="006633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7A7C91" w:rsidRPr="006633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KZT</w:t>
      </w:r>
      <w:r w:rsidR="007A7C91" w:rsidRPr="00C421E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1898.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 </w:t>
      </w:r>
      <w:r w:rsidR="003F3C6A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</w:p>
    <w:p w:rsidR="00931186" w:rsidRPr="007A7C91" w:rsidRDefault="007A7C91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68793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87935">
        <w:rPr>
          <w:rFonts w:ascii="Times New Roman" w:hAnsi="Times New Roman"/>
          <w:sz w:val="24"/>
          <w:szCs w:val="24"/>
          <w:lang w:val="en-US"/>
        </w:rPr>
        <w:t xml:space="preserve">volume of placed interbank deposits </w:t>
      </w:r>
      <w:r>
        <w:rPr>
          <w:rFonts w:ascii="Times New Roman" w:hAnsi="Times New Roman"/>
          <w:sz w:val="24"/>
          <w:szCs w:val="24"/>
          <w:lang w:val="en-US"/>
        </w:rPr>
        <w:t>in the Tenge de</w:t>
      </w:r>
      <w:r w:rsidRPr="00687935">
        <w:rPr>
          <w:rFonts w:ascii="Times New Roman" w:hAnsi="Times New Roman"/>
          <w:sz w:val="24"/>
          <w:szCs w:val="24"/>
          <w:lang w:val="en-US"/>
        </w:rPr>
        <w:t>creased</w:t>
      </w:r>
      <w:r w:rsidRPr="00687935">
        <w:rPr>
          <w:snapToGrid w:val="0"/>
          <w:lang w:val="en-US"/>
        </w:rPr>
        <w:t xml:space="preserve"> </w:t>
      </w:r>
      <w:r w:rsidR="00102908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27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8%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and </w:t>
      </w:r>
      <w:r w:rsidR="00983573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mounted to KZT 152.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 </w:t>
      </w:r>
      <w:r w:rsidR="003F3C6A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(8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0% </w:t>
      </w:r>
      <w:r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of the total volume of placed deposits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A0274C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n August 2013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Pr="00C3440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68793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average</w:t>
      </w:r>
      <w:r w:rsidRPr="0068793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weighted</w:t>
      </w:r>
      <w:r w:rsidRPr="0068793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interest</w:t>
      </w:r>
      <w:r w:rsidRPr="0068793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rate on </w:t>
      </w:r>
      <w:r w:rsidRPr="00687935">
        <w:rPr>
          <w:rFonts w:ascii="Times New Roman" w:eastAsia="Times New Roman" w:hAnsi="Times New Roman"/>
          <w:sz w:val="24"/>
          <w:szCs w:val="24"/>
          <w:lang w:val="en-US" w:eastAsia="ru-RU"/>
        </w:rPr>
        <w:t>placed</w:t>
      </w:r>
      <w:r w:rsidRPr="00687935">
        <w:rPr>
          <w:rFonts w:ascii="Times New Roman" w:hAnsi="Times New Roman"/>
          <w:sz w:val="24"/>
          <w:szCs w:val="24"/>
          <w:lang w:val="en-US"/>
        </w:rPr>
        <w:t xml:space="preserve"> interbank deposits </w:t>
      </w:r>
      <w:r>
        <w:rPr>
          <w:rFonts w:ascii="Times New Roman" w:hAnsi="Times New Roman"/>
          <w:sz w:val="24"/>
          <w:szCs w:val="24"/>
          <w:lang w:val="en-US"/>
        </w:rPr>
        <w:t>in the Tenge</w:t>
      </w:r>
      <w:r w:rsidRPr="00EE5C7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increased from</w:t>
      </w:r>
      <w:r w:rsidRPr="00C3440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0.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88% </w:t>
      </w:r>
      <w:r w:rsidR="00C50933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26%.</w:t>
      </w:r>
    </w:p>
    <w:p w:rsidR="00931186" w:rsidRPr="007A7C91" w:rsidRDefault="00A0274C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In August 2013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as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compared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July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2013, </w:t>
      </w:r>
      <w:r w:rsidR="007A7C91" w:rsidRPr="00687935">
        <w:rPr>
          <w:rFonts w:ascii="Times New Roman" w:hAnsi="Times New Roman"/>
          <w:sz w:val="24"/>
          <w:szCs w:val="24"/>
          <w:lang w:val="en-US"/>
        </w:rPr>
        <w:t xml:space="preserve">the volume of placed Dollar deposits </w:t>
      </w:r>
      <w:r w:rsidR="007A7C91">
        <w:rPr>
          <w:rFonts w:ascii="Times New Roman" w:hAnsi="Times New Roman"/>
          <w:sz w:val="24"/>
          <w:szCs w:val="24"/>
          <w:lang w:val="en-US"/>
        </w:rPr>
        <w:t>decreased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21.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0%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and amounted to US$ 11.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bln. (88.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3% </w:t>
      </w:r>
      <w:r w:rsidR="007A7C91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of the total volume of placed deposits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).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n August 2013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hAnsi="Times New Roman"/>
          <w:sz w:val="24"/>
          <w:szCs w:val="24"/>
          <w:lang w:val="en-US"/>
        </w:rPr>
        <w:t>t</w:t>
      </w:r>
      <w:r w:rsidR="007A7C91" w:rsidRPr="00FD7FA0">
        <w:rPr>
          <w:rFonts w:ascii="Times New Roman" w:hAnsi="Times New Roman"/>
          <w:sz w:val="24"/>
          <w:szCs w:val="24"/>
          <w:lang w:val="en-US"/>
        </w:rPr>
        <w:t>he average weighted interest rate on the placed deposits in the US Dollar</w:t>
      </w:r>
      <w:r w:rsidR="007A7C91" w:rsidRPr="00EE5C7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decreased from 0.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09% </w:t>
      </w:r>
      <w:r w:rsidR="00C50933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0</w:t>
      </w:r>
      <w:r w:rsidR="007A7C91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7A7C91">
        <w:rPr>
          <w:rFonts w:ascii="Times New Roman" w:eastAsia="Times New Roman" w:hAnsi="Times New Roman"/>
          <w:sz w:val="24"/>
          <w:szCs w:val="24"/>
          <w:lang w:val="en-US" w:eastAsia="ru-RU"/>
        </w:rPr>
        <w:t>08%.</w:t>
      </w:r>
    </w:p>
    <w:p w:rsidR="00931186" w:rsidRPr="00E618E7" w:rsidRDefault="00E618E7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volumes of deposits placements in the Russian rubles and Euro are insignificant – </w:t>
      </w:r>
      <w:r w:rsidRPr="00C34401">
        <w:rPr>
          <w:rFonts w:ascii="Times New Roman" w:eastAsia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.2</w:t>
      </w:r>
      <w:r w:rsidRPr="00C3440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%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and 0.5% </w:t>
      </w:r>
      <w:r w:rsidRPr="00C34401">
        <w:rPr>
          <w:rFonts w:ascii="Times New Roman" w:eastAsia="Times New Roman" w:hAnsi="Times New Roman"/>
          <w:sz w:val="24"/>
          <w:szCs w:val="24"/>
          <w:lang w:val="en-US" w:eastAsia="ru-RU"/>
        </w:rPr>
        <w:t>of the total volume of placed deposits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B84753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>respectively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931186" w:rsidRPr="00E618E7" w:rsidRDefault="003F3C6A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>During August 2013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E618E7" w:rsidRPr="00FD7F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>share of foreign currency interbank deposits increased from 91.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4% </w:t>
      </w:r>
      <w:r w:rsidR="00C50933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92.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0% </w:t>
      </w:r>
      <w:r w:rsidR="007A7C91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>of the total volume of placed deposits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E618E7" w:rsidRPr="00FD7F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>share</w:t>
      </w:r>
      <w:r w:rsidR="00E618E7" w:rsidRPr="00FD7F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E618E7" w:rsidRPr="00FD7F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>foreign</w:t>
      </w:r>
      <w:r w:rsidR="00E618E7" w:rsidRPr="00FD7F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>currency</w:t>
      </w:r>
      <w:r w:rsidR="00E618E7" w:rsidRPr="00FD7F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>deposits</w:t>
      </w:r>
      <w:r w:rsidR="00E618E7" w:rsidRPr="00FD7FA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>placed with non-resident banks increased from</w:t>
      </w:r>
      <w:r w:rsidR="00E618E7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>90.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7% </w:t>
      </w:r>
      <w:r w:rsidR="00C50933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91.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1% </w:t>
      </w:r>
      <w:r w:rsidR="00E618E7" w:rsidRPr="00C3440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of the total volume of placed </w:t>
      </w:r>
      <w:r w:rsid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interbank </w:t>
      </w:r>
      <w:r w:rsidR="00E618E7" w:rsidRPr="00C34401">
        <w:rPr>
          <w:rFonts w:ascii="Times New Roman" w:eastAsia="Times New Roman" w:hAnsi="Times New Roman"/>
          <w:sz w:val="24"/>
          <w:szCs w:val="24"/>
          <w:lang w:val="en-US" w:eastAsia="ru-RU"/>
        </w:rPr>
        <w:t>deposits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152952" w:rsidRPr="00E618E7" w:rsidRDefault="00E618E7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A0274C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>n August 2013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as</w:t>
      </w:r>
      <w:r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compared</w:t>
      </w:r>
      <w:r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July</w:t>
      </w:r>
      <w:r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2013,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 volume</w:t>
      </w:r>
      <w:r w:rsidRPr="00F1357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Pr="00F1357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deposits</w:t>
      </w:r>
      <w:r w:rsidRPr="00F1357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taken from banks by the National Bank decreased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35.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0%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amounted to KZT 115.</w:t>
      </w:r>
      <w:r w:rsidR="00931186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 </w:t>
      </w:r>
      <w:r w:rsidR="003F3C6A" w:rsidRPr="00E618E7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</w:p>
    <w:p w:rsidR="000B0D9D" w:rsidRPr="00E618E7" w:rsidRDefault="000B0D9D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31186" w:rsidRPr="00931186" w:rsidRDefault="00A90FB4" w:rsidP="00931186">
      <w:pPr>
        <w:pStyle w:val="a5"/>
        <w:numPr>
          <w:ilvl w:val="0"/>
          <w:numId w:val="16"/>
        </w:numPr>
        <w:spacing w:after="0" w:line="240" w:lineRule="auto"/>
        <w:ind w:left="709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Deposit Market</w:t>
      </w:r>
    </w:p>
    <w:p w:rsidR="00931186" w:rsidRPr="00C50933" w:rsidRDefault="003F3C6A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During August 2013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 w:rsidRPr="006830C0">
        <w:rPr>
          <w:rFonts w:ascii="Times New Roman" w:hAnsi="Times New Roman"/>
          <w:snapToGrid w:val="0"/>
          <w:sz w:val="24"/>
          <w:szCs w:val="24"/>
          <w:lang w:val="en-US"/>
        </w:rPr>
        <w:t xml:space="preserve">the overall volume of deposits of residents with depository institutions </w:t>
      </w:r>
      <w:r w:rsidR="00A90FB4">
        <w:rPr>
          <w:rFonts w:ascii="Times New Roman" w:hAnsi="Times New Roman"/>
          <w:snapToGrid w:val="0"/>
          <w:sz w:val="24"/>
          <w:szCs w:val="24"/>
          <w:lang w:val="en-US"/>
        </w:rPr>
        <w:t>de</w:t>
      </w:r>
      <w:r w:rsidR="00A90FB4" w:rsidRPr="006830C0">
        <w:rPr>
          <w:rFonts w:ascii="Times New Roman" w:hAnsi="Times New Roman"/>
          <w:snapToGrid w:val="0"/>
          <w:sz w:val="24"/>
          <w:szCs w:val="24"/>
          <w:lang w:val="en-US"/>
        </w:rPr>
        <w:t>creased</w:t>
      </w:r>
      <w:r w:rsidR="00A90FB4" w:rsidRPr="00D8007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by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3.2</w:t>
      </w:r>
      <w:r w:rsidR="00A90FB4" w:rsidRPr="00D8007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% to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KZT </w:t>
      </w:r>
      <w:r w:rsidR="00A90FB4">
        <w:rPr>
          <w:rFonts w:ascii="Times New Roman" w:eastAsia="Times New Roman" w:hAnsi="Times New Roman"/>
          <w:sz w:val="24"/>
          <w:szCs w:val="24"/>
          <w:lang w:val="kk-KZ" w:eastAsia="ru-RU"/>
        </w:rPr>
        <w:t>9882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>
        <w:rPr>
          <w:rFonts w:ascii="Times New Roman" w:eastAsia="Times New Roman" w:hAnsi="Times New Roman"/>
          <w:sz w:val="24"/>
          <w:szCs w:val="24"/>
          <w:lang w:val="kk-KZ" w:eastAsia="ru-RU"/>
        </w:rPr>
        <w:t>9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gramStart"/>
      <w:r w:rsidR="00C50933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proofErr w:type="gramEnd"/>
      <w:r w:rsidR="00C50933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beginning of the year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– the </w:t>
      </w:r>
      <w:r w:rsidR="00A90FB4">
        <w:rPr>
          <w:rFonts w:ascii="Times New Roman" w:eastAsia="Times New Roman" w:hAnsi="Times New Roman"/>
          <w:sz w:val="24"/>
          <w:szCs w:val="24"/>
          <w:lang w:val="kk-KZ" w:eastAsia="ru-RU"/>
        </w:rPr>
        <w:t>9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A90FB4">
        <w:rPr>
          <w:rFonts w:ascii="Times New Roman" w:eastAsia="Times New Roman" w:hAnsi="Times New Roman"/>
          <w:sz w:val="24"/>
          <w:szCs w:val="24"/>
          <w:lang w:val="kk-KZ" w:eastAsia="ru-RU"/>
        </w:rPr>
        <w:t>9</w:t>
      </w:r>
      <w:r w:rsidR="00A90FB4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%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BE6839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).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During the month, deposits of legal entities decreased</w:t>
      </w:r>
      <w:r w:rsidR="00A90FB4" w:rsidRPr="00357B2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31186"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% </w:t>
      </w:r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KZT </w:t>
      </w:r>
      <w:r w:rsidR="00A90FB4">
        <w:rPr>
          <w:rFonts w:ascii="Times New Roman" w:eastAsia="Times New Roman" w:hAnsi="Times New Roman"/>
          <w:sz w:val="24"/>
          <w:szCs w:val="24"/>
          <w:lang w:val="kk-KZ" w:eastAsia="ru-RU"/>
        </w:rPr>
        <w:t>6208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>
        <w:rPr>
          <w:rFonts w:ascii="Times New Roman" w:eastAsia="Times New Roman" w:hAnsi="Times New Roman"/>
          <w:sz w:val="24"/>
          <w:szCs w:val="24"/>
          <w:lang w:val="kk-KZ" w:eastAsia="ru-RU"/>
        </w:rPr>
        <w:t>8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gramStart"/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proofErr w:type="gramEnd"/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beginning of the year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– the </w:t>
      </w:r>
      <w:r w:rsidR="00A90FB4">
        <w:rPr>
          <w:rFonts w:ascii="Times New Roman" w:eastAsia="Times New Roman" w:hAnsi="Times New Roman"/>
          <w:sz w:val="24"/>
          <w:szCs w:val="24"/>
          <w:lang w:val="kk-KZ" w:eastAsia="ru-RU"/>
        </w:rPr>
        <w:t>10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A90FB4">
        <w:rPr>
          <w:rFonts w:ascii="Times New Roman" w:eastAsia="Times New Roman" w:hAnsi="Times New Roman"/>
          <w:sz w:val="24"/>
          <w:szCs w:val="24"/>
          <w:lang w:val="kk-KZ" w:eastAsia="ru-RU"/>
        </w:rPr>
        <w:t>4</w:t>
      </w:r>
      <w:r w:rsidR="00A90FB4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%</w:t>
      </w:r>
      <w:r w:rsidR="009835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BE6839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),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deposits of individuals increased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kk-KZ" w:eastAsia="ru-RU"/>
        </w:rPr>
        <w:t>0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>
        <w:rPr>
          <w:rFonts w:ascii="Times New Roman" w:eastAsia="Times New Roman" w:hAnsi="Times New Roman"/>
          <w:sz w:val="24"/>
          <w:szCs w:val="24"/>
          <w:lang w:val="kk-KZ" w:eastAsia="ru-RU"/>
        </w:rPr>
        <w:t>2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% </w:t>
      </w:r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KZT </w:t>
      </w:r>
      <w:r w:rsidR="00A90FB4">
        <w:rPr>
          <w:rFonts w:ascii="Times New Roman" w:eastAsia="Times New Roman" w:hAnsi="Times New Roman"/>
          <w:sz w:val="24"/>
          <w:szCs w:val="24"/>
          <w:lang w:val="kk-KZ" w:eastAsia="ru-RU"/>
        </w:rPr>
        <w:t>3674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gramStart"/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proofErr w:type="gramEnd"/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beginning of the year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– the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kk-KZ" w:eastAsia="ru-RU"/>
        </w:rPr>
        <w:t>9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>
        <w:rPr>
          <w:rFonts w:ascii="Times New Roman" w:eastAsia="Times New Roman" w:hAnsi="Times New Roman"/>
          <w:sz w:val="24"/>
          <w:szCs w:val="24"/>
          <w:lang w:val="kk-KZ" w:eastAsia="ru-RU"/>
        </w:rPr>
        <w:t>0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%</w:t>
      </w:r>
      <w:r w:rsidR="00A90FB4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). </w:t>
      </w:r>
    </w:p>
    <w:p w:rsidR="00931186" w:rsidRPr="00A90FB4" w:rsidRDefault="00A0274C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74C">
        <w:rPr>
          <w:rFonts w:ascii="Times New Roman" w:eastAsia="Times New Roman" w:hAnsi="Times New Roman"/>
          <w:sz w:val="24"/>
          <w:szCs w:val="24"/>
          <w:lang w:val="en-US" w:eastAsia="ru-RU"/>
        </w:rPr>
        <w:t>In August 2013</w:t>
      </w:r>
      <w:r w:rsidR="00931186" w:rsidRPr="00A027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the volume of deposits in the domestic currency decreased</w:t>
      </w:r>
      <w:r w:rsidR="00A90FB4" w:rsidRPr="00B1231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A0274C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A027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kk-KZ" w:eastAsia="ru-RU"/>
        </w:rPr>
        <w:t>2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="00931186" w:rsidRPr="00A027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% </w:t>
      </w:r>
      <w:r w:rsidR="00C50933" w:rsidRPr="00A0274C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A027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KZT </w:t>
      </w:r>
      <w:r w:rsidR="00A90FB4">
        <w:rPr>
          <w:rFonts w:ascii="Times New Roman" w:eastAsia="Times New Roman" w:hAnsi="Times New Roman"/>
          <w:sz w:val="24"/>
          <w:szCs w:val="24"/>
          <w:lang w:val="kk-KZ" w:eastAsia="ru-RU"/>
        </w:rPr>
        <w:t>6100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A027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 </w:t>
      </w:r>
      <w:r w:rsidR="003F3C6A" w:rsidRPr="00A0274C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A027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proofErr w:type="gramStart"/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deposits</w:t>
      </w:r>
      <w:proofErr w:type="gramEnd"/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of legal entities demonstrated the decrease of 3.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1%,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and deposits of individuals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the decrease of 1.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3%),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and foreign currency deposits showed the decrease of 4.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3% </w:t>
      </w:r>
      <w:r w:rsidR="00C50933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KZT 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3782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9 </w:t>
      </w:r>
      <w:r w:rsidR="003F3C6A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gramStart"/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legal</w:t>
      </w:r>
      <w:proofErr w:type="gramEnd"/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entities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the decrease of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8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5%,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individuals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</w:t>
      </w:r>
      <w:r w:rsidR="00BE6839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2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1%).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A90FB4" w:rsidRPr="00CA47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percentage</w:t>
      </w:r>
      <w:r w:rsidR="00A90FB4" w:rsidRPr="00CA47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A90FB4" w:rsidRPr="00CA47C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the Tenge deposits has increased over the month from</w:t>
      </w:r>
      <w:r w:rsidR="00A90FB4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1.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3% </w:t>
      </w:r>
      <w:r w:rsidR="00C50933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6</w:t>
      </w:r>
      <w:r w:rsidR="00A90FB4">
        <w:rPr>
          <w:rFonts w:ascii="Times New Roman" w:eastAsia="Times New Roman" w:hAnsi="Times New Roman"/>
          <w:sz w:val="24"/>
          <w:szCs w:val="24"/>
          <w:lang w:val="en-US" w:eastAsia="ru-RU"/>
        </w:rPr>
        <w:t>1.</w:t>
      </w:r>
      <w:r w:rsidR="00931186" w:rsidRPr="00A90FB4">
        <w:rPr>
          <w:rFonts w:ascii="Times New Roman" w:eastAsia="Times New Roman" w:hAnsi="Times New Roman"/>
          <w:sz w:val="24"/>
          <w:szCs w:val="24"/>
          <w:lang w:val="en-US" w:eastAsia="ru-RU"/>
        </w:rPr>
        <w:t>7%.</w:t>
      </w:r>
    </w:p>
    <w:p w:rsidR="00931186" w:rsidRPr="000C7E13" w:rsidRDefault="003F3C6A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During August 2013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D5CEC" w:rsidRPr="006830C0">
        <w:rPr>
          <w:rFonts w:ascii="Times New Roman" w:hAnsi="Times New Roman"/>
          <w:sz w:val="24"/>
          <w:szCs w:val="24"/>
          <w:lang w:val="en-US"/>
        </w:rPr>
        <w:t>household deposits with banks (including non-residents) increased</w:t>
      </w:r>
      <w:r w:rsidR="00ED5CEC" w:rsidRPr="001011E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D5CEC">
        <w:rPr>
          <w:rFonts w:ascii="Times New Roman" w:eastAsia="Times New Roman" w:hAnsi="Times New Roman"/>
          <w:sz w:val="24"/>
          <w:szCs w:val="24"/>
          <w:lang w:val="en-US" w:eastAsia="ru-RU"/>
        </w:rPr>
        <w:t>0.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2% </w:t>
      </w:r>
      <w:r w:rsidR="00C50933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D5CEC">
        <w:rPr>
          <w:rFonts w:ascii="Times New Roman" w:eastAsia="Times New Roman" w:hAnsi="Times New Roman"/>
          <w:sz w:val="24"/>
          <w:szCs w:val="24"/>
          <w:lang w:val="en-US" w:eastAsia="ru-RU"/>
        </w:rPr>
        <w:t>KZT 3708.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9 </w:t>
      </w:r>
      <w:r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gramStart"/>
      <w:r w:rsidR="00C50933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proofErr w:type="gramEnd"/>
      <w:r w:rsidR="00C50933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beginning of the year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– the </w:t>
      </w:r>
      <w:r w:rsidR="00BE6839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D5CEC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D5CEC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8</w:t>
      </w:r>
      <w:r w:rsidR="00ED5CEC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8%). </w:t>
      </w:r>
      <w:r w:rsidR="00ED5CEC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="00ED5CEC" w:rsidRPr="0053364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D5CEC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ED5CEC" w:rsidRPr="0053364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structure of </w:t>
      </w:r>
      <w:r w:rsidR="00ED5CEC" w:rsidRPr="006830C0">
        <w:rPr>
          <w:rFonts w:ascii="Times New Roman" w:hAnsi="Times New Roman"/>
          <w:sz w:val="24"/>
          <w:szCs w:val="24"/>
          <w:lang w:val="en-US"/>
        </w:rPr>
        <w:t>household deposits</w:t>
      </w:r>
      <w:r w:rsidR="00ED5CEC">
        <w:rPr>
          <w:rFonts w:ascii="Times New Roman" w:hAnsi="Times New Roman"/>
          <w:sz w:val="24"/>
          <w:szCs w:val="24"/>
          <w:lang w:val="en-US"/>
        </w:rPr>
        <w:t>, deposits</w:t>
      </w:r>
      <w:r w:rsid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 the Tenge decreased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D5CEC">
        <w:rPr>
          <w:rFonts w:ascii="Times New Roman" w:eastAsia="Times New Roman" w:hAnsi="Times New Roman"/>
          <w:sz w:val="24"/>
          <w:szCs w:val="24"/>
          <w:lang w:val="en-US" w:eastAsia="ru-RU"/>
        </w:rPr>
        <w:t>1.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3% </w:t>
      </w:r>
      <w:r w:rsidR="00C50933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D5CEC">
        <w:rPr>
          <w:rFonts w:ascii="Times New Roman" w:eastAsia="Times New Roman" w:hAnsi="Times New Roman"/>
          <w:sz w:val="24"/>
          <w:szCs w:val="24"/>
          <w:lang w:val="en-US" w:eastAsia="ru-RU"/>
        </w:rPr>
        <w:t>KZT 2073.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9 </w:t>
      </w:r>
      <w:r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and foreign currency deposits increased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2.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1% </w:t>
      </w:r>
      <w:r w:rsidR="00C50933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KZT 1635.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 </w:t>
      </w:r>
      <w:r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ED5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Within</w:t>
      </w:r>
      <w:r w:rsidR="000C7E13" w:rsidRPr="0053364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hAnsi="Times New Roman"/>
          <w:sz w:val="24"/>
          <w:szCs w:val="24"/>
          <w:lang w:val="en-US"/>
        </w:rPr>
        <w:t>household</w:t>
      </w:r>
      <w:r w:rsidR="000C7E13" w:rsidRPr="0053364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7E13">
        <w:rPr>
          <w:rFonts w:ascii="Times New Roman" w:hAnsi="Times New Roman"/>
          <w:sz w:val="24"/>
          <w:szCs w:val="24"/>
          <w:lang w:val="en-US"/>
        </w:rPr>
        <w:t>deposits</w:t>
      </w:r>
      <w:r w:rsidR="000C7E13" w:rsidRPr="0053364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C7E13">
        <w:rPr>
          <w:rFonts w:ascii="Times New Roman" w:hAnsi="Times New Roman"/>
          <w:sz w:val="24"/>
          <w:szCs w:val="24"/>
          <w:lang w:val="en-US"/>
        </w:rPr>
        <w:t>the</w:t>
      </w:r>
      <w:r w:rsidR="000C7E13" w:rsidRPr="0053364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7E13">
        <w:rPr>
          <w:rFonts w:ascii="Times New Roman" w:hAnsi="Times New Roman"/>
          <w:sz w:val="24"/>
          <w:szCs w:val="24"/>
          <w:lang w:val="en-US"/>
        </w:rPr>
        <w:t>percentage of</w:t>
      </w:r>
      <w:r w:rsidR="000C7E13" w:rsidRPr="0053364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 w:rsidRPr="006830C0">
        <w:rPr>
          <w:rFonts w:ascii="Times New Roman" w:hAnsi="Times New Roman"/>
          <w:sz w:val="24"/>
          <w:szCs w:val="24"/>
          <w:lang w:val="en-US"/>
        </w:rPr>
        <w:t>deposits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 the Tenge has decreased</w:t>
      </w:r>
      <w:r w:rsidR="000C7E13" w:rsidRPr="0053364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from</w:t>
      </w:r>
      <w:r w:rsidR="000C7E13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56.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8% </w:t>
      </w:r>
      <w:r w:rsidR="00C50933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55.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9%.</w:t>
      </w:r>
    </w:p>
    <w:p w:rsidR="00931186" w:rsidRPr="000C7E13" w:rsidRDefault="003F3C6A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>During August 2013</w:t>
      </w:r>
      <w:r w:rsidR="00931186"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time deposits increased</w:t>
      </w:r>
      <w:r w:rsidR="00931186"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2.</w:t>
      </w:r>
      <w:r w:rsidR="00931186"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5% </w:t>
      </w:r>
      <w:r w:rsidR="00C50933"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KZT 6815.</w:t>
      </w:r>
      <w:r w:rsidR="00931186"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 </w:t>
      </w:r>
      <w:r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Within time deposits, deposits in the Tenge increased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2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0% </w:t>
      </w:r>
      <w:r w:rsidR="00C50933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KZT 4062.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 </w:t>
      </w:r>
      <w:proofErr w:type="gramStart"/>
      <w:r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proofErr w:type="gramEnd"/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and foreign currency deposits increased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3.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2% </w:t>
      </w:r>
      <w:r w:rsidR="00C50933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KZT 2752.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9 </w:t>
      </w:r>
      <w:r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</w:p>
    <w:p w:rsidR="00931186" w:rsidRPr="000C7E13" w:rsidRDefault="00A0274C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In August 2013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 w:rsidRPr="0053364E">
        <w:rPr>
          <w:rFonts w:ascii="Times New Roman" w:hAnsi="Times New Roman"/>
          <w:sz w:val="24"/>
          <w:szCs w:val="24"/>
          <w:lang w:val="en-US"/>
        </w:rPr>
        <w:t>the average weighted  interest rate on the Tenge time deposits of non-bank legal entities was</w:t>
      </w:r>
      <w:r w:rsidR="000C7E13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4.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4% (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in July 2013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3.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5%),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and on deposits of individuals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6.7% (6.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5%).</w:t>
      </w:r>
    </w:p>
    <w:p w:rsidR="00931186" w:rsidRPr="000C7E13" w:rsidRDefault="00931186" w:rsidP="009311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31186" w:rsidRPr="00931186" w:rsidRDefault="000C7E13" w:rsidP="00931186">
      <w:pPr>
        <w:pStyle w:val="a5"/>
        <w:numPr>
          <w:ilvl w:val="0"/>
          <w:numId w:val="16"/>
        </w:numPr>
        <w:spacing w:after="0" w:line="240" w:lineRule="auto"/>
        <w:ind w:left="709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Credit Market</w:t>
      </w:r>
    </w:p>
    <w:p w:rsidR="00931186" w:rsidRPr="00047F37" w:rsidRDefault="003F3C6A" w:rsidP="009311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During August 2013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 w:rsidRPr="00E14D5B">
        <w:rPr>
          <w:rFonts w:ascii="Times New Roman" w:hAnsi="Times New Roman"/>
          <w:sz w:val="24"/>
          <w:szCs w:val="24"/>
          <w:lang w:val="en-US"/>
        </w:rPr>
        <w:t>the</w:t>
      </w:r>
      <w:r w:rsidR="000C7E13" w:rsidRPr="00E41CE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 w:rsidR="000C7E13" w:rsidRPr="00E14D5B">
        <w:rPr>
          <w:rFonts w:ascii="Times New Roman" w:hAnsi="Times New Roman"/>
          <w:snapToGrid w:val="0"/>
          <w:sz w:val="24"/>
          <w:szCs w:val="24"/>
          <w:lang w:val="en-US"/>
        </w:rPr>
        <w:t>total</w:t>
      </w:r>
      <w:r w:rsidR="000C7E13" w:rsidRPr="00E41CE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 w:rsidR="000C7E13" w:rsidRPr="00E14D5B">
        <w:rPr>
          <w:rFonts w:ascii="Times New Roman" w:hAnsi="Times New Roman"/>
          <w:snapToGrid w:val="0"/>
          <w:sz w:val="24"/>
          <w:szCs w:val="24"/>
          <w:lang w:val="en-US"/>
        </w:rPr>
        <w:t>volume</w:t>
      </w:r>
      <w:r w:rsidR="000C7E13" w:rsidRPr="00E41CE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 w:rsidR="000C7E13" w:rsidRPr="00E14D5B">
        <w:rPr>
          <w:rFonts w:ascii="Times New Roman" w:hAnsi="Times New Roman"/>
          <w:snapToGrid w:val="0"/>
          <w:sz w:val="24"/>
          <w:szCs w:val="24"/>
          <w:lang w:val="en-US"/>
        </w:rPr>
        <w:t>of</w:t>
      </w:r>
      <w:r w:rsidR="000C7E13" w:rsidRPr="00E41CE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 w:rsidR="000C7E13" w:rsidRPr="00E14D5B">
        <w:rPr>
          <w:rFonts w:ascii="Times New Roman" w:hAnsi="Times New Roman"/>
          <w:snapToGrid w:val="0"/>
          <w:sz w:val="24"/>
          <w:szCs w:val="24"/>
          <w:lang w:val="en-US"/>
        </w:rPr>
        <w:t>bank</w:t>
      </w:r>
      <w:r w:rsidR="000C7E13" w:rsidRPr="00E41CE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 w:rsidR="000C7E13" w:rsidRPr="00E14D5B">
        <w:rPr>
          <w:rFonts w:ascii="Times New Roman" w:hAnsi="Times New Roman"/>
          <w:snapToGrid w:val="0"/>
          <w:sz w:val="24"/>
          <w:szCs w:val="24"/>
          <w:lang w:val="en-US"/>
        </w:rPr>
        <w:t>credits</w:t>
      </w:r>
      <w:r w:rsidR="000C7E13" w:rsidRPr="00E41CE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 w:rsidR="000C7E13" w:rsidRPr="00E14D5B">
        <w:rPr>
          <w:rFonts w:ascii="Times New Roman" w:hAnsi="Times New Roman"/>
          <w:snapToGrid w:val="0"/>
          <w:sz w:val="24"/>
          <w:szCs w:val="24"/>
          <w:lang w:val="en-US"/>
        </w:rPr>
        <w:t>to</w:t>
      </w:r>
      <w:r w:rsidR="000C7E13" w:rsidRPr="00E41CE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 w:rsidR="000C7E13" w:rsidRPr="00E14D5B">
        <w:rPr>
          <w:rFonts w:ascii="Times New Roman" w:hAnsi="Times New Roman"/>
          <w:snapToGrid w:val="0"/>
          <w:sz w:val="24"/>
          <w:szCs w:val="24"/>
          <w:lang w:val="en-US"/>
        </w:rPr>
        <w:t>the</w:t>
      </w:r>
      <w:r w:rsidR="000C7E13" w:rsidRPr="00E41CE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 w:rsidR="000C7E13" w:rsidRPr="00E14D5B">
        <w:rPr>
          <w:rFonts w:ascii="Times New Roman" w:hAnsi="Times New Roman"/>
          <w:snapToGrid w:val="0"/>
          <w:sz w:val="24"/>
          <w:szCs w:val="24"/>
          <w:lang w:val="en-US"/>
        </w:rPr>
        <w:t>economy</w:t>
      </w:r>
      <w:r w:rsidR="000C7E13" w:rsidRPr="00E41CE1"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r w:rsidR="000C7E13" w:rsidRPr="00E14D5B">
        <w:rPr>
          <w:rFonts w:ascii="Times New Roman" w:hAnsi="Times New Roman"/>
          <w:snapToGrid w:val="0"/>
          <w:sz w:val="24"/>
          <w:szCs w:val="24"/>
          <w:lang w:val="en-US"/>
        </w:rPr>
        <w:t>increased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0.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7%,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amounting to KZT 10782.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 </w:t>
      </w:r>
      <w:r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proofErr w:type="gramStart"/>
      <w:r w:rsidR="00C50933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proofErr w:type="gramEnd"/>
      <w:r w:rsidR="00C50933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beginning of the year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- the </w:t>
      </w:r>
      <w:r w:rsidR="00BE6839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0C7E13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>8</w:t>
      </w:r>
      <w:r w:rsidR="000C7E13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>3%).</w:t>
      </w:r>
    </w:p>
    <w:p w:rsidR="00931186" w:rsidRPr="00047F37" w:rsidRDefault="00047F37" w:rsidP="009311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14D5B">
        <w:rPr>
          <w:rFonts w:ascii="Times New Roman" w:hAnsi="Times New Roman"/>
          <w:sz w:val="24"/>
          <w:szCs w:val="24"/>
          <w:lang w:val="en-US"/>
        </w:rPr>
        <w:t>The volume of credits in the domestic currency increased</w:t>
      </w:r>
      <w:r>
        <w:rPr>
          <w:lang w:val="en-US"/>
        </w:rPr>
        <w:t xml:space="preserve"> </w:t>
      </w:r>
      <w:r w:rsidR="00102908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0% </w:t>
      </w:r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KZT 7612.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6 </w:t>
      </w:r>
      <w:r w:rsidR="003F3C6A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proofErr w:type="gramStart"/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proofErr w:type="gramEnd"/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beginning of the year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– the </w:t>
      </w:r>
      <w:r w:rsidR="00BE6839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of 8.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1%),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and the </w:t>
      </w:r>
      <w:r w:rsidRPr="00E14D5B">
        <w:rPr>
          <w:rFonts w:ascii="Times New Roman" w:hAnsi="Times New Roman"/>
          <w:sz w:val="24"/>
          <w:szCs w:val="24"/>
          <w:lang w:val="en-US"/>
        </w:rPr>
        <w:t xml:space="preserve">volume of </w:t>
      </w:r>
      <w:r>
        <w:rPr>
          <w:rFonts w:ascii="Times New Roman" w:hAnsi="Times New Roman"/>
          <w:sz w:val="24"/>
          <w:szCs w:val="24"/>
          <w:lang w:val="en-US"/>
        </w:rPr>
        <w:t xml:space="preserve">foreign currency </w:t>
      </w:r>
      <w:r w:rsidRPr="00E14D5B">
        <w:rPr>
          <w:rFonts w:ascii="Times New Roman" w:hAnsi="Times New Roman"/>
          <w:sz w:val="24"/>
          <w:szCs w:val="24"/>
          <w:lang w:val="en-US"/>
        </w:rPr>
        <w:t xml:space="preserve">credits </w:t>
      </w:r>
      <w:r>
        <w:rPr>
          <w:rFonts w:ascii="Times New Roman" w:hAnsi="Times New Roman"/>
          <w:sz w:val="24"/>
          <w:szCs w:val="24"/>
          <w:lang w:val="en-US"/>
        </w:rPr>
        <w:t>decreased</w:t>
      </w:r>
      <w:r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0.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1% </w:t>
      </w:r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KZT 3170.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 </w:t>
      </w:r>
      <w:r w:rsidR="003F3C6A" w:rsidRPr="003F3C6A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gramStart"/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proofErr w:type="gramEnd"/>
      <w:r w:rsidR="00C50933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beginning of the year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– the </w:t>
      </w:r>
      <w:r w:rsidR="00BE6839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of 8.</w:t>
      </w:r>
      <w:r w:rsidR="00931186" w:rsidRPr="00C509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7%).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Over</w:t>
      </w:r>
      <w:r w:rsidRPr="00E14D5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E14D5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month</w:t>
      </w:r>
      <w:r w:rsidRPr="00E14D5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Pr="00E14D5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percentage of credits in the Tenge has increased from</w:t>
      </w:r>
      <w:r w:rsidRPr="00E41CE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70.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4% </w:t>
      </w:r>
      <w:r w:rsidR="00C50933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70.</w:t>
      </w:r>
      <w:r w:rsidR="00931186" w:rsidRPr="00047F37">
        <w:rPr>
          <w:rFonts w:ascii="Times New Roman" w:eastAsia="Times New Roman" w:hAnsi="Times New Roman"/>
          <w:sz w:val="24"/>
          <w:szCs w:val="24"/>
          <w:lang w:val="en-US" w:eastAsia="ru-RU"/>
        </w:rPr>
        <w:t>6%.</w:t>
      </w:r>
    </w:p>
    <w:p w:rsidR="00931186" w:rsidRPr="00C068BC" w:rsidRDefault="00C068BC" w:rsidP="009311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A0274C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n August 2013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long-term lending increased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1.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0%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amounting to KZT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8814.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 </w:t>
      </w:r>
      <w:proofErr w:type="gramStart"/>
      <w:r w:rsidR="003F3C6A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proofErr w:type="gramEnd"/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short-term lending decreased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0.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8% </w:t>
      </w:r>
      <w:r w:rsidR="00C50933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KZT 1968.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6 </w:t>
      </w:r>
      <w:r w:rsidR="003F3C6A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3334C6">
        <w:rPr>
          <w:rFonts w:ascii="Times New Roman" w:eastAsia="Times New Roman" w:hAnsi="Times New Roman"/>
          <w:sz w:val="24"/>
          <w:szCs w:val="24"/>
          <w:lang w:val="en-US" w:eastAsia="ru-RU"/>
        </w:rPr>
        <w:t>Over</w:t>
      </w:r>
      <w:r w:rsidR="003334C6" w:rsidRPr="00DF707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3334C6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3334C6" w:rsidRPr="00DF707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3334C6">
        <w:rPr>
          <w:rFonts w:ascii="Times New Roman" w:eastAsia="Times New Roman" w:hAnsi="Times New Roman"/>
          <w:sz w:val="24"/>
          <w:szCs w:val="24"/>
          <w:lang w:val="en-US" w:eastAsia="ru-RU"/>
        </w:rPr>
        <w:t>month</w:t>
      </w:r>
      <w:r w:rsidR="003334C6" w:rsidRPr="00DF707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3334C6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3334C6" w:rsidRPr="00DF707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3334C6">
        <w:rPr>
          <w:rFonts w:ascii="Times New Roman" w:eastAsia="Times New Roman" w:hAnsi="Times New Roman"/>
          <w:sz w:val="24"/>
          <w:szCs w:val="24"/>
          <w:lang w:val="en-US" w:eastAsia="ru-RU"/>
        </w:rPr>
        <w:t>percentage</w:t>
      </w:r>
      <w:r w:rsidR="003334C6" w:rsidRPr="00DF707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3334C6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3334C6" w:rsidRPr="00DF707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3334C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long-term credits has increased from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81.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5% </w:t>
      </w:r>
      <w:r w:rsidR="00C50933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81.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7%. </w:t>
      </w:r>
    </w:p>
    <w:p w:rsidR="00931186" w:rsidRPr="00C068BC" w:rsidRDefault="003F3C6A" w:rsidP="009311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During August 2013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>the volume of credits to legal entities increased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>0.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4% </w:t>
      </w:r>
      <w:r w:rsidR="00C50933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KZT 7412.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8 </w:t>
      </w:r>
      <w:r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>and the volume of credits to individuals increased</w:t>
      </w:r>
      <w:r w:rsidR="00C068BC" w:rsidRPr="00093A6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5% </w:t>
      </w:r>
      <w:r w:rsidR="00C50933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KZT 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3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>370.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 </w:t>
      </w:r>
      <w:r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>Over the month, the</w:t>
      </w:r>
      <w:r w:rsidR="00C068BC" w:rsidRPr="00093A6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>percentage</w:t>
      </w:r>
      <w:r w:rsidR="00C068BC" w:rsidRPr="00093A6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C068BC" w:rsidRPr="00093A6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>credits</w:t>
      </w:r>
      <w:r w:rsidR="00C068BC" w:rsidRPr="00093A6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C068BC" w:rsidRPr="00093A6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>individuals has increased from</w:t>
      </w:r>
      <w:r w:rsidR="00C068BC" w:rsidRPr="004E462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>31.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0% </w:t>
      </w:r>
      <w:r w:rsidR="00C50933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C068B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31.</w:t>
      </w:r>
      <w:r w:rsidR="00931186" w:rsidRPr="00C068BC">
        <w:rPr>
          <w:rFonts w:ascii="Times New Roman" w:eastAsia="Times New Roman" w:hAnsi="Times New Roman"/>
          <w:sz w:val="24"/>
          <w:szCs w:val="24"/>
          <w:lang w:val="en-US" w:eastAsia="ru-RU"/>
        </w:rPr>
        <w:t>3%.</w:t>
      </w:r>
    </w:p>
    <w:p w:rsidR="00931186" w:rsidRPr="00151A73" w:rsidRDefault="003F3C6A" w:rsidP="009311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During August 2013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the</w:t>
      </w:r>
      <w:r w:rsidR="00151A73" w:rsidRPr="004E462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51A73">
        <w:rPr>
          <w:rFonts w:ascii="Times New Roman" w:hAnsi="Times New Roman"/>
          <w:sz w:val="24"/>
          <w:szCs w:val="24"/>
          <w:lang w:val="en-US"/>
        </w:rPr>
        <w:t>SME</w:t>
      </w:r>
      <w:r w:rsidR="00151A73" w:rsidRPr="004E462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1A73">
        <w:rPr>
          <w:rFonts w:ascii="Times New Roman" w:hAnsi="Times New Roman"/>
          <w:sz w:val="24"/>
          <w:szCs w:val="24"/>
          <w:lang w:val="en-US"/>
        </w:rPr>
        <w:t>lending</w:t>
      </w:r>
      <w:r w:rsidR="00151A73" w:rsidRPr="004E462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1A73">
        <w:rPr>
          <w:rFonts w:ascii="Times New Roman" w:hAnsi="Times New Roman"/>
          <w:sz w:val="24"/>
          <w:szCs w:val="24"/>
          <w:lang w:val="en-US"/>
        </w:rPr>
        <w:t>in</w:t>
      </w:r>
      <w:r w:rsidR="00151A73" w:rsidRPr="00093A6B">
        <w:rPr>
          <w:rFonts w:ascii="Times New Roman" w:hAnsi="Times New Roman"/>
          <w:sz w:val="24"/>
          <w:szCs w:val="24"/>
          <w:lang w:val="en-US"/>
        </w:rPr>
        <w:t>creased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02908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by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0.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2% </w:t>
      </w:r>
      <w:r w:rsidR="00C50933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to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KZT 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14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62.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6 </w:t>
      </w:r>
      <w:r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bln.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gramStart"/>
      <w:r w:rsidR="00C50933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since</w:t>
      </w:r>
      <w:proofErr w:type="gramEnd"/>
      <w:r w:rsidR="00C50933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beginning of the year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– the </w:t>
      </w:r>
      <w:r w:rsidR="00BE6839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growth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3.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6%),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accounting for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13.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6%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of total credits to the economy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</w:p>
    <w:p w:rsidR="00931186" w:rsidRPr="00151A73" w:rsidRDefault="00151A73" w:rsidP="009311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273ED">
        <w:rPr>
          <w:rFonts w:ascii="Times New Roman" w:hAnsi="Times New Roman"/>
          <w:sz w:val="24"/>
          <w:szCs w:val="24"/>
          <w:lang w:val="en-US"/>
        </w:rPr>
        <w:t xml:space="preserve">In the </w:t>
      </w:r>
      <w:proofErr w:type="spellStart"/>
      <w:r w:rsidRPr="002273ED">
        <w:rPr>
          <w:rFonts w:ascii="Times New Roman" w:hAnsi="Times New Roman"/>
          <w:sz w:val="24"/>
          <w:szCs w:val="24"/>
          <w:lang w:val="en-US"/>
        </w:rPr>
        <w:t>sectoral</w:t>
      </w:r>
      <w:proofErr w:type="spellEnd"/>
      <w:r w:rsidRPr="002273ED">
        <w:rPr>
          <w:rFonts w:ascii="Times New Roman" w:hAnsi="Times New Roman"/>
          <w:sz w:val="24"/>
          <w:szCs w:val="24"/>
          <w:lang w:val="en-US"/>
        </w:rPr>
        <w:t xml:space="preserve"> breakdown, the most significant amount of credits to the economy falls on such sectors as trade (the share in the total volume is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19.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4%),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construction (13.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0%),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industry (11.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9%),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transport (3.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3%)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and agriculture (3.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1%).</w:t>
      </w:r>
    </w:p>
    <w:p w:rsidR="00931186" w:rsidRPr="00151A73" w:rsidRDefault="00A0274C" w:rsidP="009311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In August 2013</w:t>
      </w:r>
      <w:r w:rsidR="00151A73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51A73" w:rsidRPr="002273ED">
        <w:rPr>
          <w:rFonts w:ascii="Times New Roman" w:hAnsi="Times New Roman"/>
          <w:sz w:val="24"/>
          <w:szCs w:val="24"/>
          <w:lang w:val="en-US"/>
        </w:rPr>
        <w:t xml:space="preserve">the average weighted interest rate on the Tenge credits provided to non-bank </w:t>
      </w:r>
      <w:r w:rsidR="00151A73">
        <w:rPr>
          <w:rFonts w:ascii="Times New Roman" w:hAnsi="Times New Roman"/>
          <w:sz w:val="24"/>
          <w:szCs w:val="24"/>
          <w:lang w:val="en-US"/>
        </w:rPr>
        <w:t>legal</w:t>
      </w:r>
      <w:r w:rsidR="00151A73" w:rsidRPr="002273ED">
        <w:rPr>
          <w:rFonts w:ascii="Times New Roman" w:hAnsi="Times New Roman"/>
          <w:sz w:val="24"/>
          <w:szCs w:val="24"/>
          <w:lang w:val="en-US"/>
        </w:rPr>
        <w:t xml:space="preserve"> entities was</w:t>
      </w:r>
      <w:r w:rsidR="00151A73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10.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9% (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in July 2013 – 10.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4%),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and on credits to individuals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20.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1% (</w:t>
      </w:r>
      <w:r w:rsidR="00151A73">
        <w:rPr>
          <w:rFonts w:ascii="Times New Roman" w:eastAsia="Times New Roman" w:hAnsi="Times New Roman"/>
          <w:sz w:val="24"/>
          <w:szCs w:val="24"/>
          <w:lang w:val="en-US" w:eastAsia="ru-RU"/>
        </w:rPr>
        <w:t>19.</w:t>
      </w:r>
      <w:r w:rsidR="00931186" w:rsidRPr="00151A73">
        <w:rPr>
          <w:rFonts w:ascii="Times New Roman" w:eastAsia="Times New Roman" w:hAnsi="Times New Roman"/>
          <w:sz w:val="24"/>
          <w:szCs w:val="24"/>
          <w:lang w:val="en-US" w:eastAsia="ru-RU"/>
        </w:rPr>
        <w:t>6%).</w:t>
      </w:r>
    </w:p>
    <w:p w:rsidR="00BB458A" w:rsidRPr="00151A73" w:rsidRDefault="00BB458A" w:rsidP="00931186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color w:val="FFFFFF" w:themeColor="background1"/>
          <w:sz w:val="24"/>
          <w:szCs w:val="24"/>
          <w:lang w:val="en-US" w:eastAsia="ru-RU"/>
        </w:rPr>
      </w:pPr>
    </w:p>
    <w:sectPr w:rsidR="00BB458A" w:rsidRPr="00151A7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F8" w:rsidRDefault="003015F8" w:rsidP="00131E40">
      <w:pPr>
        <w:spacing w:after="0" w:line="240" w:lineRule="auto"/>
      </w:pPr>
      <w:r>
        <w:separator/>
      </w:r>
    </w:p>
  </w:endnote>
  <w:endnote w:type="continuationSeparator" w:id="0">
    <w:p w:rsidR="003015F8" w:rsidRDefault="003015F8" w:rsidP="0013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936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001EE" w:rsidRPr="006C0950" w:rsidRDefault="00B001EE">
        <w:pPr>
          <w:pStyle w:val="a8"/>
          <w:jc w:val="right"/>
          <w:rPr>
            <w:rFonts w:ascii="Times New Roman" w:hAnsi="Times New Roman"/>
            <w:sz w:val="24"/>
            <w:szCs w:val="24"/>
          </w:rPr>
        </w:pPr>
        <w:r w:rsidRPr="006C0950">
          <w:rPr>
            <w:rFonts w:ascii="Times New Roman" w:hAnsi="Times New Roman"/>
            <w:sz w:val="24"/>
            <w:szCs w:val="24"/>
          </w:rPr>
          <w:fldChar w:fldCharType="begin"/>
        </w:r>
        <w:r w:rsidRPr="006C09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C0950">
          <w:rPr>
            <w:rFonts w:ascii="Times New Roman" w:hAnsi="Times New Roman"/>
            <w:sz w:val="24"/>
            <w:szCs w:val="24"/>
          </w:rPr>
          <w:fldChar w:fldCharType="separate"/>
        </w:r>
        <w:r w:rsidR="001A64CD">
          <w:rPr>
            <w:rFonts w:ascii="Times New Roman" w:hAnsi="Times New Roman"/>
            <w:noProof/>
            <w:sz w:val="24"/>
            <w:szCs w:val="24"/>
          </w:rPr>
          <w:t>1</w:t>
        </w:r>
        <w:r w:rsidRPr="006C09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001EE" w:rsidRDefault="00B001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F8" w:rsidRDefault="003015F8" w:rsidP="00131E40">
      <w:pPr>
        <w:spacing w:after="0" w:line="240" w:lineRule="auto"/>
      </w:pPr>
      <w:r>
        <w:separator/>
      </w:r>
    </w:p>
  </w:footnote>
  <w:footnote w:type="continuationSeparator" w:id="0">
    <w:p w:rsidR="003015F8" w:rsidRDefault="003015F8" w:rsidP="00131E40">
      <w:pPr>
        <w:spacing w:after="0" w:line="240" w:lineRule="auto"/>
      </w:pPr>
      <w:r>
        <w:continuationSeparator/>
      </w:r>
    </w:p>
  </w:footnote>
  <w:footnote w:id="1">
    <w:p w:rsidR="00B001EE" w:rsidRPr="008F75C7" w:rsidRDefault="00B001EE" w:rsidP="0017242A">
      <w:pPr>
        <w:pStyle w:val="ab"/>
        <w:suppressAutoHyphens/>
        <w:jc w:val="both"/>
        <w:rPr>
          <w:lang w:val="en-US"/>
        </w:rPr>
      </w:pPr>
      <w:r>
        <w:rPr>
          <w:rStyle w:val="ad"/>
        </w:rPr>
        <w:footnoteRef/>
      </w:r>
      <w:r>
        <w:rPr>
          <w:lang w:val="en-US"/>
        </w:rPr>
        <w:t>In</w:t>
      </w:r>
      <w:r w:rsidRPr="008F75C7">
        <w:rPr>
          <w:lang w:val="en-US"/>
        </w:rPr>
        <w:t xml:space="preserve"> </w:t>
      </w:r>
      <w:r>
        <w:rPr>
          <w:lang w:val="en-US"/>
        </w:rPr>
        <w:t>what</w:t>
      </w:r>
      <w:r w:rsidRPr="008F75C7">
        <w:rPr>
          <w:lang w:val="en-US"/>
        </w:rPr>
        <w:t xml:space="preserve"> </w:t>
      </w:r>
      <w:r>
        <w:rPr>
          <w:lang w:val="en-US"/>
        </w:rPr>
        <w:t>follows</w:t>
      </w:r>
      <w:r w:rsidRPr="008F75C7">
        <w:rPr>
          <w:lang w:val="en-US"/>
        </w:rPr>
        <w:t xml:space="preserve">, </w:t>
      </w:r>
      <w:r>
        <w:rPr>
          <w:lang w:val="en-US"/>
        </w:rPr>
        <w:t>unless</w:t>
      </w:r>
      <w:r w:rsidRPr="008F75C7">
        <w:rPr>
          <w:lang w:val="en-US"/>
        </w:rPr>
        <w:t xml:space="preserve"> </w:t>
      </w:r>
      <w:r>
        <w:rPr>
          <w:lang w:val="en-US"/>
        </w:rPr>
        <w:t>otherwise</w:t>
      </w:r>
      <w:r w:rsidRPr="008F75C7">
        <w:rPr>
          <w:lang w:val="en-US"/>
        </w:rPr>
        <w:t xml:space="preserve"> </w:t>
      </w:r>
      <w:r>
        <w:rPr>
          <w:lang w:val="en-US"/>
        </w:rPr>
        <w:t>specified</w:t>
      </w:r>
      <w:r w:rsidRPr="008F75C7">
        <w:rPr>
          <w:lang w:val="en-US"/>
        </w:rPr>
        <w:t xml:space="preserve">, </w:t>
      </w:r>
      <w:r>
        <w:rPr>
          <w:lang w:val="en-US"/>
        </w:rPr>
        <w:t>performance in the 1</w:t>
      </w:r>
      <w:r w:rsidRPr="008F75C7">
        <w:rPr>
          <w:vertAlign w:val="superscript"/>
          <w:lang w:val="en-US"/>
        </w:rPr>
        <w:t>st</w:t>
      </w:r>
      <w:r>
        <w:rPr>
          <w:lang w:val="en-US"/>
        </w:rPr>
        <w:t xml:space="preserve"> half of </w:t>
      </w:r>
      <w:r w:rsidRPr="008F75C7">
        <w:rPr>
          <w:lang w:val="en-US"/>
        </w:rPr>
        <w:t xml:space="preserve">2013 </w:t>
      </w:r>
      <w:r>
        <w:rPr>
          <w:lang w:val="en-US"/>
        </w:rPr>
        <w:t>is compared to the performance in the 1</w:t>
      </w:r>
      <w:r w:rsidRPr="008F75C7">
        <w:rPr>
          <w:vertAlign w:val="superscript"/>
          <w:lang w:val="en-US"/>
        </w:rPr>
        <w:t>st</w:t>
      </w:r>
      <w:r>
        <w:rPr>
          <w:lang w:val="en-US"/>
        </w:rPr>
        <w:t xml:space="preserve"> half of 2012.</w:t>
      </w:r>
      <w:r w:rsidRPr="008F75C7"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D48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DAB"/>
    <w:multiLevelType w:val="hybridMultilevel"/>
    <w:tmpl w:val="FF005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1C24C6"/>
    <w:multiLevelType w:val="hybridMultilevel"/>
    <w:tmpl w:val="15B64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6907A6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21FB622F"/>
    <w:multiLevelType w:val="hybridMultilevel"/>
    <w:tmpl w:val="4254F0A6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63C40"/>
    <w:multiLevelType w:val="hybridMultilevel"/>
    <w:tmpl w:val="6AAEF474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175ED"/>
    <w:multiLevelType w:val="hybridMultilevel"/>
    <w:tmpl w:val="9F3AE8EC"/>
    <w:lvl w:ilvl="0" w:tplc="1DE683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BAA5594"/>
    <w:multiLevelType w:val="hybridMultilevel"/>
    <w:tmpl w:val="B5A4E5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2E45FB"/>
    <w:multiLevelType w:val="hybridMultilevel"/>
    <w:tmpl w:val="E982E6AE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A7C45"/>
    <w:multiLevelType w:val="hybridMultilevel"/>
    <w:tmpl w:val="14649E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4D2488"/>
    <w:multiLevelType w:val="hybridMultilevel"/>
    <w:tmpl w:val="3BC2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115A5"/>
    <w:multiLevelType w:val="hybridMultilevel"/>
    <w:tmpl w:val="0B40E2E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C2C21"/>
    <w:multiLevelType w:val="hybridMultilevel"/>
    <w:tmpl w:val="758C19A4"/>
    <w:lvl w:ilvl="0" w:tplc="1DE683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E34F53"/>
    <w:multiLevelType w:val="hybridMultilevel"/>
    <w:tmpl w:val="C6D0AC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6515CE9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0"/>
  </w:num>
  <w:num w:numId="9">
    <w:abstractNumId w:val="11"/>
  </w:num>
  <w:num w:numId="10">
    <w:abstractNumId w:val="8"/>
  </w:num>
  <w:num w:numId="11">
    <w:abstractNumId w:val="13"/>
  </w:num>
  <w:num w:numId="12">
    <w:abstractNumId w:val="1"/>
  </w:num>
  <w:num w:numId="13">
    <w:abstractNumId w:val="7"/>
  </w:num>
  <w:num w:numId="14">
    <w:abstractNumId w:val="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D"/>
    <w:rsid w:val="00005FB3"/>
    <w:rsid w:val="00014EB3"/>
    <w:rsid w:val="00033F8B"/>
    <w:rsid w:val="000345A4"/>
    <w:rsid w:val="00034D5D"/>
    <w:rsid w:val="00041987"/>
    <w:rsid w:val="000453DC"/>
    <w:rsid w:val="00045DA2"/>
    <w:rsid w:val="00047F37"/>
    <w:rsid w:val="000524FA"/>
    <w:rsid w:val="00052698"/>
    <w:rsid w:val="00052CEE"/>
    <w:rsid w:val="00055120"/>
    <w:rsid w:val="00064FEF"/>
    <w:rsid w:val="00081DBF"/>
    <w:rsid w:val="000A2E44"/>
    <w:rsid w:val="000B0D9D"/>
    <w:rsid w:val="000B417E"/>
    <w:rsid w:val="000C7E13"/>
    <w:rsid w:val="000D1B63"/>
    <w:rsid w:val="000D2CA7"/>
    <w:rsid w:val="000D7A72"/>
    <w:rsid w:val="000E33B0"/>
    <w:rsid w:val="000F7F12"/>
    <w:rsid w:val="00102908"/>
    <w:rsid w:val="0013049B"/>
    <w:rsid w:val="00131E40"/>
    <w:rsid w:val="00132939"/>
    <w:rsid w:val="00133F00"/>
    <w:rsid w:val="001359F4"/>
    <w:rsid w:val="00151A73"/>
    <w:rsid w:val="00152952"/>
    <w:rsid w:val="001601BE"/>
    <w:rsid w:val="00163604"/>
    <w:rsid w:val="00171942"/>
    <w:rsid w:val="0017194C"/>
    <w:rsid w:val="0017242A"/>
    <w:rsid w:val="00177AFE"/>
    <w:rsid w:val="00197D16"/>
    <w:rsid w:val="001A52BE"/>
    <w:rsid w:val="001A64CD"/>
    <w:rsid w:val="001B1A0F"/>
    <w:rsid w:val="001B1BF2"/>
    <w:rsid w:val="001C0B00"/>
    <w:rsid w:val="001D3B6A"/>
    <w:rsid w:val="001D63DE"/>
    <w:rsid w:val="002015B1"/>
    <w:rsid w:val="0021002E"/>
    <w:rsid w:val="002121E2"/>
    <w:rsid w:val="00220869"/>
    <w:rsid w:val="00221E8C"/>
    <w:rsid w:val="00224FD7"/>
    <w:rsid w:val="00227F7C"/>
    <w:rsid w:val="00236279"/>
    <w:rsid w:val="002454B4"/>
    <w:rsid w:val="002455E9"/>
    <w:rsid w:val="00254C2E"/>
    <w:rsid w:val="00260231"/>
    <w:rsid w:val="00275A29"/>
    <w:rsid w:val="00275CD2"/>
    <w:rsid w:val="00275EC6"/>
    <w:rsid w:val="002931D5"/>
    <w:rsid w:val="002A1C5F"/>
    <w:rsid w:val="002B060B"/>
    <w:rsid w:val="002B0817"/>
    <w:rsid w:val="002C2DF0"/>
    <w:rsid w:val="002D6586"/>
    <w:rsid w:val="002E011E"/>
    <w:rsid w:val="002E04D5"/>
    <w:rsid w:val="002E1417"/>
    <w:rsid w:val="002F6926"/>
    <w:rsid w:val="003015F8"/>
    <w:rsid w:val="003045D7"/>
    <w:rsid w:val="0030585A"/>
    <w:rsid w:val="003066DF"/>
    <w:rsid w:val="00307203"/>
    <w:rsid w:val="003125C6"/>
    <w:rsid w:val="003210FB"/>
    <w:rsid w:val="00326371"/>
    <w:rsid w:val="003269F0"/>
    <w:rsid w:val="003334C6"/>
    <w:rsid w:val="00337A7A"/>
    <w:rsid w:val="00340092"/>
    <w:rsid w:val="00342A60"/>
    <w:rsid w:val="00344272"/>
    <w:rsid w:val="00345195"/>
    <w:rsid w:val="0034675B"/>
    <w:rsid w:val="003508EE"/>
    <w:rsid w:val="003568EF"/>
    <w:rsid w:val="00360992"/>
    <w:rsid w:val="00363055"/>
    <w:rsid w:val="003758DA"/>
    <w:rsid w:val="003A57FA"/>
    <w:rsid w:val="003C3171"/>
    <w:rsid w:val="003D6A4F"/>
    <w:rsid w:val="003F0926"/>
    <w:rsid w:val="003F3C6A"/>
    <w:rsid w:val="00404710"/>
    <w:rsid w:val="00423540"/>
    <w:rsid w:val="00424594"/>
    <w:rsid w:val="00426E25"/>
    <w:rsid w:val="004273AC"/>
    <w:rsid w:val="004314D1"/>
    <w:rsid w:val="00431684"/>
    <w:rsid w:val="00447107"/>
    <w:rsid w:val="00451AAF"/>
    <w:rsid w:val="00470B90"/>
    <w:rsid w:val="00472C57"/>
    <w:rsid w:val="0047332B"/>
    <w:rsid w:val="00477934"/>
    <w:rsid w:val="00482E51"/>
    <w:rsid w:val="0048390B"/>
    <w:rsid w:val="00492065"/>
    <w:rsid w:val="004933B9"/>
    <w:rsid w:val="00494D62"/>
    <w:rsid w:val="00495D71"/>
    <w:rsid w:val="004A0268"/>
    <w:rsid w:val="004B1BCC"/>
    <w:rsid w:val="004B574A"/>
    <w:rsid w:val="004C71D4"/>
    <w:rsid w:val="004D3814"/>
    <w:rsid w:val="004D5022"/>
    <w:rsid w:val="004D6890"/>
    <w:rsid w:val="004E2BF1"/>
    <w:rsid w:val="004E609A"/>
    <w:rsid w:val="004F2A02"/>
    <w:rsid w:val="004F62D7"/>
    <w:rsid w:val="0050390A"/>
    <w:rsid w:val="00506E0E"/>
    <w:rsid w:val="00512B0F"/>
    <w:rsid w:val="00512B47"/>
    <w:rsid w:val="00516DE3"/>
    <w:rsid w:val="0052499C"/>
    <w:rsid w:val="00533C2D"/>
    <w:rsid w:val="005433C5"/>
    <w:rsid w:val="00554018"/>
    <w:rsid w:val="00557D13"/>
    <w:rsid w:val="00561F92"/>
    <w:rsid w:val="0056604D"/>
    <w:rsid w:val="005869DE"/>
    <w:rsid w:val="00586B76"/>
    <w:rsid w:val="00595CA7"/>
    <w:rsid w:val="005A1F86"/>
    <w:rsid w:val="005B676D"/>
    <w:rsid w:val="005C28CF"/>
    <w:rsid w:val="005C2E30"/>
    <w:rsid w:val="005C52B7"/>
    <w:rsid w:val="005C713A"/>
    <w:rsid w:val="005D755C"/>
    <w:rsid w:val="005E42E8"/>
    <w:rsid w:val="0060476D"/>
    <w:rsid w:val="0060797B"/>
    <w:rsid w:val="00610DC1"/>
    <w:rsid w:val="00631F1E"/>
    <w:rsid w:val="00646397"/>
    <w:rsid w:val="00656652"/>
    <w:rsid w:val="00665BDA"/>
    <w:rsid w:val="006726AE"/>
    <w:rsid w:val="00673103"/>
    <w:rsid w:val="00673A65"/>
    <w:rsid w:val="00673AA5"/>
    <w:rsid w:val="00684618"/>
    <w:rsid w:val="00696065"/>
    <w:rsid w:val="006A7874"/>
    <w:rsid w:val="006C0950"/>
    <w:rsid w:val="006C2830"/>
    <w:rsid w:val="006C5563"/>
    <w:rsid w:val="006F2800"/>
    <w:rsid w:val="006F3072"/>
    <w:rsid w:val="006F4ADD"/>
    <w:rsid w:val="006F648E"/>
    <w:rsid w:val="007030EC"/>
    <w:rsid w:val="00712DA9"/>
    <w:rsid w:val="007215A1"/>
    <w:rsid w:val="007300F1"/>
    <w:rsid w:val="00743205"/>
    <w:rsid w:val="0074323E"/>
    <w:rsid w:val="00750FDF"/>
    <w:rsid w:val="00751D83"/>
    <w:rsid w:val="00760F85"/>
    <w:rsid w:val="00761966"/>
    <w:rsid w:val="007657F2"/>
    <w:rsid w:val="007745CD"/>
    <w:rsid w:val="00781270"/>
    <w:rsid w:val="00790BAF"/>
    <w:rsid w:val="007959B1"/>
    <w:rsid w:val="007976AD"/>
    <w:rsid w:val="007A3627"/>
    <w:rsid w:val="007A7C91"/>
    <w:rsid w:val="007B1903"/>
    <w:rsid w:val="007B72CB"/>
    <w:rsid w:val="007C410B"/>
    <w:rsid w:val="007D10BE"/>
    <w:rsid w:val="007D32E9"/>
    <w:rsid w:val="007E2876"/>
    <w:rsid w:val="007E468D"/>
    <w:rsid w:val="007E4F49"/>
    <w:rsid w:val="007E7D0B"/>
    <w:rsid w:val="008018BA"/>
    <w:rsid w:val="0080541D"/>
    <w:rsid w:val="0080667B"/>
    <w:rsid w:val="00833554"/>
    <w:rsid w:val="00837388"/>
    <w:rsid w:val="0085232C"/>
    <w:rsid w:val="00855008"/>
    <w:rsid w:val="00864B61"/>
    <w:rsid w:val="00870172"/>
    <w:rsid w:val="008705A4"/>
    <w:rsid w:val="00874D76"/>
    <w:rsid w:val="0087659B"/>
    <w:rsid w:val="008774EE"/>
    <w:rsid w:val="00877BFD"/>
    <w:rsid w:val="00880076"/>
    <w:rsid w:val="008809CD"/>
    <w:rsid w:val="00892467"/>
    <w:rsid w:val="008964EE"/>
    <w:rsid w:val="008A547A"/>
    <w:rsid w:val="008A6EBC"/>
    <w:rsid w:val="008B1B89"/>
    <w:rsid w:val="008B292D"/>
    <w:rsid w:val="008B55FE"/>
    <w:rsid w:val="008B5ABA"/>
    <w:rsid w:val="008C669C"/>
    <w:rsid w:val="008C6C10"/>
    <w:rsid w:val="008D2159"/>
    <w:rsid w:val="008D2A4A"/>
    <w:rsid w:val="008E27CE"/>
    <w:rsid w:val="008F75C7"/>
    <w:rsid w:val="00900F7C"/>
    <w:rsid w:val="0090454E"/>
    <w:rsid w:val="009134F4"/>
    <w:rsid w:val="00931186"/>
    <w:rsid w:val="00940AE7"/>
    <w:rsid w:val="00947E9A"/>
    <w:rsid w:val="00950B39"/>
    <w:rsid w:val="00964500"/>
    <w:rsid w:val="00971638"/>
    <w:rsid w:val="00983259"/>
    <w:rsid w:val="00983573"/>
    <w:rsid w:val="00991529"/>
    <w:rsid w:val="009959E7"/>
    <w:rsid w:val="00997426"/>
    <w:rsid w:val="009A13D5"/>
    <w:rsid w:val="009B3D8E"/>
    <w:rsid w:val="009C0260"/>
    <w:rsid w:val="009C2BD0"/>
    <w:rsid w:val="009C5C84"/>
    <w:rsid w:val="009C676A"/>
    <w:rsid w:val="009D77FD"/>
    <w:rsid w:val="009E3348"/>
    <w:rsid w:val="00A0274C"/>
    <w:rsid w:val="00A03E36"/>
    <w:rsid w:val="00A134A3"/>
    <w:rsid w:val="00A20919"/>
    <w:rsid w:val="00A2260E"/>
    <w:rsid w:val="00A23BFB"/>
    <w:rsid w:val="00A33FB1"/>
    <w:rsid w:val="00A45BEC"/>
    <w:rsid w:val="00A553B6"/>
    <w:rsid w:val="00A558BA"/>
    <w:rsid w:val="00A65FBE"/>
    <w:rsid w:val="00A67423"/>
    <w:rsid w:val="00A85D53"/>
    <w:rsid w:val="00A90FB4"/>
    <w:rsid w:val="00A9247C"/>
    <w:rsid w:val="00A96DE0"/>
    <w:rsid w:val="00AA0B58"/>
    <w:rsid w:val="00AC355B"/>
    <w:rsid w:val="00AC5B07"/>
    <w:rsid w:val="00AD5A42"/>
    <w:rsid w:val="00AD6B01"/>
    <w:rsid w:val="00AE49D8"/>
    <w:rsid w:val="00AE6E3C"/>
    <w:rsid w:val="00AF1682"/>
    <w:rsid w:val="00AF2B36"/>
    <w:rsid w:val="00AF5744"/>
    <w:rsid w:val="00B001EE"/>
    <w:rsid w:val="00B01CA6"/>
    <w:rsid w:val="00B05AAE"/>
    <w:rsid w:val="00B37AC9"/>
    <w:rsid w:val="00B84753"/>
    <w:rsid w:val="00B93C35"/>
    <w:rsid w:val="00BB29D3"/>
    <w:rsid w:val="00BB458A"/>
    <w:rsid w:val="00BB5193"/>
    <w:rsid w:val="00BC0245"/>
    <w:rsid w:val="00BC03B6"/>
    <w:rsid w:val="00BD38C5"/>
    <w:rsid w:val="00BE6839"/>
    <w:rsid w:val="00C033DB"/>
    <w:rsid w:val="00C04BAD"/>
    <w:rsid w:val="00C068BC"/>
    <w:rsid w:val="00C077C0"/>
    <w:rsid w:val="00C14638"/>
    <w:rsid w:val="00C2060E"/>
    <w:rsid w:val="00C2595C"/>
    <w:rsid w:val="00C425E1"/>
    <w:rsid w:val="00C46929"/>
    <w:rsid w:val="00C50933"/>
    <w:rsid w:val="00C52CDE"/>
    <w:rsid w:val="00C80B33"/>
    <w:rsid w:val="00C87F0E"/>
    <w:rsid w:val="00CB4F03"/>
    <w:rsid w:val="00CC0D8D"/>
    <w:rsid w:val="00CC3E55"/>
    <w:rsid w:val="00CC4B4D"/>
    <w:rsid w:val="00CE7300"/>
    <w:rsid w:val="00CE79DA"/>
    <w:rsid w:val="00CF7092"/>
    <w:rsid w:val="00D053E2"/>
    <w:rsid w:val="00D14E49"/>
    <w:rsid w:val="00D15BC4"/>
    <w:rsid w:val="00D25CEC"/>
    <w:rsid w:val="00D31FDC"/>
    <w:rsid w:val="00D35750"/>
    <w:rsid w:val="00D452C2"/>
    <w:rsid w:val="00D539A4"/>
    <w:rsid w:val="00D57439"/>
    <w:rsid w:val="00D8183C"/>
    <w:rsid w:val="00D83054"/>
    <w:rsid w:val="00D919CE"/>
    <w:rsid w:val="00D93ED1"/>
    <w:rsid w:val="00D95F2C"/>
    <w:rsid w:val="00DB5A62"/>
    <w:rsid w:val="00DB7571"/>
    <w:rsid w:val="00DC2A10"/>
    <w:rsid w:val="00DC5010"/>
    <w:rsid w:val="00DD04F4"/>
    <w:rsid w:val="00DF0C9F"/>
    <w:rsid w:val="00DF1D10"/>
    <w:rsid w:val="00DF208A"/>
    <w:rsid w:val="00E01C65"/>
    <w:rsid w:val="00E104DD"/>
    <w:rsid w:val="00E21D75"/>
    <w:rsid w:val="00E22DAE"/>
    <w:rsid w:val="00E42F0D"/>
    <w:rsid w:val="00E434F1"/>
    <w:rsid w:val="00E467CF"/>
    <w:rsid w:val="00E602BD"/>
    <w:rsid w:val="00E61853"/>
    <w:rsid w:val="00E618E7"/>
    <w:rsid w:val="00E62AB9"/>
    <w:rsid w:val="00E851B6"/>
    <w:rsid w:val="00E9675E"/>
    <w:rsid w:val="00EA5980"/>
    <w:rsid w:val="00EB6446"/>
    <w:rsid w:val="00EC1B41"/>
    <w:rsid w:val="00ED5CEC"/>
    <w:rsid w:val="00EE4266"/>
    <w:rsid w:val="00EF1DEE"/>
    <w:rsid w:val="00EF2992"/>
    <w:rsid w:val="00F04D79"/>
    <w:rsid w:val="00F1480A"/>
    <w:rsid w:val="00F22D80"/>
    <w:rsid w:val="00F34676"/>
    <w:rsid w:val="00F36F06"/>
    <w:rsid w:val="00F37CD3"/>
    <w:rsid w:val="00F51933"/>
    <w:rsid w:val="00F625E6"/>
    <w:rsid w:val="00F65B26"/>
    <w:rsid w:val="00F90397"/>
    <w:rsid w:val="00F927EA"/>
    <w:rsid w:val="00F97FD4"/>
    <w:rsid w:val="00FC2553"/>
    <w:rsid w:val="00FC5F8E"/>
    <w:rsid w:val="00FC75DC"/>
    <w:rsid w:val="00F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ps">
    <w:name w:val="hps"/>
    <w:rsid w:val="00586B76"/>
  </w:style>
  <w:style w:type="paragraph" w:styleId="ab">
    <w:name w:val="footnote text"/>
    <w:basedOn w:val="a"/>
    <w:link w:val="ac"/>
    <w:semiHidden/>
    <w:rsid w:val="001724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724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724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ps">
    <w:name w:val="hps"/>
    <w:rsid w:val="00586B76"/>
  </w:style>
  <w:style w:type="paragraph" w:styleId="ab">
    <w:name w:val="footnote text"/>
    <w:basedOn w:val="a"/>
    <w:link w:val="ac"/>
    <w:semiHidden/>
    <w:rsid w:val="001724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724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72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872204472843447E-2"/>
          <c:y val="6.1855670103092786E-2"/>
          <c:w val="0.92172523961661346"/>
          <c:h val="0.60824742268041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00CCFF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Inflation</c:v>
                </c:pt>
                <c:pt idx="1">
                  <c:v>Foodstuffs</c:v>
                </c:pt>
                <c:pt idx="2">
                  <c:v>Non-food products</c:v>
                </c:pt>
                <c:pt idx="3">
                  <c:v>Services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 formatCode="0.0">
                  <c:v>3.9</c:v>
                </c:pt>
                <c:pt idx="1">
                  <c:v>3.2</c:v>
                </c:pt>
                <c:pt idx="2">
                  <c:v>2.2000000000000002</c:v>
                </c:pt>
                <c:pt idx="3">
                  <c:v>6.5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FF00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Inflation</c:v>
                </c:pt>
                <c:pt idx="1">
                  <c:v>Foodstuffs</c:v>
                </c:pt>
                <c:pt idx="2">
                  <c:v>Non-food products</c:v>
                </c:pt>
                <c:pt idx="3">
                  <c:v>Services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 formatCode="0.0">
                  <c:v>3.3</c:v>
                </c:pt>
                <c:pt idx="1">
                  <c:v>1.6</c:v>
                </c:pt>
                <c:pt idx="2">
                  <c:v>1.8</c:v>
                </c:pt>
                <c:pt idx="3" formatCode="0.0">
                  <c:v>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318656"/>
        <c:axId val="187320192"/>
      </c:barChart>
      <c:catAx>
        <c:axId val="18731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7320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7320192"/>
        <c:scaling>
          <c:orientation val="minMax"/>
          <c:max val="7"/>
          <c:min val="0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0412294048556088"/>
            </c:manualLayout>
          </c:layout>
          <c:overlay val="0"/>
          <c:spPr>
            <a:noFill/>
            <a:ln w="25426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7318656"/>
        <c:crosses val="autoZero"/>
        <c:crossBetween val="between"/>
        <c:majorUnit val="1"/>
        <c:minorUnit val="1"/>
      </c:valAx>
      <c:spPr>
        <a:noFill/>
        <a:ln w="25426">
          <a:noFill/>
        </a:ln>
      </c:spPr>
    </c:plotArea>
    <c:legend>
      <c:legendPos val="r"/>
      <c:layout>
        <c:manualLayout>
          <c:xMode val="edge"/>
          <c:yMode val="edge"/>
          <c:x val="0.35463268076008997"/>
          <c:y val="0.902061869386378"/>
          <c:w val="0.35942508349572627"/>
          <c:h val="8.2474243263653491E-2"/>
        </c:manualLayout>
      </c:layout>
      <c:overlay val="0"/>
      <c:spPr>
        <a:solidFill>
          <a:srgbClr val="FFFFFF"/>
        </a:solidFill>
        <a:ln w="25426">
          <a:noFill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97F9-9C6C-436D-AB6B-76FAD545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Исмаилханова</dc:creator>
  <cp:lastModifiedBy>Valued Acer Customer</cp:lastModifiedBy>
  <cp:revision>2</cp:revision>
  <cp:lastPrinted>2013-10-08T03:58:00Z</cp:lastPrinted>
  <dcterms:created xsi:type="dcterms:W3CDTF">2013-12-10T05:33:00Z</dcterms:created>
  <dcterms:modified xsi:type="dcterms:W3CDTF">2013-12-10T05:33:00Z</dcterms:modified>
</cp:coreProperties>
</file>