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0E4F6E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0E4F6E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0E4F6E">
        <w:rPr>
          <w:rFonts w:ascii="Arial" w:hAnsi="Arial" w:cs="Arial"/>
          <w:b/>
          <w:sz w:val="24"/>
          <w:szCs w:val="24"/>
          <w:lang w:val="kk-KZ"/>
        </w:rPr>
        <w:t>«</w:t>
      </w:r>
      <w:r w:rsidR="007319B0" w:rsidRPr="000E4F6E">
        <w:rPr>
          <w:rFonts w:ascii="Arial" w:hAnsi="Arial" w:cs="Arial"/>
          <w:b/>
          <w:sz w:val="24"/>
          <w:szCs w:val="24"/>
          <w:lang w:val="kk-KZ"/>
        </w:rPr>
        <w:t>Қазақстан Республикасы Ұлттық Банкі Басқармасының бухгалтерлік есепті жүргізу және қаржылық есептілікті ұсыну мәселелері бойынша кейбір қаулыларына өзгерістер мен толықтырулар енгізу туралы</w:t>
      </w:r>
      <w:r w:rsidRPr="000E4F6E">
        <w:rPr>
          <w:rFonts w:ascii="Arial" w:hAnsi="Arial" w:cs="Arial"/>
          <w:b/>
          <w:sz w:val="24"/>
          <w:szCs w:val="24"/>
          <w:lang w:val="kk-KZ"/>
        </w:rPr>
        <w:t>»</w:t>
      </w:r>
      <w:r w:rsidR="00480B8E" w:rsidRPr="000E4F6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0E4F6E">
        <w:rPr>
          <w:rFonts w:ascii="Arial" w:hAnsi="Arial" w:cs="Arial"/>
          <w:b/>
          <w:sz w:val="24"/>
          <w:szCs w:val="24"/>
          <w:lang w:val="kk-KZ"/>
        </w:rPr>
        <w:t>Қазақстан Республикасының Ұлттық Банкі Басқармасының қаулы жобасын әзірлеу туралы</w:t>
      </w: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0E4F6E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4235BF" w:rsidRPr="000E4F6E">
        <w:rPr>
          <w:rFonts w:ascii="Arial" w:eastAsia="Times New Roman" w:hAnsi="Arial" w:cs="Arial"/>
          <w:sz w:val="24"/>
          <w:szCs w:val="24"/>
          <w:lang w:val="kk-KZ"/>
        </w:rPr>
        <w:t>2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6743D7">
        <w:rPr>
          <w:rFonts w:ascii="Arial" w:eastAsia="Times New Roman" w:hAnsi="Arial" w:cs="Arial"/>
          <w:sz w:val="24"/>
          <w:szCs w:val="24"/>
          <w:lang w:val="kk-KZ"/>
        </w:rPr>
        <w:t>12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7319B0" w:rsidRPr="000E4F6E">
        <w:rPr>
          <w:rFonts w:ascii="Arial" w:eastAsia="Times New Roman" w:hAnsi="Arial" w:cs="Arial"/>
          <w:sz w:val="24"/>
          <w:szCs w:val="24"/>
          <w:lang w:val="kk-KZ"/>
        </w:rPr>
        <w:t>тамыз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1A5B58" w:rsidRPr="000E4F6E">
        <w:rPr>
          <w:rFonts w:ascii="Arial" w:eastAsia="Times New Roman" w:hAnsi="Arial" w:cs="Arial"/>
          <w:sz w:val="24"/>
          <w:szCs w:val="24"/>
          <w:lang w:val="kk-KZ"/>
        </w:rPr>
        <w:t>Нұр-Сұлтан</w:t>
      </w:r>
      <w:r w:rsidRPr="000E4F6E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0E4F6E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  <w:r w:rsidRPr="000E4F6E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Pr="000E4F6E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Pr="000E4F6E">
        <w:rPr>
          <w:rFonts w:ascii="Arial" w:eastAsia="Times New Roman" w:hAnsi="Arial" w:cs="Arial"/>
          <w:szCs w:val="24"/>
          <w:lang w:val="kk-KZ"/>
        </w:rPr>
        <w:tab/>
      </w:r>
    </w:p>
    <w:p w:rsidR="00DE645B" w:rsidRPr="000E4F6E" w:rsidRDefault="00DE645B" w:rsidP="00DE645B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0E4F6E" w:rsidRDefault="006E1AE2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E645B" w:rsidRPr="000E4F6E">
        <w:rPr>
          <w:rFonts w:ascii="Arial" w:hAnsi="Arial" w:cs="Arial"/>
          <w:sz w:val="24"/>
          <w:szCs w:val="24"/>
          <w:lang w:val="kk-KZ"/>
        </w:rPr>
        <w:t>«</w:t>
      </w:r>
      <w:r w:rsidR="007319B0" w:rsidRPr="000E4F6E">
        <w:rPr>
          <w:rFonts w:ascii="Arial" w:hAnsi="Arial" w:cs="Arial"/>
          <w:sz w:val="24"/>
          <w:szCs w:val="24"/>
          <w:lang w:val="kk-KZ"/>
        </w:rPr>
        <w:t>Қазақстан Республикасы Ұлттық Банкі Басқармасының бухгалтерлік есепті жүргізу және қаржылық есептілікті ұсыну мәселелері бойынша кейбір қаулыларына өзгерістер мен толықтырулар енгізу туралы</w:t>
      </w:r>
      <w:r w:rsidR="00DE645B" w:rsidRPr="000E4F6E">
        <w:rPr>
          <w:rFonts w:ascii="Arial" w:hAnsi="Arial" w:cs="Arial"/>
          <w:sz w:val="24"/>
          <w:szCs w:val="24"/>
          <w:lang w:val="kk-KZ"/>
        </w:rPr>
        <w:t>» Қазақстан Республикасының Ұлттық Банкі Басқармасының қаулы жобасын (бұдан әрі – жоба) әзірле</w:t>
      </w:r>
      <w:r w:rsidR="0097432C" w:rsidRPr="000E4F6E">
        <w:rPr>
          <w:rFonts w:ascii="Arial" w:hAnsi="Arial" w:cs="Arial"/>
          <w:sz w:val="24"/>
          <w:szCs w:val="24"/>
          <w:lang w:val="kk-KZ"/>
        </w:rPr>
        <w:t>ген</w:t>
      </w:r>
      <w:r w:rsidR="00DE645B" w:rsidRPr="000E4F6E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DE645B" w:rsidRPr="000E4F6E" w:rsidRDefault="00A4224F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 xml:space="preserve">Жоба «Қазақстан Республикасының кейбір заңнамалық актілеріне сақтандыру нарығын және бағалы қағаздар нарығын реттеу мен дамыту, банк қызметі мәселелері бойынша өзгерістер мен толықтырулар енгізу туралы» ҚР </w:t>
      </w:r>
      <w:r w:rsidR="00A125C3" w:rsidRPr="000E4F6E">
        <w:rPr>
          <w:rFonts w:ascii="Arial" w:hAnsi="Arial" w:cs="Arial"/>
          <w:sz w:val="24"/>
          <w:szCs w:val="24"/>
          <w:lang w:val="kk-KZ"/>
        </w:rPr>
        <w:t xml:space="preserve">12.07.2022 №138-VII </w:t>
      </w:r>
      <w:r w:rsidRPr="000E4F6E">
        <w:rPr>
          <w:rFonts w:ascii="Arial" w:hAnsi="Arial" w:cs="Arial"/>
          <w:sz w:val="24"/>
          <w:szCs w:val="24"/>
          <w:lang w:val="kk-KZ"/>
        </w:rPr>
        <w:t xml:space="preserve">Заңын іске асыру мақсатында әзірленген. </w:t>
      </w:r>
    </w:p>
    <w:p w:rsidR="00FF79A5" w:rsidRPr="000E4F6E" w:rsidRDefault="00FF79A5" w:rsidP="00DD0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Жобада келесі өзгерістер мен толықтырулар қарастырылған:</w:t>
      </w:r>
    </w:p>
    <w:p w:rsidR="00DE645B" w:rsidRPr="000E4F6E" w:rsidRDefault="0067503F" w:rsidP="00DD05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бухгалтерлік есепті жүргізу және қаржылық есептілікті ұсыну мәселелері бойынша ҚР Ұлттық Банкі Басқармасының кейбір қаулыларына келесі толықтырулар енгізілді</w:t>
      </w:r>
      <w:r w:rsidR="00DE645B" w:rsidRPr="000E4F6E">
        <w:rPr>
          <w:rFonts w:ascii="Arial" w:hAnsi="Arial" w:cs="Arial"/>
          <w:sz w:val="24"/>
          <w:szCs w:val="24"/>
          <w:lang w:val="kk-KZ"/>
        </w:rPr>
        <w:t>:</w:t>
      </w:r>
    </w:p>
    <w:p w:rsidR="0075102B" w:rsidRPr="000E4F6E" w:rsidRDefault="0075102B" w:rsidP="00DD05B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қаржы ұйымы ретінде «Сақтандыру төлемдеріне кепілдік беру қоры» АҚ қызметіне қаржылық ес</w:t>
      </w:r>
      <w:bookmarkStart w:id="0" w:name="_GoBack"/>
      <w:bookmarkEnd w:id="0"/>
      <w:r w:rsidRPr="000E4F6E">
        <w:rPr>
          <w:rFonts w:ascii="Arial" w:hAnsi="Arial" w:cs="Arial"/>
          <w:sz w:val="24"/>
          <w:szCs w:val="24"/>
          <w:lang w:val="kk-KZ"/>
        </w:rPr>
        <w:t>ептілікті ұсыну мәселелері бойынша нормативтік құқықтық актілердің талаптарын тарату мақсатында;</w:t>
      </w:r>
    </w:p>
    <w:p w:rsidR="0075102B" w:rsidRPr="000E4F6E" w:rsidRDefault="0056263C" w:rsidP="00DD05B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ШОБ үшін ХҚЕС</w:t>
      </w:r>
      <w:r w:rsidR="0075102B" w:rsidRPr="000E4F6E">
        <w:rPr>
          <w:rFonts w:ascii="Arial" w:hAnsi="Arial" w:cs="Arial"/>
          <w:sz w:val="24"/>
          <w:szCs w:val="24"/>
          <w:lang w:val="kk-KZ"/>
        </w:rPr>
        <w:t xml:space="preserve"> </w:t>
      </w:r>
      <w:r w:rsidRPr="000E4F6E">
        <w:rPr>
          <w:rFonts w:ascii="Arial" w:hAnsi="Arial" w:cs="Arial"/>
          <w:sz w:val="24"/>
          <w:szCs w:val="24"/>
          <w:lang w:val="kk-KZ"/>
        </w:rPr>
        <w:t xml:space="preserve">–ке сәйкес </w:t>
      </w:r>
      <w:r w:rsidR="007D76EF" w:rsidRPr="000E4F6E">
        <w:rPr>
          <w:rFonts w:ascii="Arial" w:hAnsi="Arial" w:cs="Arial"/>
          <w:sz w:val="24"/>
          <w:szCs w:val="24"/>
          <w:lang w:val="kk-KZ"/>
        </w:rPr>
        <w:t xml:space="preserve">микроқаржы қызметін жүзеге асыратын ұйымдардың </w:t>
      </w:r>
      <w:r w:rsidR="0075102B" w:rsidRPr="000E4F6E">
        <w:rPr>
          <w:rFonts w:ascii="Arial" w:hAnsi="Arial" w:cs="Arial"/>
          <w:sz w:val="24"/>
          <w:szCs w:val="24"/>
          <w:lang w:val="kk-KZ"/>
        </w:rPr>
        <w:t>бухгалтерлік есебін жүргізу және қаржылық есептілігін ұсыну бөлігінде нормативтік құқықтық</w:t>
      </w:r>
      <w:r w:rsidR="00A64A4C">
        <w:rPr>
          <w:rFonts w:ascii="Arial" w:hAnsi="Arial" w:cs="Arial"/>
          <w:sz w:val="24"/>
          <w:szCs w:val="24"/>
          <w:lang w:val="kk-KZ"/>
        </w:rPr>
        <w:t xml:space="preserve"> актілерді жетілдіру мақсатында.</w:t>
      </w:r>
    </w:p>
    <w:p w:rsidR="00DE645B" w:rsidRPr="000E4F6E" w:rsidRDefault="00DE645B" w:rsidP="00A64A4C">
      <w:pPr>
        <w:pStyle w:val="aa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856D9E" w:rsidRPr="000E4F6E" w:rsidRDefault="00A64A4C" w:rsidP="00856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hyperlink r:id="rId9" w:history="1">
        <w:r w:rsidR="00856D9E" w:rsidRPr="000E4F6E">
          <w:rPr>
            <w:rStyle w:val="a4"/>
            <w:rFonts w:ascii="Arial" w:hAnsi="Arial" w:cs="Arial"/>
            <w:sz w:val="24"/>
            <w:szCs w:val="24"/>
            <w:lang w:val="kk-KZ"/>
          </w:rPr>
          <w:t>https://legalacts.egov.kz/npa/view?id=14184612</w:t>
        </w:r>
      </w:hyperlink>
      <w:r w:rsidR="00856D9E" w:rsidRPr="000E4F6E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A18F4" w:rsidRPr="000E4F6E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0E4F6E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0E4F6E">
        <w:rPr>
          <w:rFonts w:ascii="Arial" w:eastAsia="Times New Roman" w:hAnsi="Arial" w:cs="Arial"/>
          <w:sz w:val="24"/>
        </w:rPr>
        <w:t>:</w:t>
      </w:r>
    </w:p>
    <w:p w:rsidR="00DE645B" w:rsidRPr="000E4F6E" w:rsidRDefault="006743D7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6743D7">
        <w:rPr>
          <w:rFonts w:ascii="Arial" w:eastAsia="Times New Roman" w:hAnsi="Arial" w:cs="Arial"/>
          <w:sz w:val="24"/>
          <w:lang w:val="en-US"/>
        </w:rPr>
        <w:t>+7 (7172) 775 577</w:t>
      </w:r>
    </w:p>
    <w:p w:rsidR="00DE645B" w:rsidRPr="000E4F6E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0E4F6E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0E4F6E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0E4F6E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BB" w:rsidRDefault="009C78BB" w:rsidP="006E1AE2">
      <w:pPr>
        <w:spacing w:after="0" w:line="240" w:lineRule="auto"/>
      </w:pPr>
      <w:r>
        <w:separator/>
      </w:r>
    </w:p>
  </w:endnote>
  <w:endnote w:type="continuationSeparator" w:id="0">
    <w:p w:rsidR="009C78BB" w:rsidRDefault="009C78BB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BB" w:rsidRDefault="009C78BB" w:rsidP="006E1AE2">
      <w:pPr>
        <w:spacing w:after="0" w:line="240" w:lineRule="auto"/>
      </w:pPr>
      <w:r>
        <w:separator/>
      </w:r>
    </w:p>
  </w:footnote>
  <w:footnote w:type="continuationSeparator" w:id="0">
    <w:p w:rsidR="009C78BB" w:rsidRDefault="009C78BB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746"/>
    <w:multiLevelType w:val="hybridMultilevel"/>
    <w:tmpl w:val="DFF8EB06"/>
    <w:lvl w:ilvl="0" w:tplc="CB482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6C23"/>
    <w:multiLevelType w:val="hybridMultilevel"/>
    <w:tmpl w:val="959606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E4F6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1F9B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5B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263C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12BCE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3D7"/>
    <w:rsid w:val="006747A3"/>
    <w:rsid w:val="0067503F"/>
    <w:rsid w:val="00676AF5"/>
    <w:rsid w:val="0068787F"/>
    <w:rsid w:val="006953DE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5102B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4358"/>
    <w:rsid w:val="007B7DAC"/>
    <w:rsid w:val="007C3AA4"/>
    <w:rsid w:val="007C473A"/>
    <w:rsid w:val="007D00EB"/>
    <w:rsid w:val="007D5477"/>
    <w:rsid w:val="007D76EF"/>
    <w:rsid w:val="007E3C01"/>
    <w:rsid w:val="007F2596"/>
    <w:rsid w:val="00800A36"/>
    <w:rsid w:val="00801CA9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56D9E"/>
    <w:rsid w:val="00860526"/>
    <w:rsid w:val="00862C87"/>
    <w:rsid w:val="00863D8A"/>
    <w:rsid w:val="00864D61"/>
    <w:rsid w:val="00865AA5"/>
    <w:rsid w:val="00874AC7"/>
    <w:rsid w:val="00875BF2"/>
    <w:rsid w:val="008811E5"/>
    <w:rsid w:val="0088368C"/>
    <w:rsid w:val="00884BA3"/>
    <w:rsid w:val="00884CC0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8BB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25C3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224F"/>
    <w:rsid w:val="00A43BD5"/>
    <w:rsid w:val="00A52DB2"/>
    <w:rsid w:val="00A56E3B"/>
    <w:rsid w:val="00A62CA6"/>
    <w:rsid w:val="00A63559"/>
    <w:rsid w:val="00A64A4C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663F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5B9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2EC7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  <w:style w:type="paragraph" w:styleId="aa">
    <w:name w:val="List Paragraph"/>
    <w:basedOn w:val="a"/>
    <w:uiPriority w:val="34"/>
    <w:qFormat/>
    <w:rsid w:val="0075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184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9F58-B857-4D1D-8B76-7914ABA0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Нурлан Нурханов</dc:creator>
  <cp:lastModifiedBy>Ажар Омашева</cp:lastModifiedBy>
  <cp:revision>4</cp:revision>
  <dcterms:created xsi:type="dcterms:W3CDTF">2022-08-15T11:57:00Z</dcterms:created>
  <dcterms:modified xsi:type="dcterms:W3CDTF">2022-08-16T03:52:00Z</dcterms:modified>
</cp:coreProperties>
</file>