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11" w:rsidRPr="00F44139" w:rsidRDefault="00642211" w:rsidP="00934587">
      <w:pPr>
        <w:rPr>
          <w:sz w:val="28"/>
        </w:rPr>
      </w:pPr>
    </w:p>
    <w:tbl>
      <w:tblPr>
        <w:tblpPr w:leftFromText="180" w:rightFromText="180" w:horzAnchor="margin" w:tblpXSpec="center" w:tblpY="-525"/>
        <w:tblW w:w="10260" w:type="dxa"/>
        <w:tblLayout w:type="fixed"/>
        <w:tblLook w:val="01E0" w:firstRow="1" w:lastRow="1" w:firstColumn="1" w:lastColumn="1" w:noHBand="0" w:noVBand="0"/>
      </w:tblPr>
      <w:tblGrid>
        <w:gridCol w:w="4320"/>
        <w:gridCol w:w="1800"/>
        <w:gridCol w:w="4140"/>
      </w:tblGrid>
      <w:tr w:rsidR="004F2B8B" w:rsidRPr="000944BF" w:rsidTr="005D1C6F">
        <w:trPr>
          <w:trHeight w:val="1528"/>
        </w:trPr>
        <w:tc>
          <w:tcPr>
            <w:tcW w:w="4320" w:type="dxa"/>
            <w:shd w:val="clear" w:color="auto" w:fill="auto"/>
          </w:tcPr>
          <w:p w:rsidR="004F2B8B" w:rsidRPr="000944BF" w:rsidRDefault="004F2B8B" w:rsidP="005D1C6F">
            <w:pPr>
              <w:jc w:val="center"/>
              <w:rPr>
                <w:b/>
                <w:sz w:val="22"/>
                <w:szCs w:val="22"/>
                <w:lang w:val="kk-KZ"/>
              </w:rPr>
            </w:pPr>
          </w:p>
          <w:p w:rsidR="004F2B8B" w:rsidRPr="000944BF" w:rsidRDefault="004F2B8B" w:rsidP="005D1C6F">
            <w:pPr>
              <w:jc w:val="center"/>
              <w:rPr>
                <w:b/>
                <w:sz w:val="22"/>
                <w:szCs w:val="22"/>
                <w:lang w:val="kk-KZ"/>
              </w:rPr>
            </w:pPr>
            <w:r w:rsidRPr="000944BF">
              <w:rPr>
                <w:b/>
                <w:sz w:val="22"/>
                <w:szCs w:val="22"/>
                <w:lang w:val="kk-KZ"/>
              </w:rPr>
              <w:t>«ҚАЗАҚСТАН РЕСПУБЛИКАСЫНЫҢ</w:t>
            </w:r>
          </w:p>
          <w:p w:rsidR="004F2B8B" w:rsidRPr="006A163D" w:rsidRDefault="004F2B8B" w:rsidP="005D1C6F">
            <w:pPr>
              <w:jc w:val="center"/>
              <w:rPr>
                <w:b/>
                <w:sz w:val="22"/>
                <w:szCs w:val="22"/>
              </w:rPr>
            </w:pPr>
            <w:r w:rsidRPr="000944BF">
              <w:rPr>
                <w:b/>
                <w:sz w:val="22"/>
                <w:szCs w:val="22"/>
                <w:lang w:val="kk-KZ"/>
              </w:rPr>
              <w:t>ҰЛТТЫҚ БАНКІ»</w:t>
            </w:r>
          </w:p>
          <w:p w:rsidR="004F2B8B" w:rsidRPr="006A163D" w:rsidRDefault="004F2B8B" w:rsidP="005D1C6F">
            <w:pPr>
              <w:jc w:val="center"/>
              <w:rPr>
                <w:b/>
                <w:sz w:val="22"/>
                <w:szCs w:val="22"/>
              </w:rPr>
            </w:pPr>
          </w:p>
          <w:p w:rsidR="004F2B8B" w:rsidRPr="006A163D" w:rsidRDefault="004F2B8B" w:rsidP="005D1C6F">
            <w:pPr>
              <w:jc w:val="center"/>
              <w:rPr>
                <w:sz w:val="22"/>
                <w:szCs w:val="22"/>
              </w:rPr>
            </w:pPr>
            <w:r w:rsidRPr="000944BF">
              <w:rPr>
                <w:sz w:val="22"/>
                <w:szCs w:val="22"/>
                <w:lang w:val="kk-KZ"/>
              </w:rPr>
              <w:t xml:space="preserve">РЕСПУБЛИКАЛЫҚ </w:t>
            </w:r>
          </w:p>
          <w:p w:rsidR="004F2B8B" w:rsidRPr="000944BF" w:rsidRDefault="004F2B8B" w:rsidP="005D1C6F">
            <w:pPr>
              <w:jc w:val="center"/>
              <w:rPr>
                <w:sz w:val="22"/>
                <w:szCs w:val="22"/>
                <w:lang w:val="kk-KZ"/>
              </w:rPr>
            </w:pPr>
            <w:r w:rsidRPr="000944BF">
              <w:rPr>
                <w:sz w:val="22"/>
                <w:szCs w:val="22"/>
                <w:lang w:val="kk-KZ"/>
              </w:rPr>
              <w:t>МЕМЛЕКЕТТІК МЕКЕМЕСІ</w:t>
            </w:r>
          </w:p>
          <w:p w:rsidR="004F2B8B" w:rsidRPr="000944BF" w:rsidRDefault="004F2B8B" w:rsidP="005D1C6F">
            <w:pPr>
              <w:jc w:val="center"/>
              <w:rPr>
                <w:b/>
                <w:sz w:val="22"/>
                <w:szCs w:val="22"/>
                <w:lang w:val="kk-KZ"/>
              </w:rPr>
            </w:pPr>
          </w:p>
        </w:tc>
        <w:tc>
          <w:tcPr>
            <w:tcW w:w="1800" w:type="dxa"/>
            <w:shd w:val="clear" w:color="auto" w:fill="auto"/>
          </w:tcPr>
          <w:p w:rsidR="004F2B8B" w:rsidRPr="000944BF" w:rsidRDefault="004F2B8B" w:rsidP="005D1C6F">
            <w:pPr>
              <w:rPr>
                <w:sz w:val="22"/>
                <w:szCs w:val="22"/>
                <w:lang w:val="kk-KZ"/>
              </w:rPr>
            </w:pPr>
            <w:r w:rsidRPr="00B07D7D">
              <w:rPr>
                <w:noProof/>
              </w:rPr>
              <w:drawing>
                <wp:inline distT="0" distB="0" distL="0" distR="0" wp14:anchorId="0DE7D7A2" wp14:editId="124820B8">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shd w:val="clear" w:color="auto" w:fill="auto"/>
          </w:tcPr>
          <w:p w:rsidR="004F2B8B" w:rsidRPr="000944BF" w:rsidRDefault="004F2B8B" w:rsidP="005D1C6F">
            <w:pPr>
              <w:jc w:val="center"/>
              <w:rPr>
                <w:sz w:val="22"/>
                <w:szCs w:val="22"/>
                <w:lang w:val="kk-KZ"/>
              </w:rPr>
            </w:pPr>
          </w:p>
          <w:p w:rsidR="004F2B8B" w:rsidRPr="006A163D" w:rsidRDefault="004F2B8B" w:rsidP="005D1C6F">
            <w:pPr>
              <w:jc w:val="center"/>
              <w:rPr>
                <w:sz w:val="22"/>
                <w:szCs w:val="22"/>
              </w:rPr>
            </w:pPr>
            <w:r w:rsidRPr="000944BF">
              <w:rPr>
                <w:sz w:val="22"/>
                <w:szCs w:val="22"/>
              </w:rPr>
              <w:t>РЕСПУБЛИКАНСКОЕ ГОСУДАР</w:t>
            </w:r>
            <w:r w:rsidRPr="000944BF">
              <w:rPr>
                <w:sz w:val="22"/>
                <w:szCs w:val="22"/>
                <w:lang w:val="kk-KZ"/>
              </w:rPr>
              <w:t>С</w:t>
            </w:r>
            <w:r w:rsidRPr="000944BF">
              <w:rPr>
                <w:sz w:val="22"/>
                <w:szCs w:val="22"/>
              </w:rPr>
              <w:t>ТВЕННОЕ УЧРЕЖДЕНИЕ</w:t>
            </w:r>
          </w:p>
          <w:p w:rsidR="004F2B8B" w:rsidRPr="006A163D" w:rsidRDefault="004F2B8B" w:rsidP="005D1C6F">
            <w:pPr>
              <w:jc w:val="center"/>
              <w:rPr>
                <w:sz w:val="22"/>
                <w:szCs w:val="22"/>
              </w:rPr>
            </w:pPr>
          </w:p>
          <w:p w:rsidR="004F2B8B" w:rsidRPr="000944BF" w:rsidRDefault="004F2B8B" w:rsidP="005D1C6F">
            <w:pPr>
              <w:jc w:val="center"/>
              <w:rPr>
                <w:b/>
                <w:sz w:val="22"/>
                <w:szCs w:val="22"/>
              </w:rPr>
            </w:pPr>
            <w:r w:rsidRPr="000944BF">
              <w:rPr>
                <w:b/>
                <w:sz w:val="22"/>
                <w:szCs w:val="22"/>
              </w:rPr>
              <w:t>«НАЦИОНАЛЬНЫЙ БАНК</w:t>
            </w:r>
          </w:p>
          <w:p w:rsidR="004F2B8B" w:rsidRPr="000944BF" w:rsidRDefault="004F2B8B" w:rsidP="005D1C6F">
            <w:pPr>
              <w:jc w:val="center"/>
              <w:rPr>
                <w:b/>
                <w:sz w:val="22"/>
                <w:szCs w:val="22"/>
                <w:lang w:val="kk-KZ"/>
              </w:rPr>
            </w:pPr>
            <w:r w:rsidRPr="000944BF">
              <w:rPr>
                <w:b/>
                <w:sz w:val="22"/>
                <w:szCs w:val="22"/>
              </w:rPr>
              <w:t>РЕСПУБЛИКИ КАЗАХСТАН»</w:t>
            </w:r>
          </w:p>
          <w:p w:rsidR="004F2B8B" w:rsidRPr="000944BF" w:rsidRDefault="004F2B8B" w:rsidP="005D1C6F">
            <w:pPr>
              <w:jc w:val="center"/>
              <w:rPr>
                <w:b/>
                <w:sz w:val="16"/>
                <w:szCs w:val="16"/>
                <w:lang w:val="kk-KZ"/>
              </w:rPr>
            </w:pPr>
          </w:p>
        </w:tc>
      </w:tr>
      <w:tr w:rsidR="004F2B8B" w:rsidRPr="001055EA" w:rsidTr="005D1C6F">
        <w:trPr>
          <w:trHeight w:val="584"/>
        </w:trPr>
        <w:tc>
          <w:tcPr>
            <w:tcW w:w="4320" w:type="dxa"/>
            <w:shd w:val="clear" w:color="auto" w:fill="auto"/>
          </w:tcPr>
          <w:p w:rsidR="004F2B8B" w:rsidRPr="001055EA" w:rsidRDefault="004F2B8B" w:rsidP="005D1C6F">
            <w:pPr>
              <w:jc w:val="center"/>
              <w:rPr>
                <w:b/>
                <w:sz w:val="28"/>
                <w:szCs w:val="28"/>
                <w:lang w:val="kk-KZ"/>
              </w:rPr>
            </w:pPr>
            <w:r w:rsidRPr="001055EA">
              <w:rPr>
                <w:b/>
                <w:sz w:val="28"/>
                <w:szCs w:val="28"/>
                <w:lang w:val="kk-KZ"/>
              </w:rPr>
              <w:t>БАСҚАРМАСЫНЫҢ</w:t>
            </w:r>
            <w:r w:rsidRPr="001055EA">
              <w:rPr>
                <w:b/>
                <w:sz w:val="28"/>
                <w:szCs w:val="28"/>
                <w:lang w:val="kk-KZ"/>
              </w:rPr>
              <w:br/>
              <w:t>ҚАУЛЫСЫ</w:t>
            </w:r>
          </w:p>
          <w:p w:rsidR="004F2B8B" w:rsidRDefault="004F2B8B" w:rsidP="005D1C6F">
            <w:pPr>
              <w:jc w:val="center"/>
              <w:rPr>
                <w:b/>
                <w:sz w:val="22"/>
                <w:szCs w:val="22"/>
                <w:lang w:val="kk-KZ"/>
              </w:rPr>
            </w:pPr>
          </w:p>
          <w:p w:rsidR="004F2B8B" w:rsidRPr="003F1095" w:rsidRDefault="004F2B8B" w:rsidP="005D1C6F">
            <w:pPr>
              <w:jc w:val="center"/>
            </w:pPr>
            <w:r w:rsidRPr="003F1095">
              <w:t>_____________________________</w:t>
            </w:r>
          </w:p>
          <w:p w:rsidR="004F2B8B" w:rsidRDefault="004F2B8B" w:rsidP="005D1C6F">
            <w:pPr>
              <w:jc w:val="center"/>
              <w:rPr>
                <w:sz w:val="16"/>
                <w:szCs w:val="16"/>
                <w:lang w:val="kk-KZ"/>
              </w:rPr>
            </w:pPr>
          </w:p>
          <w:p w:rsidR="004F2B8B" w:rsidRPr="001055EA" w:rsidRDefault="004F2B8B" w:rsidP="005D1C6F">
            <w:pPr>
              <w:jc w:val="center"/>
              <w:rPr>
                <w:sz w:val="22"/>
                <w:szCs w:val="22"/>
                <w:lang w:val="kk-KZ"/>
              </w:rPr>
            </w:pPr>
            <w:r w:rsidRPr="001055EA">
              <w:rPr>
                <w:sz w:val="22"/>
                <w:szCs w:val="22"/>
                <w:lang w:val="kk-KZ"/>
              </w:rPr>
              <w:t>Нұр-Сұлтан қаласы</w:t>
            </w:r>
          </w:p>
          <w:p w:rsidR="004F2B8B" w:rsidRDefault="004F2B8B" w:rsidP="005D1C6F">
            <w:pPr>
              <w:tabs>
                <w:tab w:val="left" w:pos="396"/>
              </w:tabs>
              <w:rPr>
                <w:sz w:val="16"/>
                <w:szCs w:val="16"/>
                <w:lang w:val="kk-KZ"/>
              </w:rPr>
            </w:pPr>
          </w:p>
          <w:p w:rsidR="004F2B8B" w:rsidRPr="00CC756F" w:rsidRDefault="004F2B8B" w:rsidP="005D1C6F">
            <w:pPr>
              <w:tabs>
                <w:tab w:val="left" w:pos="396"/>
              </w:tabs>
              <w:rPr>
                <w:sz w:val="28"/>
                <w:szCs w:val="28"/>
                <w:lang w:val="kk-KZ"/>
              </w:rPr>
            </w:pPr>
          </w:p>
        </w:tc>
        <w:tc>
          <w:tcPr>
            <w:tcW w:w="1800" w:type="dxa"/>
            <w:shd w:val="clear" w:color="auto" w:fill="auto"/>
          </w:tcPr>
          <w:p w:rsidR="004F2B8B" w:rsidRPr="000944BF" w:rsidRDefault="004F2B8B" w:rsidP="005D1C6F">
            <w:pPr>
              <w:rPr>
                <w:sz w:val="18"/>
                <w:szCs w:val="18"/>
                <w:lang w:val="kk-KZ"/>
              </w:rPr>
            </w:pPr>
          </w:p>
        </w:tc>
        <w:tc>
          <w:tcPr>
            <w:tcW w:w="4140" w:type="dxa"/>
            <w:shd w:val="clear" w:color="auto" w:fill="auto"/>
          </w:tcPr>
          <w:p w:rsidR="004F2B8B" w:rsidRPr="001055EA" w:rsidRDefault="004F2B8B" w:rsidP="005D1C6F">
            <w:pPr>
              <w:jc w:val="center"/>
              <w:rPr>
                <w:b/>
                <w:sz w:val="28"/>
                <w:szCs w:val="28"/>
                <w:lang w:val="kk-KZ"/>
              </w:rPr>
            </w:pPr>
            <w:r w:rsidRPr="001055EA">
              <w:rPr>
                <w:b/>
                <w:sz w:val="28"/>
                <w:szCs w:val="28"/>
                <w:lang w:val="kk-KZ"/>
              </w:rPr>
              <w:t>ПОСТАНОВЛЕНИЕ</w:t>
            </w:r>
          </w:p>
          <w:p w:rsidR="004F2B8B" w:rsidRPr="001055EA" w:rsidRDefault="004F2B8B" w:rsidP="005D1C6F">
            <w:pPr>
              <w:jc w:val="center"/>
              <w:rPr>
                <w:b/>
                <w:sz w:val="28"/>
                <w:szCs w:val="28"/>
                <w:lang w:val="kk-KZ"/>
              </w:rPr>
            </w:pPr>
            <w:r w:rsidRPr="001055EA">
              <w:rPr>
                <w:b/>
                <w:sz w:val="28"/>
                <w:szCs w:val="28"/>
                <w:lang w:val="kk-KZ"/>
              </w:rPr>
              <w:t>ПРАВЛЕНИЯ</w:t>
            </w:r>
          </w:p>
          <w:p w:rsidR="004F2B8B" w:rsidRDefault="004F2B8B" w:rsidP="005D1C6F">
            <w:pPr>
              <w:jc w:val="center"/>
              <w:rPr>
                <w:b/>
                <w:lang w:val="kk-KZ"/>
              </w:rPr>
            </w:pPr>
          </w:p>
          <w:p w:rsidR="004F2B8B" w:rsidRPr="003F1095" w:rsidRDefault="004F2B8B" w:rsidP="005D1C6F">
            <w:pPr>
              <w:jc w:val="center"/>
              <w:rPr>
                <w:sz w:val="16"/>
                <w:szCs w:val="16"/>
              </w:rPr>
            </w:pPr>
            <w:r w:rsidRPr="004113E7">
              <w:t>№</w:t>
            </w:r>
            <w:r w:rsidRPr="003F1095">
              <w:rPr>
                <w:sz w:val="16"/>
                <w:szCs w:val="16"/>
              </w:rPr>
              <w:t>_____________</w:t>
            </w:r>
          </w:p>
          <w:p w:rsidR="004F2B8B" w:rsidRPr="003F1095" w:rsidRDefault="004F2B8B" w:rsidP="005D1C6F">
            <w:pPr>
              <w:jc w:val="center"/>
              <w:rPr>
                <w:sz w:val="16"/>
                <w:szCs w:val="16"/>
              </w:rPr>
            </w:pPr>
          </w:p>
          <w:p w:rsidR="004F2B8B" w:rsidRPr="001055EA" w:rsidRDefault="004F2B8B" w:rsidP="005D1C6F">
            <w:pPr>
              <w:jc w:val="center"/>
              <w:rPr>
                <w:b/>
                <w:sz w:val="22"/>
                <w:szCs w:val="22"/>
              </w:rPr>
            </w:pPr>
            <w:r w:rsidRPr="001055EA">
              <w:rPr>
                <w:sz w:val="22"/>
                <w:szCs w:val="22"/>
                <w:lang w:val="kk-KZ"/>
              </w:rPr>
              <w:t>г</w:t>
            </w:r>
            <w:proofErr w:type="spellStart"/>
            <w:r w:rsidRPr="001055EA">
              <w:rPr>
                <w:sz w:val="22"/>
                <w:szCs w:val="22"/>
              </w:rPr>
              <w:t>ород</w:t>
            </w:r>
            <w:proofErr w:type="spellEnd"/>
            <w:r w:rsidRPr="001055EA">
              <w:rPr>
                <w:sz w:val="22"/>
                <w:szCs w:val="22"/>
              </w:rPr>
              <w:t xml:space="preserve"> </w:t>
            </w:r>
            <w:proofErr w:type="spellStart"/>
            <w:r w:rsidRPr="001055EA">
              <w:rPr>
                <w:sz w:val="22"/>
                <w:szCs w:val="22"/>
              </w:rPr>
              <w:t>Нур</w:t>
            </w:r>
            <w:proofErr w:type="spellEnd"/>
            <w:r w:rsidRPr="001055EA">
              <w:rPr>
                <w:sz w:val="22"/>
                <w:szCs w:val="22"/>
              </w:rPr>
              <w:t>-Султан</w:t>
            </w:r>
          </w:p>
        </w:tc>
      </w:tr>
    </w:tbl>
    <w:p w:rsidR="00A36165" w:rsidRPr="004F2B8B" w:rsidRDefault="00A36165" w:rsidP="00934587">
      <w:pPr>
        <w:rPr>
          <w:sz w:val="28"/>
        </w:rPr>
      </w:pPr>
    </w:p>
    <w:p w:rsidR="00E93A18" w:rsidRDefault="004E43E0" w:rsidP="00E42BDD">
      <w:pPr>
        <w:contextualSpacing/>
        <w:jc w:val="center"/>
        <w:rPr>
          <w:b/>
          <w:sz w:val="28"/>
          <w:szCs w:val="28"/>
          <w:lang w:val="kk-KZ"/>
        </w:rPr>
      </w:pPr>
      <w:r w:rsidRPr="00E93A18">
        <w:rPr>
          <w:b/>
          <w:sz w:val="28"/>
          <w:szCs w:val="28"/>
          <w:lang w:val="kk-KZ"/>
        </w:rPr>
        <w:t xml:space="preserve">«Қылмыстық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w:t>
      </w:r>
    </w:p>
    <w:p w:rsidR="00503328" w:rsidRPr="00E93A18" w:rsidRDefault="004E43E0" w:rsidP="00E42BDD">
      <w:pPr>
        <w:contextualSpacing/>
        <w:jc w:val="center"/>
        <w:rPr>
          <w:b/>
          <w:sz w:val="28"/>
          <w:szCs w:val="28"/>
          <w:lang w:val="kk-KZ"/>
        </w:rPr>
      </w:pPr>
      <w:r w:rsidRPr="00E93A18">
        <w:rPr>
          <w:b/>
          <w:sz w:val="28"/>
          <w:szCs w:val="28"/>
          <w:lang w:val="kk-KZ"/>
        </w:rPr>
        <w:t>өзгерістер мен толықтыру енгізу туралы</w:t>
      </w:r>
    </w:p>
    <w:p w:rsidR="004E43E0" w:rsidRPr="00E93A18" w:rsidRDefault="004E43E0" w:rsidP="00E42BDD">
      <w:pPr>
        <w:contextualSpacing/>
        <w:jc w:val="center"/>
        <w:rPr>
          <w:b/>
          <w:sz w:val="28"/>
          <w:szCs w:val="28"/>
          <w:lang w:val="kk-KZ"/>
        </w:rPr>
      </w:pPr>
    </w:p>
    <w:p w:rsidR="00AB1903" w:rsidRPr="00E93A18" w:rsidRDefault="00AB1903" w:rsidP="00E42BDD">
      <w:pPr>
        <w:contextualSpacing/>
        <w:jc w:val="center"/>
        <w:rPr>
          <w:b/>
          <w:sz w:val="28"/>
          <w:szCs w:val="28"/>
          <w:lang w:val="kk-KZ"/>
        </w:rPr>
      </w:pPr>
    </w:p>
    <w:p w:rsidR="00991227" w:rsidRPr="00E93A18" w:rsidRDefault="004E43E0" w:rsidP="00991227">
      <w:pPr>
        <w:ind w:firstLine="709"/>
        <w:contextualSpacing/>
        <w:jc w:val="both"/>
        <w:rPr>
          <w:sz w:val="28"/>
          <w:szCs w:val="28"/>
          <w:lang w:val="kk-KZ"/>
        </w:rPr>
      </w:pPr>
      <w:r w:rsidRPr="00E93A18">
        <w:rPr>
          <w:sz w:val="28"/>
          <w:szCs w:val="28"/>
          <w:lang w:val="kk-KZ"/>
        </w:rPr>
        <w:t>Қазақстан Республикасы Ұлттық Банк</w:t>
      </w:r>
      <w:r w:rsidR="00E93A18">
        <w:rPr>
          <w:sz w:val="28"/>
          <w:szCs w:val="28"/>
          <w:lang w:val="kk-KZ"/>
        </w:rPr>
        <w:t>інің</w:t>
      </w:r>
      <w:r w:rsidRPr="00E93A18">
        <w:rPr>
          <w:sz w:val="28"/>
          <w:szCs w:val="28"/>
          <w:lang w:val="kk-KZ"/>
        </w:rPr>
        <w:t xml:space="preserve"> Басқармасы </w:t>
      </w:r>
      <w:r w:rsidRPr="00E93A18">
        <w:rPr>
          <w:b/>
          <w:sz w:val="28"/>
          <w:szCs w:val="28"/>
          <w:lang w:val="kk-KZ"/>
        </w:rPr>
        <w:t>ҚАУЛЫ ЕТЕДІ</w:t>
      </w:r>
      <w:r w:rsidR="00DB33DF" w:rsidRPr="00E93A18">
        <w:rPr>
          <w:sz w:val="28"/>
          <w:szCs w:val="28"/>
          <w:lang w:val="kk-KZ"/>
        </w:rPr>
        <w:t>:</w:t>
      </w:r>
    </w:p>
    <w:p w:rsidR="00991227" w:rsidRPr="00E93A18" w:rsidRDefault="00991227" w:rsidP="004E43E0">
      <w:pPr>
        <w:widowControl w:val="0"/>
        <w:ind w:firstLine="709"/>
        <w:jc w:val="both"/>
        <w:rPr>
          <w:sz w:val="28"/>
          <w:szCs w:val="28"/>
          <w:lang w:val="kk-KZ"/>
        </w:rPr>
      </w:pPr>
      <w:r w:rsidRPr="00E93A18">
        <w:rPr>
          <w:sz w:val="28"/>
          <w:szCs w:val="28"/>
          <w:lang w:val="kk-KZ"/>
        </w:rPr>
        <w:t xml:space="preserve">1. </w:t>
      </w:r>
      <w:r w:rsidR="004E43E0" w:rsidRPr="00E93A18">
        <w:rPr>
          <w:rStyle w:val="s0"/>
          <w:sz w:val="28"/>
          <w:szCs w:val="28"/>
          <w:lang w:val="kk-KZ"/>
        </w:rPr>
        <w:t xml:space="preserve">«Қылмыстық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w:t>
      </w:r>
      <w:r w:rsidR="00E93A18">
        <w:rPr>
          <w:rStyle w:val="s0"/>
          <w:sz w:val="28"/>
          <w:szCs w:val="28"/>
          <w:lang w:val="kk-KZ"/>
        </w:rPr>
        <w:br/>
      </w:r>
      <w:r w:rsidR="004E43E0" w:rsidRPr="00E93A18">
        <w:rPr>
          <w:rStyle w:val="s0"/>
          <w:sz w:val="28"/>
          <w:szCs w:val="28"/>
          <w:lang w:val="kk-KZ"/>
        </w:rPr>
        <w:t>28 ақпандағы № 11 қаулысына (</w:t>
      </w:r>
      <w:r w:rsidR="00E93A18">
        <w:rPr>
          <w:rStyle w:val="s0"/>
          <w:sz w:val="28"/>
          <w:szCs w:val="28"/>
          <w:lang w:val="kk-KZ"/>
        </w:rPr>
        <w:t>Н</w:t>
      </w:r>
      <w:r w:rsidR="004E43E0" w:rsidRPr="00E93A18">
        <w:rPr>
          <w:rStyle w:val="s0"/>
          <w:sz w:val="28"/>
          <w:szCs w:val="28"/>
          <w:lang w:val="kk-KZ"/>
        </w:rPr>
        <w:t>ормативтік құқықтық актілерді мемлекеттік тіркеу тізілімінде № 27075 болып тіркелген) мынадай өзгерістер мен толықтыру енгізілсін</w:t>
      </w:r>
      <w:r w:rsidRPr="00E93A18">
        <w:rPr>
          <w:rStyle w:val="s0"/>
          <w:sz w:val="28"/>
          <w:szCs w:val="28"/>
          <w:lang w:val="kk-KZ"/>
        </w:rPr>
        <w:t>:</w:t>
      </w:r>
    </w:p>
    <w:p w:rsidR="00991227" w:rsidRPr="00E93A18" w:rsidRDefault="004E43E0" w:rsidP="004E43E0">
      <w:pPr>
        <w:widowControl w:val="0"/>
        <w:ind w:firstLine="709"/>
        <w:jc w:val="both"/>
        <w:rPr>
          <w:rStyle w:val="s0"/>
          <w:sz w:val="28"/>
          <w:szCs w:val="28"/>
          <w:lang w:val="kk-KZ"/>
        </w:rPr>
      </w:pPr>
      <w:r w:rsidRPr="00E93A18">
        <w:rPr>
          <w:rStyle w:val="s0"/>
          <w:sz w:val="28"/>
          <w:szCs w:val="28"/>
          <w:lang w:val="kk-KZ"/>
        </w:rPr>
        <w:t xml:space="preserve">көрсетілген қаулымен бекітілген Қылмыстық жолмен алынған кірістерді заңдастыруға (жылыстатуға) және терроризмді қаржыландыруға қарсы іс-қимыл </w:t>
      </w:r>
      <w:r w:rsidR="00E93A18">
        <w:rPr>
          <w:rStyle w:val="s0"/>
          <w:sz w:val="28"/>
          <w:szCs w:val="28"/>
          <w:lang w:val="kk-KZ"/>
        </w:rPr>
        <w:t xml:space="preserve">жасау </w:t>
      </w:r>
      <w:r w:rsidRPr="00E93A18">
        <w:rPr>
          <w:rStyle w:val="s0"/>
          <w:sz w:val="28"/>
          <w:szCs w:val="28"/>
          <w:lang w:val="kk-KZ"/>
        </w:rPr>
        <w:t xml:space="preserve">мақсатында </w:t>
      </w:r>
      <w:r w:rsidR="00E93A18" w:rsidRPr="00E93A18">
        <w:rPr>
          <w:rStyle w:val="s0"/>
          <w:sz w:val="28"/>
          <w:szCs w:val="28"/>
          <w:lang w:val="kk-KZ"/>
        </w:rPr>
        <w:t xml:space="preserve">төлем ұйымдары үшін </w:t>
      </w:r>
      <w:r w:rsidRPr="00E93A18">
        <w:rPr>
          <w:rStyle w:val="s0"/>
          <w:sz w:val="28"/>
          <w:szCs w:val="28"/>
          <w:lang w:val="kk-KZ"/>
        </w:rPr>
        <w:t>ішкі бақылау қағидаларын</w:t>
      </w:r>
      <w:r w:rsidR="00E93A18">
        <w:rPr>
          <w:rStyle w:val="s0"/>
          <w:sz w:val="28"/>
          <w:szCs w:val="28"/>
          <w:lang w:val="kk-KZ"/>
        </w:rPr>
        <w:t>да</w:t>
      </w:r>
      <w:r w:rsidR="00991227" w:rsidRPr="00E93A18">
        <w:rPr>
          <w:rStyle w:val="s0"/>
          <w:sz w:val="28"/>
          <w:szCs w:val="28"/>
          <w:lang w:val="kk-KZ"/>
        </w:rPr>
        <w:t>:</w:t>
      </w:r>
    </w:p>
    <w:p w:rsidR="000A6E84" w:rsidRPr="00E93A18" w:rsidRDefault="000A6E84" w:rsidP="000A6E84">
      <w:pPr>
        <w:widowControl w:val="0"/>
        <w:ind w:firstLine="709"/>
        <w:jc w:val="both"/>
        <w:rPr>
          <w:rStyle w:val="s0"/>
          <w:sz w:val="28"/>
          <w:szCs w:val="28"/>
          <w:lang w:val="kk-KZ"/>
        </w:rPr>
      </w:pPr>
      <w:r>
        <w:rPr>
          <w:rStyle w:val="s0"/>
          <w:sz w:val="28"/>
          <w:szCs w:val="28"/>
          <w:lang w:val="kk-KZ"/>
        </w:rPr>
        <w:t>3</w:t>
      </w:r>
      <w:r w:rsidRPr="00E93A18">
        <w:rPr>
          <w:rStyle w:val="s0"/>
          <w:sz w:val="28"/>
          <w:szCs w:val="28"/>
          <w:lang w:val="kk-KZ"/>
        </w:rPr>
        <w:t>-тармақ мынадай редакцияда жазылсын:</w:t>
      </w:r>
    </w:p>
    <w:p w:rsidR="000A6E84" w:rsidRPr="000A6E84" w:rsidRDefault="000A6E84" w:rsidP="000A6E84">
      <w:pPr>
        <w:ind w:firstLine="709"/>
        <w:jc w:val="both"/>
        <w:rPr>
          <w:rStyle w:val="s0"/>
          <w:sz w:val="28"/>
          <w:szCs w:val="28"/>
          <w:lang w:val="kk-KZ"/>
        </w:rPr>
      </w:pPr>
      <w:r>
        <w:rPr>
          <w:rStyle w:val="s0"/>
          <w:sz w:val="28"/>
          <w:szCs w:val="28"/>
          <w:lang w:val="kk-KZ"/>
        </w:rPr>
        <w:t xml:space="preserve">«3. </w:t>
      </w:r>
      <w:r w:rsidRPr="000A6E84">
        <w:rPr>
          <w:rStyle w:val="s0"/>
          <w:sz w:val="28"/>
          <w:szCs w:val="28"/>
          <w:lang w:val="kk-KZ"/>
        </w:rPr>
        <w:t>Ұйым қылмыстық жолмен алынған кірістерді заңдастыруға (жылыстатуға) және терроризмді қаржыландыруға, сондай</w:t>
      </w:r>
      <w:r>
        <w:rPr>
          <w:rStyle w:val="s0"/>
          <w:sz w:val="28"/>
          <w:szCs w:val="28"/>
          <w:lang w:val="kk-KZ"/>
        </w:rPr>
        <w:t>-</w:t>
      </w:r>
      <w:r w:rsidRPr="000A6E84">
        <w:rPr>
          <w:rStyle w:val="s0"/>
          <w:sz w:val="28"/>
          <w:szCs w:val="28"/>
          <w:lang w:val="kk-KZ"/>
        </w:rPr>
        <w:t>ақ жаппай қырып-жою қаруын таратуды қаржыландыруға (бұдан әрі</w:t>
      </w:r>
      <w:r>
        <w:rPr>
          <w:rStyle w:val="s0"/>
          <w:sz w:val="28"/>
          <w:szCs w:val="28"/>
          <w:lang w:val="kk-KZ"/>
        </w:rPr>
        <w:t xml:space="preserve"> – </w:t>
      </w:r>
      <w:r w:rsidRPr="000A6E84">
        <w:rPr>
          <w:rStyle w:val="s0"/>
          <w:sz w:val="28"/>
          <w:szCs w:val="28"/>
          <w:lang w:val="kk-KZ"/>
        </w:rPr>
        <w:t>КЖ/ТҚҚ) қарсы іс-қимыл мақсатында ішкі бақылауды:</w:t>
      </w:r>
    </w:p>
    <w:p w:rsidR="000A6E84" w:rsidRPr="000A6E84" w:rsidRDefault="000A6E84" w:rsidP="000A6E84">
      <w:pPr>
        <w:ind w:firstLine="709"/>
        <w:jc w:val="both"/>
        <w:rPr>
          <w:rStyle w:val="s0"/>
          <w:sz w:val="28"/>
          <w:szCs w:val="28"/>
          <w:lang w:val="kk-KZ"/>
        </w:rPr>
      </w:pPr>
      <w:r w:rsidRPr="000A6E84">
        <w:rPr>
          <w:rStyle w:val="s0"/>
          <w:sz w:val="28"/>
          <w:szCs w:val="28"/>
          <w:lang w:val="kk-KZ"/>
        </w:rPr>
        <w:t>1) ұйымның КЖ/ТҚҚ туралы заңның талаптарын орындауын қамтамасыз ету;</w:t>
      </w:r>
    </w:p>
    <w:p w:rsidR="000A6E84" w:rsidRPr="000A6E84" w:rsidRDefault="000A6E84" w:rsidP="000A6E84">
      <w:pPr>
        <w:ind w:firstLine="709"/>
        <w:jc w:val="both"/>
        <w:rPr>
          <w:rStyle w:val="s0"/>
          <w:sz w:val="28"/>
          <w:szCs w:val="28"/>
          <w:lang w:val="kk-KZ"/>
        </w:rPr>
      </w:pPr>
      <w:r w:rsidRPr="000A6E84">
        <w:rPr>
          <w:rStyle w:val="s0"/>
          <w:sz w:val="28"/>
          <w:szCs w:val="28"/>
          <w:lang w:val="kk-KZ"/>
        </w:rPr>
        <w:t xml:space="preserve">2) ішкі бақылау жүйесінің тиімділігін қылмыстық жолмен алынған кірістерді заңдастыру (жылыстату) және терроризмді қаржыландыру (бұдан әрі – КЖ/ТҚ) немесе </w:t>
      </w:r>
      <w:r>
        <w:rPr>
          <w:rStyle w:val="s0"/>
          <w:sz w:val="28"/>
          <w:szCs w:val="28"/>
          <w:lang w:val="kk-KZ"/>
        </w:rPr>
        <w:t>өзге де</w:t>
      </w:r>
      <w:r w:rsidRPr="000A6E84">
        <w:rPr>
          <w:rStyle w:val="s0"/>
          <w:sz w:val="28"/>
          <w:szCs w:val="28"/>
          <w:lang w:val="kk-KZ"/>
        </w:rPr>
        <w:t xml:space="preserve"> қылмыстық әрекет (бұдан әрі – КЖ/ТҚ тәуекелдерін басқару) тәуекелдеріне, сондай-ақ ұйымның қасақана немесе қасақана емес </w:t>
      </w:r>
      <w:r w:rsidRPr="000A6E84">
        <w:rPr>
          <w:rStyle w:val="s0"/>
          <w:sz w:val="28"/>
          <w:szCs w:val="28"/>
          <w:lang w:val="kk-KZ"/>
        </w:rPr>
        <w:lastRenderedPageBreak/>
        <w:t xml:space="preserve">араласуымен байланысты тәуекелдеріне </w:t>
      </w:r>
      <w:r>
        <w:rPr>
          <w:rStyle w:val="s0"/>
          <w:sz w:val="28"/>
          <w:szCs w:val="28"/>
          <w:lang w:val="kk-KZ"/>
        </w:rPr>
        <w:t>қатысты</w:t>
      </w:r>
      <w:r w:rsidRPr="000A6E84">
        <w:rPr>
          <w:rStyle w:val="s0"/>
          <w:sz w:val="28"/>
          <w:szCs w:val="28"/>
          <w:lang w:val="kk-KZ"/>
        </w:rPr>
        <w:t xml:space="preserve"> мониторинг жүргізу, анықтау жөніндегі шаралар қабылдау үшін жеткілікті деңгейде қолдау;</w:t>
      </w:r>
    </w:p>
    <w:p w:rsidR="000A6E84" w:rsidRPr="000A6E84" w:rsidRDefault="000A6E84" w:rsidP="000A6E84">
      <w:pPr>
        <w:widowControl w:val="0"/>
        <w:ind w:firstLine="709"/>
        <w:jc w:val="both"/>
        <w:rPr>
          <w:rStyle w:val="s0"/>
          <w:sz w:val="28"/>
          <w:szCs w:val="28"/>
          <w:lang w:val="kk-KZ"/>
        </w:rPr>
      </w:pPr>
      <w:r w:rsidRPr="000A6E84">
        <w:rPr>
          <w:rStyle w:val="s0"/>
          <w:sz w:val="28"/>
          <w:szCs w:val="28"/>
          <w:lang w:val="kk-KZ"/>
        </w:rPr>
        <w:t>3) ұйымды және қызметкерлерді КЖ/ТҚ процестеріне тартуды болдырмау мақсатында жүзеге асырады.</w:t>
      </w:r>
      <w:r>
        <w:rPr>
          <w:rStyle w:val="s0"/>
          <w:sz w:val="28"/>
          <w:szCs w:val="28"/>
          <w:lang w:val="kk-KZ"/>
        </w:rPr>
        <w:t>».</w:t>
      </w:r>
    </w:p>
    <w:p w:rsidR="00991227" w:rsidRPr="00E93A18" w:rsidRDefault="005D4233" w:rsidP="004E43E0">
      <w:pPr>
        <w:widowControl w:val="0"/>
        <w:ind w:firstLine="709"/>
        <w:jc w:val="both"/>
        <w:rPr>
          <w:rStyle w:val="s0"/>
          <w:sz w:val="28"/>
          <w:szCs w:val="28"/>
          <w:lang w:val="kk-KZ"/>
        </w:rPr>
      </w:pPr>
      <w:r w:rsidRPr="00E93A18">
        <w:rPr>
          <w:rStyle w:val="s0"/>
          <w:sz w:val="28"/>
          <w:szCs w:val="28"/>
          <w:lang w:val="kk-KZ"/>
        </w:rPr>
        <w:t>6-тармақ мынадай редакцияда жазылсын</w:t>
      </w:r>
      <w:r w:rsidR="00991227" w:rsidRPr="00E93A18">
        <w:rPr>
          <w:rStyle w:val="s0"/>
          <w:sz w:val="28"/>
          <w:szCs w:val="28"/>
          <w:lang w:val="kk-KZ"/>
        </w:rPr>
        <w:t>:</w:t>
      </w:r>
    </w:p>
    <w:p w:rsidR="004E43E0" w:rsidRPr="00E93A18" w:rsidRDefault="00991227" w:rsidP="004E43E0">
      <w:pPr>
        <w:widowControl w:val="0"/>
        <w:ind w:firstLine="709"/>
        <w:jc w:val="both"/>
        <w:rPr>
          <w:rStyle w:val="s0"/>
          <w:sz w:val="28"/>
          <w:szCs w:val="28"/>
          <w:lang w:val="kk-KZ"/>
        </w:rPr>
      </w:pPr>
      <w:r w:rsidRPr="00E93A18">
        <w:rPr>
          <w:rStyle w:val="s0"/>
          <w:sz w:val="28"/>
          <w:szCs w:val="28"/>
          <w:lang w:val="kk-KZ"/>
        </w:rPr>
        <w:t>«</w:t>
      </w:r>
      <w:r w:rsidR="005225A0">
        <w:rPr>
          <w:rStyle w:val="s0"/>
          <w:sz w:val="28"/>
          <w:szCs w:val="28"/>
          <w:lang w:val="kk-KZ"/>
        </w:rPr>
        <w:t>6. Ж</w:t>
      </w:r>
      <w:r w:rsidR="004E43E0" w:rsidRPr="00E93A18">
        <w:rPr>
          <w:rStyle w:val="s0"/>
          <w:sz w:val="28"/>
          <w:szCs w:val="28"/>
          <w:lang w:val="kk-KZ"/>
        </w:rPr>
        <w:t>ауапты қызметкер</w:t>
      </w:r>
      <w:r w:rsidR="005225A0">
        <w:rPr>
          <w:rStyle w:val="s0"/>
          <w:sz w:val="28"/>
          <w:szCs w:val="28"/>
          <w:lang w:val="kk-KZ"/>
        </w:rPr>
        <w:t>ге қойылатын талаптар</w:t>
      </w:r>
      <w:r w:rsidR="004E43E0" w:rsidRPr="00E93A18">
        <w:rPr>
          <w:rStyle w:val="s0"/>
          <w:sz w:val="28"/>
          <w:szCs w:val="28"/>
          <w:lang w:val="kk-KZ"/>
        </w:rPr>
        <w:t>:</w:t>
      </w:r>
    </w:p>
    <w:p w:rsidR="004E43E0" w:rsidRPr="00E93A18" w:rsidRDefault="004E43E0" w:rsidP="004E43E0">
      <w:pPr>
        <w:widowControl w:val="0"/>
        <w:ind w:firstLine="709"/>
        <w:jc w:val="both"/>
        <w:rPr>
          <w:rStyle w:val="s0"/>
          <w:sz w:val="28"/>
          <w:szCs w:val="28"/>
          <w:lang w:val="kk-KZ"/>
        </w:rPr>
      </w:pPr>
      <w:r w:rsidRPr="00E93A18">
        <w:rPr>
          <w:rStyle w:val="s0"/>
          <w:sz w:val="28"/>
          <w:szCs w:val="28"/>
          <w:lang w:val="kk-KZ"/>
        </w:rPr>
        <w:t>1) жоғары білімі</w:t>
      </w:r>
      <w:r w:rsidR="005225A0">
        <w:rPr>
          <w:rStyle w:val="s0"/>
          <w:sz w:val="28"/>
          <w:szCs w:val="28"/>
          <w:lang w:val="kk-KZ"/>
        </w:rPr>
        <w:t>нің болуы</w:t>
      </w:r>
      <w:r w:rsidRPr="00E93A18">
        <w:rPr>
          <w:rStyle w:val="s0"/>
          <w:sz w:val="28"/>
          <w:szCs w:val="28"/>
          <w:lang w:val="kk-KZ"/>
        </w:rPr>
        <w:t>;</w:t>
      </w:r>
    </w:p>
    <w:p w:rsidR="004E43E0" w:rsidRPr="00E93A18" w:rsidRDefault="004E43E0" w:rsidP="004E43E0">
      <w:pPr>
        <w:widowControl w:val="0"/>
        <w:ind w:firstLine="709"/>
        <w:jc w:val="both"/>
        <w:rPr>
          <w:rStyle w:val="s0"/>
          <w:sz w:val="28"/>
          <w:szCs w:val="28"/>
          <w:lang w:val="kk-KZ"/>
        </w:rPr>
      </w:pPr>
      <w:r w:rsidRPr="00E93A18">
        <w:rPr>
          <w:rStyle w:val="s0"/>
          <w:sz w:val="28"/>
          <w:szCs w:val="28"/>
          <w:lang w:val="kk-KZ"/>
        </w:rPr>
        <w:t>2) қаржы және (немесе) төлем ұйымдарында кемінде екі жыл жұмыс өтілінің болуы (техникалық немесе көмекші қызметкер қызметтеріндегі жұмыс тәжірибесін қоспағанда);</w:t>
      </w:r>
    </w:p>
    <w:p w:rsidR="00991227" w:rsidRPr="00E93A18" w:rsidRDefault="004E43E0" w:rsidP="004E43E0">
      <w:pPr>
        <w:widowControl w:val="0"/>
        <w:ind w:firstLine="709"/>
        <w:jc w:val="both"/>
        <w:rPr>
          <w:rStyle w:val="s0"/>
          <w:sz w:val="28"/>
          <w:szCs w:val="28"/>
          <w:lang w:val="kk-KZ"/>
        </w:rPr>
      </w:pPr>
      <w:r w:rsidRPr="00E93A18">
        <w:rPr>
          <w:rStyle w:val="s0"/>
          <w:sz w:val="28"/>
          <w:szCs w:val="28"/>
          <w:lang w:val="kk-KZ"/>
        </w:rPr>
        <w:t>3) мінсіз іскерлік беделінің болуы</w:t>
      </w:r>
      <w:r w:rsidR="00D27918" w:rsidRPr="00E93A18">
        <w:rPr>
          <w:rStyle w:val="s0"/>
          <w:sz w:val="28"/>
          <w:szCs w:val="28"/>
          <w:lang w:val="kk-KZ"/>
        </w:rPr>
        <w:t>.</w:t>
      </w:r>
      <w:r w:rsidR="00991227" w:rsidRPr="00E93A18">
        <w:rPr>
          <w:rStyle w:val="s0"/>
          <w:sz w:val="28"/>
          <w:szCs w:val="28"/>
          <w:lang w:val="kk-KZ"/>
        </w:rPr>
        <w:t>»;</w:t>
      </w:r>
    </w:p>
    <w:p w:rsidR="00991227" w:rsidRPr="00E93A18" w:rsidRDefault="004E43E0" w:rsidP="004E43E0">
      <w:pPr>
        <w:widowControl w:val="0"/>
        <w:ind w:firstLine="709"/>
        <w:jc w:val="both"/>
        <w:rPr>
          <w:rStyle w:val="s0"/>
          <w:sz w:val="28"/>
          <w:szCs w:val="28"/>
          <w:lang w:val="kk-KZ"/>
        </w:rPr>
      </w:pPr>
      <w:r w:rsidRPr="00E93A18">
        <w:rPr>
          <w:rStyle w:val="s0"/>
          <w:sz w:val="28"/>
          <w:szCs w:val="28"/>
          <w:lang w:val="kk-KZ"/>
        </w:rPr>
        <w:t>13 және 14-тармақтар мынадай редакцияда жазылсын</w:t>
      </w:r>
      <w:r w:rsidR="00991227" w:rsidRPr="00E93A18">
        <w:rPr>
          <w:rStyle w:val="s0"/>
          <w:sz w:val="28"/>
          <w:szCs w:val="28"/>
          <w:lang w:val="kk-KZ"/>
        </w:rPr>
        <w:t>:</w:t>
      </w:r>
    </w:p>
    <w:p w:rsidR="005D4233" w:rsidRPr="00E93A18" w:rsidRDefault="00991227" w:rsidP="005D4233">
      <w:pPr>
        <w:ind w:firstLine="709"/>
        <w:jc w:val="both"/>
        <w:rPr>
          <w:rStyle w:val="s0"/>
          <w:sz w:val="28"/>
          <w:szCs w:val="28"/>
          <w:lang w:val="kk-KZ"/>
        </w:rPr>
      </w:pPr>
      <w:r w:rsidRPr="00E93A18">
        <w:rPr>
          <w:rStyle w:val="s0"/>
          <w:sz w:val="28"/>
          <w:szCs w:val="28"/>
          <w:lang w:val="kk-KZ"/>
        </w:rPr>
        <w:t>«</w:t>
      </w:r>
      <w:r w:rsidR="00D27918" w:rsidRPr="00E93A18">
        <w:rPr>
          <w:rStyle w:val="s0"/>
          <w:sz w:val="28"/>
          <w:szCs w:val="28"/>
          <w:lang w:val="kk-KZ"/>
        </w:rPr>
        <w:t xml:space="preserve">13. </w:t>
      </w:r>
      <w:r w:rsidR="005D4233" w:rsidRPr="00E93A18">
        <w:rPr>
          <w:rStyle w:val="s0"/>
          <w:sz w:val="28"/>
          <w:szCs w:val="28"/>
          <w:lang w:val="kk-KZ"/>
        </w:rPr>
        <w:t>КЖ/ТҚ тәуекелдерін басқаруды ұйымдастыру мақсатында ұйым КЖ/ТҚ тәуекелдерін басқару (тәуекелдерді бағалау) бағдарламасын әзірлейді.</w:t>
      </w:r>
    </w:p>
    <w:p w:rsidR="005D4233" w:rsidRPr="00E93A18" w:rsidRDefault="005D4233" w:rsidP="005D4233">
      <w:pPr>
        <w:tabs>
          <w:tab w:val="left" w:pos="324"/>
        </w:tabs>
        <w:ind w:firstLine="709"/>
        <w:jc w:val="both"/>
        <w:rPr>
          <w:rStyle w:val="s0"/>
          <w:sz w:val="28"/>
          <w:szCs w:val="28"/>
          <w:lang w:val="kk-KZ"/>
        </w:rPr>
      </w:pPr>
      <w:r w:rsidRPr="00E93A18">
        <w:rPr>
          <w:rStyle w:val="s0"/>
          <w:sz w:val="28"/>
          <w:szCs w:val="28"/>
          <w:lang w:val="kk-KZ"/>
        </w:rPr>
        <w:t>КЖ/ТҚ тәуекелдерін басқару бағдарламасында мыналар қамтылады, бірақ олармен шектелмейді:</w:t>
      </w:r>
    </w:p>
    <w:p w:rsidR="005D4233" w:rsidRPr="00E93A18" w:rsidRDefault="005D4233" w:rsidP="005D4233">
      <w:pPr>
        <w:pStyle w:val="ae"/>
        <w:numPr>
          <w:ilvl w:val="0"/>
          <w:numId w:val="5"/>
        </w:numPr>
        <w:tabs>
          <w:tab w:val="left" w:pos="324"/>
          <w:tab w:val="left" w:pos="421"/>
          <w:tab w:val="left" w:pos="993"/>
        </w:tabs>
        <w:overflowPunct w:val="0"/>
        <w:autoSpaceDE w:val="0"/>
        <w:autoSpaceDN w:val="0"/>
        <w:adjustRightInd w:val="0"/>
        <w:spacing w:after="0" w:line="240" w:lineRule="auto"/>
        <w:ind w:left="0" w:firstLine="709"/>
        <w:jc w:val="both"/>
        <w:rPr>
          <w:rStyle w:val="s0"/>
          <w:rFonts w:eastAsia="Times New Roman"/>
          <w:sz w:val="28"/>
          <w:szCs w:val="28"/>
          <w:lang w:val="kk-KZ" w:eastAsia="ru-RU"/>
        </w:rPr>
      </w:pPr>
      <w:r w:rsidRPr="00E93A18">
        <w:rPr>
          <w:rStyle w:val="s0"/>
          <w:rFonts w:eastAsia="Times New Roman"/>
          <w:sz w:val="28"/>
          <w:szCs w:val="28"/>
          <w:lang w:val="kk-KZ" w:eastAsia="ru-RU"/>
        </w:rPr>
        <w:t>ұйымның құрылымдық бөлімшелері бөлігінде КЖ/ТҚ тәуекелдерін басқаруды ұйымдастыру тәртібі;</w:t>
      </w:r>
    </w:p>
    <w:p w:rsidR="005D4233" w:rsidRPr="00E93A18" w:rsidRDefault="005D4233" w:rsidP="005D4233">
      <w:pPr>
        <w:numPr>
          <w:ilvl w:val="0"/>
          <w:numId w:val="5"/>
        </w:numPr>
        <w:tabs>
          <w:tab w:val="left" w:pos="324"/>
          <w:tab w:val="left" w:pos="421"/>
          <w:tab w:val="left" w:pos="993"/>
        </w:tabs>
        <w:ind w:left="0" w:firstLine="709"/>
        <w:contextualSpacing/>
        <w:jc w:val="both"/>
        <w:rPr>
          <w:rStyle w:val="s0"/>
          <w:sz w:val="28"/>
          <w:szCs w:val="28"/>
          <w:lang w:val="kk-KZ"/>
        </w:rPr>
      </w:pPr>
      <w:r w:rsidRPr="00E93A18">
        <w:rPr>
          <w:rStyle w:val="s0"/>
          <w:sz w:val="28"/>
          <w:szCs w:val="28"/>
          <w:lang w:val="kk-KZ"/>
        </w:rPr>
        <w:t xml:space="preserve">клиенттің тәуекел деңгейіне қатысты тәуекелдердің негізгі санаттарын (клиент түрі, елдік тәуекел және қызметтер/өнімдер тәуекелі бойынша), </w:t>
      </w:r>
      <w:r w:rsidR="00173D5A">
        <w:rPr>
          <w:rStyle w:val="s0"/>
          <w:sz w:val="28"/>
          <w:szCs w:val="28"/>
          <w:lang w:val="kk-KZ"/>
        </w:rPr>
        <w:br/>
      </w:r>
      <w:r w:rsidRPr="00E93A18">
        <w:rPr>
          <w:rStyle w:val="s0"/>
          <w:sz w:val="28"/>
          <w:szCs w:val="28"/>
          <w:lang w:val="kk-KZ"/>
        </w:rPr>
        <w:t>сондай-ақ ұйым қызметтерінің (өнімдерінің) КЖ/ТҚ тәуекелдеріне ұшырау дәрежесін ескере отырып, КЖ/ТҚ тәуекелдерін бағалау әдістемесі;</w:t>
      </w:r>
    </w:p>
    <w:p w:rsidR="005D4233" w:rsidRPr="00E93A18" w:rsidRDefault="005D4233" w:rsidP="005D4233">
      <w:pPr>
        <w:numPr>
          <w:ilvl w:val="0"/>
          <w:numId w:val="5"/>
        </w:numPr>
        <w:tabs>
          <w:tab w:val="left" w:pos="421"/>
          <w:tab w:val="left" w:pos="993"/>
        </w:tabs>
        <w:ind w:left="0" w:firstLine="709"/>
        <w:contextualSpacing/>
        <w:jc w:val="both"/>
        <w:rPr>
          <w:rStyle w:val="s0"/>
          <w:sz w:val="28"/>
          <w:szCs w:val="28"/>
          <w:lang w:val="kk-KZ"/>
        </w:rPr>
      </w:pPr>
      <w:r w:rsidRPr="00E93A18">
        <w:rPr>
          <w:rStyle w:val="s0"/>
          <w:sz w:val="28"/>
          <w:szCs w:val="28"/>
          <w:lang w:val="kk-KZ"/>
        </w:rPr>
        <w:t>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 тәуекелдеріне ұшырау дәрежесін тұрақты мониторингтеу, талдау және бақылау тәртібі;</w:t>
      </w:r>
    </w:p>
    <w:p w:rsidR="005D4233" w:rsidRPr="00E93A18" w:rsidRDefault="005D4233" w:rsidP="005D4233">
      <w:pPr>
        <w:pStyle w:val="ae"/>
        <w:numPr>
          <w:ilvl w:val="0"/>
          <w:numId w:val="5"/>
        </w:numPr>
        <w:tabs>
          <w:tab w:val="left" w:pos="421"/>
          <w:tab w:val="left" w:pos="993"/>
        </w:tabs>
        <w:overflowPunct w:val="0"/>
        <w:autoSpaceDE w:val="0"/>
        <w:autoSpaceDN w:val="0"/>
        <w:adjustRightInd w:val="0"/>
        <w:spacing w:after="0" w:line="240" w:lineRule="auto"/>
        <w:ind w:left="0" w:firstLine="709"/>
        <w:jc w:val="both"/>
        <w:rPr>
          <w:rStyle w:val="s0"/>
          <w:rFonts w:eastAsia="Times New Roman"/>
          <w:sz w:val="28"/>
          <w:szCs w:val="28"/>
          <w:lang w:val="kk-KZ" w:eastAsia="ru-RU"/>
        </w:rPr>
      </w:pPr>
      <w:r w:rsidRPr="00E93A18">
        <w:rPr>
          <w:rStyle w:val="s0"/>
          <w:rFonts w:eastAsia="Times New Roman"/>
          <w:sz w:val="28"/>
          <w:szCs w:val="28"/>
          <w:lang w:val="kk-KZ" w:eastAsia="ru-RU"/>
        </w:rPr>
        <w:t>клиенттер тәуекелдерінің деңгейлерін беру тәртібі, қайта қарау мерзімдері мен негіздері;</w:t>
      </w:r>
    </w:p>
    <w:p w:rsidR="005D4233" w:rsidRPr="00E93A18" w:rsidRDefault="005D4233" w:rsidP="005D4233">
      <w:pPr>
        <w:pStyle w:val="ae"/>
        <w:numPr>
          <w:ilvl w:val="0"/>
          <w:numId w:val="5"/>
        </w:numPr>
        <w:tabs>
          <w:tab w:val="left" w:pos="421"/>
          <w:tab w:val="left" w:pos="993"/>
        </w:tabs>
        <w:overflowPunct w:val="0"/>
        <w:autoSpaceDE w:val="0"/>
        <w:autoSpaceDN w:val="0"/>
        <w:adjustRightInd w:val="0"/>
        <w:spacing w:after="0" w:line="240" w:lineRule="auto"/>
        <w:ind w:left="0" w:firstLine="709"/>
        <w:jc w:val="both"/>
        <w:rPr>
          <w:rStyle w:val="s0"/>
          <w:rFonts w:eastAsia="Times New Roman"/>
          <w:sz w:val="28"/>
          <w:szCs w:val="28"/>
          <w:lang w:val="kk-KZ" w:eastAsia="ru-RU"/>
        </w:rPr>
      </w:pPr>
      <w:r w:rsidRPr="00E93A18">
        <w:rPr>
          <w:rStyle w:val="s0"/>
          <w:rFonts w:eastAsia="Times New Roman"/>
          <w:sz w:val="28"/>
          <w:szCs w:val="28"/>
          <w:lang w:val="kk-KZ" w:eastAsia="ru-RU"/>
        </w:rPr>
        <w:t>КЖ/ТҚҚ мақсатында ұйымның ішкі бақылау жүйесінің тиімділігін бағалау мәселесі бойынша тәуелсіз аудит жүргізуге ұйымның шешімі болған жағдайда тәуелсіз аудитпен өзара іс-қимыл жасау тәртібі;</w:t>
      </w:r>
    </w:p>
    <w:p w:rsidR="005D4233" w:rsidRPr="00E93A18" w:rsidRDefault="005D4233" w:rsidP="005D4233">
      <w:pPr>
        <w:pStyle w:val="ae"/>
        <w:numPr>
          <w:ilvl w:val="0"/>
          <w:numId w:val="5"/>
        </w:numPr>
        <w:tabs>
          <w:tab w:val="left" w:pos="421"/>
          <w:tab w:val="left" w:pos="993"/>
        </w:tabs>
        <w:overflowPunct w:val="0"/>
        <w:autoSpaceDE w:val="0"/>
        <w:autoSpaceDN w:val="0"/>
        <w:adjustRightInd w:val="0"/>
        <w:spacing w:after="0" w:line="240" w:lineRule="auto"/>
        <w:ind w:left="0" w:firstLine="709"/>
        <w:jc w:val="both"/>
        <w:rPr>
          <w:rStyle w:val="s0"/>
          <w:rFonts w:eastAsia="Times New Roman"/>
          <w:sz w:val="28"/>
          <w:szCs w:val="28"/>
          <w:lang w:val="kk-KZ" w:eastAsia="ru-RU"/>
        </w:rPr>
      </w:pPr>
      <w:r w:rsidRPr="00E93A18">
        <w:rPr>
          <w:rStyle w:val="s0"/>
          <w:rFonts w:eastAsia="Times New Roman"/>
          <w:sz w:val="28"/>
          <w:szCs w:val="28"/>
          <w:lang w:val="kk-KZ" w:eastAsia="ru-RU"/>
        </w:rPr>
        <w:t>тәуекелдер санаттары мен факторларын ескере отырып, клиенттерді сыныптау бойынша шаралар қабылдау тәртібі, сондай-ақ ұйым белгілейтін тәуекелдердің өзге де санаттары;</w:t>
      </w:r>
    </w:p>
    <w:p w:rsidR="00991227" w:rsidRPr="00E93A18" w:rsidRDefault="005D4233" w:rsidP="005D4233">
      <w:pPr>
        <w:pStyle w:val="ae"/>
        <w:numPr>
          <w:ilvl w:val="0"/>
          <w:numId w:val="5"/>
        </w:numPr>
        <w:tabs>
          <w:tab w:val="left" w:pos="421"/>
          <w:tab w:val="left" w:pos="993"/>
        </w:tabs>
        <w:overflowPunct w:val="0"/>
        <w:autoSpaceDE w:val="0"/>
        <w:autoSpaceDN w:val="0"/>
        <w:adjustRightInd w:val="0"/>
        <w:spacing w:after="0" w:line="240" w:lineRule="auto"/>
        <w:ind w:left="0" w:firstLine="709"/>
        <w:jc w:val="both"/>
        <w:rPr>
          <w:rStyle w:val="s0"/>
          <w:rFonts w:eastAsia="Times New Roman"/>
          <w:sz w:val="28"/>
          <w:szCs w:val="28"/>
          <w:lang w:val="kk-KZ" w:eastAsia="ru-RU"/>
        </w:rPr>
      </w:pPr>
      <w:r w:rsidRPr="00E93A18">
        <w:rPr>
          <w:rStyle w:val="s0"/>
          <w:rFonts w:eastAsia="Times New Roman"/>
          <w:sz w:val="28"/>
          <w:szCs w:val="28"/>
          <w:lang w:val="kk-KZ" w:eastAsia="ru-RU"/>
        </w:rPr>
        <w:t xml:space="preserve">берудің жаңа тетіктерін қоса алғанда, жаңа өнімдер мен жаңа іскерлік тәжірибені әзірлеу, сондай-ақ </w:t>
      </w:r>
      <w:r w:rsidR="00173D5A" w:rsidRPr="00E93A18">
        <w:rPr>
          <w:rStyle w:val="s0"/>
          <w:rFonts w:eastAsia="Times New Roman"/>
          <w:sz w:val="28"/>
          <w:szCs w:val="28"/>
          <w:lang w:val="kk-KZ" w:eastAsia="ru-RU"/>
        </w:rPr>
        <w:t>жаңа</w:t>
      </w:r>
      <w:r w:rsidR="00173D5A">
        <w:rPr>
          <w:rStyle w:val="s0"/>
          <w:rFonts w:eastAsia="Times New Roman"/>
          <w:sz w:val="28"/>
          <w:szCs w:val="28"/>
          <w:lang w:val="kk-KZ" w:eastAsia="ru-RU"/>
        </w:rPr>
        <w:t xml:space="preserve">, сол сияқты </w:t>
      </w:r>
      <w:r w:rsidR="00173D5A" w:rsidRPr="00E93A18">
        <w:rPr>
          <w:rStyle w:val="s0"/>
          <w:rFonts w:eastAsia="Times New Roman"/>
          <w:sz w:val="28"/>
          <w:szCs w:val="28"/>
          <w:lang w:val="kk-KZ" w:eastAsia="ru-RU"/>
        </w:rPr>
        <w:t xml:space="preserve">бұрыннан бар өнімдер үшін </w:t>
      </w:r>
      <w:r w:rsidRPr="00E93A18">
        <w:rPr>
          <w:rStyle w:val="s0"/>
          <w:rFonts w:eastAsia="Times New Roman"/>
          <w:sz w:val="28"/>
          <w:szCs w:val="28"/>
          <w:lang w:val="kk-KZ" w:eastAsia="ru-RU"/>
        </w:rPr>
        <w:t xml:space="preserve">жаңа немесе дамып келе жатқан технологияларды пайдалану </w:t>
      </w:r>
      <w:r w:rsidR="00173D5A" w:rsidRPr="00E93A18">
        <w:rPr>
          <w:rStyle w:val="s0"/>
          <w:rFonts w:eastAsia="Times New Roman"/>
          <w:sz w:val="28"/>
          <w:szCs w:val="28"/>
          <w:lang w:val="kk-KZ" w:eastAsia="ru-RU"/>
        </w:rPr>
        <w:t xml:space="preserve">кезінде туындайтын </w:t>
      </w:r>
      <w:r w:rsidRPr="00E93A18">
        <w:rPr>
          <w:rStyle w:val="s0"/>
          <w:rFonts w:eastAsia="Times New Roman"/>
          <w:sz w:val="28"/>
          <w:szCs w:val="28"/>
          <w:lang w:val="kk-KZ" w:eastAsia="ru-RU"/>
        </w:rPr>
        <w:t>КЖ/ТҚ заңдастыру тәуекелдерін анықтау және бағалау тәртібі.</w:t>
      </w:r>
    </w:p>
    <w:p w:rsidR="00CA7512" w:rsidRPr="00E93A18" w:rsidRDefault="001F2BBE" w:rsidP="005D4233">
      <w:pPr>
        <w:ind w:firstLine="709"/>
        <w:jc w:val="both"/>
        <w:rPr>
          <w:rStyle w:val="s0"/>
          <w:sz w:val="28"/>
          <w:szCs w:val="28"/>
          <w:lang w:val="kk-KZ"/>
        </w:rPr>
      </w:pPr>
      <w:r w:rsidRPr="00E93A18">
        <w:rPr>
          <w:rStyle w:val="s0"/>
          <w:sz w:val="28"/>
          <w:szCs w:val="28"/>
          <w:lang w:val="kk-KZ"/>
        </w:rPr>
        <w:t xml:space="preserve">14. </w:t>
      </w:r>
      <w:r w:rsidR="005D4233" w:rsidRPr="00E93A18">
        <w:rPr>
          <w:rStyle w:val="s0"/>
          <w:sz w:val="28"/>
          <w:szCs w:val="28"/>
          <w:lang w:val="kk-KZ"/>
        </w:rPr>
        <w:t xml:space="preserve">Жыл сайынғы бағалау қорытындылары (нәтижелері) төлем ұйымының ішкі құжаттарына және рәсімдеріне сәйкес құжатталады, сондай-ақ </w:t>
      </w:r>
      <w:r w:rsidR="00CE0990">
        <w:rPr>
          <w:rStyle w:val="s0"/>
          <w:sz w:val="28"/>
          <w:szCs w:val="28"/>
          <w:lang w:val="kk-KZ"/>
        </w:rPr>
        <w:t xml:space="preserve">бұл туралы </w:t>
      </w:r>
      <w:r w:rsidR="00CE0990" w:rsidRPr="00E93A18">
        <w:rPr>
          <w:rStyle w:val="s0"/>
          <w:sz w:val="28"/>
          <w:szCs w:val="28"/>
          <w:lang w:val="kk-KZ"/>
        </w:rPr>
        <w:t>қаржы</w:t>
      </w:r>
      <w:r w:rsidR="00CE0990">
        <w:rPr>
          <w:rStyle w:val="s0"/>
          <w:sz w:val="28"/>
          <w:szCs w:val="28"/>
          <w:lang w:val="kk-KZ"/>
        </w:rPr>
        <w:t>лық</w:t>
      </w:r>
      <w:r w:rsidR="00CE0990" w:rsidRPr="00E93A18">
        <w:rPr>
          <w:rStyle w:val="s0"/>
          <w:sz w:val="28"/>
          <w:szCs w:val="28"/>
          <w:lang w:val="kk-KZ"/>
        </w:rPr>
        <w:t xml:space="preserve"> мониторинг жөніндегі уәкілетті органға және </w:t>
      </w:r>
      <w:r w:rsidR="005D4233" w:rsidRPr="00E93A18">
        <w:rPr>
          <w:rStyle w:val="s0"/>
          <w:sz w:val="28"/>
          <w:szCs w:val="28"/>
          <w:lang w:val="kk-KZ"/>
        </w:rPr>
        <w:t>уәкілетті органға күнтізбелік жылдан кейінгі бірінші тоқсаннан</w:t>
      </w:r>
      <w:r w:rsidR="00CE0990">
        <w:rPr>
          <w:rStyle w:val="s0"/>
          <w:sz w:val="28"/>
          <w:szCs w:val="28"/>
          <w:lang w:val="kk-KZ"/>
        </w:rPr>
        <w:t xml:space="preserve"> </w:t>
      </w:r>
      <w:r w:rsidR="005D4233" w:rsidRPr="00E93A18">
        <w:rPr>
          <w:rStyle w:val="s0"/>
          <w:sz w:val="28"/>
          <w:szCs w:val="28"/>
          <w:lang w:val="kk-KZ"/>
        </w:rPr>
        <w:t>кешіктірілмей хабардар етіледі</w:t>
      </w:r>
      <w:r w:rsidR="00CA7512" w:rsidRPr="00E93A18">
        <w:rPr>
          <w:rStyle w:val="s0"/>
          <w:sz w:val="28"/>
          <w:szCs w:val="28"/>
          <w:lang w:val="kk-KZ"/>
        </w:rPr>
        <w:t>.»;</w:t>
      </w:r>
    </w:p>
    <w:p w:rsidR="00CA7512" w:rsidRPr="00E93A18" w:rsidRDefault="005D4233" w:rsidP="005D4233">
      <w:pPr>
        <w:ind w:firstLine="708"/>
        <w:jc w:val="both"/>
        <w:rPr>
          <w:rStyle w:val="s0"/>
          <w:sz w:val="28"/>
          <w:szCs w:val="28"/>
          <w:lang w:val="kk-KZ"/>
        </w:rPr>
      </w:pPr>
      <w:r w:rsidRPr="00E93A18">
        <w:rPr>
          <w:rStyle w:val="s0"/>
          <w:sz w:val="28"/>
          <w:szCs w:val="28"/>
          <w:lang w:val="kk-KZ"/>
        </w:rPr>
        <w:lastRenderedPageBreak/>
        <w:t>20-тармақ мынадай редакцияда жазылсын</w:t>
      </w:r>
      <w:r w:rsidR="00CA7512" w:rsidRPr="00E93A18">
        <w:rPr>
          <w:rStyle w:val="s0"/>
          <w:sz w:val="28"/>
          <w:szCs w:val="28"/>
          <w:lang w:val="kk-KZ"/>
        </w:rPr>
        <w:t>:</w:t>
      </w:r>
    </w:p>
    <w:p w:rsidR="005D4233" w:rsidRPr="00E93A18" w:rsidRDefault="00CA7512" w:rsidP="005D4233">
      <w:pPr>
        <w:ind w:firstLine="708"/>
        <w:jc w:val="both"/>
        <w:rPr>
          <w:rStyle w:val="s0"/>
          <w:sz w:val="28"/>
          <w:szCs w:val="28"/>
          <w:lang w:val="kk-KZ"/>
        </w:rPr>
      </w:pPr>
      <w:r w:rsidRPr="00E93A18">
        <w:rPr>
          <w:rStyle w:val="s0"/>
          <w:sz w:val="28"/>
          <w:szCs w:val="28"/>
          <w:lang w:val="kk-KZ"/>
        </w:rPr>
        <w:t xml:space="preserve">«20. </w:t>
      </w:r>
      <w:r w:rsidR="005D4233" w:rsidRPr="00E93A18">
        <w:rPr>
          <w:rStyle w:val="s0"/>
          <w:sz w:val="28"/>
          <w:szCs w:val="28"/>
          <w:lang w:val="kk-KZ"/>
        </w:rPr>
        <w:t xml:space="preserve">Ұйым КЖ/ТҚҚ туралы заңның клиентті тиісінше тексеру бойынша талаптарын іске асыру </w:t>
      </w:r>
      <w:r w:rsidR="003C03FE" w:rsidRPr="00E93A18">
        <w:rPr>
          <w:rStyle w:val="s0"/>
          <w:sz w:val="28"/>
          <w:szCs w:val="28"/>
          <w:lang w:val="kk-KZ"/>
        </w:rPr>
        <w:t>мақсатында клиенттерді</w:t>
      </w:r>
      <w:r w:rsidR="003C03FE">
        <w:rPr>
          <w:rStyle w:val="s0"/>
          <w:sz w:val="28"/>
          <w:szCs w:val="28"/>
          <w:lang w:val="kk-KZ"/>
        </w:rPr>
        <w:t xml:space="preserve"> </w:t>
      </w:r>
      <w:r w:rsidR="005D4233" w:rsidRPr="00E93A18">
        <w:rPr>
          <w:rStyle w:val="s0"/>
          <w:sz w:val="28"/>
          <w:szCs w:val="28"/>
          <w:lang w:val="kk-KZ"/>
        </w:rPr>
        <w:t>(олардың өкілдерін) және бенефициарлық меншік иелерін сәйкестендіру бағдарламасын әзірлейді.</w:t>
      </w:r>
    </w:p>
    <w:p w:rsidR="005D4233" w:rsidRPr="00E93A18" w:rsidRDefault="005D4233" w:rsidP="005D4233">
      <w:pPr>
        <w:ind w:firstLine="708"/>
        <w:jc w:val="both"/>
        <w:rPr>
          <w:rStyle w:val="s0"/>
          <w:sz w:val="28"/>
          <w:szCs w:val="28"/>
          <w:lang w:val="kk-KZ"/>
        </w:rPr>
      </w:pPr>
      <w:r w:rsidRPr="00E93A18">
        <w:rPr>
          <w:rStyle w:val="s0"/>
          <w:sz w:val="28"/>
          <w:szCs w:val="28"/>
          <w:lang w:val="kk-KZ"/>
        </w:rPr>
        <w:t xml:space="preserve">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w:t>
      </w:r>
      <w:r w:rsidR="00BC421F" w:rsidRPr="00E93A18">
        <w:rPr>
          <w:rStyle w:val="s0"/>
          <w:sz w:val="28"/>
          <w:szCs w:val="28"/>
          <w:lang w:val="kk-KZ"/>
        </w:rPr>
        <w:t xml:space="preserve">клиент (оның өкілі) және бенефициарлық меншік иесі туралы </w:t>
      </w:r>
      <w:r w:rsidRPr="00E93A18">
        <w:rPr>
          <w:rStyle w:val="s0"/>
          <w:sz w:val="28"/>
          <w:szCs w:val="28"/>
          <w:lang w:val="kk-KZ"/>
        </w:rPr>
        <w:t>Талаптарда көзделген өзге де мәліметтерді алу және тіркеу бойынша</w:t>
      </w:r>
      <w:r w:rsidR="00BC421F">
        <w:rPr>
          <w:rStyle w:val="s0"/>
          <w:sz w:val="28"/>
          <w:szCs w:val="28"/>
          <w:lang w:val="kk-KZ"/>
        </w:rPr>
        <w:t xml:space="preserve"> </w:t>
      </w:r>
      <w:r w:rsidRPr="00E93A18">
        <w:rPr>
          <w:rStyle w:val="s0"/>
          <w:sz w:val="28"/>
          <w:szCs w:val="28"/>
          <w:lang w:val="kk-KZ"/>
        </w:rPr>
        <w:t>іс-шараларды жүргізуі клиентті (оның өкілін) және бенефициарлық меншік иесін сәйкестендіру болып табылады.</w:t>
      </w:r>
    </w:p>
    <w:p w:rsidR="005D4233" w:rsidRPr="00E93A18" w:rsidRDefault="005D4233" w:rsidP="005D4233">
      <w:pPr>
        <w:ind w:firstLine="708"/>
        <w:jc w:val="both"/>
        <w:rPr>
          <w:rStyle w:val="s0"/>
          <w:sz w:val="28"/>
          <w:szCs w:val="28"/>
          <w:lang w:val="kk-KZ"/>
        </w:rPr>
      </w:pPr>
      <w:r w:rsidRPr="00E93A18">
        <w:rPr>
          <w:rStyle w:val="s0"/>
          <w:sz w:val="28"/>
          <w:szCs w:val="28"/>
          <w:lang w:val="kk-KZ"/>
        </w:rPr>
        <w:t xml:space="preserve">Клиенттің тәуекел деңгейіне қарай ұйым жүргізетін іс-шаралар дәрежесі КЖ/ТҚҚ туралы заңның 5-бабының 7-тармағына сәйкес клиенттерді (оның өкілдерін), бенефициарлық меншік иелерін стандартты, жеңілдетілген не тереңдетілген сәйкестендіруді жүргізу арқылы клиенттерді </w:t>
      </w:r>
      <w:r w:rsidR="00745DCF" w:rsidRPr="00745DCF">
        <w:rPr>
          <w:rStyle w:val="s0"/>
          <w:sz w:val="28"/>
          <w:szCs w:val="28"/>
          <w:lang w:val="kk-KZ"/>
        </w:rPr>
        <w:t>(олардың өкілдерін) және бенефициарлық</w:t>
      </w:r>
      <w:r w:rsidR="00745DCF" w:rsidRPr="00745DCF">
        <w:rPr>
          <w:rStyle w:val="s20"/>
          <w:sz w:val="28"/>
          <w:szCs w:val="28"/>
          <w:lang w:val="kk-KZ"/>
        </w:rPr>
        <w:t xml:space="preserve"> </w:t>
      </w:r>
      <w:r w:rsidR="00745DCF" w:rsidRPr="00745DCF">
        <w:rPr>
          <w:rStyle w:val="s0"/>
          <w:sz w:val="28"/>
          <w:szCs w:val="28"/>
          <w:lang w:val="kk-KZ"/>
        </w:rPr>
        <w:t>меншік иелерін</w:t>
      </w:r>
      <w:r w:rsidR="00745DCF" w:rsidRPr="00745DCF">
        <w:rPr>
          <w:rStyle w:val="s0"/>
          <w:sz w:val="24"/>
          <w:szCs w:val="24"/>
          <w:lang w:val="kk-KZ"/>
        </w:rPr>
        <w:t xml:space="preserve"> </w:t>
      </w:r>
      <w:r w:rsidRPr="00E93A18">
        <w:rPr>
          <w:rStyle w:val="s0"/>
          <w:sz w:val="28"/>
          <w:szCs w:val="28"/>
          <w:lang w:val="kk-KZ"/>
        </w:rPr>
        <w:t>тиісінше тексерудің жеңілдетілген не күшейтілген шараларын қолдануды білдіреді.</w:t>
      </w:r>
    </w:p>
    <w:p w:rsidR="00CA7512" w:rsidRPr="00E93A18" w:rsidRDefault="00811149" w:rsidP="005D4233">
      <w:pPr>
        <w:pStyle w:val="pj"/>
        <w:spacing w:before="0" w:beforeAutospacing="0" w:after="0" w:afterAutospacing="0"/>
        <w:ind w:firstLine="708"/>
        <w:jc w:val="both"/>
        <w:rPr>
          <w:rStyle w:val="s0"/>
          <w:sz w:val="28"/>
          <w:szCs w:val="28"/>
          <w:lang w:val="kk-KZ"/>
        </w:rPr>
      </w:pPr>
      <w:r>
        <w:rPr>
          <w:rStyle w:val="s0"/>
          <w:sz w:val="28"/>
          <w:szCs w:val="28"/>
          <w:lang w:val="kk-KZ"/>
        </w:rPr>
        <w:t>К</w:t>
      </w:r>
      <w:r w:rsidR="008C7DC6" w:rsidRPr="00E93A18">
        <w:rPr>
          <w:rStyle w:val="s0"/>
          <w:sz w:val="28"/>
          <w:szCs w:val="28"/>
          <w:lang w:val="kk-KZ"/>
        </w:rPr>
        <w:t>лиенттің бенефициарлық меншік иесінің жеке басын тексеру үшін тиісті (орынды) шаралар қабылдау</w:t>
      </w:r>
      <w:r w:rsidR="008C7DC6">
        <w:rPr>
          <w:rStyle w:val="s0"/>
          <w:sz w:val="28"/>
          <w:szCs w:val="28"/>
          <w:lang w:val="kk-KZ"/>
        </w:rPr>
        <w:t xml:space="preserve">, оның ішінде </w:t>
      </w:r>
      <w:r w:rsidR="008C7DC6" w:rsidRPr="00E93A18">
        <w:rPr>
          <w:rStyle w:val="s0"/>
          <w:sz w:val="28"/>
          <w:szCs w:val="28"/>
          <w:lang w:val="kk-KZ"/>
        </w:rPr>
        <w:t>клиенттен клиенттің түпкі бенефициар меншік иесі туралы қажетті қосымша мәліметтерді және (немесе) құжаттарды сұрат</w:t>
      </w:r>
      <w:r w:rsidR="008C7DC6">
        <w:rPr>
          <w:rStyle w:val="s0"/>
          <w:sz w:val="28"/>
          <w:szCs w:val="28"/>
          <w:lang w:val="kk-KZ"/>
        </w:rPr>
        <w:t xml:space="preserve">у </w:t>
      </w:r>
      <w:r>
        <w:rPr>
          <w:rStyle w:val="s0"/>
          <w:sz w:val="28"/>
          <w:szCs w:val="28"/>
          <w:lang w:val="kk-KZ"/>
        </w:rPr>
        <w:t>б</w:t>
      </w:r>
      <w:r w:rsidRPr="00E93A18">
        <w:rPr>
          <w:rStyle w:val="s0"/>
          <w:sz w:val="28"/>
          <w:szCs w:val="28"/>
          <w:lang w:val="kk-KZ"/>
        </w:rPr>
        <w:t xml:space="preserve">енефициарлық меншік иесін сәйкестендіру </w:t>
      </w:r>
      <w:r w:rsidR="008C7DC6">
        <w:rPr>
          <w:rStyle w:val="s0"/>
          <w:sz w:val="28"/>
          <w:szCs w:val="28"/>
          <w:lang w:val="kk-KZ"/>
        </w:rPr>
        <w:t>арқылы жүзеге асырылады</w:t>
      </w:r>
      <w:r w:rsidR="00CA7512" w:rsidRPr="00E93A18">
        <w:rPr>
          <w:rStyle w:val="s0"/>
          <w:sz w:val="28"/>
          <w:szCs w:val="28"/>
          <w:lang w:val="kk-KZ"/>
        </w:rPr>
        <w:t>.»;</w:t>
      </w:r>
    </w:p>
    <w:p w:rsidR="00CA7512" w:rsidRPr="00E93A18" w:rsidRDefault="005D4233" w:rsidP="005D4233">
      <w:pPr>
        <w:ind w:firstLine="708"/>
        <w:jc w:val="both"/>
        <w:rPr>
          <w:rStyle w:val="s0"/>
          <w:sz w:val="28"/>
          <w:szCs w:val="28"/>
          <w:lang w:val="kk-KZ"/>
        </w:rPr>
      </w:pPr>
      <w:r w:rsidRPr="00E93A18">
        <w:rPr>
          <w:rStyle w:val="s0"/>
          <w:sz w:val="28"/>
          <w:szCs w:val="28"/>
          <w:lang w:val="kk-KZ"/>
        </w:rPr>
        <w:t>23-тармақ мынадай редакцияда жазылсын</w:t>
      </w:r>
      <w:r w:rsidR="00CA7512" w:rsidRPr="00E93A18">
        <w:rPr>
          <w:rStyle w:val="s0"/>
          <w:sz w:val="28"/>
          <w:szCs w:val="28"/>
          <w:lang w:val="kk-KZ"/>
        </w:rPr>
        <w:t>:</w:t>
      </w:r>
    </w:p>
    <w:p w:rsidR="005D4233" w:rsidRPr="00E93A18" w:rsidRDefault="00CA7512" w:rsidP="005D4233">
      <w:pPr>
        <w:pStyle w:val="pj"/>
        <w:spacing w:before="0" w:beforeAutospacing="0" w:after="0" w:afterAutospacing="0"/>
        <w:ind w:firstLine="708"/>
        <w:jc w:val="both"/>
        <w:rPr>
          <w:rStyle w:val="s0"/>
          <w:sz w:val="28"/>
          <w:szCs w:val="28"/>
          <w:lang w:val="kk-KZ"/>
        </w:rPr>
      </w:pPr>
      <w:r w:rsidRPr="00E93A18">
        <w:rPr>
          <w:rStyle w:val="s0"/>
          <w:sz w:val="28"/>
          <w:szCs w:val="28"/>
          <w:lang w:val="kk-KZ"/>
        </w:rPr>
        <w:t xml:space="preserve">«23. </w:t>
      </w:r>
      <w:r w:rsidR="00342A3C">
        <w:rPr>
          <w:rStyle w:val="s0"/>
          <w:sz w:val="28"/>
          <w:szCs w:val="28"/>
          <w:lang w:val="kk-KZ"/>
        </w:rPr>
        <w:t>Ұ</w:t>
      </w:r>
      <w:r w:rsidR="00342A3C" w:rsidRPr="00E93A18">
        <w:rPr>
          <w:rStyle w:val="s0"/>
          <w:sz w:val="28"/>
          <w:szCs w:val="28"/>
          <w:lang w:val="kk-KZ"/>
        </w:rPr>
        <w:t xml:space="preserve">йым </w:t>
      </w:r>
      <w:r w:rsidR="00342A3C">
        <w:rPr>
          <w:rStyle w:val="s0"/>
          <w:sz w:val="28"/>
          <w:szCs w:val="28"/>
          <w:lang w:val="kk-KZ"/>
        </w:rPr>
        <w:t>ж</w:t>
      </w:r>
      <w:r w:rsidR="005D4233" w:rsidRPr="00E93A18">
        <w:rPr>
          <w:rStyle w:val="s0"/>
          <w:sz w:val="28"/>
          <w:szCs w:val="28"/>
          <w:lang w:val="kk-KZ"/>
        </w:rPr>
        <w:t>еңілдетілген сәйкестендіруді:</w:t>
      </w:r>
    </w:p>
    <w:p w:rsidR="005D4233" w:rsidRPr="00E93A18" w:rsidRDefault="005D4233" w:rsidP="00AB48B7">
      <w:pPr>
        <w:pStyle w:val="pj"/>
        <w:tabs>
          <w:tab w:val="left" w:pos="993"/>
        </w:tabs>
        <w:spacing w:before="0" w:beforeAutospacing="0" w:after="0" w:afterAutospacing="0"/>
        <w:ind w:firstLine="708"/>
        <w:jc w:val="both"/>
        <w:rPr>
          <w:rStyle w:val="s0"/>
          <w:sz w:val="28"/>
          <w:szCs w:val="28"/>
          <w:lang w:val="kk-KZ"/>
        </w:rPr>
      </w:pPr>
      <w:r w:rsidRPr="00E93A18">
        <w:rPr>
          <w:rStyle w:val="s0"/>
          <w:sz w:val="28"/>
          <w:szCs w:val="28"/>
          <w:lang w:val="kk-KZ"/>
        </w:rPr>
        <w:t xml:space="preserve">1) екінші деңгейдегі банктермен, сақтандыру (қайта сақтандыру) ұйымдарымен, </w:t>
      </w:r>
      <w:r w:rsidR="0081022A" w:rsidRPr="00E93A18">
        <w:rPr>
          <w:rStyle w:val="s0"/>
          <w:sz w:val="28"/>
          <w:szCs w:val="28"/>
          <w:lang w:val="kk-KZ"/>
        </w:rPr>
        <w:t>Қазақстан Республикасының резиденттері</w:t>
      </w:r>
      <w:r w:rsidR="0081022A">
        <w:rPr>
          <w:rStyle w:val="s0"/>
          <w:sz w:val="28"/>
          <w:szCs w:val="28"/>
          <w:lang w:val="kk-KZ"/>
        </w:rPr>
        <w:t xml:space="preserve"> </w:t>
      </w:r>
      <w:r w:rsidR="0081022A" w:rsidRPr="00E93A18">
        <w:rPr>
          <w:rStyle w:val="s0"/>
          <w:sz w:val="28"/>
          <w:szCs w:val="28"/>
          <w:lang w:val="kk-KZ"/>
        </w:rPr>
        <w:t>–</w:t>
      </w:r>
      <w:r w:rsidR="0081022A">
        <w:rPr>
          <w:rStyle w:val="s0"/>
          <w:sz w:val="28"/>
          <w:szCs w:val="28"/>
          <w:lang w:val="kk-KZ"/>
        </w:rPr>
        <w:t xml:space="preserve"> </w:t>
      </w:r>
      <w:r w:rsidRPr="00E93A18">
        <w:rPr>
          <w:rStyle w:val="s0"/>
          <w:sz w:val="28"/>
          <w:szCs w:val="28"/>
          <w:lang w:val="kk-KZ"/>
        </w:rPr>
        <w:t>бағалы қағаздар нарығының кәсіби қатысушыларымен іскерлік қарым-қатынастар орнату;</w:t>
      </w:r>
    </w:p>
    <w:p w:rsidR="005D4233" w:rsidRPr="00E93A18" w:rsidRDefault="005D4233" w:rsidP="005D4233">
      <w:pPr>
        <w:pStyle w:val="pj"/>
        <w:spacing w:before="0" w:beforeAutospacing="0" w:after="0" w:afterAutospacing="0"/>
        <w:ind w:firstLine="708"/>
        <w:jc w:val="both"/>
        <w:rPr>
          <w:rStyle w:val="s0"/>
          <w:sz w:val="28"/>
          <w:szCs w:val="28"/>
          <w:lang w:val="kk-KZ"/>
        </w:rPr>
      </w:pPr>
      <w:r w:rsidRPr="00E93A18">
        <w:rPr>
          <w:rStyle w:val="s0"/>
          <w:sz w:val="28"/>
          <w:szCs w:val="28"/>
          <w:lang w:val="kk-KZ"/>
        </w:rPr>
        <w:t>2) клиентке КЖ/ТҚ тәуекелінің төмен</w:t>
      </w:r>
      <w:r w:rsidR="00FF6523">
        <w:rPr>
          <w:rStyle w:val="s0"/>
          <w:sz w:val="28"/>
          <w:szCs w:val="28"/>
          <w:lang w:val="kk-KZ"/>
        </w:rPr>
        <w:t>детілген</w:t>
      </w:r>
      <w:r w:rsidRPr="00E93A18">
        <w:rPr>
          <w:rStyle w:val="s0"/>
          <w:sz w:val="28"/>
          <w:szCs w:val="28"/>
          <w:lang w:val="kk-KZ"/>
        </w:rPr>
        <w:t xml:space="preserve"> деңгейі</w:t>
      </w:r>
      <w:r w:rsidR="00FF6523">
        <w:rPr>
          <w:rStyle w:val="s0"/>
          <w:sz w:val="28"/>
          <w:szCs w:val="28"/>
          <w:lang w:val="kk-KZ"/>
        </w:rPr>
        <w:t>н беру</w:t>
      </w:r>
      <w:r w:rsidRPr="00E93A18">
        <w:rPr>
          <w:rStyle w:val="s0"/>
          <w:sz w:val="28"/>
          <w:szCs w:val="28"/>
          <w:lang w:val="kk-KZ"/>
        </w:rPr>
        <w:t xml:space="preserve"> кезінде жү</w:t>
      </w:r>
      <w:r w:rsidR="00FF6523">
        <w:rPr>
          <w:rStyle w:val="s0"/>
          <w:sz w:val="28"/>
          <w:szCs w:val="28"/>
          <w:lang w:val="kk-KZ"/>
        </w:rPr>
        <w:t>ргізеді</w:t>
      </w:r>
      <w:r w:rsidRPr="00E93A18">
        <w:rPr>
          <w:rStyle w:val="s0"/>
          <w:sz w:val="28"/>
          <w:szCs w:val="28"/>
          <w:lang w:val="kk-KZ"/>
        </w:rPr>
        <w:t>.</w:t>
      </w:r>
    </w:p>
    <w:p w:rsidR="00CA7512" w:rsidRPr="00E93A18" w:rsidRDefault="005D4233" w:rsidP="005D4233">
      <w:pPr>
        <w:pStyle w:val="pj"/>
        <w:spacing w:before="0" w:beforeAutospacing="0" w:after="0" w:afterAutospacing="0"/>
        <w:ind w:firstLine="708"/>
        <w:jc w:val="both"/>
        <w:rPr>
          <w:rStyle w:val="s0"/>
          <w:sz w:val="28"/>
          <w:szCs w:val="28"/>
          <w:lang w:val="kk-KZ"/>
        </w:rPr>
      </w:pPr>
      <w:r w:rsidRPr="00E93A18">
        <w:rPr>
          <w:rStyle w:val="s0"/>
          <w:sz w:val="28"/>
          <w:szCs w:val="28"/>
          <w:lang w:val="kk-KZ"/>
        </w:rPr>
        <w:t>КЖ/ТҚ жоғары тәуекеліне күдік болған кезде ұйым оңайлатылған сәйкестендіруді қолданбайды</w:t>
      </w:r>
      <w:r w:rsidR="00CA7512" w:rsidRPr="00E93A18">
        <w:rPr>
          <w:rStyle w:val="s0"/>
          <w:sz w:val="28"/>
          <w:szCs w:val="28"/>
          <w:lang w:val="kk-KZ"/>
        </w:rPr>
        <w:t>.»;</w:t>
      </w:r>
    </w:p>
    <w:p w:rsidR="00745DCF" w:rsidRDefault="00745DCF" w:rsidP="005D4233">
      <w:pPr>
        <w:widowControl w:val="0"/>
        <w:tabs>
          <w:tab w:val="left" w:pos="1134"/>
        </w:tabs>
        <w:ind w:firstLine="708"/>
        <w:jc w:val="both"/>
        <w:rPr>
          <w:rStyle w:val="s0"/>
          <w:sz w:val="28"/>
          <w:szCs w:val="28"/>
          <w:lang w:val="kk-KZ"/>
        </w:rPr>
      </w:pPr>
      <w:r w:rsidRPr="00E93A18">
        <w:rPr>
          <w:rStyle w:val="s0"/>
          <w:sz w:val="28"/>
          <w:szCs w:val="28"/>
          <w:lang w:val="kk-KZ"/>
        </w:rPr>
        <w:t>2</w:t>
      </w:r>
      <w:r>
        <w:rPr>
          <w:rStyle w:val="s0"/>
          <w:sz w:val="28"/>
          <w:szCs w:val="28"/>
          <w:lang w:val="kk-KZ"/>
        </w:rPr>
        <w:t>7</w:t>
      </w:r>
      <w:r w:rsidRPr="00E93A18">
        <w:rPr>
          <w:rStyle w:val="s0"/>
          <w:sz w:val="28"/>
          <w:szCs w:val="28"/>
          <w:lang w:val="kk-KZ"/>
        </w:rPr>
        <w:t>-тармақ мынадай редакцияда жазылсын:</w:t>
      </w:r>
    </w:p>
    <w:p w:rsidR="00FD2442" w:rsidRPr="00FD2442" w:rsidRDefault="00160F01" w:rsidP="00FD2442">
      <w:pPr>
        <w:pStyle w:val="pj"/>
        <w:spacing w:before="0" w:beforeAutospacing="0" w:after="0" w:afterAutospacing="0"/>
        <w:ind w:firstLine="709"/>
        <w:jc w:val="both"/>
        <w:rPr>
          <w:sz w:val="28"/>
          <w:szCs w:val="28"/>
          <w:lang w:val="kk-KZ"/>
        </w:rPr>
      </w:pPr>
      <w:r>
        <w:rPr>
          <w:sz w:val="28"/>
          <w:szCs w:val="28"/>
          <w:lang w:val="kk-KZ"/>
        </w:rPr>
        <w:t>«</w:t>
      </w:r>
      <w:r w:rsidR="00FD2442" w:rsidRPr="00FD2442">
        <w:rPr>
          <w:sz w:val="28"/>
          <w:szCs w:val="28"/>
          <w:lang w:val="kk-KZ"/>
        </w:rPr>
        <w:t>Клиентті (оның өкілін) және бенефициарлық меншік иесін сәйкестендіру бағдарламасы:</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 xml:space="preserve">3) қызмет көрсетудегі немесе қызмет көрсетуге қабылданатын жеке тұлғалар арасында жария лауазымды тұлғаларды анықтауға </w:t>
      </w:r>
      <w:r w:rsidRPr="00160F01">
        <w:rPr>
          <w:sz w:val="28"/>
          <w:szCs w:val="28"/>
          <w:lang w:val="kk-KZ"/>
        </w:rPr>
        <w:t xml:space="preserve">және осындай </w:t>
      </w:r>
      <w:r w:rsidRPr="00160F01">
        <w:rPr>
          <w:sz w:val="28"/>
          <w:szCs w:val="28"/>
          <w:lang w:val="kk-KZ"/>
        </w:rPr>
        <w:lastRenderedPageBreak/>
        <w:t>клиенттерді қызмет көрсетуге қабылдауға  (ұйымның лауазымды тұлғаларының жазбаша рұқсатымен)</w:t>
      </w:r>
      <w:r w:rsidRPr="00FD2442">
        <w:rPr>
          <w:b/>
          <w:sz w:val="28"/>
          <w:szCs w:val="28"/>
          <w:lang w:val="kk-KZ"/>
        </w:rPr>
        <w:t xml:space="preserve"> </w:t>
      </w:r>
      <w:r w:rsidRPr="00FD2442">
        <w:rPr>
          <w:sz w:val="28"/>
          <w:szCs w:val="28"/>
          <w:lang w:val="kk-KZ"/>
        </w:rPr>
        <w:t xml:space="preserve">бағытталған шаралардың сипаттамасын; </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4) клиентті (оның өкілін) және бенефициарлық меншік иесін ТҚ тізбесінде және ЖҚҚТҚ тізбесінде бар-жоғын тексеру рәсімі;</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5) іскерлік қатынастарды қашықтықтан орнату кезіндегі сәйкестендіру ерекшеліктерін (клиенттің немесе оның өкілінің жеке қатысуынсыз);</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 бойынша талаптарды орындау шеңберінде алмасу ерекшеліктерін (болған жағдайда);</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8) клиент (оның өкілі) және бенефициарлық меншік иесі туралы мәліметтердің дұрыстығын тексеру рәсімін;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10) сәйкестендіру жүргізу кезінде алынған ақпаратқа ұйым қызметкерлерінің қол жеткізуін қамтамасыз ету рәсімін;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11) клиенттің тәуекел деңгейін бағалау рәсімін, осындай тәуекелді бағалау негіздерін;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w:t>
      </w:r>
    </w:p>
    <w:p w:rsidR="00FD2442" w:rsidRPr="00FD2442" w:rsidRDefault="00FD2442" w:rsidP="00FD2442">
      <w:pPr>
        <w:pStyle w:val="pj"/>
        <w:spacing w:before="0" w:beforeAutospacing="0" w:after="0" w:afterAutospacing="0"/>
        <w:ind w:firstLine="709"/>
        <w:jc w:val="both"/>
        <w:rPr>
          <w:sz w:val="28"/>
          <w:szCs w:val="28"/>
          <w:lang w:val="kk-KZ"/>
        </w:rPr>
      </w:pPr>
      <w:r w:rsidRPr="00FD2442">
        <w:rPr>
          <w:sz w:val="28"/>
          <w:szCs w:val="28"/>
          <w:lang w:val="kk-KZ"/>
        </w:rPr>
        <w:t>13) ұйым бағдарламаға енгізген клиентті (оның өкілін) және бенефициарлық меншік иесін сәйкестендіру бойынша қосымша шараларды (бар болса) қамтиды.</w:t>
      </w:r>
    </w:p>
    <w:p w:rsidR="00FD2442" w:rsidRPr="00FD2442" w:rsidRDefault="00FD2442" w:rsidP="00FD2442">
      <w:pPr>
        <w:ind w:firstLine="709"/>
        <w:jc w:val="both"/>
        <w:rPr>
          <w:color w:val="000000"/>
          <w:sz w:val="28"/>
          <w:szCs w:val="28"/>
          <w:lang w:val="kk-KZ"/>
        </w:rPr>
      </w:pPr>
      <w:r w:rsidRPr="00FD2442">
        <w:rPr>
          <w:color w:val="000000"/>
          <w:sz w:val="28"/>
          <w:szCs w:val="28"/>
          <w:lang w:val="kk-KZ"/>
        </w:rPr>
        <w:t>Егер ұйым шарт негізінде КЖ/ТҚҚ туралы заңға сәйкес өзге тұлғаға ұйымның клиенттеріне қатысты КЖ/ТҚҚ туралы заңның 5-бабы 3-тармағының 1), 2), 2-1) және 4) тармақшаларында көзделген шараларды қолдануды тапсырса, ұйым осындай тұлғалармен өзара іс-қимыл жасау қағидаларын әзірлейді, олар:</w:t>
      </w:r>
    </w:p>
    <w:p w:rsidR="00FD2442" w:rsidRPr="0028360D" w:rsidRDefault="00FD2442" w:rsidP="00FD2442">
      <w:pPr>
        <w:ind w:firstLine="709"/>
        <w:jc w:val="both"/>
        <w:rPr>
          <w:color w:val="000000"/>
          <w:sz w:val="28"/>
          <w:szCs w:val="28"/>
          <w:highlight w:val="yellow"/>
          <w:lang w:val="kk-KZ"/>
        </w:rPr>
      </w:pPr>
      <w:r w:rsidRPr="0028360D">
        <w:rPr>
          <w:color w:val="000000"/>
          <w:sz w:val="28"/>
          <w:szCs w:val="28"/>
          <w:lang w:val="kk-KZ"/>
        </w:rPr>
        <w:t>қылмыстық жолмен алынған кірістерді заңдастырудың (жылыстатудың) және терроризмді қаржыландырудың, сондай-ақ жаппай қырып-жою қаруын таратуды қаржыландырудың ықтимал (</w:t>
      </w:r>
      <w:r w:rsidR="0028360D">
        <w:rPr>
          <w:color w:val="000000"/>
          <w:sz w:val="28"/>
          <w:szCs w:val="28"/>
          <w:lang w:val="kk-KZ"/>
        </w:rPr>
        <w:t>әлеуетті</w:t>
      </w:r>
      <w:r w:rsidRPr="0028360D">
        <w:rPr>
          <w:color w:val="000000"/>
          <w:sz w:val="28"/>
          <w:szCs w:val="28"/>
          <w:lang w:val="kk-KZ"/>
        </w:rPr>
        <w:t>) тәуекелдерін анықтау рәсімі</w:t>
      </w:r>
      <w:r w:rsidR="0028360D">
        <w:rPr>
          <w:color w:val="000000"/>
          <w:sz w:val="28"/>
          <w:szCs w:val="28"/>
          <w:lang w:val="kk-KZ"/>
        </w:rPr>
        <w:t>н</w:t>
      </w:r>
      <w:r w:rsidRPr="0028360D">
        <w:rPr>
          <w:color w:val="000000"/>
          <w:sz w:val="28"/>
          <w:szCs w:val="28"/>
          <w:lang w:val="kk-KZ"/>
        </w:rPr>
        <w:t>;</w:t>
      </w:r>
    </w:p>
    <w:p w:rsidR="00FD2442" w:rsidRPr="00FD2442" w:rsidRDefault="00FD2442" w:rsidP="00FD2442">
      <w:pPr>
        <w:ind w:firstLine="709"/>
        <w:jc w:val="both"/>
        <w:rPr>
          <w:color w:val="000000"/>
          <w:sz w:val="28"/>
          <w:szCs w:val="28"/>
          <w:lang w:val="kk-KZ"/>
        </w:rPr>
      </w:pPr>
      <w:r w:rsidRPr="00FD2442">
        <w:rPr>
          <w:color w:val="000000"/>
          <w:sz w:val="28"/>
          <w:szCs w:val="28"/>
          <w:lang w:val="kk-KZ"/>
        </w:rPr>
        <w:t>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rsidR="00FD2442" w:rsidRPr="00FD2442" w:rsidRDefault="00FD2442" w:rsidP="00FD2442">
      <w:pPr>
        <w:ind w:firstLine="709"/>
        <w:jc w:val="both"/>
        <w:rPr>
          <w:color w:val="000000"/>
          <w:sz w:val="28"/>
          <w:szCs w:val="28"/>
          <w:lang w:val="kk-KZ"/>
        </w:rPr>
      </w:pPr>
      <w:r w:rsidRPr="00FD2442">
        <w:rPr>
          <w:color w:val="000000"/>
          <w:sz w:val="28"/>
          <w:szCs w:val="28"/>
          <w:lang w:val="kk-KZ"/>
        </w:rPr>
        <w:t>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rsidR="00FD2442" w:rsidRPr="00FD2442" w:rsidRDefault="00FD2442" w:rsidP="00FD2442">
      <w:pPr>
        <w:ind w:firstLine="709"/>
        <w:jc w:val="both"/>
        <w:rPr>
          <w:color w:val="000000"/>
          <w:sz w:val="28"/>
          <w:szCs w:val="28"/>
          <w:lang w:val="kk-KZ"/>
        </w:rPr>
      </w:pPr>
      <w:r w:rsidRPr="00FD2442">
        <w:rPr>
          <w:color w:val="000000"/>
          <w:sz w:val="28"/>
          <w:szCs w:val="28"/>
          <w:lang w:val="kk-KZ"/>
        </w:rPr>
        <w:lastRenderedPageBreak/>
        <w:t>сәйкестендіру жүргізу тапсырылған тұлғалардың сәйкестендіру жүргізу кезінде алынған мәліметтерді ұйымға беру рәсімін және мерзімдерін;</w:t>
      </w:r>
    </w:p>
    <w:p w:rsidR="00FD2442" w:rsidRPr="00FD2442" w:rsidRDefault="00FD2442" w:rsidP="00FD2442">
      <w:pPr>
        <w:ind w:firstLine="709"/>
        <w:jc w:val="both"/>
        <w:rPr>
          <w:color w:val="000000"/>
          <w:sz w:val="28"/>
          <w:szCs w:val="28"/>
          <w:lang w:val="kk-KZ"/>
        </w:rPr>
      </w:pPr>
      <w:r w:rsidRPr="00FD2442">
        <w:rPr>
          <w:color w:val="000000"/>
          <w:sz w:val="28"/>
          <w:szCs w:val="28"/>
          <w:lang w:val="kk-KZ"/>
        </w:rPr>
        <w:t>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rsidR="00FD2442" w:rsidRPr="00FD2442" w:rsidRDefault="00FD2442" w:rsidP="00FD2442">
      <w:pPr>
        <w:ind w:firstLine="709"/>
        <w:jc w:val="both"/>
        <w:rPr>
          <w:color w:val="000000"/>
          <w:sz w:val="28"/>
          <w:szCs w:val="28"/>
          <w:lang w:val="kk-KZ"/>
        </w:rPr>
      </w:pPr>
      <w:r w:rsidRPr="00FD2442">
        <w:rPr>
          <w:color w:val="000000"/>
          <w:sz w:val="28"/>
          <w:szCs w:val="28"/>
          <w:lang w:val="kk-KZ"/>
        </w:rPr>
        <w:t>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rsidR="00FD2442" w:rsidRPr="00FD2442" w:rsidRDefault="00FD2442" w:rsidP="00FD2442">
      <w:pPr>
        <w:ind w:firstLine="709"/>
        <w:jc w:val="both"/>
        <w:rPr>
          <w:color w:val="000000"/>
          <w:sz w:val="28"/>
          <w:szCs w:val="28"/>
          <w:lang w:val="kk-KZ"/>
        </w:rPr>
      </w:pPr>
      <w:r w:rsidRPr="00FD2442">
        <w:rPr>
          <w:color w:val="000000"/>
          <w:sz w:val="28"/>
          <w:szCs w:val="28"/>
          <w:lang w:val="kk-KZ"/>
        </w:rPr>
        <w:t>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rsidR="00FD2442" w:rsidRPr="00FD2442" w:rsidRDefault="00FD2442" w:rsidP="00FD2442">
      <w:pPr>
        <w:ind w:firstLine="709"/>
        <w:jc w:val="both"/>
        <w:rPr>
          <w:color w:val="000000"/>
          <w:sz w:val="28"/>
          <w:szCs w:val="28"/>
          <w:lang w:val="kk-KZ"/>
        </w:rPr>
      </w:pPr>
      <w:r w:rsidRPr="00FD2442">
        <w:rPr>
          <w:color w:val="000000"/>
          <w:sz w:val="28"/>
          <w:szCs w:val="28"/>
          <w:lang w:val="kk-KZ"/>
        </w:rPr>
        <w:t>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 қамтиды;</w:t>
      </w:r>
    </w:p>
    <w:p w:rsidR="00745DCF" w:rsidRPr="00FD2442" w:rsidRDefault="00FD2442" w:rsidP="00FD2442">
      <w:pPr>
        <w:widowControl w:val="0"/>
        <w:tabs>
          <w:tab w:val="left" w:pos="1134"/>
        </w:tabs>
        <w:ind w:firstLine="709"/>
        <w:jc w:val="both"/>
        <w:rPr>
          <w:rStyle w:val="s0"/>
          <w:sz w:val="28"/>
          <w:szCs w:val="28"/>
          <w:lang w:val="kk-KZ"/>
        </w:rPr>
      </w:pPr>
      <w:r w:rsidRPr="00FD2442">
        <w:rPr>
          <w:color w:val="000000"/>
          <w:sz w:val="28"/>
          <w:szCs w:val="28"/>
          <w:lang w:val="kk-KZ"/>
        </w:rPr>
        <w:t>ұйым өзара әрекет ету қағидаларына енгізген қосымша талаптарды (бар болса) қамтиды.</w:t>
      </w:r>
      <w:r w:rsidR="009501A6">
        <w:rPr>
          <w:color w:val="000000"/>
          <w:sz w:val="28"/>
          <w:szCs w:val="28"/>
          <w:lang w:val="kk-KZ"/>
        </w:rPr>
        <w:t>».</w:t>
      </w:r>
    </w:p>
    <w:p w:rsidR="00CA7512" w:rsidRPr="00E93A18" w:rsidRDefault="00AB48B7" w:rsidP="005D4233">
      <w:pPr>
        <w:widowControl w:val="0"/>
        <w:tabs>
          <w:tab w:val="left" w:pos="1134"/>
        </w:tabs>
        <w:ind w:firstLine="708"/>
        <w:jc w:val="both"/>
        <w:rPr>
          <w:rStyle w:val="s0"/>
          <w:sz w:val="28"/>
          <w:szCs w:val="28"/>
          <w:lang w:val="kk-KZ"/>
        </w:rPr>
      </w:pPr>
      <w:r w:rsidRPr="00E93A18">
        <w:rPr>
          <w:rStyle w:val="s0"/>
          <w:sz w:val="28"/>
          <w:szCs w:val="28"/>
          <w:lang w:val="kk-KZ"/>
        </w:rPr>
        <w:t>мынадай м</w:t>
      </w:r>
      <w:bookmarkStart w:id="0" w:name="_GoBack"/>
      <w:bookmarkEnd w:id="0"/>
      <w:r w:rsidRPr="00E93A18">
        <w:rPr>
          <w:rStyle w:val="s0"/>
          <w:sz w:val="28"/>
          <w:szCs w:val="28"/>
          <w:lang w:val="kk-KZ"/>
        </w:rPr>
        <w:t xml:space="preserve">азмұндағы 27-1-тармақпен толықтырылсын: </w:t>
      </w:r>
    </w:p>
    <w:p w:rsidR="00CA7512" w:rsidRPr="00E93A18" w:rsidRDefault="00AE63B0" w:rsidP="00AB48B7">
      <w:pPr>
        <w:widowControl w:val="0"/>
        <w:tabs>
          <w:tab w:val="left" w:pos="1134"/>
        </w:tabs>
        <w:ind w:firstLine="708"/>
        <w:jc w:val="both"/>
        <w:rPr>
          <w:rStyle w:val="s0"/>
          <w:sz w:val="28"/>
          <w:szCs w:val="28"/>
          <w:lang w:val="kk-KZ"/>
        </w:rPr>
      </w:pPr>
      <w:r w:rsidRPr="00E93A18">
        <w:rPr>
          <w:rStyle w:val="s0"/>
          <w:sz w:val="28"/>
          <w:szCs w:val="28"/>
          <w:lang w:val="kk-KZ"/>
        </w:rPr>
        <w:t xml:space="preserve">«27-1. </w:t>
      </w:r>
      <w:r w:rsidR="009C77A2">
        <w:rPr>
          <w:rStyle w:val="s0"/>
          <w:sz w:val="28"/>
          <w:szCs w:val="28"/>
          <w:lang w:val="kk-KZ"/>
        </w:rPr>
        <w:t>Ұ</w:t>
      </w:r>
      <w:r w:rsidR="009C77A2" w:rsidRPr="00E93A18">
        <w:rPr>
          <w:rStyle w:val="s0"/>
          <w:sz w:val="28"/>
          <w:szCs w:val="28"/>
          <w:lang w:val="kk-KZ"/>
        </w:rPr>
        <w:t xml:space="preserve">йым </w:t>
      </w:r>
      <w:r w:rsidR="00AB48B7" w:rsidRPr="00E93A18">
        <w:rPr>
          <w:rStyle w:val="s0"/>
          <w:sz w:val="28"/>
          <w:szCs w:val="28"/>
          <w:lang w:val="kk-KZ"/>
        </w:rPr>
        <w:t xml:space="preserve">КЖ/ТҚҚ туралы </w:t>
      </w:r>
      <w:r w:rsidR="00990EF2">
        <w:rPr>
          <w:rStyle w:val="s0"/>
          <w:sz w:val="28"/>
          <w:szCs w:val="28"/>
          <w:lang w:val="kk-KZ"/>
        </w:rPr>
        <w:t>з</w:t>
      </w:r>
      <w:r w:rsidR="00AB48B7" w:rsidRPr="00E93A18">
        <w:rPr>
          <w:rStyle w:val="s0"/>
          <w:sz w:val="28"/>
          <w:szCs w:val="28"/>
          <w:lang w:val="kk-KZ"/>
        </w:rPr>
        <w:t>аңның 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r w:rsidRPr="00E93A18">
        <w:rPr>
          <w:rStyle w:val="s0"/>
          <w:sz w:val="28"/>
          <w:szCs w:val="28"/>
          <w:lang w:val="kk-KZ"/>
        </w:rPr>
        <w:t>.»;</w:t>
      </w:r>
    </w:p>
    <w:p w:rsidR="00AE63B0" w:rsidRPr="00E93A18" w:rsidRDefault="00AB48B7" w:rsidP="00AB48B7">
      <w:pPr>
        <w:widowControl w:val="0"/>
        <w:tabs>
          <w:tab w:val="left" w:pos="1134"/>
        </w:tabs>
        <w:ind w:firstLine="708"/>
        <w:jc w:val="both"/>
        <w:rPr>
          <w:rStyle w:val="s0"/>
          <w:sz w:val="28"/>
          <w:szCs w:val="28"/>
          <w:lang w:val="kk-KZ"/>
        </w:rPr>
      </w:pPr>
      <w:r w:rsidRPr="00E93A18">
        <w:rPr>
          <w:rStyle w:val="s0"/>
          <w:sz w:val="28"/>
          <w:szCs w:val="28"/>
          <w:lang w:val="kk-KZ"/>
        </w:rPr>
        <w:t>29-тармақ мынадай редакцияда жазылсын</w:t>
      </w:r>
      <w:r w:rsidR="00AE63B0" w:rsidRPr="00E93A18">
        <w:rPr>
          <w:rStyle w:val="s0"/>
          <w:sz w:val="28"/>
          <w:szCs w:val="28"/>
          <w:lang w:val="kk-KZ"/>
        </w:rPr>
        <w:t>:</w:t>
      </w:r>
    </w:p>
    <w:p w:rsidR="00AB48B7" w:rsidRPr="00E93A18" w:rsidRDefault="00AE63B0" w:rsidP="00AB48B7">
      <w:pPr>
        <w:ind w:firstLine="708"/>
        <w:jc w:val="both"/>
        <w:rPr>
          <w:rStyle w:val="s0"/>
          <w:sz w:val="28"/>
          <w:szCs w:val="28"/>
          <w:lang w:val="kk-KZ"/>
        </w:rPr>
      </w:pPr>
      <w:r w:rsidRPr="00E93A18">
        <w:rPr>
          <w:rStyle w:val="s0"/>
          <w:sz w:val="28"/>
          <w:szCs w:val="28"/>
          <w:lang w:val="kk-KZ"/>
        </w:rPr>
        <w:t xml:space="preserve">«29. </w:t>
      </w:r>
      <w:r w:rsidR="00AB48B7" w:rsidRPr="00E93A18">
        <w:rPr>
          <w:rStyle w:val="s0"/>
          <w:sz w:val="28"/>
          <w:szCs w:val="28"/>
          <w:lang w:val="kk-KZ"/>
        </w:rPr>
        <w:t>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p w:rsidR="00AB48B7" w:rsidRPr="00E93A18" w:rsidRDefault="00AB48B7" w:rsidP="00AB48B7">
      <w:pPr>
        <w:ind w:firstLine="708"/>
        <w:jc w:val="both"/>
        <w:rPr>
          <w:rStyle w:val="s0"/>
          <w:sz w:val="28"/>
          <w:szCs w:val="28"/>
          <w:lang w:val="kk-KZ"/>
        </w:rPr>
      </w:pPr>
      <w:r w:rsidRPr="00E93A18">
        <w:rPr>
          <w:rStyle w:val="s0"/>
          <w:sz w:val="28"/>
          <w:szCs w:val="28"/>
          <w:lang w:val="kk-KZ"/>
        </w:rPr>
        <w:t>Клиенттің операцияларын зер</w:t>
      </w:r>
      <w:r w:rsidR="006A59CD">
        <w:rPr>
          <w:rStyle w:val="s0"/>
          <w:sz w:val="28"/>
          <w:szCs w:val="28"/>
          <w:lang w:val="kk-KZ"/>
        </w:rPr>
        <w:t>делеуд</w:t>
      </w:r>
      <w:r w:rsidRPr="00E93A18">
        <w:rPr>
          <w:rStyle w:val="s0"/>
          <w:sz w:val="28"/>
          <w:szCs w:val="28"/>
          <w:lang w:val="kk-KZ"/>
        </w:rPr>
        <w:t xml:space="preserve">ің жиілігі, тереңдігі және қарқындылығы клиенттің тәуекел деңгейін ескере отырып, клиент қызметінің мөлшері, маңыздылығы, сипаты, ауқымы және күрделілігі туралы </w:t>
      </w:r>
      <w:r w:rsidR="006A59CD">
        <w:rPr>
          <w:rStyle w:val="s0"/>
          <w:sz w:val="28"/>
          <w:szCs w:val="28"/>
          <w:lang w:val="kk-KZ"/>
        </w:rPr>
        <w:t>мәліметтерді</w:t>
      </w:r>
      <w:r w:rsidRPr="00E93A18">
        <w:rPr>
          <w:rStyle w:val="s0"/>
          <w:sz w:val="28"/>
          <w:szCs w:val="28"/>
          <w:lang w:val="kk-KZ"/>
        </w:rPr>
        <w:t>, сондай-ақ клиент жасайтын операцияларды қаржыландыру көзі және (немесе) клиент пайдаланатын қызметтердің КЖ/ТҚ</w:t>
      </w:r>
      <w:r w:rsidR="00210E85">
        <w:rPr>
          <w:rStyle w:val="s0"/>
          <w:sz w:val="28"/>
          <w:szCs w:val="28"/>
          <w:lang w:val="kk-KZ"/>
        </w:rPr>
        <w:t xml:space="preserve"> заңдастыру</w:t>
      </w:r>
      <w:r w:rsidRPr="00210E85">
        <w:rPr>
          <w:rStyle w:val="s0"/>
          <w:color w:val="FF0000"/>
          <w:sz w:val="28"/>
          <w:szCs w:val="28"/>
          <w:lang w:val="kk-KZ"/>
        </w:rPr>
        <w:t xml:space="preserve"> </w:t>
      </w:r>
      <w:r w:rsidRPr="00E93A18">
        <w:rPr>
          <w:rStyle w:val="s0"/>
          <w:sz w:val="28"/>
          <w:szCs w:val="28"/>
          <w:lang w:val="kk-KZ"/>
        </w:rPr>
        <w:t>тәуекелдеріне ұшырау дәрежесі, клиенттің қаржы</w:t>
      </w:r>
      <w:r w:rsidR="006A59CD">
        <w:rPr>
          <w:rStyle w:val="s0"/>
          <w:sz w:val="28"/>
          <w:szCs w:val="28"/>
          <w:lang w:val="kk-KZ"/>
        </w:rPr>
        <w:t>лық</w:t>
      </w:r>
      <w:r w:rsidRPr="00E93A18">
        <w:rPr>
          <w:rStyle w:val="s0"/>
          <w:sz w:val="28"/>
          <w:szCs w:val="28"/>
          <w:lang w:val="kk-KZ"/>
        </w:rPr>
        <w:t xml:space="preserve"> мониторинг</w:t>
      </w:r>
      <w:r w:rsidR="006A59CD">
        <w:rPr>
          <w:rStyle w:val="s0"/>
          <w:sz w:val="28"/>
          <w:szCs w:val="28"/>
          <w:lang w:val="kk-KZ"/>
        </w:rPr>
        <w:t>к</w:t>
      </w:r>
      <w:r w:rsidRPr="00E93A18">
        <w:rPr>
          <w:rStyle w:val="s0"/>
          <w:sz w:val="28"/>
          <w:szCs w:val="28"/>
          <w:lang w:val="kk-KZ"/>
        </w:rPr>
        <w:t>е жататын, сондай-ақ ұйымда бар КЖ/ТҚ сценарийлерін (схемаларын) және (немесе) ерекше және күдікті операциялардың белгілерін ескере отырып</w:t>
      </w:r>
      <w:r w:rsidR="00210E85">
        <w:rPr>
          <w:rStyle w:val="s0"/>
          <w:sz w:val="28"/>
          <w:szCs w:val="28"/>
          <w:lang w:val="kk-KZ"/>
        </w:rPr>
        <w:t>,</w:t>
      </w:r>
      <w:r w:rsidRPr="00E93A18">
        <w:rPr>
          <w:rStyle w:val="s0"/>
          <w:sz w:val="28"/>
          <w:szCs w:val="28"/>
          <w:lang w:val="kk-KZ"/>
        </w:rPr>
        <w:t xml:space="preserve"> операциялар (операция) жасауы (жасауға әрекет жасауы)</w:t>
      </w:r>
      <w:r w:rsidR="006A59CD" w:rsidRPr="006A59CD">
        <w:rPr>
          <w:rStyle w:val="s0"/>
          <w:sz w:val="28"/>
          <w:szCs w:val="28"/>
          <w:lang w:val="kk-KZ"/>
        </w:rPr>
        <w:t xml:space="preserve"> </w:t>
      </w:r>
      <w:r w:rsidR="006A59CD" w:rsidRPr="00E93A18">
        <w:rPr>
          <w:rStyle w:val="s0"/>
          <w:sz w:val="28"/>
          <w:szCs w:val="28"/>
          <w:lang w:val="kk-KZ"/>
        </w:rPr>
        <w:t>туралы мәліметтер</w:t>
      </w:r>
      <w:r w:rsidR="006A59CD">
        <w:rPr>
          <w:rStyle w:val="s0"/>
          <w:sz w:val="28"/>
          <w:szCs w:val="28"/>
          <w:lang w:val="kk-KZ"/>
        </w:rPr>
        <w:t>ді</w:t>
      </w:r>
      <w:r w:rsidR="006A59CD" w:rsidRPr="006A59CD">
        <w:rPr>
          <w:rStyle w:val="s0"/>
          <w:sz w:val="28"/>
          <w:szCs w:val="28"/>
          <w:lang w:val="kk-KZ"/>
        </w:rPr>
        <w:t xml:space="preserve"> </w:t>
      </w:r>
      <w:r w:rsidR="006A59CD" w:rsidRPr="00E93A18">
        <w:rPr>
          <w:rStyle w:val="s0"/>
          <w:sz w:val="28"/>
          <w:szCs w:val="28"/>
          <w:lang w:val="kk-KZ"/>
        </w:rPr>
        <w:t>талдау негізінде а</w:t>
      </w:r>
      <w:r w:rsidR="006A59CD">
        <w:rPr>
          <w:rStyle w:val="s0"/>
          <w:sz w:val="28"/>
          <w:szCs w:val="28"/>
          <w:lang w:val="kk-KZ"/>
        </w:rPr>
        <w:t>йқынд</w:t>
      </w:r>
      <w:r w:rsidR="006A59CD" w:rsidRPr="00E93A18">
        <w:rPr>
          <w:rStyle w:val="s0"/>
          <w:sz w:val="28"/>
          <w:szCs w:val="28"/>
          <w:lang w:val="kk-KZ"/>
        </w:rPr>
        <w:t>алады.</w:t>
      </w:r>
    </w:p>
    <w:p w:rsidR="00AB48B7" w:rsidRPr="00E93A18" w:rsidRDefault="00AB48B7" w:rsidP="00AB48B7">
      <w:pPr>
        <w:ind w:firstLine="708"/>
        <w:jc w:val="both"/>
        <w:rPr>
          <w:rStyle w:val="s0"/>
          <w:sz w:val="28"/>
          <w:szCs w:val="28"/>
          <w:lang w:val="kk-KZ"/>
        </w:rPr>
      </w:pPr>
      <w:r w:rsidRPr="00E93A18">
        <w:rPr>
          <w:rStyle w:val="s0"/>
          <w:sz w:val="28"/>
          <w:szCs w:val="28"/>
          <w:lang w:val="kk-KZ"/>
        </w:rPr>
        <w:t xml:space="preserve">Ұйым клиенттердің операцияларына мониторинг жасау және зерделеу нәтижелерін ұйымның көрсетілетін қызметтерінің КЖ/ТҚ тәуекелдеріне </w:t>
      </w:r>
      <w:r w:rsidRPr="00E93A18">
        <w:rPr>
          <w:rStyle w:val="s0"/>
          <w:sz w:val="28"/>
          <w:szCs w:val="28"/>
          <w:lang w:val="kk-KZ"/>
        </w:rPr>
        <w:lastRenderedPageBreak/>
        <w:t>ұшырағыштық дәрежесін жыл сайын бағалау үшін, сондай-ақ клиенттер тәуекелдерінің деңгейлерін қайта қарау үшін пайдаланады.</w:t>
      </w:r>
    </w:p>
    <w:p w:rsidR="00AE63B0" w:rsidRPr="00E93A18" w:rsidRDefault="00AB48B7" w:rsidP="00AB48B7">
      <w:pPr>
        <w:widowControl w:val="0"/>
        <w:tabs>
          <w:tab w:val="left" w:pos="1134"/>
        </w:tabs>
        <w:ind w:firstLine="708"/>
        <w:jc w:val="both"/>
        <w:rPr>
          <w:rStyle w:val="s0"/>
          <w:sz w:val="28"/>
          <w:szCs w:val="28"/>
          <w:lang w:val="kk-KZ"/>
        </w:rPr>
      </w:pPr>
      <w:r w:rsidRPr="00E93A18">
        <w:rPr>
          <w:rStyle w:val="s0"/>
          <w:sz w:val="28"/>
          <w:szCs w:val="28"/>
          <w:lang w:val="kk-KZ"/>
        </w:rPr>
        <w:t>Клиент операцияларының мониторингі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бойы және олар аяқталған не біржолғы операция (мәміле) жасалған күннен бастап кемінде бес жыл ұйымда сақталады</w:t>
      </w:r>
      <w:r w:rsidR="00AE63B0" w:rsidRPr="00E93A18">
        <w:rPr>
          <w:rStyle w:val="s0"/>
          <w:sz w:val="28"/>
          <w:szCs w:val="28"/>
          <w:lang w:val="kk-KZ"/>
        </w:rPr>
        <w:t>.»;</w:t>
      </w:r>
    </w:p>
    <w:p w:rsidR="00AE63B0" w:rsidRPr="00E93A18" w:rsidRDefault="00AB48B7" w:rsidP="00AB48B7">
      <w:pPr>
        <w:widowControl w:val="0"/>
        <w:tabs>
          <w:tab w:val="left" w:pos="1134"/>
        </w:tabs>
        <w:ind w:firstLine="708"/>
        <w:jc w:val="both"/>
        <w:rPr>
          <w:rStyle w:val="s0"/>
          <w:sz w:val="28"/>
          <w:szCs w:val="28"/>
          <w:lang w:val="kk-KZ"/>
        </w:rPr>
      </w:pPr>
      <w:r w:rsidRPr="00E93A18">
        <w:rPr>
          <w:rStyle w:val="s0"/>
          <w:sz w:val="28"/>
          <w:szCs w:val="28"/>
          <w:lang w:val="kk-KZ"/>
        </w:rPr>
        <w:t>33-тармақ мынадай редакцияда жазылсын</w:t>
      </w:r>
      <w:r w:rsidR="00AE63B0" w:rsidRPr="00E93A18">
        <w:rPr>
          <w:rStyle w:val="s0"/>
          <w:sz w:val="28"/>
          <w:szCs w:val="28"/>
          <w:lang w:val="kk-KZ"/>
        </w:rPr>
        <w:t>:</w:t>
      </w:r>
    </w:p>
    <w:p w:rsidR="00AB48B7" w:rsidRPr="00E93A18" w:rsidRDefault="00AE63B0" w:rsidP="00AB48B7">
      <w:pPr>
        <w:pStyle w:val="pj"/>
        <w:spacing w:before="0" w:beforeAutospacing="0" w:after="0" w:afterAutospacing="0"/>
        <w:ind w:firstLine="708"/>
        <w:jc w:val="both"/>
        <w:rPr>
          <w:rStyle w:val="s0"/>
          <w:sz w:val="28"/>
          <w:szCs w:val="28"/>
          <w:lang w:val="kk-KZ"/>
        </w:rPr>
      </w:pPr>
      <w:r w:rsidRPr="00E93A18">
        <w:rPr>
          <w:rStyle w:val="s0"/>
          <w:sz w:val="28"/>
          <w:szCs w:val="28"/>
          <w:lang w:val="kk-KZ"/>
        </w:rPr>
        <w:t>«</w:t>
      </w:r>
      <w:r w:rsidR="00B70BAD" w:rsidRPr="00E93A18">
        <w:rPr>
          <w:rStyle w:val="s0"/>
          <w:sz w:val="28"/>
          <w:szCs w:val="28"/>
          <w:lang w:val="kk-KZ"/>
        </w:rPr>
        <w:t xml:space="preserve">33. </w:t>
      </w:r>
      <w:r w:rsidR="00AB48B7" w:rsidRPr="00E93A18">
        <w:rPr>
          <w:rStyle w:val="s0"/>
          <w:sz w:val="28"/>
          <w:szCs w:val="28"/>
          <w:lang w:val="kk-KZ"/>
        </w:rPr>
        <w:t xml:space="preserve">Қызметкерлерді КЖ/ТҚҚ мәселелері бойынша дайындау және оқыту бағдарламасының (бұдан әрі – Оқыту бағдарламасы) мақсаты ұйым қызметкерлерінің КЖ/ТҚҚ саласындағы заңнаманың талаптарын, сондай-ақ КЖ/ТҚҚ саласындағы ішкі бақылау қағидаларын және субъектінің </w:t>
      </w:r>
      <w:r w:rsidR="00642B89">
        <w:rPr>
          <w:rStyle w:val="s0"/>
          <w:sz w:val="28"/>
          <w:szCs w:val="28"/>
          <w:lang w:val="kk-KZ"/>
        </w:rPr>
        <w:t>өзге де</w:t>
      </w:r>
      <w:r w:rsidR="00AB48B7" w:rsidRPr="00E93A18">
        <w:rPr>
          <w:rStyle w:val="s0"/>
          <w:sz w:val="28"/>
          <w:szCs w:val="28"/>
          <w:lang w:val="kk-KZ"/>
        </w:rPr>
        <w:t xml:space="preserve"> ішкі құжаттарын орындауы</w:t>
      </w:r>
      <w:r w:rsidR="00642B89">
        <w:rPr>
          <w:rStyle w:val="s0"/>
          <w:sz w:val="28"/>
          <w:szCs w:val="28"/>
          <w:lang w:val="kk-KZ"/>
        </w:rPr>
        <w:t>на</w:t>
      </w:r>
      <w:r w:rsidR="00AB48B7" w:rsidRPr="00E93A18">
        <w:rPr>
          <w:rStyle w:val="s0"/>
          <w:sz w:val="28"/>
          <w:szCs w:val="28"/>
          <w:lang w:val="kk-KZ"/>
        </w:rPr>
        <w:t xml:space="preserve"> қажетті білім алуы мен дағдыларды қалыптастыруы болып табылады.</w:t>
      </w:r>
    </w:p>
    <w:p w:rsidR="00AE63B0" w:rsidRPr="00E93A18" w:rsidRDefault="00AB48B7" w:rsidP="00AB48B7">
      <w:pPr>
        <w:pStyle w:val="pj"/>
        <w:spacing w:before="0" w:beforeAutospacing="0" w:after="0" w:afterAutospacing="0"/>
        <w:ind w:firstLine="708"/>
        <w:jc w:val="both"/>
        <w:rPr>
          <w:rStyle w:val="s0"/>
          <w:sz w:val="28"/>
          <w:szCs w:val="28"/>
          <w:lang w:val="kk-KZ"/>
        </w:rPr>
      </w:pPr>
      <w:r w:rsidRPr="00E93A18">
        <w:rPr>
          <w:rStyle w:val="s0"/>
          <w:sz w:val="28"/>
          <w:szCs w:val="28"/>
          <w:lang w:val="kk-KZ"/>
        </w:rPr>
        <w:t xml:space="preserve">КЖ/ТҚҚ туралы </w:t>
      </w:r>
      <w:r w:rsidR="0091556C">
        <w:rPr>
          <w:rStyle w:val="s0"/>
          <w:sz w:val="28"/>
          <w:szCs w:val="28"/>
          <w:lang w:val="kk-KZ"/>
        </w:rPr>
        <w:t>з</w:t>
      </w:r>
      <w:r w:rsidRPr="00E93A18">
        <w:rPr>
          <w:rStyle w:val="s0"/>
          <w:sz w:val="28"/>
          <w:szCs w:val="28"/>
          <w:lang w:val="kk-KZ"/>
        </w:rPr>
        <w:t>аңның 11-бабының 8-тармағына сәйкес КЖ/ТҚҚ мәселелері бойынша субъектілерді даярлау және оқыту бағдарламасы қаржы</w:t>
      </w:r>
      <w:r w:rsidR="0091556C">
        <w:rPr>
          <w:rStyle w:val="s0"/>
          <w:sz w:val="28"/>
          <w:szCs w:val="28"/>
          <w:lang w:val="kk-KZ"/>
        </w:rPr>
        <w:t>лық</w:t>
      </w:r>
      <w:r w:rsidRPr="00E93A18">
        <w:rPr>
          <w:rStyle w:val="s0"/>
          <w:sz w:val="28"/>
          <w:szCs w:val="28"/>
          <w:lang w:val="kk-KZ"/>
        </w:rPr>
        <w:t xml:space="preserve"> мониторинг жөніндегі уәкілетті орган бекітетін субъектілер қызметкерлерін даярлау және оқыту жөніндегі талаптарға сәйкес әзірленеді</w:t>
      </w:r>
      <w:r w:rsidR="00B70BAD" w:rsidRPr="00E93A18">
        <w:rPr>
          <w:rStyle w:val="s0"/>
          <w:sz w:val="28"/>
          <w:szCs w:val="28"/>
          <w:lang w:val="kk-KZ"/>
        </w:rPr>
        <w:t>.</w:t>
      </w:r>
      <w:r w:rsidR="00AE63B0" w:rsidRPr="00E93A18">
        <w:rPr>
          <w:rStyle w:val="s0"/>
          <w:sz w:val="28"/>
          <w:szCs w:val="28"/>
          <w:lang w:val="kk-KZ"/>
        </w:rPr>
        <w:t>»;</w:t>
      </w:r>
    </w:p>
    <w:p w:rsidR="00AB48B7" w:rsidRPr="00E93A18" w:rsidRDefault="00B70BAD" w:rsidP="00AB48B7">
      <w:pPr>
        <w:ind w:firstLine="709"/>
        <w:jc w:val="both"/>
        <w:rPr>
          <w:sz w:val="28"/>
          <w:szCs w:val="28"/>
          <w:lang w:val="kk-KZ"/>
        </w:rPr>
      </w:pPr>
      <w:r w:rsidRPr="00E93A18">
        <w:rPr>
          <w:sz w:val="28"/>
          <w:szCs w:val="28"/>
          <w:lang w:val="kk-KZ"/>
        </w:rPr>
        <w:t>2</w:t>
      </w:r>
      <w:r w:rsidR="00991227" w:rsidRPr="00E93A18">
        <w:rPr>
          <w:sz w:val="28"/>
          <w:szCs w:val="28"/>
          <w:lang w:val="kk-KZ"/>
        </w:rPr>
        <w:t xml:space="preserve">. </w:t>
      </w:r>
      <w:r w:rsidR="00AB48B7" w:rsidRPr="00E93A18">
        <w:rPr>
          <w:sz w:val="28"/>
          <w:szCs w:val="28"/>
          <w:lang w:val="kk-KZ"/>
        </w:rPr>
        <w:t>Төлем жүйелері департаменті (Е.Т. Ашықбеков) Қазақстан Республикасының заңнамасында белгіленген тәртіппен:</w:t>
      </w:r>
    </w:p>
    <w:p w:rsidR="00AB48B7" w:rsidRPr="00E93A18" w:rsidRDefault="00AB48B7" w:rsidP="00AB48B7">
      <w:pPr>
        <w:ind w:firstLine="709"/>
        <w:jc w:val="both"/>
        <w:rPr>
          <w:sz w:val="28"/>
          <w:szCs w:val="28"/>
          <w:lang w:val="kk-KZ"/>
        </w:rPr>
      </w:pPr>
      <w:r w:rsidRPr="00E93A18">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AB48B7" w:rsidRPr="00E93A18" w:rsidRDefault="00AB48B7" w:rsidP="00AB48B7">
      <w:pPr>
        <w:ind w:firstLine="709"/>
        <w:jc w:val="both"/>
        <w:rPr>
          <w:sz w:val="28"/>
          <w:szCs w:val="28"/>
          <w:lang w:val="kk-KZ"/>
        </w:rPr>
      </w:pPr>
      <w:r w:rsidRPr="00E93A18">
        <w:rPr>
          <w:sz w:val="28"/>
          <w:szCs w:val="28"/>
          <w:lang w:val="kk-KZ"/>
        </w:rPr>
        <w:t xml:space="preserve">2) осы қаулыны ресми жарияланғаннан кейін </w:t>
      </w:r>
      <w:r w:rsidR="00A025F5">
        <w:rPr>
          <w:sz w:val="28"/>
          <w:szCs w:val="28"/>
          <w:lang w:val="kk-KZ"/>
        </w:rPr>
        <w:t xml:space="preserve">оны </w:t>
      </w:r>
      <w:r w:rsidRPr="00E93A18">
        <w:rPr>
          <w:sz w:val="28"/>
          <w:szCs w:val="28"/>
          <w:lang w:val="kk-KZ"/>
        </w:rPr>
        <w:t>Қазақстан Республикасы Ұлттық Банкінің ресми интернет-ресурсына орналастыруды;</w:t>
      </w:r>
    </w:p>
    <w:p w:rsidR="00AB48B7" w:rsidRPr="00E93A18" w:rsidRDefault="00AB48B7" w:rsidP="00AB48B7">
      <w:pPr>
        <w:ind w:firstLine="709"/>
        <w:jc w:val="both"/>
        <w:rPr>
          <w:sz w:val="28"/>
          <w:szCs w:val="28"/>
          <w:lang w:val="kk-KZ"/>
        </w:rPr>
      </w:pPr>
      <w:r w:rsidRPr="00E93A18">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AB48B7" w:rsidRPr="00E93A18" w:rsidRDefault="00AB48B7" w:rsidP="00AB48B7">
      <w:pPr>
        <w:ind w:firstLine="709"/>
        <w:jc w:val="both"/>
        <w:rPr>
          <w:sz w:val="28"/>
          <w:szCs w:val="28"/>
          <w:lang w:val="kk-KZ"/>
        </w:rPr>
      </w:pPr>
      <w:r w:rsidRPr="00E93A18">
        <w:rPr>
          <w:sz w:val="28"/>
          <w:szCs w:val="28"/>
          <w:lang w:val="kk-KZ"/>
        </w:rPr>
        <w:t>3. Осы қаулының</w:t>
      </w:r>
      <w:r w:rsidR="009E7B58" w:rsidRPr="00E93A18">
        <w:rPr>
          <w:sz w:val="28"/>
          <w:szCs w:val="28"/>
          <w:lang w:val="kk-KZ"/>
        </w:rPr>
        <w:t xml:space="preserve"> </w:t>
      </w:r>
      <w:r w:rsidRPr="00E93A18">
        <w:rPr>
          <w:sz w:val="28"/>
          <w:szCs w:val="28"/>
          <w:lang w:val="kk-KZ"/>
        </w:rPr>
        <w:t>орындалуын бақылау Қазақстан Республикасының Ұлттық Банкі Төрағасының орынбасары Б.Ш. Шолпанқұловқа жүктелсін.</w:t>
      </w:r>
    </w:p>
    <w:p w:rsidR="00972F08" w:rsidRPr="00E93A18" w:rsidRDefault="00AB48B7" w:rsidP="00972F08">
      <w:pPr>
        <w:ind w:firstLine="709"/>
        <w:contextualSpacing/>
        <w:jc w:val="both"/>
        <w:rPr>
          <w:color w:val="000000"/>
          <w:sz w:val="28"/>
          <w:szCs w:val="28"/>
          <w:lang w:val="kk-KZ"/>
        </w:rPr>
      </w:pPr>
      <w:r w:rsidRPr="00E93A18">
        <w:rPr>
          <w:sz w:val="28"/>
          <w:szCs w:val="28"/>
          <w:lang w:val="kk-KZ"/>
        </w:rPr>
        <w:t>4</w:t>
      </w:r>
      <w:r w:rsidR="00991227" w:rsidRPr="00E93A18">
        <w:rPr>
          <w:sz w:val="28"/>
          <w:szCs w:val="28"/>
          <w:lang w:val="kk-KZ"/>
        </w:rPr>
        <w:t xml:space="preserve">. </w:t>
      </w:r>
      <w:r w:rsidRPr="00E93A18">
        <w:rPr>
          <w:sz w:val="28"/>
          <w:szCs w:val="28"/>
          <w:lang w:val="kk-KZ"/>
        </w:rPr>
        <w:t xml:space="preserve">Осы қаулы </w:t>
      </w:r>
      <w:r w:rsidR="008F375C" w:rsidRPr="00E93A18">
        <w:rPr>
          <w:sz w:val="28"/>
          <w:szCs w:val="28"/>
          <w:lang w:val="kk-KZ"/>
        </w:rPr>
        <w:t>алғашқы ресми жарияланған күнінен кейін күнтізбелік алпыс күн өткен соң қолданысқа енгізілетін осы қаулының 1-тармағының алтыншы абзацын қоспағанда</w:t>
      </w:r>
      <w:r w:rsidR="008F375C">
        <w:rPr>
          <w:sz w:val="28"/>
          <w:szCs w:val="28"/>
          <w:lang w:val="kk-KZ"/>
        </w:rPr>
        <w:t>,</w:t>
      </w:r>
      <w:r w:rsidR="008F375C" w:rsidRPr="00E93A18">
        <w:rPr>
          <w:sz w:val="28"/>
          <w:szCs w:val="28"/>
          <w:lang w:val="kk-KZ"/>
        </w:rPr>
        <w:t xml:space="preserve"> осы қаулы </w:t>
      </w:r>
      <w:r w:rsidRPr="00E93A18">
        <w:rPr>
          <w:sz w:val="28"/>
          <w:szCs w:val="28"/>
          <w:lang w:val="kk-KZ"/>
        </w:rPr>
        <w:t>алғашқы ресми жарияланған күнінен кейін күнтізбелік он күн өткен соң қолданысқа енгізіледі.</w:t>
      </w:r>
    </w:p>
    <w:p w:rsidR="005E271C" w:rsidRPr="00E93A18" w:rsidRDefault="005E271C" w:rsidP="005E271C">
      <w:pPr>
        <w:ind w:left="709"/>
        <w:jc w:val="both"/>
        <w:rPr>
          <w:rStyle w:val="s0"/>
          <w:b/>
          <w:sz w:val="28"/>
          <w:szCs w:val="28"/>
          <w:lang w:val="kk-KZ"/>
        </w:rPr>
      </w:pPr>
    </w:p>
    <w:p w:rsidR="005E271C" w:rsidRPr="00E93A18" w:rsidRDefault="005E271C" w:rsidP="005E271C">
      <w:pPr>
        <w:ind w:left="709"/>
        <w:jc w:val="both"/>
        <w:rPr>
          <w:rStyle w:val="s0"/>
          <w:b/>
          <w:sz w:val="28"/>
          <w:szCs w:val="28"/>
          <w:lang w:val="kk-KZ"/>
        </w:rPr>
      </w:pPr>
    </w:p>
    <w:p w:rsidR="009E7B58" w:rsidRPr="00E93A18" w:rsidRDefault="009E7B58" w:rsidP="009E7B58">
      <w:pPr>
        <w:ind w:firstLine="709"/>
        <w:jc w:val="both"/>
        <w:rPr>
          <w:rStyle w:val="s0"/>
          <w:b/>
          <w:sz w:val="28"/>
          <w:szCs w:val="28"/>
          <w:lang w:val="kk-KZ"/>
        </w:rPr>
      </w:pPr>
      <w:r w:rsidRPr="00E93A18">
        <w:rPr>
          <w:rStyle w:val="s0"/>
          <w:b/>
          <w:sz w:val="28"/>
          <w:szCs w:val="28"/>
          <w:lang w:val="kk-KZ"/>
        </w:rPr>
        <w:t xml:space="preserve">Ұлттық Банк </w:t>
      </w:r>
    </w:p>
    <w:p w:rsidR="009E7B58" w:rsidRPr="00E93A18" w:rsidRDefault="009E7B58" w:rsidP="009E7B58">
      <w:pPr>
        <w:ind w:firstLine="708"/>
        <w:contextualSpacing/>
        <w:jc w:val="both"/>
        <w:rPr>
          <w:sz w:val="28"/>
          <w:szCs w:val="28"/>
          <w:lang w:val="kk-KZ"/>
        </w:rPr>
      </w:pPr>
      <w:r w:rsidRPr="00E93A18">
        <w:rPr>
          <w:b/>
          <w:sz w:val="28"/>
          <w:szCs w:val="28"/>
          <w:lang w:val="kk-KZ"/>
        </w:rPr>
        <w:t xml:space="preserve">   Төрағасы </w:t>
      </w:r>
      <w:r w:rsidRPr="00E93A18">
        <w:rPr>
          <w:b/>
          <w:sz w:val="28"/>
          <w:szCs w:val="28"/>
          <w:lang w:val="kk-KZ"/>
        </w:rPr>
        <w:tab/>
      </w:r>
      <w:r w:rsidRPr="00E93A18">
        <w:rPr>
          <w:b/>
          <w:sz w:val="28"/>
          <w:szCs w:val="28"/>
          <w:lang w:val="kk-KZ"/>
        </w:rPr>
        <w:tab/>
      </w:r>
      <w:r w:rsidRPr="00E93A18">
        <w:rPr>
          <w:b/>
          <w:sz w:val="28"/>
          <w:szCs w:val="28"/>
          <w:lang w:val="kk-KZ"/>
        </w:rPr>
        <w:tab/>
      </w:r>
      <w:r w:rsidRPr="00E93A18">
        <w:rPr>
          <w:b/>
          <w:sz w:val="28"/>
          <w:szCs w:val="28"/>
          <w:lang w:val="kk-KZ"/>
        </w:rPr>
        <w:tab/>
      </w:r>
      <w:r w:rsidRPr="00E93A18">
        <w:rPr>
          <w:b/>
          <w:sz w:val="28"/>
          <w:szCs w:val="28"/>
          <w:lang w:val="kk-KZ"/>
        </w:rPr>
        <w:tab/>
      </w:r>
      <w:r w:rsidRPr="00E93A18">
        <w:rPr>
          <w:b/>
          <w:sz w:val="28"/>
          <w:szCs w:val="28"/>
          <w:lang w:val="kk-KZ"/>
        </w:rPr>
        <w:tab/>
      </w:r>
      <w:r w:rsidRPr="00E93A18">
        <w:rPr>
          <w:b/>
          <w:sz w:val="28"/>
          <w:szCs w:val="28"/>
          <w:lang w:val="kk-KZ"/>
        </w:rPr>
        <w:tab/>
        <w:t xml:space="preserve">        Ғ.О. Пірматов</w:t>
      </w:r>
    </w:p>
    <w:p w:rsidR="009E7B58" w:rsidRPr="00E93A18" w:rsidRDefault="009E7B58" w:rsidP="009E7B58">
      <w:pPr>
        <w:ind w:firstLine="709"/>
        <w:contextualSpacing/>
        <w:jc w:val="both"/>
        <w:rPr>
          <w:sz w:val="28"/>
          <w:szCs w:val="28"/>
          <w:lang w:val="kk-KZ"/>
        </w:rPr>
      </w:pPr>
    </w:p>
    <w:p w:rsidR="009E7B58" w:rsidRPr="00E93A18" w:rsidRDefault="009E7B58" w:rsidP="009E7B58">
      <w:pPr>
        <w:ind w:firstLine="709"/>
        <w:contextualSpacing/>
        <w:jc w:val="both"/>
        <w:rPr>
          <w:sz w:val="28"/>
          <w:szCs w:val="28"/>
          <w:lang w:val="kk-KZ"/>
        </w:rPr>
      </w:pPr>
    </w:p>
    <w:p w:rsidR="009E7B58" w:rsidRPr="00E93A18" w:rsidRDefault="009E7B58" w:rsidP="009E7B58">
      <w:pPr>
        <w:suppressAutoHyphens/>
        <w:rPr>
          <w:sz w:val="28"/>
          <w:szCs w:val="28"/>
          <w:lang w:val="kk-KZ"/>
        </w:rPr>
      </w:pPr>
      <w:r w:rsidRPr="00E93A18">
        <w:rPr>
          <w:sz w:val="28"/>
          <w:szCs w:val="28"/>
          <w:lang w:val="kk-KZ"/>
        </w:rPr>
        <w:t>КЕЛІСІЛДІ</w:t>
      </w:r>
    </w:p>
    <w:p w:rsidR="009E7B58" w:rsidRPr="00E93A18" w:rsidRDefault="009E7B58" w:rsidP="009E7B58">
      <w:pPr>
        <w:suppressAutoHyphens/>
        <w:rPr>
          <w:sz w:val="28"/>
          <w:szCs w:val="28"/>
          <w:lang w:val="kk-KZ"/>
        </w:rPr>
      </w:pPr>
      <w:r w:rsidRPr="00E93A18">
        <w:rPr>
          <w:sz w:val="28"/>
          <w:szCs w:val="28"/>
          <w:lang w:val="kk-KZ"/>
        </w:rPr>
        <w:t xml:space="preserve">Қазақстан Республикасының </w:t>
      </w:r>
    </w:p>
    <w:p w:rsidR="009E7B58" w:rsidRPr="00E93A18" w:rsidRDefault="009E7B58" w:rsidP="009E7B58">
      <w:pPr>
        <w:textAlignment w:val="baseline"/>
        <w:rPr>
          <w:sz w:val="28"/>
          <w:szCs w:val="28"/>
          <w:lang w:val="kk-KZ"/>
        </w:rPr>
      </w:pPr>
      <w:r w:rsidRPr="00E93A18">
        <w:rPr>
          <w:sz w:val="28"/>
          <w:szCs w:val="28"/>
          <w:lang w:val="kk-KZ"/>
        </w:rPr>
        <w:t>Қаржылық мониторинг агенттігі</w:t>
      </w:r>
    </w:p>
    <w:sectPr w:rsidR="009E7B58" w:rsidRPr="00E93A18" w:rsidSect="00F15859">
      <w:headerReference w:type="even" r:id="rId8"/>
      <w:headerReference w:type="defaul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9E" w:rsidRDefault="00AA6D9E">
      <w:r>
        <w:separator/>
      </w:r>
    </w:p>
  </w:endnote>
  <w:endnote w:type="continuationSeparator" w:id="0">
    <w:p w:rsidR="00AA6D9E" w:rsidRDefault="00AA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9E" w:rsidRDefault="00AA6D9E">
      <w:r>
        <w:separator/>
      </w:r>
    </w:p>
  </w:footnote>
  <w:footnote w:type="continuationSeparator" w:id="0">
    <w:p w:rsidR="00AA6D9E" w:rsidRDefault="00AA6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F15859" w:rsidRDefault="00BE78CA" w:rsidP="00E43190">
    <w:pPr>
      <w:pStyle w:val="aa"/>
      <w:framePr w:wrap="around" w:vAnchor="text" w:hAnchor="margin" w:xAlign="center" w:y="1"/>
      <w:rPr>
        <w:rStyle w:val="af1"/>
        <w:sz w:val="28"/>
      </w:rPr>
    </w:pPr>
    <w:r w:rsidRPr="00F15859">
      <w:rPr>
        <w:rStyle w:val="af1"/>
        <w:sz w:val="28"/>
      </w:rPr>
      <w:fldChar w:fldCharType="begin"/>
    </w:r>
    <w:r w:rsidRPr="00F15859">
      <w:rPr>
        <w:rStyle w:val="af1"/>
        <w:sz w:val="28"/>
      </w:rPr>
      <w:instrText xml:space="preserve">PAGE  </w:instrText>
    </w:r>
    <w:r w:rsidRPr="00F15859">
      <w:rPr>
        <w:rStyle w:val="af1"/>
        <w:sz w:val="28"/>
      </w:rPr>
      <w:fldChar w:fldCharType="separate"/>
    </w:r>
    <w:r w:rsidR="009501A6">
      <w:rPr>
        <w:rStyle w:val="af1"/>
        <w:noProof/>
        <w:sz w:val="28"/>
      </w:rPr>
      <w:t>6</w:t>
    </w:r>
    <w:r w:rsidRPr="00F15859">
      <w:rPr>
        <w:rStyle w:val="af1"/>
        <w:sz w:val="28"/>
      </w:rPr>
      <w:fldChar w:fldCharType="end"/>
    </w:r>
  </w:p>
  <w:p w:rsidR="00BE78CA" w:rsidRDefault="00BE78C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5714E46"/>
    <w:multiLevelType w:val="hybridMultilevel"/>
    <w:tmpl w:val="5686E9E4"/>
    <w:lvl w:ilvl="0" w:tplc="777EB77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15:restartNumberingAfterBreak="0">
    <w:nsid w:val="71726714"/>
    <w:multiLevelType w:val="hybridMultilevel"/>
    <w:tmpl w:val="B1B89254"/>
    <w:lvl w:ilvl="0" w:tplc="4FD86D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73119"/>
    <w:rsid w:val="000922AA"/>
    <w:rsid w:val="000A21B0"/>
    <w:rsid w:val="000A6E84"/>
    <w:rsid w:val="000D4DAC"/>
    <w:rsid w:val="000F48E7"/>
    <w:rsid w:val="00116444"/>
    <w:rsid w:val="00130A57"/>
    <w:rsid w:val="001319EE"/>
    <w:rsid w:val="00143292"/>
    <w:rsid w:val="00151CAA"/>
    <w:rsid w:val="00160F01"/>
    <w:rsid w:val="0016731D"/>
    <w:rsid w:val="00173D5A"/>
    <w:rsid w:val="00174FCD"/>
    <w:rsid w:val="001763DE"/>
    <w:rsid w:val="00180FCC"/>
    <w:rsid w:val="00186013"/>
    <w:rsid w:val="001A11CD"/>
    <w:rsid w:val="001A1881"/>
    <w:rsid w:val="001B2600"/>
    <w:rsid w:val="001B61C1"/>
    <w:rsid w:val="001B6FA6"/>
    <w:rsid w:val="001F2BBE"/>
    <w:rsid w:val="001F4925"/>
    <w:rsid w:val="001F64CB"/>
    <w:rsid w:val="002000F4"/>
    <w:rsid w:val="00210E85"/>
    <w:rsid w:val="0022101F"/>
    <w:rsid w:val="0023374B"/>
    <w:rsid w:val="00251F3F"/>
    <w:rsid w:val="0028360D"/>
    <w:rsid w:val="002A394A"/>
    <w:rsid w:val="002C709D"/>
    <w:rsid w:val="002E1264"/>
    <w:rsid w:val="00342A3C"/>
    <w:rsid w:val="00364E0B"/>
    <w:rsid w:val="003655D6"/>
    <w:rsid w:val="003773A4"/>
    <w:rsid w:val="00380D6D"/>
    <w:rsid w:val="00383F5F"/>
    <w:rsid w:val="003C03FE"/>
    <w:rsid w:val="003C78DD"/>
    <w:rsid w:val="003F241E"/>
    <w:rsid w:val="0041050E"/>
    <w:rsid w:val="00423754"/>
    <w:rsid w:val="00430E89"/>
    <w:rsid w:val="00444725"/>
    <w:rsid w:val="00444B81"/>
    <w:rsid w:val="0046605D"/>
    <w:rsid w:val="004726FE"/>
    <w:rsid w:val="00492979"/>
    <w:rsid w:val="0049623C"/>
    <w:rsid w:val="004B400D"/>
    <w:rsid w:val="004C34B8"/>
    <w:rsid w:val="004E43E0"/>
    <w:rsid w:val="004E49BE"/>
    <w:rsid w:val="004F2B8B"/>
    <w:rsid w:val="004F3375"/>
    <w:rsid w:val="00503328"/>
    <w:rsid w:val="00505D6F"/>
    <w:rsid w:val="005225A0"/>
    <w:rsid w:val="00591E87"/>
    <w:rsid w:val="005C2605"/>
    <w:rsid w:val="005D4233"/>
    <w:rsid w:val="005E271C"/>
    <w:rsid w:val="005F582C"/>
    <w:rsid w:val="00605513"/>
    <w:rsid w:val="00642211"/>
    <w:rsid w:val="00642B89"/>
    <w:rsid w:val="00664F00"/>
    <w:rsid w:val="006661A8"/>
    <w:rsid w:val="00667EDB"/>
    <w:rsid w:val="00680CE7"/>
    <w:rsid w:val="006A59CD"/>
    <w:rsid w:val="006A7E5F"/>
    <w:rsid w:val="006B6938"/>
    <w:rsid w:val="006E6AD5"/>
    <w:rsid w:val="007006E3"/>
    <w:rsid w:val="007111E8"/>
    <w:rsid w:val="00731B2A"/>
    <w:rsid w:val="00740441"/>
    <w:rsid w:val="00745DCF"/>
    <w:rsid w:val="007767CD"/>
    <w:rsid w:val="00782A16"/>
    <w:rsid w:val="007E588D"/>
    <w:rsid w:val="0081000A"/>
    <w:rsid w:val="0081022A"/>
    <w:rsid w:val="00811149"/>
    <w:rsid w:val="00822EFD"/>
    <w:rsid w:val="008436CA"/>
    <w:rsid w:val="0085727D"/>
    <w:rsid w:val="00866964"/>
    <w:rsid w:val="00867FA4"/>
    <w:rsid w:val="0087143C"/>
    <w:rsid w:val="008C7DC6"/>
    <w:rsid w:val="008F375C"/>
    <w:rsid w:val="009139A9"/>
    <w:rsid w:val="00914138"/>
    <w:rsid w:val="0091556C"/>
    <w:rsid w:val="00915A4B"/>
    <w:rsid w:val="00934587"/>
    <w:rsid w:val="009501A6"/>
    <w:rsid w:val="00972F08"/>
    <w:rsid w:val="0098518B"/>
    <w:rsid w:val="00990EF2"/>
    <w:rsid w:val="00991227"/>
    <w:rsid w:val="009924CE"/>
    <w:rsid w:val="009B0C37"/>
    <w:rsid w:val="009B4CA1"/>
    <w:rsid w:val="009B69F4"/>
    <w:rsid w:val="009C77A2"/>
    <w:rsid w:val="009D2F64"/>
    <w:rsid w:val="009E7B58"/>
    <w:rsid w:val="009F22E1"/>
    <w:rsid w:val="00A025F5"/>
    <w:rsid w:val="00A10052"/>
    <w:rsid w:val="00A15A94"/>
    <w:rsid w:val="00A17FE7"/>
    <w:rsid w:val="00A202FF"/>
    <w:rsid w:val="00A338BC"/>
    <w:rsid w:val="00A36165"/>
    <w:rsid w:val="00A3733E"/>
    <w:rsid w:val="00A47D62"/>
    <w:rsid w:val="00A75B2D"/>
    <w:rsid w:val="00A83BA1"/>
    <w:rsid w:val="00AA225A"/>
    <w:rsid w:val="00AA2976"/>
    <w:rsid w:val="00AA6D9E"/>
    <w:rsid w:val="00AB1903"/>
    <w:rsid w:val="00AB48B7"/>
    <w:rsid w:val="00AC14E3"/>
    <w:rsid w:val="00AC4777"/>
    <w:rsid w:val="00AC76FB"/>
    <w:rsid w:val="00AE63B0"/>
    <w:rsid w:val="00B708FD"/>
    <w:rsid w:val="00B70BAD"/>
    <w:rsid w:val="00B86340"/>
    <w:rsid w:val="00BC421F"/>
    <w:rsid w:val="00BD6A7F"/>
    <w:rsid w:val="00BE3CFA"/>
    <w:rsid w:val="00BE78CA"/>
    <w:rsid w:val="00C21561"/>
    <w:rsid w:val="00C7780A"/>
    <w:rsid w:val="00CA1875"/>
    <w:rsid w:val="00CA7512"/>
    <w:rsid w:val="00CC7D90"/>
    <w:rsid w:val="00CE0990"/>
    <w:rsid w:val="00CE4AD5"/>
    <w:rsid w:val="00CE6A1B"/>
    <w:rsid w:val="00CF16BB"/>
    <w:rsid w:val="00CF6C3C"/>
    <w:rsid w:val="00CF6CDC"/>
    <w:rsid w:val="00D03D0C"/>
    <w:rsid w:val="00D11982"/>
    <w:rsid w:val="00D14F06"/>
    <w:rsid w:val="00D21D8D"/>
    <w:rsid w:val="00D27918"/>
    <w:rsid w:val="00D372FB"/>
    <w:rsid w:val="00D870B1"/>
    <w:rsid w:val="00DB33DF"/>
    <w:rsid w:val="00DD0CAC"/>
    <w:rsid w:val="00E42BDD"/>
    <w:rsid w:val="00E43190"/>
    <w:rsid w:val="00E57A5B"/>
    <w:rsid w:val="00E866E0"/>
    <w:rsid w:val="00E93A18"/>
    <w:rsid w:val="00EB54A3"/>
    <w:rsid w:val="00EB7D86"/>
    <w:rsid w:val="00EC072E"/>
    <w:rsid w:val="00EC172B"/>
    <w:rsid w:val="00EC3C11"/>
    <w:rsid w:val="00EE1A39"/>
    <w:rsid w:val="00EE4F0C"/>
    <w:rsid w:val="00F15859"/>
    <w:rsid w:val="00F22932"/>
    <w:rsid w:val="00F44139"/>
    <w:rsid w:val="00F525B9"/>
    <w:rsid w:val="00F64017"/>
    <w:rsid w:val="00F93EE0"/>
    <w:rsid w:val="00FD2442"/>
    <w:rsid w:val="00FE088C"/>
    <w:rsid w:val="00FF4CCD"/>
    <w:rsid w:val="00FF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54BEB"/>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e"/>
    <w:uiPriority w:val="34"/>
    <w:locked/>
    <w:rsid w:val="00E42BDD"/>
    <w:rPr>
      <w:rFonts w:ascii="Calibri" w:eastAsia="Calibri" w:hAnsi="Calibri"/>
      <w:sz w:val="22"/>
      <w:szCs w:val="22"/>
      <w:lang w:eastAsia="en-US"/>
    </w:rPr>
  </w:style>
  <w:style w:type="character" w:customStyle="1" w:styleId="s2">
    <w:name w:val="s2"/>
    <w:rsid w:val="001A11CD"/>
    <w:rPr>
      <w:rFonts w:ascii="Times New Roman" w:hAnsi="Times New Roman" w:cs="Times New Roman" w:hint="default"/>
      <w:color w:val="333399"/>
      <w:u w:val="single"/>
    </w:rPr>
  </w:style>
  <w:style w:type="paragraph" w:styleId="af8">
    <w:name w:val="Balloon Text"/>
    <w:basedOn w:val="a"/>
    <w:link w:val="af9"/>
    <w:semiHidden/>
    <w:unhideWhenUsed/>
    <w:rsid w:val="00D870B1"/>
    <w:rPr>
      <w:rFonts w:ascii="Segoe UI" w:hAnsi="Segoe UI" w:cs="Segoe UI"/>
      <w:sz w:val="18"/>
      <w:szCs w:val="18"/>
    </w:rPr>
  </w:style>
  <w:style w:type="character" w:customStyle="1" w:styleId="af9">
    <w:name w:val="Текст выноски Знак"/>
    <w:basedOn w:val="a0"/>
    <w:link w:val="af8"/>
    <w:semiHidden/>
    <w:rsid w:val="00D870B1"/>
    <w:rPr>
      <w:rFonts w:ascii="Segoe UI" w:hAnsi="Segoe UI" w:cs="Segoe UI"/>
      <w:sz w:val="18"/>
      <w:szCs w:val="18"/>
    </w:rPr>
  </w:style>
  <w:style w:type="character" w:customStyle="1" w:styleId="s21">
    <w:name w:val="s21"/>
    <w:basedOn w:val="a0"/>
    <w:rsid w:val="00CA7512"/>
  </w:style>
  <w:style w:type="paragraph" w:customStyle="1" w:styleId="pj">
    <w:name w:val="pj"/>
    <w:basedOn w:val="a"/>
    <w:rsid w:val="00CA7512"/>
    <w:pPr>
      <w:overflowPunct/>
      <w:autoSpaceDE/>
      <w:autoSpaceDN/>
      <w:adjustRightInd/>
      <w:spacing w:before="100" w:beforeAutospacing="1" w:after="100" w:afterAutospacing="1"/>
    </w:pPr>
    <w:rPr>
      <w:color w:val="000000"/>
      <w:sz w:val="24"/>
      <w:szCs w:val="24"/>
    </w:rPr>
  </w:style>
  <w:style w:type="character" w:customStyle="1" w:styleId="s20">
    <w:name w:val="s20"/>
    <w:basedOn w:val="a0"/>
    <w:rsid w:val="00CA7512"/>
  </w:style>
  <w:style w:type="paragraph" w:styleId="afa">
    <w:name w:val="footnote text"/>
    <w:basedOn w:val="a"/>
    <w:link w:val="afb"/>
    <w:uiPriority w:val="99"/>
    <w:semiHidden/>
    <w:unhideWhenUsed/>
    <w:rsid w:val="00AB48B7"/>
    <w:pPr>
      <w:overflowPunct/>
      <w:autoSpaceDE/>
      <w:autoSpaceDN/>
      <w:adjustRightInd/>
    </w:pPr>
  </w:style>
  <w:style w:type="character" w:customStyle="1" w:styleId="afb">
    <w:name w:val="Текст сноски Знак"/>
    <w:basedOn w:val="a0"/>
    <w:link w:val="afa"/>
    <w:uiPriority w:val="99"/>
    <w:semiHidden/>
    <w:rsid w:val="00AB48B7"/>
  </w:style>
  <w:style w:type="character" w:styleId="afc">
    <w:name w:val="footnote reference"/>
    <w:uiPriority w:val="99"/>
    <w:semiHidden/>
    <w:unhideWhenUsed/>
    <w:rsid w:val="00AB4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66752320">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6</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Индира Исакулова</cp:lastModifiedBy>
  <cp:revision>48</cp:revision>
  <dcterms:created xsi:type="dcterms:W3CDTF">2022-06-24T06:18:00Z</dcterms:created>
  <dcterms:modified xsi:type="dcterms:W3CDTF">2022-06-29T12:20:00Z</dcterms:modified>
</cp:coreProperties>
</file>