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5BB" w:rsidRPr="00D55C85" w:rsidRDefault="00D365BB" w:rsidP="00D365BB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63773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BC7FEC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  <w:t>3-қосымша</w:t>
      </w:r>
    </w:p>
    <w:p w:rsidR="00D365BB" w:rsidRPr="00637730" w:rsidRDefault="00D365BB" w:rsidP="00D365BB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left="5670"/>
        <w:jc w:val="right"/>
        <w:rPr>
          <w:rFonts w:ascii="Times New Roman" w:hAnsi="Times New Roman"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Зерттеу жүргізу үшін </w:t>
      </w:r>
      <w:r w:rsidRPr="00637730">
        <w:rPr>
          <w:rFonts w:ascii="Times New Roman" w:hAnsi="Times New Roman"/>
          <w:b/>
          <w:sz w:val="28"/>
          <w:szCs w:val="28"/>
          <w:lang w:val="kk-KZ"/>
        </w:rPr>
        <w:t>грант</w:t>
      </w:r>
      <w:r w:rsidRPr="00637730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65BB" w:rsidRPr="00637730" w:rsidRDefault="00D365BB" w:rsidP="00D365BB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алуға өтінімге </w:t>
      </w:r>
    </w:p>
    <w:p w:rsidR="00D365BB" w:rsidRPr="00637730" w:rsidRDefault="00D365BB" w:rsidP="00D365BB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1-қосымша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firstLine="709"/>
        <w:jc w:val="right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Нысан 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Зерттеу шығыстарының сметасы және олардың негіздемесі</w:t>
      </w:r>
    </w:p>
    <w:p w:rsidR="00D365BB" w:rsidRPr="00637730" w:rsidRDefault="00D365BB" w:rsidP="00D365BB">
      <w:pPr>
        <w:pStyle w:val="a3"/>
        <w:ind w:firstLine="851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418"/>
        <w:gridCol w:w="1559"/>
        <w:gridCol w:w="1447"/>
        <w:gridCol w:w="1134"/>
        <w:gridCol w:w="1387"/>
      </w:tblGrid>
      <w:tr w:rsidR="00D365BB" w:rsidRPr="00637730" w:rsidTr="00CB6A1F">
        <w:tc>
          <w:tcPr>
            <w:tcW w:w="710" w:type="dxa"/>
            <w:shd w:val="clear" w:color="auto" w:fill="auto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Шығыстар бабы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Өлшем бірлігі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Құны</w:t>
            </w:r>
            <w:r w:rsidRPr="00637730">
              <w:rPr>
                <w:rFonts w:ascii="Times New Roman" w:hAnsi="Times New Roman" w:cs="Times New Roman"/>
                <w:lang w:val="kk-KZ"/>
              </w:rPr>
              <w:br/>
              <w:t>(біреуінің), теңге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Саны</w:t>
            </w:r>
            <w:r w:rsidRPr="00637730">
              <w:rPr>
                <w:rFonts w:ascii="Times New Roman" w:hAnsi="Times New Roman" w:cs="Times New Roman"/>
                <w:lang w:val="kk-KZ"/>
              </w:rPr>
              <w:br/>
              <w:t>(біреуінің)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Барлығы (теңге)</w:t>
            </w:r>
          </w:p>
        </w:tc>
        <w:tc>
          <w:tcPr>
            <w:tcW w:w="1387" w:type="dxa"/>
            <w:vAlign w:val="center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Шығыстар бабының негіздемесі</w:t>
            </w: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7</w:t>
            </w: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Еңбек</w:t>
            </w:r>
            <w:r w:rsidR="00BB537D">
              <w:rPr>
                <w:rFonts w:ascii="Times New Roman" w:hAnsi="Times New Roman" w:cs="Times New Roman"/>
                <w:lang w:val="kk-KZ"/>
              </w:rPr>
              <w:t xml:space="preserve">ке </w:t>
            </w:r>
            <w:r w:rsidRPr="00637730">
              <w:rPr>
                <w:rFonts w:ascii="Times New Roman" w:hAnsi="Times New Roman" w:cs="Times New Roman"/>
                <w:lang w:val="kk-KZ"/>
              </w:rPr>
              <w:t>ақы төлеу шығыстары, оның ішінде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Жалақы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салық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Міндетті әлеуметтік медициналық сақтандыруға (бұдан әрі – МӘМС)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BC7FEC" w:rsidP="00BB537D">
            <w:pPr>
              <w:ind w:firstLine="7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Зерттеу басшысын</w:t>
            </w:r>
            <w:r w:rsidR="00BB537D">
              <w:rPr>
                <w:rFonts w:ascii="Times New Roman" w:hAnsi="Times New Roman" w:cs="Times New Roman"/>
                <w:lang w:val="kk-KZ"/>
              </w:rPr>
              <w:t>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F74FB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37730">
              <w:rPr>
                <w:rFonts w:ascii="Times New Roman" w:hAnsi="Times New Roman" w:cs="Times New Roman"/>
                <w:lang w:val="kk-KZ"/>
              </w:rPr>
              <w:t>егі, аты, әкесінің аты (бар болса)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537D">
              <w:rPr>
                <w:rFonts w:ascii="Times New Roman" w:hAnsi="Times New Roman" w:cs="Times New Roman"/>
                <w:lang w:val="kk-KZ"/>
              </w:rPr>
              <w:t>еңбегіне ақы</w:t>
            </w:r>
            <w:r w:rsidR="00D365BB" w:rsidRPr="00637730">
              <w:rPr>
                <w:rFonts w:ascii="Times New Roman" w:hAnsi="Times New Roman" w:cs="Times New Roman"/>
                <w:lang w:val="kk-KZ"/>
              </w:rPr>
              <w:t xml:space="preserve"> төлеу шығыстары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BC7FEC" w:rsidRDefault="004F74FB" w:rsidP="00BC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Орындалатын жұмыстар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</w:t>
            </w: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тізбесі</w:t>
            </w:r>
            <w:r w:rsidR="00BC7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BC7FEC" w:rsidRDefault="00BC7FEC" w:rsidP="00BC7F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BC7FEC" w:rsidRDefault="00BC7FEC" w:rsidP="00BC7FEC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BC7FEC" w:rsidRDefault="00BC7FEC" w:rsidP="00BC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C7FEC" w:rsidRDefault="00BC7FEC" w:rsidP="00BC7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65BB" w:rsidRPr="00637730" w:rsidRDefault="004F74FB" w:rsidP="00BC7FE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Тарифтік мөлшерлеме </w:t>
            </w:r>
            <w:r w:rsidR="00BC7F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</w:t>
            </w: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Жалақы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салық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МӘМС-ке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1.2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Жетекші орындаушылар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1.2.1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4F74FB" w:rsidP="00CB6A1F">
            <w:pPr>
              <w:ind w:firstLine="7"/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Жетекші орындаушы</w:t>
            </w:r>
            <w:r w:rsidR="00BB537D">
              <w:rPr>
                <w:rFonts w:ascii="Times New Roman" w:hAnsi="Times New Roman" w:cs="Times New Roman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37730">
              <w:rPr>
                <w:rFonts w:ascii="Times New Roman" w:hAnsi="Times New Roman" w:cs="Times New Roman"/>
                <w:lang w:val="kk-KZ"/>
              </w:rPr>
              <w:t xml:space="preserve">  (</w:t>
            </w: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Pr="00637730">
              <w:rPr>
                <w:rFonts w:ascii="Times New Roman" w:hAnsi="Times New Roman" w:cs="Times New Roman"/>
                <w:lang w:val="kk-KZ"/>
              </w:rPr>
              <w:t>егі, аты, әкесінің аты (бар болса)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537D">
              <w:rPr>
                <w:rFonts w:ascii="Times New Roman" w:hAnsi="Times New Roman" w:cs="Times New Roman"/>
                <w:lang w:val="kk-KZ"/>
              </w:rPr>
              <w:t>еңбегіне ақы</w:t>
            </w:r>
            <w:r w:rsidR="00D365BB" w:rsidRPr="00637730">
              <w:rPr>
                <w:rFonts w:ascii="Times New Roman" w:hAnsi="Times New Roman" w:cs="Times New Roman"/>
                <w:lang w:val="kk-KZ"/>
              </w:rPr>
              <w:t xml:space="preserve"> төлеу шығыстары</w:t>
            </w:r>
          </w:p>
          <w:p w:rsidR="00D365BB" w:rsidRPr="00637730" w:rsidRDefault="00D365BB" w:rsidP="004F74FB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4F74FB" w:rsidRDefault="004F74FB" w:rsidP="004F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Орындалатын жұмыстар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</w:t>
            </w: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тізбесі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4F74FB" w:rsidRDefault="004F74FB" w:rsidP="004F74F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4F74FB" w:rsidRDefault="004F74FB" w:rsidP="004F74F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...</w:t>
            </w:r>
          </w:p>
          <w:p w:rsidR="004F74FB" w:rsidRDefault="004F74FB" w:rsidP="004F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4F74FB" w:rsidRDefault="004F74FB" w:rsidP="004F7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365BB" w:rsidRPr="00637730" w:rsidRDefault="004F74FB" w:rsidP="004F74F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Тарифтік мөлшерлеме  –</w:t>
            </w: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Жалақы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салық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МӘМС-ке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1.2.2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1.2.n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1.3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FB7BB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Қосымша тартылатын орындаушылар</w:t>
            </w:r>
            <w:r w:rsidR="00FB7BB3">
              <w:rPr>
                <w:rFonts w:ascii="Times New Roman" w:hAnsi="Times New Roman" w:cs="Times New Roman"/>
                <w:lang w:val="kk-KZ"/>
              </w:rPr>
              <w:t>ға</w:t>
            </w:r>
            <w:r w:rsidRPr="00637730">
              <w:rPr>
                <w:rFonts w:ascii="Times New Roman" w:hAnsi="Times New Roman" w:cs="Times New Roman"/>
                <w:lang w:val="kk-KZ"/>
              </w:rPr>
              <w:t xml:space="preserve"> (студенттер, магистранттар, аспиранттар және басқа адамдар)</w:t>
            </w:r>
            <w:r w:rsidR="004F74FB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B537D">
              <w:rPr>
                <w:rFonts w:ascii="Times New Roman" w:hAnsi="Times New Roman" w:cs="Times New Roman"/>
                <w:lang w:val="kk-KZ"/>
              </w:rPr>
              <w:t>ақы</w:t>
            </w:r>
            <w:r w:rsidR="004F74FB" w:rsidRPr="00637730">
              <w:rPr>
                <w:rFonts w:ascii="Times New Roman" w:hAnsi="Times New Roman" w:cs="Times New Roman"/>
                <w:lang w:val="kk-KZ"/>
              </w:rPr>
              <w:t xml:space="preserve"> төлеу шығыстары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BB537D" w:rsidRDefault="00BB537D" w:rsidP="00BB537D">
            <w:pPr>
              <w:numPr>
                <w:ilvl w:val="0"/>
                <w:numId w:val="4"/>
              </w:numPr>
              <w:spacing w:after="0" w:line="240" w:lineRule="auto"/>
              <w:ind w:left="29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Саны – </w:t>
            </w:r>
          </w:p>
          <w:p w:rsidR="004F74FB" w:rsidRPr="00BB537D" w:rsidRDefault="00BB537D" w:rsidP="00BB537D">
            <w:pPr>
              <w:spacing w:after="0" w:line="240" w:lineRule="auto"/>
              <w:ind w:left="-6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2. </w:t>
            </w:r>
            <w:r w:rsidRPr="00BB5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Еңбекке ақы төлеу мөлшерлемесінің негіздемесі</w:t>
            </w:r>
            <w:r w:rsidR="004F74FB" w:rsidRPr="00BB5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D365BB" w:rsidRPr="00637730" w:rsidRDefault="00BB537D" w:rsidP="004F74FB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BB5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Оларды тарту қажеттілігінің негіздемесі және </w:t>
            </w:r>
            <w:r w:rsidRPr="00BB537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олардың зерттеудегі рөлі</w:t>
            </w:r>
            <w:r w:rsidR="004F74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Жалақы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салық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Әлеуметтік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МӘМС-ке аударымдар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 xml:space="preserve">Іссапар шығыстары 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2.1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тәуліктік (іссапарлардың, адамдардың және адам күндерінің санын көрсету)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2.2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тұру (іссапарлардың, адамдардың және адам күндерінің санын көрсету)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A535E9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2.3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жол жүру (іссапарлар мен адамдар санын жазу)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Үстеме шығыстар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3.1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3.2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3.n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Материалдық-техникалық қамтамасыз ету</w:t>
            </w:r>
            <w:r w:rsidR="004F74FB">
              <w:rPr>
                <w:rFonts w:ascii="Times New Roman" w:hAnsi="Times New Roman" w:cs="Times New Roman"/>
                <w:lang w:val="kk-KZ"/>
              </w:rPr>
              <w:t>, барлығы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4.1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4.2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4.n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5.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 xml:space="preserve">Алдыңғы тармақтарда көрсетілмеген </w:t>
            </w:r>
            <w:r w:rsidRPr="00637730">
              <w:rPr>
                <w:rFonts w:ascii="Times New Roman" w:hAnsi="Times New Roman" w:cs="Times New Roman"/>
                <w:lang w:val="kk-KZ"/>
              </w:rPr>
              <w:lastRenderedPageBreak/>
              <w:t>шығыстар</w:t>
            </w:r>
            <w:r w:rsidR="004F74FB">
              <w:rPr>
                <w:rFonts w:ascii="Times New Roman" w:hAnsi="Times New Roman" w:cs="Times New Roman"/>
                <w:lang w:val="kk-KZ"/>
              </w:rPr>
              <w:t>, барлығы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lastRenderedPageBreak/>
              <w:t>5.1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…</w:t>
            </w: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5.2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…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365BB" w:rsidRPr="00637730" w:rsidTr="00CB6A1F">
        <w:tc>
          <w:tcPr>
            <w:tcW w:w="710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  <w:r w:rsidRPr="00637730">
              <w:rPr>
                <w:rFonts w:ascii="Times New Roman" w:hAnsi="Times New Roman" w:cs="Times New Roman"/>
                <w:lang w:val="kk-KZ"/>
              </w:rPr>
              <w:t>5.n</w:t>
            </w:r>
          </w:p>
        </w:tc>
        <w:tc>
          <w:tcPr>
            <w:tcW w:w="198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1418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shd w:val="clear" w:color="auto" w:fill="auto"/>
          </w:tcPr>
          <w:p w:rsidR="00D365BB" w:rsidRPr="00637730" w:rsidRDefault="00D365BB" w:rsidP="00CB6A1F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47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87" w:type="dxa"/>
          </w:tcPr>
          <w:p w:rsidR="00D365BB" w:rsidRPr="00637730" w:rsidRDefault="00D365BB" w:rsidP="00CB6A1F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F74FB" w:rsidTr="004F74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ЖИЫНТЫҒЫ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1, 2, 3, 4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және</w:t>
            </w: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-жолдар сомасы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4F74FB" w:rsidTr="004F74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BC6A59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Қосылған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құн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салығының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бұдан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әрі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ҚҚС)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74FB" w:rsidTr="004F74FB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BC6A59" w:rsidRDefault="00BC6A59" w:rsidP="00BC6A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ҚҚС </w:t>
            </w:r>
            <w:proofErr w:type="spellStart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сомасын</w:t>
            </w:r>
            <w:proofErr w:type="spellEnd"/>
            <w:r w:rsidRPr="00BC6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есепке алғанда жиынтығы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4FB" w:rsidRPr="004F74FB" w:rsidRDefault="004F74FB" w:rsidP="004F74F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Кестеде шығыстардың әрбір бабына негіздемелер және олардың түсіндірмелер, қосымша толықтырылған есептер түрінде зерттеу үшін қажеттілігі көрсетіледі және мыналар ескеріледі: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1. Жетекші орындаушылардың және қосымша тартылған орындаушылардың еңбегіне ақы төлеу жөніндегі шығыстардың баптары бойынша: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1.1 Зерттеу жетекшісінің және жетекші </w:t>
      </w:r>
      <w:r w:rsidR="006B4846">
        <w:rPr>
          <w:rFonts w:ascii="Times New Roman" w:hAnsi="Times New Roman"/>
          <w:sz w:val="28"/>
          <w:szCs w:val="28"/>
          <w:lang w:val="kk-KZ"/>
        </w:rPr>
        <w:t xml:space="preserve">зерттеу </w:t>
      </w:r>
      <w:r w:rsidRPr="00637730">
        <w:rPr>
          <w:rFonts w:ascii="Times New Roman" w:hAnsi="Times New Roman"/>
          <w:sz w:val="28"/>
          <w:szCs w:val="28"/>
          <w:lang w:val="kk-KZ"/>
        </w:rPr>
        <w:t>орындаушылар</w:t>
      </w:r>
      <w:r w:rsidR="006B4846">
        <w:rPr>
          <w:rFonts w:ascii="Times New Roman" w:hAnsi="Times New Roman"/>
          <w:sz w:val="28"/>
          <w:szCs w:val="28"/>
          <w:lang w:val="kk-KZ"/>
        </w:rPr>
        <w:t>ын</w:t>
      </w:r>
      <w:r w:rsidRPr="00637730">
        <w:rPr>
          <w:rFonts w:ascii="Times New Roman" w:hAnsi="Times New Roman"/>
          <w:sz w:val="28"/>
          <w:szCs w:val="28"/>
          <w:lang w:val="kk-KZ"/>
        </w:rPr>
        <w:t>ың еңбегіне ақы төлеу шығыстары аты-жөндері бойынша көрсетіледі.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«Жалақы» жолында қызметкерден ұсталатын салықтар мен жарналар сомасын қоса алғанда, жалақы көрсетіледі.</w:t>
      </w:r>
      <w:r w:rsidR="006B4846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Зерттеу жетекшісінің және </w:t>
      </w:r>
      <w:r w:rsidR="006B4846" w:rsidRPr="00637730">
        <w:rPr>
          <w:rFonts w:ascii="Times New Roman" w:hAnsi="Times New Roman"/>
          <w:sz w:val="28"/>
          <w:szCs w:val="28"/>
          <w:lang w:val="kk-KZ"/>
        </w:rPr>
        <w:t>жетекші</w:t>
      </w:r>
      <w:r w:rsidR="006B4846">
        <w:rPr>
          <w:rFonts w:ascii="Times New Roman" w:hAnsi="Times New Roman"/>
          <w:sz w:val="28"/>
          <w:szCs w:val="28"/>
          <w:lang w:val="kk-KZ"/>
        </w:rPr>
        <w:t xml:space="preserve"> зерттеу </w:t>
      </w:r>
      <w:r w:rsidR="006B4846" w:rsidRPr="00637730">
        <w:rPr>
          <w:rFonts w:ascii="Times New Roman" w:hAnsi="Times New Roman"/>
          <w:sz w:val="28"/>
          <w:szCs w:val="28"/>
          <w:lang w:val="kk-KZ"/>
        </w:rPr>
        <w:t>орындаушылар</w:t>
      </w:r>
      <w:r w:rsidR="006B4846">
        <w:rPr>
          <w:rFonts w:ascii="Times New Roman" w:hAnsi="Times New Roman"/>
          <w:sz w:val="28"/>
          <w:szCs w:val="28"/>
          <w:lang w:val="kk-KZ"/>
        </w:rPr>
        <w:t>ын</w:t>
      </w:r>
      <w:r w:rsidR="006B4846" w:rsidRPr="00637730">
        <w:rPr>
          <w:rFonts w:ascii="Times New Roman" w:hAnsi="Times New Roman"/>
          <w:sz w:val="28"/>
          <w:szCs w:val="28"/>
          <w:lang w:val="kk-KZ"/>
        </w:rPr>
        <w:t xml:space="preserve">ың </w:t>
      </w:r>
      <w:r w:rsidRPr="00637730">
        <w:rPr>
          <w:rFonts w:ascii="Times New Roman" w:hAnsi="Times New Roman"/>
          <w:sz w:val="28"/>
          <w:szCs w:val="28"/>
          <w:lang w:val="kk-KZ"/>
        </w:rPr>
        <w:t>«жалақысы» жолы бойынша:</w:t>
      </w:r>
    </w:p>
    <w:p w:rsidR="00D365BB" w:rsidRPr="00637730" w:rsidRDefault="00D365BB" w:rsidP="00D365B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3-бағанда өлшем бірлігі ретінде сағат көрсетіледі;</w:t>
      </w:r>
    </w:p>
    <w:p w:rsidR="000947EB" w:rsidRDefault="000947EB" w:rsidP="00D365B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47EB">
        <w:rPr>
          <w:rFonts w:ascii="Times New Roman" w:hAnsi="Times New Roman"/>
          <w:sz w:val="28"/>
          <w:szCs w:val="28"/>
          <w:lang w:val="kk-KZ"/>
        </w:rPr>
        <w:t xml:space="preserve">4-бағанда тарифтік </w:t>
      </w:r>
      <w:r>
        <w:rPr>
          <w:rFonts w:ascii="Times New Roman" w:hAnsi="Times New Roman"/>
          <w:sz w:val="28"/>
          <w:szCs w:val="28"/>
          <w:lang w:val="kk-KZ"/>
        </w:rPr>
        <w:t>мөлшерлемені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164</w:t>
      </w:r>
      <w:r>
        <w:rPr>
          <w:rFonts w:ascii="Times New Roman" w:hAnsi="Times New Roman"/>
          <w:sz w:val="28"/>
          <w:szCs w:val="28"/>
          <w:lang w:val="kk-KZ"/>
        </w:rPr>
        <w:t>**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бөлу </w:t>
      </w:r>
      <w:r>
        <w:rPr>
          <w:rFonts w:ascii="Times New Roman" w:hAnsi="Times New Roman"/>
          <w:sz w:val="28"/>
          <w:szCs w:val="28"/>
          <w:lang w:val="kk-KZ"/>
        </w:rPr>
        <w:t>арқылы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айқындалатын сағаттық </w:t>
      </w:r>
      <w:r>
        <w:rPr>
          <w:rFonts w:ascii="Times New Roman" w:hAnsi="Times New Roman"/>
          <w:sz w:val="28"/>
          <w:szCs w:val="28"/>
          <w:lang w:val="kk-KZ"/>
        </w:rPr>
        <w:t>мөлшерлеме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көрсетіледі.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Pr="000947EB">
        <w:rPr>
          <w:rFonts w:ascii="Times New Roman" w:hAnsi="Times New Roman"/>
          <w:sz w:val="28"/>
          <w:szCs w:val="28"/>
          <w:lang w:val="kk-KZ"/>
        </w:rPr>
        <w:t>Тарифтік мөлшерлеме</w:t>
      </w:r>
      <w:r>
        <w:rPr>
          <w:rFonts w:ascii="Times New Roman" w:hAnsi="Times New Roman"/>
          <w:sz w:val="28"/>
          <w:szCs w:val="28"/>
          <w:lang w:val="kk-KZ"/>
        </w:rPr>
        <w:t>»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ретінде </w:t>
      </w:r>
      <w:r>
        <w:rPr>
          <w:rFonts w:ascii="Times New Roman" w:hAnsi="Times New Roman"/>
          <w:sz w:val="28"/>
          <w:szCs w:val="28"/>
          <w:lang w:val="kk-KZ"/>
        </w:rPr>
        <w:t>іздену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шінің қалауы бойынша </w:t>
      </w:r>
      <w:r>
        <w:rPr>
          <w:rFonts w:ascii="Times New Roman" w:hAnsi="Times New Roman"/>
          <w:sz w:val="28"/>
          <w:szCs w:val="28"/>
          <w:lang w:val="kk-KZ"/>
        </w:rPr>
        <w:t>мынадай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мәндердің бірі қолданылады</w:t>
      </w:r>
      <w:r>
        <w:rPr>
          <w:rFonts w:ascii="Times New Roman" w:hAnsi="Times New Roman"/>
          <w:sz w:val="28"/>
          <w:szCs w:val="28"/>
          <w:lang w:val="kk-KZ"/>
        </w:rPr>
        <w:t>:</w:t>
      </w:r>
    </w:p>
    <w:p w:rsidR="000947EB" w:rsidRPr="000947EB" w:rsidRDefault="000947EB" w:rsidP="000947E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47EB">
        <w:rPr>
          <w:rFonts w:ascii="Times New Roman" w:hAnsi="Times New Roman"/>
          <w:sz w:val="28"/>
          <w:szCs w:val="28"/>
          <w:lang w:val="kk-KZ"/>
        </w:rPr>
        <w:t xml:space="preserve">1) Егер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рындаушы ізденушінің штаттық қызметкері болса, ізденушінің орындаушысына белгіленген нақты лауазымдық </w:t>
      </w:r>
      <w:proofErr w:type="spellStart"/>
      <w:r w:rsidRPr="000947EB">
        <w:rPr>
          <w:rFonts w:ascii="Times New Roman" w:hAnsi="Times New Roman"/>
          <w:sz w:val="28"/>
          <w:szCs w:val="28"/>
          <w:lang w:val="kk-KZ"/>
        </w:rPr>
        <w:t>айлықақы</w:t>
      </w:r>
      <w:proofErr w:type="spellEnd"/>
      <w:r w:rsidR="00AB18F5">
        <w:rPr>
          <w:rFonts w:ascii="Times New Roman" w:hAnsi="Times New Roman"/>
          <w:sz w:val="28"/>
          <w:szCs w:val="28"/>
          <w:lang w:val="kk-KZ"/>
        </w:rPr>
        <w:t xml:space="preserve"> (айлық)</w:t>
      </w:r>
      <w:r w:rsidRPr="000947EB">
        <w:rPr>
          <w:rFonts w:ascii="Times New Roman" w:hAnsi="Times New Roman"/>
          <w:sz w:val="28"/>
          <w:szCs w:val="28"/>
          <w:lang w:val="kk-KZ"/>
        </w:rPr>
        <w:t>;</w:t>
      </w:r>
    </w:p>
    <w:p w:rsidR="000947EB" w:rsidRPr="000947EB" w:rsidRDefault="000947EB" w:rsidP="000947E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47EB">
        <w:rPr>
          <w:rFonts w:ascii="Times New Roman" w:hAnsi="Times New Roman"/>
          <w:sz w:val="28"/>
          <w:szCs w:val="28"/>
          <w:lang w:val="kk-KZ"/>
        </w:rPr>
        <w:t>2) ізденуші</w:t>
      </w:r>
      <w:r w:rsidR="0015078C">
        <w:rPr>
          <w:rFonts w:ascii="Times New Roman" w:hAnsi="Times New Roman"/>
          <w:sz w:val="28"/>
          <w:szCs w:val="28"/>
          <w:lang w:val="kk-KZ"/>
        </w:rPr>
        <w:t>нің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ұқсас позициясының (лауазымының) жалақысына (лауазымдық </w:t>
      </w:r>
      <w:proofErr w:type="spellStart"/>
      <w:r w:rsidRPr="000947EB">
        <w:rPr>
          <w:rFonts w:ascii="Times New Roman" w:hAnsi="Times New Roman"/>
          <w:sz w:val="28"/>
          <w:szCs w:val="28"/>
          <w:lang w:val="kk-KZ"/>
        </w:rPr>
        <w:t>айлықақысына</w:t>
      </w:r>
      <w:proofErr w:type="spellEnd"/>
      <w:r w:rsidRPr="000947EB">
        <w:rPr>
          <w:rFonts w:ascii="Times New Roman" w:hAnsi="Times New Roman"/>
          <w:sz w:val="28"/>
          <w:szCs w:val="28"/>
          <w:lang w:val="kk-KZ"/>
        </w:rPr>
        <w:t>) баламалы</w:t>
      </w:r>
      <w:r w:rsidR="0015078C" w:rsidRPr="0015078C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15078C" w:rsidRPr="000947EB">
        <w:rPr>
          <w:rFonts w:ascii="Times New Roman" w:hAnsi="Times New Roman"/>
          <w:sz w:val="28"/>
          <w:szCs w:val="28"/>
          <w:lang w:val="kk-KZ"/>
        </w:rPr>
        <w:t>бір ай</w:t>
      </w:r>
      <w:r w:rsidR="0015078C">
        <w:rPr>
          <w:rFonts w:ascii="Times New Roman" w:hAnsi="Times New Roman"/>
          <w:sz w:val="28"/>
          <w:szCs w:val="28"/>
          <w:lang w:val="kk-KZ"/>
        </w:rPr>
        <w:t xml:space="preserve"> үшін</w:t>
      </w:r>
      <w:r w:rsidR="0015078C" w:rsidRPr="000947EB">
        <w:rPr>
          <w:rFonts w:ascii="Times New Roman" w:hAnsi="Times New Roman"/>
          <w:sz w:val="28"/>
          <w:szCs w:val="28"/>
          <w:lang w:val="kk-KZ"/>
        </w:rPr>
        <w:t xml:space="preserve"> еңбекке ақы төлеу мөлшерлемесі</w:t>
      </w:r>
      <w:r w:rsidRPr="000947EB">
        <w:rPr>
          <w:rFonts w:ascii="Times New Roman" w:hAnsi="Times New Roman"/>
          <w:sz w:val="28"/>
          <w:szCs w:val="28"/>
          <w:lang w:val="kk-KZ"/>
        </w:rPr>
        <w:t>;</w:t>
      </w:r>
    </w:p>
    <w:p w:rsidR="000947EB" w:rsidRPr="000947EB" w:rsidRDefault="000947EB" w:rsidP="000947E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47EB">
        <w:rPr>
          <w:rFonts w:ascii="Times New Roman" w:hAnsi="Times New Roman"/>
          <w:sz w:val="28"/>
          <w:szCs w:val="28"/>
          <w:lang w:val="kk-KZ"/>
        </w:rPr>
        <w:t xml:space="preserve">3) Қазақстан Республикасы Білім және ғылым министрлігі ұсынатын лауазымдар </w:t>
      </w:r>
      <w:r w:rsidR="00AB18F5">
        <w:rPr>
          <w:rFonts w:ascii="Times New Roman" w:hAnsi="Times New Roman"/>
          <w:sz w:val="28"/>
          <w:szCs w:val="28"/>
          <w:lang w:val="kk-KZ"/>
        </w:rPr>
        <w:t>бойынша бөлгенде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 жоғары </w:t>
      </w:r>
      <w:r w:rsidR="00AB18F5">
        <w:rPr>
          <w:rFonts w:ascii="Times New Roman" w:hAnsi="Times New Roman"/>
          <w:sz w:val="28"/>
          <w:szCs w:val="28"/>
          <w:lang w:val="kk-KZ"/>
        </w:rPr>
        <w:t xml:space="preserve">білім беру </w:t>
      </w:r>
      <w:r w:rsidRPr="000947EB">
        <w:rPr>
          <w:rFonts w:ascii="Times New Roman" w:hAnsi="Times New Roman"/>
          <w:sz w:val="28"/>
          <w:szCs w:val="28"/>
          <w:lang w:val="kk-KZ"/>
        </w:rPr>
        <w:t xml:space="preserve">және (немесе) жоғары оқу </w:t>
      </w:r>
      <w:r w:rsidRPr="000947EB">
        <w:rPr>
          <w:rFonts w:ascii="Times New Roman" w:hAnsi="Times New Roman"/>
          <w:sz w:val="28"/>
          <w:szCs w:val="28"/>
          <w:lang w:val="kk-KZ"/>
        </w:rPr>
        <w:lastRenderedPageBreak/>
        <w:t>орнынан кейінгі білім беру ұйымдарындағы штаттық профессор-оқытушылар құрамының ең төменгі айлық жалақысы;</w:t>
      </w:r>
    </w:p>
    <w:p w:rsidR="000947EB" w:rsidRDefault="000947EB" w:rsidP="000947E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947EB">
        <w:rPr>
          <w:rFonts w:ascii="Times New Roman" w:hAnsi="Times New Roman"/>
          <w:sz w:val="28"/>
          <w:szCs w:val="28"/>
          <w:lang w:val="kk-KZ"/>
        </w:rPr>
        <w:t>4) мемлекеттік статистика саласындағы функцияларды жүзеге асыратын уәкілетті орган жариялаған соңғы қол жетімді кезеңдегі орташа жалақы;</w:t>
      </w:r>
    </w:p>
    <w:p w:rsidR="00D365BB" w:rsidRPr="00637730" w:rsidRDefault="00D365BB" w:rsidP="00D365B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5-бағанда жоба бойынша жұмысқа жұмсалған уақыт </w:t>
      </w:r>
      <w:r w:rsidR="003E3036">
        <w:rPr>
          <w:rFonts w:ascii="Times New Roman" w:hAnsi="Times New Roman"/>
          <w:sz w:val="28"/>
          <w:szCs w:val="28"/>
          <w:lang w:val="kk-KZ"/>
        </w:rPr>
        <w:t xml:space="preserve">сағатпен </w:t>
      </w:r>
      <w:r w:rsidRPr="00637730">
        <w:rPr>
          <w:rFonts w:ascii="Times New Roman" w:hAnsi="Times New Roman"/>
          <w:sz w:val="28"/>
          <w:szCs w:val="28"/>
          <w:lang w:val="kk-KZ"/>
        </w:rPr>
        <w:t>көрсетіледі. 5-бағандағы мән зерттеу ұзақтығынан аспайды;</w:t>
      </w:r>
      <w:r w:rsidR="00AB18F5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65BB" w:rsidRPr="00637730" w:rsidRDefault="00D365BB" w:rsidP="00D365B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6-бағанда 4 және 5-бағандар мәндерінің көбейтіндісі ретінде есептелетін мән көрсетіледі;</w:t>
      </w:r>
    </w:p>
    <w:p w:rsidR="003E3036" w:rsidRDefault="003E3036" w:rsidP="00D365BB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3E3036">
        <w:rPr>
          <w:rFonts w:ascii="Times New Roman" w:hAnsi="Times New Roman"/>
          <w:sz w:val="28"/>
          <w:szCs w:val="28"/>
          <w:lang w:val="kk-KZ"/>
        </w:rPr>
        <w:t xml:space="preserve">7-бағанда </w:t>
      </w:r>
      <w:r>
        <w:rPr>
          <w:rFonts w:ascii="Times New Roman" w:hAnsi="Times New Roman"/>
          <w:sz w:val="28"/>
          <w:szCs w:val="28"/>
          <w:lang w:val="kk-KZ"/>
        </w:rPr>
        <w:t>о</w:t>
      </w:r>
      <w:r w:rsidRPr="003E3036">
        <w:rPr>
          <w:rFonts w:ascii="Times New Roman" w:hAnsi="Times New Roman"/>
          <w:sz w:val="28"/>
          <w:szCs w:val="28"/>
          <w:lang w:val="kk-KZ"/>
        </w:rPr>
        <w:t xml:space="preserve">рындаушы орындайтын іс-шаралар, сондай-ақ 4-баған бойынша еңбекке ақы төлеудің сағаттық </w:t>
      </w:r>
      <w:r>
        <w:rPr>
          <w:rFonts w:ascii="Times New Roman" w:hAnsi="Times New Roman"/>
          <w:sz w:val="28"/>
          <w:szCs w:val="28"/>
          <w:lang w:val="kk-KZ"/>
        </w:rPr>
        <w:t>мөлшерлемесін</w:t>
      </w:r>
      <w:r w:rsidRPr="003E3036">
        <w:rPr>
          <w:rFonts w:ascii="Times New Roman" w:hAnsi="Times New Roman"/>
          <w:sz w:val="28"/>
          <w:szCs w:val="28"/>
          <w:lang w:val="kk-KZ"/>
        </w:rPr>
        <w:t xml:space="preserve"> есептеу үшін қолданылған тарифтік </w:t>
      </w:r>
      <w:r>
        <w:rPr>
          <w:rFonts w:ascii="Times New Roman" w:hAnsi="Times New Roman"/>
          <w:sz w:val="28"/>
          <w:szCs w:val="28"/>
          <w:lang w:val="kk-KZ"/>
        </w:rPr>
        <w:t xml:space="preserve">мөлшерлеме </w:t>
      </w:r>
      <w:r w:rsidRPr="003E3036">
        <w:rPr>
          <w:rFonts w:ascii="Times New Roman" w:hAnsi="Times New Roman"/>
          <w:sz w:val="28"/>
          <w:szCs w:val="28"/>
          <w:lang w:val="kk-KZ"/>
        </w:rPr>
        <w:t>көрсетіледі. Бұл ретте ізденуші қол қойған жалақы мөлшерін есептеу және оның негіздемесі, қолданылған тарифтік мөлшерлеме</w:t>
      </w:r>
      <w:r w:rsidR="002C3591">
        <w:rPr>
          <w:rFonts w:ascii="Times New Roman" w:hAnsi="Times New Roman"/>
          <w:sz w:val="28"/>
          <w:szCs w:val="28"/>
          <w:lang w:val="kk-KZ"/>
        </w:rPr>
        <w:t xml:space="preserve">ні есептеу </w:t>
      </w:r>
      <w:r w:rsidRPr="003E3036">
        <w:rPr>
          <w:rFonts w:ascii="Times New Roman" w:hAnsi="Times New Roman"/>
          <w:sz w:val="28"/>
          <w:szCs w:val="28"/>
          <w:lang w:val="kk-KZ"/>
        </w:rPr>
        <w:t xml:space="preserve"> зерттеуге арналған шығыстар сметасына және олардың негіздемелеріне қоса беріледі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1.2 Қосымша тартылатын орындаушылардың еңбегіне ақы төлеуге арналған шығыстар.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Шығыстардың осы бабы бойынша көмекші ретінде тартылатын қосымша тартылатын орындаушылардың (студенттерді, магистранттарды, аспиранттарды қоса алғанда) еңбегіне ақы төлеу шығыстары көрсетіледі. Бұл адамдарға арналған шығыстар аты-жөнімен көрсетілмейді</w:t>
      </w:r>
      <w:r w:rsidR="002C3591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2C3591" w:rsidRPr="002C3591">
        <w:rPr>
          <w:rFonts w:ascii="Times New Roman" w:hAnsi="Times New Roman"/>
          <w:sz w:val="28"/>
          <w:szCs w:val="28"/>
          <w:lang w:val="kk-KZ"/>
        </w:rPr>
        <w:t>қосымша тартылатын орындаушылардың әрбір позициясын көрсету жеткілікті</w:t>
      </w:r>
      <w:r w:rsidR="002C3591">
        <w:rPr>
          <w:rFonts w:ascii="Times New Roman" w:hAnsi="Times New Roman"/>
          <w:sz w:val="28"/>
          <w:szCs w:val="28"/>
          <w:lang w:val="kk-KZ"/>
        </w:rPr>
        <w:t xml:space="preserve"> болады</w:t>
      </w:r>
      <w:r w:rsidRPr="00637730">
        <w:rPr>
          <w:rFonts w:ascii="Times New Roman" w:hAnsi="Times New Roman"/>
          <w:sz w:val="28"/>
          <w:szCs w:val="28"/>
          <w:lang w:val="kk-KZ"/>
        </w:rPr>
        <w:t>.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Қосымша тартылатын орындаушылардың «жалақысы» жолы бойынша әрбір позиция немесе функция бойынша мыналарды көрсету қажет: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3-бағанда өлшем бірлігі ретінде сағат көрсетіледі;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4-бағанда қосымша тартылатын орындаушылардың жұмыспен толық қамтылған сағаттары үшін еңбекақы мөлшерлемесі көрсетіледі;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5-бағанда қосымша тартылатын орындаушылардың толық жұмыспен қамтылған сағаттарының жалпы саны (толық жұмыспен қамтылған адам-күн/сағат саны)</w:t>
      </w:r>
      <w:r w:rsidR="002C3591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2C3591" w:rsidRPr="00637730">
        <w:rPr>
          <w:rFonts w:ascii="Times New Roman" w:hAnsi="Times New Roman"/>
          <w:sz w:val="28"/>
          <w:szCs w:val="28"/>
          <w:lang w:val="kk-KZ"/>
        </w:rPr>
        <w:t>көрсетіледі</w:t>
      </w:r>
      <w:r w:rsidRPr="00637730">
        <w:rPr>
          <w:rFonts w:ascii="Times New Roman" w:hAnsi="Times New Roman"/>
          <w:sz w:val="28"/>
          <w:szCs w:val="28"/>
          <w:lang w:val="kk-KZ"/>
        </w:rPr>
        <w:t>;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6-бағанда 4 және 5-бағандар мәндерінің көбейтіндісі ретінде есептелетін мән көрсетіледі;</w:t>
      </w:r>
      <w:r w:rsidR="002C3591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7-бағанда еңбекке ақы төлеу үшін қолданылған мөлшерлеменің негіздемесін көрсете отырып, қосымша тартылатын орындаушылар</w:t>
      </w:r>
      <w:r w:rsidR="002C3591">
        <w:rPr>
          <w:rFonts w:ascii="Times New Roman" w:hAnsi="Times New Roman"/>
          <w:sz w:val="28"/>
          <w:szCs w:val="28"/>
          <w:lang w:val="kk-KZ"/>
        </w:rPr>
        <w:t>ды</w:t>
      </w:r>
      <w:r w:rsidRPr="00637730">
        <w:rPr>
          <w:rFonts w:ascii="Times New Roman" w:hAnsi="Times New Roman"/>
          <w:sz w:val="28"/>
          <w:szCs w:val="28"/>
          <w:lang w:val="kk-KZ"/>
        </w:rPr>
        <w:t xml:space="preserve"> тарту қажеттілігі және зерттеудегі рөлі көрсетіледі.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2. Зерттеу жүргізуге байланысты іссапар шығыстарының баптары бойынша: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1) іссапарда болған әрбір күнтізбелік күн үшін тәуліктік төлемдер, оның ішінде жол жүру уақыты үшін, тиісті қаржы жылына арналған республикалық бюджет туралы заңда белгіленген 2 (екі) айлық есептік көрсеткіш (бұдан әрі – АЕК) мөлшерінде;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 xml:space="preserve">2) тұрғын үй-жайды жалдау бойынша шығыстар Нұр-Сұлтан, Алматы, Атырау, Ақтау, Шымкент қалаларында тәулігіне 10 АЕК-тен аспайтын, Қазақстан Республикасының облыс орталықтарында (Атырау, Ақтау </w:t>
      </w:r>
      <w:r w:rsidRPr="00637730">
        <w:rPr>
          <w:rFonts w:ascii="Times New Roman" w:hAnsi="Times New Roman"/>
          <w:sz w:val="28"/>
          <w:szCs w:val="28"/>
          <w:lang w:val="kk-KZ"/>
        </w:rPr>
        <w:lastRenderedPageBreak/>
        <w:t>қалаларын қоспағанда) және басқа қалаларында тәулігіне 7 АЕК-тен аспайтын мөлшерде;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3) «Эконом» класты әуе билетінің немесе темір жол көлігінің құны бойынша межелі жерге бару және кері қайту жолақысы бойынша шығыстар.</w:t>
      </w:r>
    </w:p>
    <w:p w:rsidR="001E63ED" w:rsidRDefault="001E63ED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63ED">
        <w:rPr>
          <w:rFonts w:ascii="Times New Roman" w:hAnsi="Times New Roman"/>
          <w:sz w:val="28"/>
          <w:szCs w:val="28"/>
          <w:lang w:val="kk-KZ"/>
        </w:rPr>
        <w:t>7-бағанда іссапарлар мен іссапар</w:t>
      </w:r>
      <w:r>
        <w:rPr>
          <w:rFonts w:ascii="Times New Roman" w:hAnsi="Times New Roman"/>
          <w:sz w:val="28"/>
          <w:szCs w:val="28"/>
          <w:lang w:val="kk-KZ"/>
        </w:rPr>
        <w:t>ға баратындар</w:t>
      </w:r>
      <w:r w:rsidRPr="001E63ED">
        <w:rPr>
          <w:rFonts w:ascii="Times New Roman" w:hAnsi="Times New Roman"/>
          <w:sz w:val="28"/>
          <w:szCs w:val="28"/>
          <w:lang w:val="kk-KZ"/>
        </w:rPr>
        <w:t xml:space="preserve"> саны, жоспарланған іссапарлар</w:t>
      </w:r>
      <w:r>
        <w:rPr>
          <w:rFonts w:ascii="Times New Roman" w:hAnsi="Times New Roman"/>
          <w:sz w:val="28"/>
          <w:szCs w:val="28"/>
          <w:lang w:val="kk-KZ"/>
        </w:rPr>
        <w:t xml:space="preserve"> орны, мақсаты және олардан күтілетін</w:t>
      </w:r>
      <w:r w:rsidRPr="001E63ED">
        <w:rPr>
          <w:rFonts w:ascii="Times New Roman" w:hAnsi="Times New Roman"/>
          <w:sz w:val="28"/>
          <w:szCs w:val="28"/>
          <w:lang w:val="kk-KZ"/>
        </w:rPr>
        <w:t xml:space="preserve"> нәтижелер көрсетілген іссапар шығыстарының негіздемелері көрсетіледі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3. Үстеме шығыстардың баптары бойынша:</w:t>
      </w:r>
    </w:p>
    <w:p w:rsidR="001E63ED" w:rsidRDefault="001E63ED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E63ED">
        <w:rPr>
          <w:rFonts w:ascii="Times New Roman" w:hAnsi="Times New Roman"/>
          <w:sz w:val="28"/>
          <w:szCs w:val="28"/>
          <w:lang w:val="kk-KZ"/>
        </w:rPr>
        <w:t>Үстеме шығыстар ізденушінің үй-жайды, жабдықты ұста</w:t>
      </w:r>
      <w:r w:rsidR="00470BC2">
        <w:rPr>
          <w:rFonts w:ascii="Times New Roman" w:hAnsi="Times New Roman"/>
          <w:sz w:val="28"/>
          <w:szCs w:val="28"/>
          <w:lang w:val="kk-KZ"/>
        </w:rPr>
        <w:t>у</w:t>
      </w:r>
      <w:r w:rsidRPr="001E63ED">
        <w:rPr>
          <w:rFonts w:ascii="Times New Roman" w:hAnsi="Times New Roman"/>
          <w:sz w:val="28"/>
          <w:szCs w:val="28"/>
          <w:lang w:val="kk-KZ"/>
        </w:rPr>
        <w:t xml:space="preserve"> және олар бойынша амортизациялық аударымдар, коммуникациялар</w:t>
      </w:r>
      <w:r w:rsidR="00470BC2">
        <w:rPr>
          <w:rFonts w:ascii="Times New Roman" w:hAnsi="Times New Roman"/>
          <w:sz w:val="28"/>
          <w:szCs w:val="28"/>
          <w:lang w:val="kk-KZ"/>
        </w:rPr>
        <w:t>ға</w:t>
      </w:r>
      <w:r w:rsidRPr="001E63ED">
        <w:rPr>
          <w:rFonts w:ascii="Times New Roman" w:hAnsi="Times New Roman"/>
          <w:sz w:val="28"/>
          <w:szCs w:val="28"/>
          <w:lang w:val="kk-KZ"/>
        </w:rPr>
        <w:t xml:space="preserve"> (телефон байланысы, интернет) және басқа да инфрақұрылымға (коммуналдық қызметтер және (немесе) пайдалану шығыстары) қол жеткізу шығыстар</w:t>
      </w:r>
      <w:r w:rsidR="00470BC2">
        <w:rPr>
          <w:rFonts w:ascii="Times New Roman" w:hAnsi="Times New Roman"/>
          <w:sz w:val="28"/>
          <w:szCs w:val="28"/>
          <w:lang w:val="kk-KZ"/>
        </w:rPr>
        <w:t>ын</w:t>
      </w:r>
      <w:r w:rsidRPr="001E63ED">
        <w:rPr>
          <w:rFonts w:ascii="Times New Roman" w:hAnsi="Times New Roman"/>
          <w:sz w:val="28"/>
          <w:szCs w:val="28"/>
          <w:lang w:val="kk-KZ"/>
        </w:rPr>
        <w:t>, кеңсе шығыстары мен грантқа әкімшілік қызмет көрсетуді қамтитын зерттеуді орындауға жағдай жасау үшін жұмсайтын шығыстары</w:t>
      </w:r>
      <w:r w:rsidR="00470BC2">
        <w:rPr>
          <w:rFonts w:ascii="Times New Roman" w:hAnsi="Times New Roman"/>
          <w:sz w:val="28"/>
          <w:szCs w:val="28"/>
          <w:lang w:val="kk-KZ"/>
        </w:rPr>
        <w:t>н</w:t>
      </w:r>
      <w:r w:rsidRPr="001E63E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70BC2">
        <w:rPr>
          <w:rFonts w:ascii="Times New Roman" w:hAnsi="Times New Roman"/>
          <w:sz w:val="28"/>
          <w:szCs w:val="28"/>
          <w:lang w:val="kk-KZ"/>
        </w:rPr>
        <w:t xml:space="preserve">білдіреді. </w:t>
      </w:r>
    </w:p>
    <w:p w:rsidR="001E63ED" w:rsidRDefault="00470BC2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470BC2">
        <w:rPr>
          <w:rFonts w:ascii="Times New Roman" w:hAnsi="Times New Roman"/>
          <w:sz w:val="28"/>
          <w:szCs w:val="28"/>
          <w:lang w:val="kk-KZ"/>
        </w:rPr>
        <w:t>Үстеме шығыстардың жалпы сомасы шығыстар сметасының 1-жолында көрсетілген еңбекке ақы төлеуге арналған шығыстар сомасын</w:t>
      </w:r>
      <w:r>
        <w:rPr>
          <w:rFonts w:ascii="Times New Roman" w:hAnsi="Times New Roman"/>
          <w:sz w:val="28"/>
          <w:szCs w:val="28"/>
          <w:lang w:val="kk-KZ"/>
        </w:rPr>
        <w:t>ан</w:t>
      </w:r>
      <w:r w:rsidRPr="00470BC2">
        <w:rPr>
          <w:rFonts w:ascii="Times New Roman" w:hAnsi="Times New Roman"/>
          <w:sz w:val="28"/>
          <w:szCs w:val="28"/>
          <w:lang w:val="kk-KZ"/>
        </w:rPr>
        <w:t xml:space="preserve"> 15%</w:t>
      </w:r>
      <w:r>
        <w:rPr>
          <w:rFonts w:ascii="Times New Roman" w:hAnsi="Times New Roman"/>
          <w:sz w:val="28"/>
          <w:szCs w:val="28"/>
          <w:lang w:val="kk-KZ"/>
        </w:rPr>
        <w:t>-дан</w:t>
      </w:r>
      <w:r w:rsidRPr="00470BC2">
        <w:rPr>
          <w:rFonts w:ascii="Times New Roman" w:hAnsi="Times New Roman"/>
          <w:sz w:val="28"/>
          <w:szCs w:val="28"/>
          <w:lang w:val="kk-KZ"/>
        </w:rPr>
        <w:t xml:space="preserve"> (он бес пайызы) аспайды және 800 (сегіз жүз) АЕК-</w:t>
      </w:r>
      <w:proofErr w:type="spellStart"/>
      <w:r w:rsidRPr="00470BC2">
        <w:rPr>
          <w:rFonts w:ascii="Times New Roman" w:hAnsi="Times New Roman"/>
          <w:sz w:val="28"/>
          <w:szCs w:val="28"/>
          <w:lang w:val="kk-KZ"/>
        </w:rPr>
        <w:t>тен</w:t>
      </w:r>
      <w:proofErr w:type="spellEnd"/>
      <w:r w:rsidRPr="00470BC2">
        <w:rPr>
          <w:rFonts w:ascii="Times New Roman" w:hAnsi="Times New Roman"/>
          <w:sz w:val="28"/>
          <w:szCs w:val="28"/>
          <w:lang w:val="kk-KZ"/>
        </w:rPr>
        <w:t xml:space="preserve"> аспайды. Үстеме шығыстардың талдамасы мен негіздемесі талап етілмейді</w:t>
      </w:r>
    </w:p>
    <w:p w:rsidR="00D365BB" w:rsidRPr="00637730" w:rsidRDefault="00D365BB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37730">
        <w:rPr>
          <w:rFonts w:ascii="Times New Roman" w:hAnsi="Times New Roman"/>
          <w:sz w:val="28"/>
          <w:szCs w:val="28"/>
          <w:lang w:val="kk-KZ"/>
        </w:rPr>
        <w:t>4. Материалдық-техникалық қамтамасыз етуге арналған шығыстар.</w:t>
      </w:r>
    </w:p>
    <w:p w:rsidR="00681F03" w:rsidRDefault="00681F03" w:rsidP="00D365BB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81F03">
        <w:rPr>
          <w:rFonts w:ascii="Times New Roman" w:hAnsi="Times New Roman"/>
          <w:sz w:val="28"/>
          <w:szCs w:val="28"/>
          <w:lang w:val="kk-KZ"/>
        </w:rPr>
        <w:t>Шығыстардың сома</w:t>
      </w:r>
      <w:r>
        <w:rPr>
          <w:rFonts w:ascii="Times New Roman" w:hAnsi="Times New Roman"/>
          <w:sz w:val="28"/>
          <w:szCs w:val="28"/>
          <w:lang w:val="kk-KZ"/>
        </w:rPr>
        <w:t>с</w:t>
      </w:r>
      <w:r w:rsidRPr="00681F03">
        <w:rPr>
          <w:rFonts w:ascii="Times New Roman" w:hAnsi="Times New Roman"/>
          <w:sz w:val="28"/>
          <w:szCs w:val="28"/>
          <w:lang w:val="kk-KZ"/>
        </w:rPr>
        <w:t xml:space="preserve">ы мен баптарын көрсете отырып, зерттеу жүргізу үшін қажетті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681F03">
        <w:rPr>
          <w:rFonts w:ascii="Times New Roman" w:hAnsi="Times New Roman"/>
          <w:sz w:val="28"/>
          <w:szCs w:val="28"/>
          <w:lang w:val="kk-KZ"/>
        </w:rPr>
        <w:t xml:space="preserve">өгде ұйымдардың қызметіне ақы төлеуге байланысты материалдарды (қорларды) және шығыстарды қоса алғанда, материалдық-техникалық қамтамасыз ету (мысалы, </w:t>
      </w:r>
      <w:r>
        <w:rPr>
          <w:rFonts w:ascii="Times New Roman" w:hAnsi="Times New Roman"/>
          <w:sz w:val="28"/>
          <w:szCs w:val="28"/>
          <w:lang w:val="kk-KZ"/>
        </w:rPr>
        <w:t>б</w:t>
      </w:r>
      <w:r w:rsidRPr="00681F03">
        <w:rPr>
          <w:rFonts w:ascii="Times New Roman" w:hAnsi="Times New Roman"/>
          <w:sz w:val="28"/>
          <w:szCs w:val="28"/>
          <w:lang w:val="kk-KZ"/>
        </w:rPr>
        <w:t>өгде ұйымдардың сауалнама жүргізу жөніндегі қызметтерді сатып алу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681F03">
        <w:rPr>
          <w:rFonts w:ascii="Times New Roman" w:hAnsi="Times New Roman"/>
          <w:sz w:val="28"/>
          <w:szCs w:val="28"/>
          <w:lang w:val="kk-KZ"/>
        </w:rPr>
        <w:t xml:space="preserve"> және </w:t>
      </w:r>
      <w:proofErr w:type="spellStart"/>
      <w:r w:rsidRPr="00681F03">
        <w:rPr>
          <w:rFonts w:ascii="Times New Roman" w:hAnsi="Times New Roman"/>
          <w:sz w:val="28"/>
          <w:szCs w:val="28"/>
          <w:lang w:val="kk-KZ"/>
        </w:rPr>
        <w:t>басқалар</w:t>
      </w:r>
      <w:proofErr w:type="spellEnd"/>
      <w:r w:rsidRPr="00681F03">
        <w:rPr>
          <w:rFonts w:ascii="Times New Roman" w:hAnsi="Times New Roman"/>
          <w:sz w:val="28"/>
          <w:szCs w:val="28"/>
          <w:lang w:val="kk-KZ"/>
        </w:rPr>
        <w:t>)</w:t>
      </w:r>
      <w:r w:rsidR="009D10D2">
        <w:rPr>
          <w:rFonts w:ascii="Times New Roman" w:hAnsi="Times New Roman"/>
          <w:sz w:val="28"/>
          <w:szCs w:val="28"/>
          <w:lang w:val="kk-KZ"/>
        </w:rPr>
        <w:t>.</w:t>
      </w:r>
    </w:p>
    <w:p w:rsidR="00681F03" w:rsidRPr="00681F03" w:rsidRDefault="00681F03" w:rsidP="00681F0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81F03">
        <w:rPr>
          <w:rFonts w:ascii="Times New Roman" w:hAnsi="Times New Roman"/>
          <w:sz w:val="28"/>
          <w:szCs w:val="28"/>
          <w:lang w:val="kk-KZ"/>
        </w:rPr>
        <w:t>7-бағанда материалдық-техникалық қамтамасыз ету шығыстар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681F03">
        <w:rPr>
          <w:rFonts w:ascii="Times New Roman" w:hAnsi="Times New Roman"/>
          <w:sz w:val="28"/>
          <w:szCs w:val="28"/>
          <w:lang w:val="kk-KZ"/>
        </w:rPr>
        <w:t xml:space="preserve"> қажеттілігінің негіздемесі, жоспарланған баға</w:t>
      </w:r>
      <w:r w:rsidR="009D10D2">
        <w:rPr>
          <w:rFonts w:ascii="Times New Roman" w:hAnsi="Times New Roman"/>
          <w:sz w:val="28"/>
          <w:szCs w:val="28"/>
          <w:lang w:val="kk-KZ"/>
        </w:rPr>
        <w:t>сы</w:t>
      </w:r>
      <w:r w:rsidRPr="00681F03">
        <w:rPr>
          <w:rFonts w:ascii="Times New Roman" w:hAnsi="Times New Roman"/>
          <w:sz w:val="28"/>
          <w:szCs w:val="28"/>
          <w:lang w:val="kk-KZ"/>
        </w:rPr>
        <w:t xml:space="preserve"> мен көлемі (саны) көрсетіледі.</w:t>
      </w:r>
    </w:p>
    <w:p w:rsidR="00681F03" w:rsidRDefault="00681F03" w:rsidP="00681F0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81F03">
        <w:rPr>
          <w:rFonts w:ascii="Times New Roman" w:hAnsi="Times New Roman"/>
          <w:sz w:val="28"/>
          <w:szCs w:val="28"/>
          <w:lang w:val="kk-KZ"/>
        </w:rPr>
        <w:t>Өтінім бере отырып, ізденуші грант алған кезде зерттеу орындаушыларын зерттеу жүргізу үшін үй-жаймен, коммуникацияларға және басқа да инфрақұрылымға қол жеткізумен қамтамасыз етуге өзіне міндеттеме алады.</w:t>
      </w:r>
    </w:p>
    <w:p w:rsidR="009D10D2" w:rsidRDefault="009D10D2" w:rsidP="00681F03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9D10D2" w:rsidRPr="009D10D2" w:rsidRDefault="009D10D2" w:rsidP="009D10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9D10D2">
        <w:rPr>
          <w:rFonts w:ascii="Times New Roman" w:hAnsi="Times New Roman"/>
          <w:sz w:val="28"/>
          <w:szCs w:val="28"/>
          <w:lang w:val="kk-KZ" w:eastAsia="ru-RU"/>
        </w:rPr>
        <w:t>Ескертпе:</w:t>
      </w:r>
    </w:p>
    <w:p w:rsidR="009D10D2" w:rsidRPr="009D10D2" w:rsidRDefault="009D10D2" w:rsidP="009D10D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9D10D2">
        <w:rPr>
          <w:rFonts w:ascii="Times New Roman" w:hAnsi="Times New Roman"/>
          <w:sz w:val="28"/>
          <w:szCs w:val="28"/>
          <w:lang w:val="kk-KZ" w:eastAsia="ru-RU"/>
        </w:rPr>
        <w:t>* Егер грант алушы ҚҚС төлеуші болса, ҚҚС сомасы (пайызбен және тікелей есеп айырысу бірліктерімен)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9D10D2">
        <w:rPr>
          <w:rFonts w:ascii="Times New Roman" w:hAnsi="Times New Roman"/>
          <w:sz w:val="28"/>
          <w:szCs w:val="28"/>
          <w:lang w:val="kk-KZ" w:eastAsia="ru-RU"/>
        </w:rPr>
        <w:t>көрсетіледі;</w:t>
      </w:r>
    </w:p>
    <w:p w:rsidR="009D10D2" w:rsidRDefault="009D10D2" w:rsidP="009D10D2">
      <w:pPr>
        <w:pStyle w:val="a3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 w:rsidRPr="009D10D2">
        <w:rPr>
          <w:rFonts w:ascii="Times New Roman" w:hAnsi="Times New Roman"/>
          <w:sz w:val="28"/>
          <w:szCs w:val="28"/>
          <w:lang w:val="kk-KZ" w:eastAsia="ru-RU"/>
        </w:rPr>
        <w:t xml:space="preserve">** бес күндік 40 сағаттық жұмыс аптасында жұмыс уақытының орташа айлық </w:t>
      </w:r>
      <w:r>
        <w:rPr>
          <w:rFonts w:ascii="Times New Roman" w:hAnsi="Times New Roman"/>
          <w:sz w:val="28"/>
          <w:szCs w:val="28"/>
          <w:lang w:val="kk-KZ" w:eastAsia="ru-RU"/>
        </w:rPr>
        <w:t>теңгерімі</w:t>
      </w:r>
      <w:r w:rsidRPr="009D10D2">
        <w:rPr>
          <w:rFonts w:ascii="Times New Roman" w:hAnsi="Times New Roman"/>
          <w:sz w:val="28"/>
          <w:szCs w:val="28"/>
          <w:lang w:val="kk-KZ" w:eastAsia="ru-RU"/>
        </w:rPr>
        <w:t>.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</w:p>
    <w:sectPr w:rsidR="009D1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8730A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B44BA"/>
    <w:multiLevelType w:val="hybridMultilevel"/>
    <w:tmpl w:val="C298E0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E5463"/>
    <w:multiLevelType w:val="hybridMultilevel"/>
    <w:tmpl w:val="E7E8510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B29"/>
    <w:rsid w:val="0005179B"/>
    <w:rsid w:val="000947EB"/>
    <w:rsid w:val="0015078C"/>
    <w:rsid w:val="001E63ED"/>
    <w:rsid w:val="002C3591"/>
    <w:rsid w:val="003E3036"/>
    <w:rsid w:val="00470BC2"/>
    <w:rsid w:val="004F74FB"/>
    <w:rsid w:val="00681F03"/>
    <w:rsid w:val="006B4846"/>
    <w:rsid w:val="00773B29"/>
    <w:rsid w:val="009D10D2"/>
    <w:rsid w:val="00AB18F5"/>
    <w:rsid w:val="00BB537D"/>
    <w:rsid w:val="00BC6A59"/>
    <w:rsid w:val="00BC7FEC"/>
    <w:rsid w:val="00D365BB"/>
    <w:rsid w:val="00F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2B3C"/>
  <w15:docId w15:val="{9F16EBFB-D34A-4BDB-B664-F9EF331E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5BB"/>
    <w:pPr>
      <w:spacing w:after="160" w:line="259" w:lineRule="auto"/>
    </w:pPr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365BB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365BB"/>
    <w:rPr>
      <w:rFonts w:ascii="Consolas" w:eastAsia="Times New Roman" w:hAnsi="Consolas"/>
      <w:sz w:val="21"/>
      <w:szCs w:val="21"/>
    </w:rPr>
  </w:style>
  <w:style w:type="paragraph" w:styleId="a5">
    <w:name w:val="List Paragraph"/>
    <w:basedOn w:val="a"/>
    <w:uiPriority w:val="34"/>
    <w:qFormat/>
    <w:rsid w:val="00BB5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 Есафьева</dc:creator>
  <cp:keywords/>
  <dc:description/>
  <cp:lastModifiedBy>Ainur Mamatayeva</cp:lastModifiedBy>
  <cp:revision>5</cp:revision>
  <dcterms:created xsi:type="dcterms:W3CDTF">2021-07-29T10:48:00Z</dcterms:created>
  <dcterms:modified xsi:type="dcterms:W3CDTF">2022-05-20T05:51:00Z</dcterms:modified>
</cp:coreProperties>
</file>