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74DD" w14:textId="77777777" w:rsidR="005D3EFB" w:rsidRPr="0004045B" w:rsidRDefault="00F51134" w:rsidP="001F19AD">
      <w:pPr>
        <w:jc w:val="center"/>
        <w:rPr>
          <w:b/>
          <w:sz w:val="28"/>
          <w:szCs w:val="28"/>
          <w:lang w:val="kk-KZ"/>
        </w:rPr>
      </w:pPr>
      <w:r w:rsidRPr="0004045B">
        <w:rPr>
          <w:b/>
          <w:sz w:val="28"/>
          <w:szCs w:val="28"/>
          <w:lang w:val="kk-KZ"/>
        </w:rPr>
        <w:t>«Арнайы қорғау дәрежесін талап ететін баспа өнімін берушілерді</w:t>
      </w:r>
      <w:r w:rsidR="001F19AD" w:rsidRPr="0004045B">
        <w:rPr>
          <w:b/>
          <w:sz w:val="28"/>
          <w:szCs w:val="28"/>
          <w:lang w:val="kk-KZ"/>
        </w:rPr>
        <w:t xml:space="preserve"> </w:t>
      </w:r>
      <w:r w:rsidRPr="0004045B">
        <w:rPr>
          <w:b/>
          <w:sz w:val="28"/>
          <w:szCs w:val="28"/>
          <w:lang w:val="kk-KZ"/>
        </w:rPr>
        <w:t xml:space="preserve">айқындау, </w:t>
      </w:r>
    </w:p>
    <w:p w14:paraId="690C5397" w14:textId="77777777" w:rsidR="005D3EFB" w:rsidRPr="0004045B" w:rsidRDefault="00F51134" w:rsidP="005D3EFB">
      <w:pPr>
        <w:jc w:val="center"/>
        <w:rPr>
          <w:b/>
          <w:sz w:val="28"/>
          <w:szCs w:val="28"/>
          <w:lang w:val="kk-KZ"/>
        </w:rPr>
      </w:pPr>
      <w:r w:rsidRPr="0004045B">
        <w:rPr>
          <w:b/>
          <w:sz w:val="28"/>
          <w:szCs w:val="28"/>
          <w:lang w:val="kk-KZ"/>
        </w:rPr>
        <w:t xml:space="preserve">сондай-ақ </w:t>
      </w:r>
      <w:r w:rsidR="005D3EFB" w:rsidRPr="0004045B">
        <w:rPr>
          <w:b/>
          <w:sz w:val="28"/>
          <w:szCs w:val="28"/>
          <w:lang w:val="kk-KZ"/>
        </w:rPr>
        <w:t>олардан сатып алынатын осындай өнімнің тізбесін бекіту және</w:t>
      </w:r>
    </w:p>
    <w:p w14:paraId="540B5F8B" w14:textId="4277FB57" w:rsidR="00F51134" w:rsidRPr="0004045B" w:rsidRDefault="00F51134" w:rsidP="005D3EFB">
      <w:pPr>
        <w:jc w:val="center"/>
        <w:rPr>
          <w:b/>
          <w:sz w:val="28"/>
          <w:szCs w:val="28"/>
          <w:lang w:val="kk-KZ"/>
        </w:rPr>
      </w:pPr>
      <w:r w:rsidRPr="0004045B">
        <w:rPr>
          <w:b/>
          <w:sz w:val="28"/>
          <w:szCs w:val="28"/>
          <w:lang w:val="kk-KZ"/>
        </w:rPr>
        <w:t>Қазақстан Республикасы Үкіметінің кейбір</w:t>
      </w:r>
      <w:r w:rsidR="001F19AD" w:rsidRPr="0004045B">
        <w:rPr>
          <w:b/>
          <w:sz w:val="28"/>
          <w:szCs w:val="28"/>
          <w:lang w:val="kk-KZ"/>
        </w:rPr>
        <w:t xml:space="preserve"> </w:t>
      </w:r>
      <w:r w:rsidRPr="0004045B">
        <w:rPr>
          <w:b/>
          <w:sz w:val="28"/>
          <w:szCs w:val="28"/>
          <w:lang w:val="kk-KZ"/>
        </w:rPr>
        <w:t>шешімдерінің күші жойылды деп тану туралы»</w:t>
      </w:r>
    </w:p>
    <w:p w14:paraId="535D3AA0" w14:textId="1A03AA5A" w:rsidR="00F51134" w:rsidRPr="0004045B" w:rsidRDefault="00F51134" w:rsidP="005D3EFB">
      <w:pPr>
        <w:jc w:val="center"/>
        <w:rPr>
          <w:b/>
          <w:sz w:val="28"/>
          <w:szCs w:val="28"/>
          <w:lang w:val="kk-KZ"/>
        </w:rPr>
      </w:pPr>
      <w:r w:rsidRPr="0004045B">
        <w:rPr>
          <w:b/>
          <w:sz w:val="28"/>
          <w:szCs w:val="28"/>
          <w:lang w:val="kk-KZ"/>
        </w:rPr>
        <w:t>Қазақстан Республикасы Үкіметінің 2015 жылғы 31 желтоқсандағы</w:t>
      </w:r>
      <w:r w:rsidR="005D3EFB" w:rsidRPr="0004045B">
        <w:rPr>
          <w:b/>
          <w:sz w:val="28"/>
          <w:szCs w:val="28"/>
          <w:lang w:val="kk-KZ"/>
        </w:rPr>
        <w:t xml:space="preserve"> №1162 қаулысына</w:t>
      </w:r>
    </w:p>
    <w:p w14:paraId="188257F9" w14:textId="01BA9BB1" w:rsidR="005D3EFB" w:rsidRPr="0004045B" w:rsidRDefault="00F51134" w:rsidP="00F51134">
      <w:pPr>
        <w:jc w:val="center"/>
        <w:rPr>
          <w:b/>
          <w:sz w:val="28"/>
          <w:szCs w:val="28"/>
          <w:lang w:val="kk-KZ"/>
        </w:rPr>
      </w:pPr>
      <w:r w:rsidRPr="0004045B">
        <w:rPr>
          <w:b/>
          <w:sz w:val="28"/>
          <w:szCs w:val="28"/>
          <w:lang w:val="kk-KZ"/>
        </w:rPr>
        <w:t>толықтырулар енгізу туралы» Қазақстан Республикасы</w:t>
      </w:r>
      <w:r w:rsidR="005D3EFB" w:rsidRPr="0004045B">
        <w:rPr>
          <w:b/>
          <w:sz w:val="28"/>
          <w:szCs w:val="28"/>
          <w:lang w:val="kk-KZ"/>
        </w:rPr>
        <w:t>ның</w:t>
      </w:r>
      <w:r w:rsidRPr="0004045B">
        <w:rPr>
          <w:b/>
          <w:sz w:val="28"/>
          <w:szCs w:val="28"/>
          <w:lang w:val="kk-KZ"/>
        </w:rPr>
        <w:t xml:space="preserve"> </w:t>
      </w:r>
    </w:p>
    <w:p w14:paraId="3A9EF1E1" w14:textId="65EB8CB8" w:rsidR="00F51134" w:rsidRPr="0004045B" w:rsidRDefault="00F51134" w:rsidP="00F51134">
      <w:pPr>
        <w:jc w:val="center"/>
        <w:rPr>
          <w:b/>
          <w:sz w:val="28"/>
          <w:szCs w:val="28"/>
          <w:lang w:val="kk-KZ"/>
        </w:rPr>
      </w:pPr>
      <w:r w:rsidRPr="0004045B">
        <w:rPr>
          <w:b/>
          <w:sz w:val="28"/>
          <w:szCs w:val="28"/>
          <w:lang w:val="kk-KZ"/>
        </w:rPr>
        <w:t>Үкіметі қаулысының жобасына</w:t>
      </w:r>
    </w:p>
    <w:p w14:paraId="327F1C29" w14:textId="5BEFFF3E" w:rsidR="00E8099C" w:rsidRPr="0004045B" w:rsidRDefault="005D3EFB" w:rsidP="00E8099C">
      <w:pPr>
        <w:jc w:val="center"/>
        <w:rPr>
          <w:b/>
          <w:sz w:val="28"/>
          <w:szCs w:val="28"/>
          <w:lang w:val="kk-KZ"/>
        </w:rPr>
      </w:pPr>
      <w:r w:rsidRPr="0004045B">
        <w:rPr>
          <w:b/>
          <w:sz w:val="28"/>
          <w:szCs w:val="28"/>
          <w:lang w:val="kk-KZ"/>
        </w:rPr>
        <w:t>с</w:t>
      </w:r>
      <w:r w:rsidR="00F51134" w:rsidRPr="0004045B">
        <w:rPr>
          <w:b/>
          <w:sz w:val="28"/>
          <w:szCs w:val="28"/>
          <w:lang w:val="kk-KZ"/>
        </w:rPr>
        <w:t>алыстырмалы кесте</w:t>
      </w:r>
    </w:p>
    <w:p w14:paraId="03DCA685" w14:textId="77777777" w:rsidR="00F51134" w:rsidRPr="0004045B" w:rsidRDefault="00F51134" w:rsidP="00E8099C">
      <w:pPr>
        <w:jc w:val="center"/>
        <w:rPr>
          <w:b/>
          <w:sz w:val="28"/>
          <w:szCs w:val="28"/>
          <w:lang w:val="kk-KZ"/>
        </w:rPr>
      </w:pPr>
    </w:p>
    <w:tbl>
      <w:tblPr>
        <w:tblW w:w="153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00"/>
        <w:gridCol w:w="2122"/>
        <w:gridCol w:w="4252"/>
        <w:gridCol w:w="6586"/>
      </w:tblGrid>
      <w:tr w:rsidR="00E8099C" w:rsidRPr="0004045B" w14:paraId="472F977F" w14:textId="77777777" w:rsidTr="000F4851">
        <w:tc>
          <w:tcPr>
            <w:tcW w:w="540" w:type="dxa"/>
          </w:tcPr>
          <w:p w14:paraId="5168305A" w14:textId="7B72DCF6" w:rsidR="00E8099C" w:rsidRPr="0004045B" w:rsidRDefault="00F51134" w:rsidP="00F51134">
            <w:pPr>
              <w:jc w:val="center"/>
              <w:rPr>
                <w:b/>
                <w:lang w:val="kk-KZ"/>
              </w:rPr>
            </w:pPr>
            <w:r w:rsidRPr="0004045B">
              <w:rPr>
                <w:b/>
                <w:lang w:val="kk-KZ"/>
              </w:rPr>
              <w:t>№ р</w:t>
            </w:r>
            <w:r w:rsidR="00E8099C" w:rsidRPr="0004045B">
              <w:rPr>
                <w:b/>
                <w:lang w:val="kk-KZ"/>
              </w:rPr>
              <w:t>/</w:t>
            </w:r>
            <w:r w:rsidRPr="0004045B">
              <w:rPr>
                <w:b/>
                <w:lang w:val="kk-KZ"/>
              </w:rPr>
              <w:t>с</w:t>
            </w:r>
          </w:p>
        </w:tc>
        <w:tc>
          <w:tcPr>
            <w:tcW w:w="1800" w:type="dxa"/>
          </w:tcPr>
          <w:p w14:paraId="2513D645" w14:textId="041EF73F" w:rsidR="00E8099C" w:rsidRPr="0004045B" w:rsidRDefault="00F51134" w:rsidP="004818AA">
            <w:pPr>
              <w:jc w:val="center"/>
              <w:rPr>
                <w:b/>
                <w:lang w:val="kk-KZ"/>
              </w:rPr>
            </w:pPr>
            <w:r w:rsidRPr="0004045B">
              <w:rPr>
                <w:b/>
                <w:lang w:val="kk-KZ"/>
              </w:rPr>
              <w:t>Құрылымдық</w:t>
            </w:r>
            <w:r w:rsidR="00E8099C" w:rsidRPr="0004045B">
              <w:rPr>
                <w:b/>
                <w:lang w:val="kk-KZ"/>
              </w:rPr>
              <w:t xml:space="preserve"> элемент</w:t>
            </w:r>
          </w:p>
        </w:tc>
        <w:tc>
          <w:tcPr>
            <w:tcW w:w="2122" w:type="dxa"/>
          </w:tcPr>
          <w:p w14:paraId="7F9E1A20" w14:textId="77777777" w:rsidR="00F51134" w:rsidRPr="0004045B" w:rsidRDefault="00F51134" w:rsidP="00F51134">
            <w:pPr>
              <w:jc w:val="center"/>
              <w:rPr>
                <w:b/>
                <w:lang w:val="kk-KZ"/>
              </w:rPr>
            </w:pPr>
            <w:r w:rsidRPr="0004045B">
              <w:rPr>
                <w:b/>
                <w:lang w:val="kk-KZ"/>
              </w:rPr>
              <w:t>Қолданыстағы</w:t>
            </w:r>
          </w:p>
          <w:p w14:paraId="696D5CB7" w14:textId="2203753B" w:rsidR="00E8099C" w:rsidRPr="0004045B" w:rsidRDefault="001F19AD" w:rsidP="00F51134">
            <w:pPr>
              <w:jc w:val="center"/>
              <w:rPr>
                <w:b/>
                <w:lang w:val="kk-KZ"/>
              </w:rPr>
            </w:pPr>
            <w:r w:rsidRPr="0004045B">
              <w:rPr>
                <w:b/>
                <w:lang w:val="kk-KZ"/>
              </w:rPr>
              <w:t>р</w:t>
            </w:r>
            <w:r w:rsidR="00F51134" w:rsidRPr="0004045B">
              <w:rPr>
                <w:b/>
                <w:lang w:val="kk-KZ"/>
              </w:rPr>
              <w:t>е</w:t>
            </w:r>
            <w:r w:rsidR="00E8099C" w:rsidRPr="0004045B">
              <w:rPr>
                <w:b/>
                <w:lang w:val="kk-KZ"/>
              </w:rPr>
              <w:t>дакция</w:t>
            </w:r>
          </w:p>
          <w:p w14:paraId="050FEC49" w14:textId="17531585" w:rsidR="001F19AD" w:rsidRPr="0004045B" w:rsidRDefault="001F19AD" w:rsidP="00F51134">
            <w:pPr>
              <w:jc w:val="center"/>
              <w:rPr>
                <w:b/>
                <w:lang w:val="kk-KZ"/>
              </w:rPr>
            </w:pPr>
          </w:p>
        </w:tc>
        <w:tc>
          <w:tcPr>
            <w:tcW w:w="4252" w:type="dxa"/>
          </w:tcPr>
          <w:p w14:paraId="4EE8707B" w14:textId="3A96735F" w:rsidR="00E8099C" w:rsidRPr="0004045B" w:rsidRDefault="00F51134" w:rsidP="004818AA">
            <w:pPr>
              <w:jc w:val="center"/>
              <w:rPr>
                <w:b/>
                <w:lang w:val="kk-KZ"/>
              </w:rPr>
            </w:pPr>
            <w:r w:rsidRPr="0004045B">
              <w:rPr>
                <w:b/>
                <w:lang w:val="kk-KZ"/>
              </w:rPr>
              <w:t xml:space="preserve">Ұсынылатын </w:t>
            </w:r>
            <w:r w:rsidR="00E8099C" w:rsidRPr="0004045B">
              <w:rPr>
                <w:b/>
                <w:lang w:val="kk-KZ"/>
              </w:rPr>
              <w:t>редакция</w:t>
            </w:r>
          </w:p>
        </w:tc>
        <w:tc>
          <w:tcPr>
            <w:tcW w:w="6586" w:type="dxa"/>
          </w:tcPr>
          <w:p w14:paraId="24435C10" w14:textId="3096889B" w:rsidR="00E8099C" w:rsidRPr="0004045B" w:rsidRDefault="00F51134" w:rsidP="00AE1BC2">
            <w:pPr>
              <w:pStyle w:val="af"/>
              <w:ind w:left="0"/>
              <w:rPr>
                <w:b/>
                <w:lang w:val="kk-KZ"/>
              </w:rPr>
            </w:pPr>
            <w:r w:rsidRPr="0004045B">
              <w:rPr>
                <w:b/>
                <w:lang w:val="kk-KZ"/>
              </w:rPr>
              <w:t>Негіздеме</w:t>
            </w:r>
          </w:p>
        </w:tc>
      </w:tr>
      <w:tr w:rsidR="00B47038" w:rsidRPr="00A30386" w14:paraId="65AD54C7" w14:textId="77777777" w:rsidTr="004818AA">
        <w:tc>
          <w:tcPr>
            <w:tcW w:w="15300" w:type="dxa"/>
            <w:gridSpan w:val="5"/>
          </w:tcPr>
          <w:p w14:paraId="4A82436C" w14:textId="33F403F4" w:rsidR="00F51134" w:rsidRPr="0004045B" w:rsidRDefault="00F51134" w:rsidP="00C560D9">
            <w:pPr>
              <w:jc w:val="center"/>
              <w:rPr>
                <w:b/>
                <w:lang w:val="kk-KZ"/>
              </w:rPr>
            </w:pPr>
            <w:r w:rsidRPr="0004045B">
              <w:rPr>
                <w:lang w:val="kk-KZ"/>
              </w:rPr>
              <w:t xml:space="preserve">          </w:t>
            </w:r>
            <w:r w:rsidRPr="0004045B">
              <w:rPr>
                <w:b/>
                <w:sz w:val="28"/>
                <w:szCs w:val="28"/>
                <w:lang w:val="kk-KZ"/>
              </w:rPr>
              <w:t>«</w:t>
            </w:r>
            <w:r w:rsidRPr="0004045B">
              <w:rPr>
                <w:b/>
                <w:lang w:val="kk-KZ"/>
              </w:rPr>
              <w:t>Арнайы қорғау дәрежесін талап ететін баспа өнімін берушілерді</w:t>
            </w:r>
            <w:r w:rsidR="00C560D9" w:rsidRPr="0004045B">
              <w:rPr>
                <w:b/>
                <w:lang w:val="kk-KZ"/>
              </w:rPr>
              <w:t xml:space="preserve"> </w:t>
            </w:r>
            <w:r w:rsidRPr="0004045B">
              <w:rPr>
                <w:b/>
                <w:lang w:val="kk-KZ"/>
              </w:rPr>
              <w:t>айқындау, сондай-ақ олардан сатып алынатын осындай өнімнің тізбесін бекіту және Қазақстан Республикасы Үкіметінің кейбір</w:t>
            </w:r>
            <w:r w:rsidR="00C560D9" w:rsidRPr="0004045B">
              <w:rPr>
                <w:b/>
                <w:lang w:val="kk-KZ"/>
              </w:rPr>
              <w:t xml:space="preserve"> </w:t>
            </w:r>
            <w:r w:rsidRPr="0004045B">
              <w:rPr>
                <w:b/>
                <w:lang w:val="kk-KZ"/>
              </w:rPr>
              <w:t>шешімдерінің күші жойылды деп тану туралы»</w:t>
            </w:r>
          </w:p>
          <w:p w14:paraId="1268E81F" w14:textId="4CD4CF37" w:rsidR="00C560D9" w:rsidRPr="0004045B" w:rsidRDefault="00F51134" w:rsidP="00C560D9">
            <w:pPr>
              <w:jc w:val="center"/>
              <w:rPr>
                <w:b/>
                <w:lang w:val="kk-KZ"/>
              </w:rPr>
            </w:pPr>
            <w:r w:rsidRPr="0004045B">
              <w:rPr>
                <w:b/>
                <w:lang w:val="kk-KZ"/>
              </w:rPr>
              <w:t xml:space="preserve">Қазақстан Республикасы Үкіметінің 2015 жылғы 31 желтоқсандағы№1162 қаулысымен </w:t>
            </w:r>
            <w:r w:rsidR="007B26B9" w:rsidRPr="0004045B">
              <w:rPr>
                <w:b/>
                <w:lang w:val="kk-KZ"/>
              </w:rPr>
              <w:t>бекітілген</w:t>
            </w:r>
          </w:p>
          <w:p w14:paraId="3C70AEAC" w14:textId="1550A347" w:rsidR="00B47038" w:rsidRPr="0004045B" w:rsidRDefault="00F51134" w:rsidP="00F51134">
            <w:pPr>
              <w:jc w:val="center"/>
              <w:rPr>
                <w:b/>
                <w:lang w:val="kk-KZ"/>
              </w:rPr>
            </w:pPr>
            <w:r w:rsidRPr="0004045B">
              <w:rPr>
                <w:b/>
                <w:lang w:val="kk-KZ"/>
              </w:rPr>
              <w:t xml:space="preserve"> </w:t>
            </w:r>
            <w:r w:rsidR="00011451" w:rsidRPr="0004045B">
              <w:rPr>
                <w:b/>
                <w:lang w:val="kk-KZ"/>
              </w:rPr>
              <w:t>«Қазақстан Республикасы Ұлттық Банкінің Банкнот фабрикасы» шаруашылық жүргізу құқығындағы республикалық мемлекеттік кәсіпорнынан сатып алынатын арнайы қорғау дәрежесін талап ететін баспа өнімінің тізбесі</w:t>
            </w:r>
            <w:r w:rsidRPr="0004045B">
              <w:rPr>
                <w:b/>
                <w:lang w:val="kk-KZ"/>
              </w:rPr>
              <w:t xml:space="preserve"> </w:t>
            </w:r>
          </w:p>
          <w:p w14:paraId="4FAAC751" w14:textId="6CDEDA7C" w:rsidR="00C560D9" w:rsidRPr="0004045B" w:rsidRDefault="00C560D9" w:rsidP="00C560D9">
            <w:pPr>
              <w:rPr>
                <w:b/>
                <w:bCs/>
                <w:color w:val="000000"/>
                <w:lang w:val="kk-KZ"/>
              </w:rPr>
            </w:pPr>
          </w:p>
        </w:tc>
      </w:tr>
      <w:tr w:rsidR="005E77D1" w:rsidRPr="00A30386" w14:paraId="5EA15FEF" w14:textId="77777777" w:rsidTr="00367A3C">
        <w:trPr>
          <w:trHeight w:val="2273"/>
        </w:trPr>
        <w:tc>
          <w:tcPr>
            <w:tcW w:w="540" w:type="dxa"/>
          </w:tcPr>
          <w:p w14:paraId="459A34C7" w14:textId="77777777" w:rsidR="005E77D1" w:rsidRPr="0004045B" w:rsidRDefault="005E77D1" w:rsidP="004818AA">
            <w:pPr>
              <w:jc w:val="center"/>
              <w:rPr>
                <w:lang w:val="kk-KZ"/>
              </w:rPr>
            </w:pPr>
            <w:r w:rsidRPr="0004045B">
              <w:rPr>
                <w:lang w:val="kk-KZ"/>
              </w:rPr>
              <w:t>1</w:t>
            </w:r>
          </w:p>
        </w:tc>
        <w:tc>
          <w:tcPr>
            <w:tcW w:w="1800" w:type="dxa"/>
          </w:tcPr>
          <w:p w14:paraId="47E79201" w14:textId="25B0ECE6" w:rsidR="005E77D1" w:rsidRPr="0004045B" w:rsidRDefault="00C560D9" w:rsidP="00C560D9">
            <w:pPr>
              <w:jc w:val="center"/>
              <w:rPr>
                <w:lang w:val="kk-KZ"/>
              </w:rPr>
            </w:pPr>
            <w:r w:rsidRPr="0004045B">
              <w:rPr>
                <w:rStyle w:val="s0"/>
                <w:color w:val="auto"/>
                <w:sz w:val="24"/>
                <w:szCs w:val="24"/>
                <w:lang w:val="kk-KZ"/>
              </w:rPr>
              <w:t>Жаңа жол,</w:t>
            </w:r>
            <w:r w:rsidR="00E562D2" w:rsidRPr="0004045B">
              <w:rPr>
                <w:lang w:val="kk-KZ"/>
              </w:rPr>
              <w:t xml:space="preserve">  </w:t>
            </w:r>
            <w:r w:rsidRPr="0004045B">
              <w:rPr>
                <w:lang w:val="kk-KZ"/>
              </w:rPr>
              <w:t>реттік нөмі</w:t>
            </w:r>
            <w:r w:rsidR="00E562D2" w:rsidRPr="0004045B">
              <w:rPr>
                <w:lang w:val="kk-KZ"/>
              </w:rPr>
              <w:t>р</w:t>
            </w:r>
            <w:r w:rsidRPr="0004045B">
              <w:rPr>
                <w:lang w:val="kk-KZ"/>
              </w:rPr>
              <w:t>і</w:t>
            </w:r>
            <w:r w:rsidR="00E562D2" w:rsidRPr="0004045B">
              <w:rPr>
                <w:lang w:val="kk-KZ"/>
              </w:rPr>
              <w:t xml:space="preserve"> 132 </w:t>
            </w:r>
          </w:p>
        </w:tc>
        <w:tc>
          <w:tcPr>
            <w:tcW w:w="2122" w:type="dxa"/>
          </w:tcPr>
          <w:p w14:paraId="19D916CB" w14:textId="6F1B1261" w:rsidR="005E77D1" w:rsidRPr="0004045B" w:rsidRDefault="00011451" w:rsidP="004818AA">
            <w:pPr>
              <w:jc w:val="center"/>
              <w:rPr>
                <w:lang w:val="kk-KZ"/>
              </w:rPr>
            </w:pPr>
            <w:r w:rsidRPr="0004045B">
              <w:rPr>
                <w:lang w:val="kk-KZ"/>
              </w:rPr>
              <w:t xml:space="preserve"> Жоқ </w:t>
            </w:r>
            <w:r w:rsidR="005E77D1" w:rsidRPr="0004045B">
              <w:rPr>
                <w:lang w:val="kk-KZ"/>
              </w:rPr>
              <w:t xml:space="preserve"> </w:t>
            </w:r>
          </w:p>
        </w:tc>
        <w:tc>
          <w:tcPr>
            <w:tcW w:w="4252" w:type="dxa"/>
          </w:tcPr>
          <w:p w14:paraId="384C28D6" w14:textId="7CE3529F" w:rsidR="005E77D1" w:rsidRPr="0004045B" w:rsidRDefault="005E77D1" w:rsidP="00A41C2E">
            <w:pPr>
              <w:jc w:val="both"/>
              <w:rPr>
                <w:lang w:val="kk-KZ"/>
              </w:rPr>
            </w:pPr>
            <w:r w:rsidRPr="0004045B">
              <w:rPr>
                <w:lang w:val="kk-KZ"/>
              </w:rPr>
              <w:t xml:space="preserve">132. </w:t>
            </w:r>
            <w:r w:rsidR="00C560D9" w:rsidRPr="0004045B">
              <w:rPr>
                <w:lang w:val="kk-KZ"/>
              </w:rPr>
              <w:t>Жүргізуші куәлігінің бланкі</w:t>
            </w:r>
            <w:r w:rsidR="001F19AD" w:rsidRPr="0004045B">
              <w:rPr>
                <w:lang w:val="kk-KZ"/>
              </w:rPr>
              <w:t xml:space="preserve">сі </w:t>
            </w:r>
          </w:p>
          <w:p w14:paraId="6A53B0AE" w14:textId="77777777" w:rsidR="005E77D1" w:rsidRPr="0004045B" w:rsidRDefault="005E77D1" w:rsidP="00AE1BC2">
            <w:pPr>
              <w:rPr>
                <w:lang w:val="kk-KZ"/>
              </w:rPr>
            </w:pPr>
          </w:p>
        </w:tc>
        <w:tc>
          <w:tcPr>
            <w:tcW w:w="6586" w:type="dxa"/>
            <w:vMerge w:val="restart"/>
          </w:tcPr>
          <w:p w14:paraId="4B640000" w14:textId="662AEF24" w:rsidR="00AC50EB" w:rsidRPr="0088229F" w:rsidRDefault="00AC50EB" w:rsidP="00AC50EB">
            <w:pPr>
              <w:jc w:val="both"/>
              <w:rPr>
                <w:bCs/>
                <w:lang w:val="kk-KZ"/>
              </w:rPr>
            </w:pPr>
            <w:r w:rsidRPr="00AC50EB">
              <w:rPr>
                <w:bCs/>
                <w:lang w:val="kk-KZ"/>
              </w:rPr>
              <w:t>1</w:t>
            </w:r>
            <w:r>
              <w:rPr>
                <w:bCs/>
                <w:lang w:val="kk-KZ"/>
              </w:rPr>
              <w:t xml:space="preserve">. </w:t>
            </w:r>
            <w:r w:rsidRPr="00AC50EB">
              <w:rPr>
                <w:bCs/>
                <w:lang w:val="kk-KZ"/>
              </w:rPr>
              <w:t>«Қазақстан Республикасы Ұлттық Банкінің Банкнот фабрикасы» РМК Қаз</w:t>
            </w:r>
            <w:r>
              <w:rPr>
                <w:bCs/>
                <w:lang w:val="kk-KZ"/>
              </w:rPr>
              <w:t xml:space="preserve">ақстан Республикасы Үкіметінің </w:t>
            </w:r>
            <w:r w:rsidRPr="00AC50EB">
              <w:rPr>
                <w:bCs/>
                <w:lang w:val="kk-KZ"/>
              </w:rPr>
              <w:t xml:space="preserve">2015 жылғы 31 желтоқсандағы № 1162 қаулысына сәйкес </w:t>
            </w:r>
            <w:r w:rsidRPr="00AC50EB">
              <w:rPr>
                <w:b/>
                <w:bCs/>
                <w:lang w:val="kk-KZ"/>
              </w:rPr>
              <w:t>арнайы қорғау дәрежесін талап ететін</w:t>
            </w:r>
            <w:r w:rsidRPr="00AC50EB">
              <w:rPr>
                <w:bCs/>
                <w:lang w:val="kk-KZ"/>
              </w:rPr>
              <w:t xml:space="preserve"> 131 баспа өнімінің түрін жеткізуші болып айқындалған.</w:t>
            </w:r>
            <w:r>
              <w:rPr>
                <w:bCs/>
                <w:lang w:val="kk-KZ"/>
              </w:rPr>
              <w:t xml:space="preserve"> </w:t>
            </w:r>
            <w:r w:rsidRPr="00AC50EB">
              <w:rPr>
                <w:bCs/>
                <w:lang w:val="kk-KZ"/>
              </w:rPr>
              <w:t xml:space="preserve">Тізімге енгізу үшін ұсынылған </w:t>
            </w:r>
            <w:r>
              <w:rPr>
                <w:bCs/>
                <w:lang w:val="kk-KZ"/>
              </w:rPr>
              <w:t>бланкілер</w:t>
            </w:r>
            <w:r w:rsidRPr="00AC50EB">
              <w:rPr>
                <w:bCs/>
                <w:lang w:val="kk-KZ"/>
              </w:rPr>
              <w:t xml:space="preserve"> </w:t>
            </w:r>
            <w:r>
              <w:rPr>
                <w:bCs/>
                <w:lang w:val="kk-KZ"/>
              </w:rPr>
              <w:t>ИКАО</w:t>
            </w:r>
            <w:r w:rsidRPr="00AC50EB">
              <w:rPr>
                <w:bCs/>
                <w:lang w:val="kk-KZ"/>
              </w:rPr>
              <w:t xml:space="preserve"> Doc 9303 (Машинамен оқылатын </w:t>
            </w:r>
            <w:r>
              <w:rPr>
                <w:bCs/>
                <w:lang w:val="kk-KZ"/>
              </w:rPr>
              <w:t>жол жүру</w:t>
            </w:r>
            <w:r w:rsidR="0088229F">
              <w:rPr>
                <w:bCs/>
                <w:lang w:val="kk-KZ"/>
              </w:rPr>
              <w:t xml:space="preserve"> құжаттары</w:t>
            </w:r>
            <w:r w:rsidRPr="00AC50EB">
              <w:rPr>
                <w:bCs/>
                <w:lang w:val="kk-KZ"/>
              </w:rPr>
              <w:t xml:space="preserve"> халықаралық стандартында қарастырылған арнайы қорғау дәрежесін талап етеді.</w:t>
            </w:r>
            <w:r>
              <w:rPr>
                <w:bCs/>
                <w:lang w:val="kk-KZ"/>
              </w:rPr>
              <w:t xml:space="preserve"> </w:t>
            </w:r>
            <w:r w:rsidR="0088229F">
              <w:rPr>
                <w:bCs/>
                <w:lang w:val="kk-KZ"/>
              </w:rPr>
              <w:t>2-бөлім.</w:t>
            </w:r>
            <w:r w:rsidRPr="00AC50EB">
              <w:rPr>
                <w:bCs/>
                <w:lang w:val="kk-KZ"/>
              </w:rPr>
              <w:t xml:space="preserve"> </w:t>
            </w:r>
            <w:r w:rsidR="0088229F">
              <w:rPr>
                <w:bCs/>
                <w:lang w:val="kk-KZ"/>
              </w:rPr>
              <w:t>Қ</w:t>
            </w:r>
            <w:r w:rsidRPr="00AC50EB">
              <w:rPr>
                <w:bCs/>
                <w:lang w:val="kk-KZ"/>
              </w:rPr>
              <w:t>ауіпсіздікке қатысты сипаттамалар. 2-бөлімде олардың машинада оқылатын жол жүру құжаттарының, жекелендіру құралдарының және заңды иелеріне берудің алаяқтық әрекеттерінен қорғалуын қамтамасыз ету үшін шығарушы органдар қабылдауы тиіс кепілдіктер бойынша міндетт</w:t>
            </w:r>
            <w:r w:rsidR="0088229F">
              <w:rPr>
                <w:bCs/>
                <w:lang w:val="kk-KZ"/>
              </w:rPr>
              <w:t>і және қосымша сипаттамалар бар</w:t>
            </w:r>
            <w:r w:rsidR="0088229F" w:rsidRPr="0088229F">
              <w:rPr>
                <w:bCs/>
                <w:lang w:val="kk-KZ"/>
              </w:rPr>
              <w:t>).</w:t>
            </w:r>
          </w:p>
          <w:p w14:paraId="0D268B60" w14:textId="4A47028F" w:rsidR="00AC50EB" w:rsidRDefault="0088229F" w:rsidP="00FC070E">
            <w:pPr>
              <w:jc w:val="both"/>
              <w:rPr>
                <w:bCs/>
                <w:lang w:val="kk-KZ"/>
              </w:rPr>
            </w:pPr>
            <w:r w:rsidRPr="0088229F">
              <w:rPr>
                <w:bCs/>
                <w:lang w:val="kk-KZ"/>
              </w:rPr>
              <w:t>Осы стандартқа сәйкес, машинамен оқылатын жол жүру құжаттары</w:t>
            </w:r>
            <w:r>
              <w:rPr>
                <w:bCs/>
                <w:lang w:val="kk-KZ"/>
              </w:rPr>
              <w:t>н (</w:t>
            </w:r>
            <w:r w:rsidRPr="0088229F">
              <w:rPr>
                <w:bCs/>
                <w:lang w:val="kk-KZ"/>
              </w:rPr>
              <w:t xml:space="preserve">бұдан әрі – МОЖЖҚ) </w:t>
            </w:r>
            <w:r>
              <w:rPr>
                <w:bCs/>
                <w:lang w:val="kk-KZ"/>
              </w:rPr>
              <w:t xml:space="preserve">беретін мемлекет </w:t>
            </w:r>
            <w:r w:rsidRPr="0088229F">
              <w:rPr>
                <w:bCs/>
                <w:lang w:val="kk-KZ"/>
              </w:rPr>
              <w:t xml:space="preserve">басып шығарылатын және шығарылатын үй-жайлардың тиісті </w:t>
            </w:r>
            <w:r w:rsidRPr="0088229F">
              <w:rPr>
                <w:bCs/>
                <w:lang w:val="kk-KZ"/>
              </w:rPr>
              <w:lastRenderedPageBreak/>
              <w:t>қауіпсіздігін, сондай-ақ осы жұмысқа тартылған персоналдың тиісті тексеруін қамтамасыз етеді.</w:t>
            </w:r>
            <w:r w:rsidRPr="0088229F">
              <w:rPr>
                <w:lang w:val="kk-KZ"/>
              </w:rPr>
              <w:t xml:space="preserve"> </w:t>
            </w:r>
            <w:r w:rsidRPr="0088229F">
              <w:rPr>
                <w:bCs/>
                <w:lang w:val="kk-KZ"/>
              </w:rPr>
              <w:t xml:space="preserve">Сонымен қатар, </w:t>
            </w:r>
            <w:r w:rsidR="001A4610">
              <w:rPr>
                <w:bCs/>
                <w:lang w:val="kk-KZ"/>
              </w:rPr>
              <w:t>МОЖЖҚ</w:t>
            </w:r>
            <w:r w:rsidRPr="0088229F">
              <w:rPr>
                <w:bCs/>
                <w:lang w:val="kk-KZ"/>
              </w:rPr>
              <w:t xml:space="preserve"> және оны шығару құралдарын әзірлеу құжатты оның әрекет ету мерзімі ішінде алаяқтық әрекеттерден қорғау шараларын қарастырады. Алаяқтық әрекеттерден қорғау әдістеріне жалпыға қолжетімді емес материалдарды, жоғары мамандандырылған жобалау жүйелерін және арнайы жабдық пен сараптаманы қажет ететін өндіріс процестерін пайдалану кіреді.</w:t>
            </w:r>
          </w:p>
          <w:p w14:paraId="325D1BC8" w14:textId="77777777" w:rsidR="00A30386" w:rsidRPr="00A30386" w:rsidRDefault="00A30386" w:rsidP="00A30386">
            <w:pPr>
              <w:jc w:val="both"/>
              <w:rPr>
                <w:bCs/>
                <w:lang w:val="kk-KZ"/>
              </w:rPr>
            </w:pPr>
            <w:r w:rsidRPr="00A30386">
              <w:rPr>
                <w:bCs/>
                <w:lang w:val="kk-KZ"/>
              </w:rPr>
              <w:t>2</w:t>
            </w:r>
            <w:r>
              <w:rPr>
                <w:bCs/>
                <w:lang w:val="kk-KZ"/>
              </w:rPr>
              <w:t xml:space="preserve">. </w:t>
            </w:r>
            <w:r w:rsidRPr="00A30386">
              <w:rPr>
                <w:bCs/>
                <w:lang w:val="kk-KZ"/>
              </w:rPr>
              <w:t xml:space="preserve">Қазақстан Республикасы Ішкі істер министрінің 2019 жылғы </w:t>
            </w:r>
          </w:p>
          <w:p w14:paraId="213A10C7" w14:textId="4F38723B" w:rsidR="00A30386" w:rsidRPr="00A30386" w:rsidRDefault="00A30386" w:rsidP="00A30386">
            <w:pPr>
              <w:jc w:val="both"/>
              <w:rPr>
                <w:bCs/>
                <w:lang w:val="kk-KZ"/>
              </w:rPr>
            </w:pPr>
            <w:r w:rsidRPr="00A30386">
              <w:rPr>
                <w:bCs/>
                <w:lang w:val="kk-KZ"/>
              </w:rPr>
              <w:t xml:space="preserve">24 қазандағы № 924 «Жеке басты куәландыратын құжаттарды дайындаумен технологиялық байланысты қызмет түрлерінің тізбесін бекіту туралы» бұйрығына сәйкес, жүргізуші куәлігінің бланкілерін дайындау және көлік құралдарын мемлекеттік тіркеу туралы куәліктер «Қазақстан Республикасы Ұлттық Банкінің Банкнот фабрикасы» шаруашылық жүргізу құқығындағы республикалық мемлекеттік кәсіпорнынан (бұдан әрі – БФ РМК) сатып алынатын, ерекше қорғау дәрежесін талап ететін баспа өнімдерінің тізбесіне енгізілген куәландыратын құжаттарын жасаумен </w:t>
            </w:r>
            <w:r w:rsidRPr="00676EB6">
              <w:rPr>
                <w:b/>
                <w:bCs/>
                <w:lang w:val="kk-KZ"/>
              </w:rPr>
              <w:t>технологиялық тұр</w:t>
            </w:r>
            <w:r w:rsidRPr="00676EB6">
              <w:rPr>
                <w:b/>
                <w:bCs/>
                <w:lang w:val="kk-KZ"/>
              </w:rPr>
              <w:t>ғыдан байланысты</w:t>
            </w:r>
            <w:r>
              <w:rPr>
                <w:bCs/>
                <w:lang w:val="kk-KZ"/>
              </w:rPr>
              <w:t>.</w:t>
            </w:r>
          </w:p>
          <w:p w14:paraId="128B63A5" w14:textId="5A7F633B" w:rsidR="00AC50EB" w:rsidRDefault="00676EB6" w:rsidP="00FC070E">
            <w:pPr>
              <w:jc w:val="both"/>
              <w:rPr>
                <w:bCs/>
                <w:lang w:val="kk-KZ"/>
              </w:rPr>
            </w:pPr>
            <w:r w:rsidRPr="00676EB6">
              <w:rPr>
                <w:bCs/>
                <w:lang w:val="kk-KZ"/>
              </w:rPr>
              <w:t>Жүргізуші куәлі</w:t>
            </w:r>
            <w:r>
              <w:rPr>
                <w:bCs/>
                <w:lang w:val="kk-KZ"/>
              </w:rPr>
              <w:t>г</w:t>
            </w:r>
            <w:r w:rsidRPr="00676EB6">
              <w:rPr>
                <w:bCs/>
                <w:lang w:val="kk-KZ"/>
              </w:rPr>
              <w:t>інің және көлік құралдарын мемлекеттік тіркеу туралы куәлі</w:t>
            </w:r>
            <w:r>
              <w:rPr>
                <w:bCs/>
                <w:lang w:val="kk-KZ"/>
              </w:rPr>
              <w:t>гінің</w:t>
            </w:r>
            <w:r w:rsidRPr="00676EB6">
              <w:rPr>
                <w:bCs/>
                <w:lang w:val="kk-KZ"/>
              </w:rPr>
              <w:t xml:space="preserve"> бланкілерін дайындау процесі жеке куәлік бланкілерін дайындау процесіне ұқсас және өндірістің барлық кезеңдерінде қол жеткізуді бақылаудан бастап бақылау мен есепке алуды қамтамасыз етуге дейін тиісті қауіпсіздік шараларын белгілеуді талап етеді.</w:t>
            </w:r>
          </w:p>
          <w:p w14:paraId="640EB336" w14:textId="3322E432" w:rsidR="00676EB6" w:rsidRDefault="00676EB6" w:rsidP="00FC070E">
            <w:pPr>
              <w:jc w:val="both"/>
              <w:rPr>
                <w:bCs/>
                <w:lang w:val="kk-KZ"/>
              </w:rPr>
            </w:pPr>
            <w:r>
              <w:rPr>
                <w:bCs/>
                <w:lang w:val="kk-KZ"/>
              </w:rPr>
              <w:t xml:space="preserve">3. </w:t>
            </w:r>
            <w:r w:rsidRPr="00676EB6">
              <w:rPr>
                <w:bCs/>
                <w:lang w:val="kk-KZ"/>
              </w:rPr>
              <w:t>Қазақстан Республикасы Ішкі істер министрлігінің талапта</w:t>
            </w:r>
            <w:r>
              <w:rPr>
                <w:bCs/>
                <w:lang w:val="kk-KZ"/>
              </w:rPr>
              <w:t>рына сәйкес жүргізуші куәлігі</w:t>
            </w:r>
            <w:r w:rsidRPr="00676EB6">
              <w:rPr>
                <w:bCs/>
                <w:lang w:val="kk-KZ"/>
              </w:rPr>
              <w:t xml:space="preserve"> мен көлі</w:t>
            </w:r>
            <w:r>
              <w:rPr>
                <w:bCs/>
                <w:lang w:val="kk-KZ"/>
              </w:rPr>
              <w:t xml:space="preserve">к құралын тіркеу туралы куәлігінің </w:t>
            </w:r>
            <w:r w:rsidRPr="00676EB6">
              <w:rPr>
                <w:bCs/>
                <w:lang w:val="kk-KZ"/>
              </w:rPr>
              <w:t>бланкілері</w:t>
            </w:r>
            <w:r>
              <w:rPr>
                <w:bCs/>
                <w:lang w:val="kk-KZ"/>
              </w:rPr>
              <w:t>нде</w:t>
            </w:r>
            <w:r w:rsidRPr="00676EB6">
              <w:rPr>
                <w:bCs/>
                <w:lang w:val="kk-KZ"/>
              </w:rPr>
              <w:t xml:space="preserve"> </w:t>
            </w:r>
            <w:r w:rsidRPr="00676EB6">
              <w:rPr>
                <w:b/>
                <w:bCs/>
                <w:lang w:val="kk-KZ"/>
              </w:rPr>
              <w:t>арнайы қорғау элементтері болуы керек</w:t>
            </w:r>
            <w:r w:rsidRPr="00676EB6">
              <w:rPr>
                <w:bCs/>
                <w:lang w:val="kk-KZ"/>
              </w:rPr>
              <w:t xml:space="preserve">. Бланкілерді </w:t>
            </w:r>
            <w:r>
              <w:rPr>
                <w:bCs/>
                <w:lang w:val="kk-KZ"/>
              </w:rPr>
              <w:t>дайындауға</w:t>
            </w:r>
            <w:r w:rsidRPr="00676EB6">
              <w:rPr>
                <w:bCs/>
                <w:lang w:val="kk-KZ"/>
              </w:rPr>
              <w:t xml:space="preserve"> арналған шарттың техникалық </w:t>
            </w:r>
            <w:r>
              <w:rPr>
                <w:bCs/>
                <w:lang w:val="kk-KZ"/>
              </w:rPr>
              <w:t>сипаттамасына</w:t>
            </w:r>
            <w:r w:rsidRPr="00676EB6">
              <w:rPr>
                <w:bCs/>
                <w:lang w:val="kk-KZ"/>
              </w:rPr>
              <w:t xml:space="preserve"> сәйкес жүргізуші куәлігінің және</w:t>
            </w:r>
            <w:r>
              <w:rPr>
                <w:bCs/>
                <w:lang w:val="kk-KZ"/>
              </w:rPr>
              <w:t xml:space="preserve"> көлік құралын тіркеу куәлігінің </w:t>
            </w:r>
            <w:r w:rsidRPr="00676EB6">
              <w:rPr>
                <w:bCs/>
                <w:lang w:val="kk-KZ"/>
              </w:rPr>
              <w:t>бланкілері</w:t>
            </w:r>
            <w:r w:rsidR="00B15CD0">
              <w:rPr>
                <w:bCs/>
                <w:lang w:val="kk-KZ"/>
              </w:rPr>
              <w:t>нде</w:t>
            </w:r>
            <w:r w:rsidRPr="00676EB6">
              <w:rPr>
                <w:bCs/>
                <w:lang w:val="kk-KZ"/>
              </w:rPr>
              <w:t>:</w:t>
            </w:r>
          </w:p>
          <w:p w14:paraId="02F91982" w14:textId="2812EA39" w:rsidR="00676EB6" w:rsidRDefault="00676EB6" w:rsidP="00FC070E">
            <w:pPr>
              <w:jc w:val="both"/>
              <w:rPr>
                <w:bCs/>
                <w:lang w:val="kk-KZ"/>
              </w:rPr>
            </w:pPr>
            <w:r w:rsidRPr="00676EB6">
              <w:rPr>
                <w:bCs/>
                <w:lang w:val="kk-KZ"/>
              </w:rPr>
              <w:lastRenderedPageBreak/>
              <w:t>- ультракүлгін сәулеленуде көрінетін Қазақстан Республикасы Мемлекеттік Елтаңбасының, «Qazaqstan» жазуының, екі әріпті кодының көрінбейтін бейнелері түріндегі жалғандықтан қорғаудың ультракүлгін элементтері болуы;</w:t>
            </w:r>
          </w:p>
          <w:p w14:paraId="78B05A2E" w14:textId="619A68CD" w:rsidR="00676EB6" w:rsidRDefault="00676EB6" w:rsidP="00FC070E">
            <w:pPr>
              <w:jc w:val="both"/>
              <w:rPr>
                <w:bCs/>
                <w:lang w:val="kk-KZ"/>
              </w:rPr>
            </w:pPr>
            <w:r>
              <w:rPr>
                <w:bCs/>
                <w:lang w:val="kk-KZ"/>
              </w:rPr>
              <w:t>- жоғары қауіпсіз өнімдерді дайындауға</w:t>
            </w:r>
            <w:r w:rsidRPr="00676EB6">
              <w:rPr>
                <w:bCs/>
                <w:lang w:val="kk-KZ"/>
              </w:rPr>
              <w:t xml:space="preserve"> арналған арнайы графикалық бағдарламалық </w:t>
            </w:r>
            <w:r w:rsidR="00B15CD0">
              <w:rPr>
                <w:bCs/>
                <w:lang w:val="kk-KZ"/>
              </w:rPr>
              <w:t>кешенді және</w:t>
            </w:r>
            <w:r w:rsidRPr="00676EB6">
              <w:rPr>
                <w:bCs/>
                <w:lang w:val="kk-KZ"/>
              </w:rPr>
              <w:t xml:space="preserve"> арнайы математикалық алгоритмдерді пайдалана отырып, сызықтардан жасалған танжирлі тордың болуы;</w:t>
            </w:r>
          </w:p>
          <w:p w14:paraId="7BB35EA7" w14:textId="21761A7B" w:rsidR="00B15CD0" w:rsidRDefault="00B15CD0" w:rsidP="00FC070E">
            <w:pPr>
              <w:jc w:val="both"/>
              <w:rPr>
                <w:bCs/>
                <w:lang w:val="kk-KZ"/>
              </w:rPr>
            </w:pPr>
            <w:r>
              <w:rPr>
                <w:bCs/>
                <w:lang w:val="kk-KZ"/>
              </w:rPr>
              <w:t xml:space="preserve">- </w:t>
            </w:r>
            <w:r w:rsidRPr="00B15CD0">
              <w:rPr>
                <w:bCs/>
                <w:lang w:val="kk-KZ"/>
              </w:rPr>
              <w:t>қосымша штрих-кодпен сүйемелденген әріптік және сандық таңбалардан тұратын бірегей сәйкестендіру нөмірлерін, сондай-ақ мамандандырылған графикалық кешендерде орындалатын басқа да қауіпсіздік элемент</w:t>
            </w:r>
            <w:r>
              <w:rPr>
                <w:bCs/>
                <w:lang w:val="kk-KZ"/>
              </w:rPr>
              <w:t>терін пайдаланылуы тиіс</w:t>
            </w:r>
            <w:r w:rsidRPr="00B15CD0">
              <w:rPr>
                <w:bCs/>
                <w:lang w:val="kk-KZ"/>
              </w:rPr>
              <w:t>.</w:t>
            </w:r>
          </w:p>
          <w:p w14:paraId="53E00C8D" w14:textId="03A2C8DE" w:rsidR="00AC50EB" w:rsidRDefault="00B15CD0" w:rsidP="00FC070E">
            <w:pPr>
              <w:jc w:val="both"/>
              <w:rPr>
                <w:bCs/>
                <w:lang w:val="kk-KZ"/>
              </w:rPr>
            </w:pPr>
            <w:r>
              <w:rPr>
                <w:bCs/>
                <w:lang w:val="kk-KZ"/>
              </w:rPr>
              <w:t xml:space="preserve">     </w:t>
            </w:r>
            <w:r w:rsidR="004A0CFC">
              <w:rPr>
                <w:bCs/>
                <w:lang w:val="kk-KZ"/>
              </w:rPr>
              <w:t>Бланкілер</w:t>
            </w:r>
            <w:r w:rsidRPr="00B15CD0">
              <w:rPr>
                <w:bCs/>
                <w:lang w:val="kk-KZ"/>
              </w:rPr>
              <w:t xml:space="preserve">де сонымен қатар </w:t>
            </w:r>
            <w:r w:rsidRPr="004A0CFC">
              <w:rPr>
                <w:bCs/>
                <w:u w:val="single"/>
                <w:lang w:val="kk-KZ"/>
              </w:rPr>
              <w:t>құжат қауіпсіздігінің жоғары деңгейін</w:t>
            </w:r>
            <w:r w:rsidRPr="00B15CD0">
              <w:rPr>
                <w:bCs/>
                <w:lang w:val="kk-KZ"/>
              </w:rPr>
              <w:t xml:space="preserve"> қамтамасыз ететін иесін анықтау механизмдерін жүзеге асыруды қамтамасыз ететін микропроцессор қолданылады.</w:t>
            </w:r>
          </w:p>
          <w:p w14:paraId="2530DD2A" w14:textId="01BEC281" w:rsidR="005E77D1" w:rsidRPr="0004045B" w:rsidRDefault="005E77D1" w:rsidP="00676EB6">
            <w:pPr>
              <w:jc w:val="both"/>
              <w:rPr>
                <w:lang w:val="kk-KZ"/>
              </w:rPr>
            </w:pPr>
          </w:p>
        </w:tc>
      </w:tr>
      <w:tr w:rsidR="005E77D1" w:rsidRPr="00A30386" w14:paraId="111541FE" w14:textId="77777777" w:rsidTr="00367A3C">
        <w:trPr>
          <w:trHeight w:val="2273"/>
        </w:trPr>
        <w:tc>
          <w:tcPr>
            <w:tcW w:w="540" w:type="dxa"/>
          </w:tcPr>
          <w:p w14:paraId="6FEA3F32" w14:textId="7CF3AD30" w:rsidR="005E77D1" w:rsidRPr="0004045B" w:rsidRDefault="00614190" w:rsidP="004818AA">
            <w:pPr>
              <w:jc w:val="center"/>
              <w:rPr>
                <w:lang w:val="kk-KZ"/>
              </w:rPr>
            </w:pPr>
            <w:r w:rsidRPr="0004045B">
              <w:rPr>
                <w:lang w:val="kk-KZ"/>
              </w:rPr>
              <w:t>2</w:t>
            </w:r>
          </w:p>
        </w:tc>
        <w:tc>
          <w:tcPr>
            <w:tcW w:w="1800" w:type="dxa"/>
          </w:tcPr>
          <w:p w14:paraId="0887462C" w14:textId="57B9CFD3" w:rsidR="005E77D1" w:rsidRPr="0004045B" w:rsidRDefault="001F19AD" w:rsidP="00A41C2E">
            <w:pPr>
              <w:jc w:val="center"/>
              <w:rPr>
                <w:rStyle w:val="s0"/>
                <w:sz w:val="24"/>
                <w:szCs w:val="24"/>
                <w:lang w:val="kk-KZ"/>
              </w:rPr>
            </w:pPr>
            <w:r w:rsidRPr="0004045B">
              <w:rPr>
                <w:rStyle w:val="s0"/>
                <w:color w:val="auto"/>
                <w:sz w:val="24"/>
                <w:szCs w:val="24"/>
                <w:lang w:val="kk-KZ"/>
              </w:rPr>
              <w:t>Жаңа жол,</w:t>
            </w:r>
            <w:r w:rsidRPr="0004045B">
              <w:rPr>
                <w:lang w:val="kk-KZ"/>
              </w:rPr>
              <w:t xml:space="preserve">  реттік нөмірі </w:t>
            </w:r>
            <w:r w:rsidR="00E562D2" w:rsidRPr="0004045B">
              <w:rPr>
                <w:lang w:val="kk-KZ"/>
              </w:rPr>
              <w:t>133</w:t>
            </w:r>
          </w:p>
        </w:tc>
        <w:tc>
          <w:tcPr>
            <w:tcW w:w="2122" w:type="dxa"/>
          </w:tcPr>
          <w:p w14:paraId="489BB3C4" w14:textId="706AAE77" w:rsidR="005E77D1" w:rsidRPr="0004045B" w:rsidRDefault="00DC4948" w:rsidP="004818AA">
            <w:pPr>
              <w:jc w:val="center"/>
              <w:rPr>
                <w:lang w:val="kk-KZ"/>
              </w:rPr>
            </w:pPr>
            <w:r w:rsidRPr="0004045B">
              <w:rPr>
                <w:lang w:val="kk-KZ"/>
              </w:rPr>
              <w:t xml:space="preserve">Жоқ </w:t>
            </w:r>
          </w:p>
        </w:tc>
        <w:tc>
          <w:tcPr>
            <w:tcW w:w="4252" w:type="dxa"/>
          </w:tcPr>
          <w:p w14:paraId="4027D8D5" w14:textId="063A3D1D" w:rsidR="005E77D1" w:rsidRPr="0004045B" w:rsidRDefault="005E77D1" w:rsidP="001F19AD">
            <w:pPr>
              <w:jc w:val="both"/>
              <w:rPr>
                <w:lang w:val="kk-KZ"/>
              </w:rPr>
            </w:pPr>
            <w:r w:rsidRPr="0004045B">
              <w:rPr>
                <w:lang w:val="kk-KZ"/>
              </w:rPr>
              <w:t xml:space="preserve">133. </w:t>
            </w:r>
            <w:r w:rsidR="001F19AD" w:rsidRPr="0004045B">
              <w:rPr>
                <w:lang w:val="kk-KZ"/>
              </w:rPr>
              <w:t>Көлік құралын тіркеу туралы куәлік</w:t>
            </w:r>
            <w:r w:rsidR="00DC4948" w:rsidRPr="0004045B">
              <w:rPr>
                <w:lang w:val="kk-KZ"/>
              </w:rPr>
              <w:t>тің</w:t>
            </w:r>
            <w:r w:rsidR="001F19AD" w:rsidRPr="0004045B">
              <w:rPr>
                <w:lang w:val="kk-KZ"/>
              </w:rPr>
              <w:t xml:space="preserve"> бланкісі </w:t>
            </w:r>
          </w:p>
        </w:tc>
        <w:tc>
          <w:tcPr>
            <w:tcW w:w="6586" w:type="dxa"/>
            <w:vMerge/>
          </w:tcPr>
          <w:p w14:paraId="53B63B7E" w14:textId="77777777" w:rsidR="005E77D1" w:rsidRPr="0004045B" w:rsidRDefault="005E77D1" w:rsidP="00B465D0">
            <w:pPr>
              <w:autoSpaceDE w:val="0"/>
              <w:autoSpaceDN w:val="0"/>
              <w:adjustRightInd w:val="0"/>
              <w:spacing w:line="240" w:lineRule="atLeast"/>
              <w:jc w:val="both"/>
              <w:rPr>
                <w:lang w:val="kk-KZ"/>
              </w:rPr>
            </w:pPr>
          </w:p>
        </w:tc>
      </w:tr>
    </w:tbl>
    <w:p w14:paraId="7791725B" w14:textId="77777777" w:rsidR="00E8099C" w:rsidRPr="0004045B" w:rsidRDefault="00E8099C" w:rsidP="00E8099C">
      <w:pPr>
        <w:pStyle w:val="1"/>
        <w:spacing w:before="0" w:beforeAutospacing="0" w:after="0" w:afterAutospacing="0"/>
        <w:rPr>
          <w:b w:val="0"/>
          <w:sz w:val="28"/>
          <w:szCs w:val="28"/>
          <w:lang w:val="kk-KZ"/>
        </w:rPr>
      </w:pPr>
    </w:p>
    <w:p w14:paraId="21DCF908" w14:textId="77777777" w:rsidR="00E8099C" w:rsidRPr="0004045B" w:rsidRDefault="00E8099C" w:rsidP="00E8099C">
      <w:pPr>
        <w:rPr>
          <w:lang w:val="kk-KZ"/>
        </w:rPr>
      </w:pPr>
    </w:p>
    <w:p w14:paraId="53EFBBF7" w14:textId="77777777" w:rsidR="000C2B2E" w:rsidRPr="0004045B" w:rsidRDefault="000C2B2E" w:rsidP="00E8099C">
      <w:pPr>
        <w:ind w:firstLine="709"/>
        <w:rPr>
          <w:b/>
          <w:sz w:val="28"/>
          <w:szCs w:val="28"/>
          <w:lang w:val="kk-KZ"/>
        </w:rPr>
      </w:pPr>
      <w:r w:rsidRPr="0004045B">
        <w:rPr>
          <w:b/>
          <w:sz w:val="28"/>
          <w:szCs w:val="28"/>
          <w:lang w:val="kk-KZ"/>
        </w:rPr>
        <w:t>Қазақстан Республикасы</w:t>
      </w:r>
    </w:p>
    <w:p w14:paraId="04EA9EE0" w14:textId="3EC7A109" w:rsidR="00E8099C" w:rsidRPr="0004045B" w:rsidRDefault="000C2B2E" w:rsidP="00632CA2">
      <w:pPr>
        <w:ind w:firstLine="709"/>
        <w:rPr>
          <w:b/>
          <w:sz w:val="28"/>
          <w:szCs w:val="28"/>
          <w:lang w:val="kk-KZ"/>
        </w:rPr>
      </w:pPr>
      <w:r w:rsidRPr="0004045B">
        <w:rPr>
          <w:b/>
          <w:sz w:val="28"/>
          <w:szCs w:val="28"/>
          <w:lang w:val="kk-KZ"/>
        </w:rPr>
        <w:t>Ұлттық Банк</w:t>
      </w:r>
      <w:r w:rsidR="00632CA2" w:rsidRPr="0004045B">
        <w:rPr>
          <w:b/>
          <w:sz w:val="28"/>
          <w:szCs w:val="28"/>
          <w:lang w:val="kk-KZ"/>
        </w:rPr>
        <w:t>інің</w:t>
      </w:r>
      <w:r w:rsidRPr="0004045B">
        <w:rPr>
          <w:b/>
          <w:sz w:val="28"/>
          <w:szCs w:val="28"/>
          <w:lang w:val="kk-KZ"/>
        </w:rPr>
        <w:t xml:space="preserve"> Төрағасы </w:t>
      </w:r>
      <w:r w:rsidR="00E8099C" w:rsidRPr="0004045B">
        <w:rPr>
          <w:b/>
          <w:sz w:val="28"/>
          <w:szCs w:val="28"/>
          <w:lang w:val="kk-KZ"/>
        </w:rPr>
        <w:t xml:space="preserve">                                                                                            </w:t>
      </w:r>
      <w:r w:rsidR="004A0CFC">
        <w:rPr>
          <w:b/>
          <w:sz w:val="28"/>
          <w:szCs w:val="28"/>
          <w:lang w:val="kk-KZ"/>
        </w:rPr>
        <w:t xml:space="preserve">               </w:t>
      </w:r>
      <w:bookmarkStart w:id="0" w:name="_GoBack"/>
      <w:bookmarkEnd w:id="0"/>
      <w:r w:rsidR="004A0CFC">
        <w:rPr>
          <w:b/>
          <w:sz w:val="28"/>
          <w:szCs w:val="28"/>
          <w:lang w:val="kk-KZ"/>
        </w:rPr>
        <w:t xml:space="preserve">    Пірматов Ғ.О.</w:t>
      </w:r>
    </w:p>
    <w:p w14:paraId="37DDA90E" w14:textId="77777777" w:rsidR="00E8099C" w:rsidRPr="0004045B" w:rsidRDefault="00E8099C" w:rsidP="00E8099C">
      <w:pPr>
        <w:pStyle w:val="a5"/>
        <w:rPr>
          <w:rFonts w:ascii="Times New Roman" w:hAnsi="Times New Roman"/>
          <w:sz w:val="28"/>
          <w:szCs w:val="28"/>
          <w:lang w:val="kk-KZ"/>
        </w:rPr>
      </w:pPr>
    </w:p>
    <w:p w14:paraId="4DAB41F8" w14:textId="77777777" w:rsidR="00171098" w:rsidRPr="0004045B" w:rsidRDefault="009213B4">
      <w:pPr>
        <w:rPr>
          <w:lang w:val="kk-KZ"/>
        </w:rPr>
      </w:pPr>
    </w:p>
    <w:sectPr w:rsidR="00171098" w:rsidRPr="0004045B" w:rsidSect="00AC50EB">
      <w:headerReference w:type="even" r:id="rId7"/>
      <w:headerReference w:type="default" r:id="rId8"/>
      <w:footerReference w:type="default" r:id="rId9"/>
      <w:headerReference w:type="first" r:id="rId10"/>
      <w:pgSz w:w="16838" w:h="11906" w:orient="landscape"/>
      <w:pgMar w:top="1135" w:right="1418" w:bottom="851" w:left="1418" w:header="43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654E4" w14:textId="77777777" w:rsidR="009213B4" w:rsidRDefault="009213B4">
      <w:r>
        <w:separator/>
      </w:r>
    </w:p>
  </w:endnote>
  <w:endnote w:type="continuationSeparator" w:id="0">
    <w:p w14:paraId="2A7FBDBF" w14:textId="77777777" w:rsidR="009213B4" w:rsidRDefault="00921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BB6A0" w14:textId="77777777" w:rsidR="00CA0329" w:rsidRDefault="009213B4" w:rsidP="00EA70BB">
    <w:pPr>
      <w:pStyle w:val="a5"/>
      <w:rPr>
        <w:rFonts w:ascii="Times New Roman" w:hAnsi="Times New Roman"/>
        <w:sz w:val="28"/>
        <w:szCs w:val="28"/>
        <w:lang w:val="kk-KZ"/>
      </w:rPr>
    </w:pPr>
  </w:p>
  <w:p w14:paraId="42BA079E" w14:textId="77777777" w:rsidR="00CA0329" w:rsidRDefault="009213B4">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57B36" w14:textId="77777777" w:rsidR="009213B4" w:rsidRDefault="009213B4">
      <w:r>
        <w:separator/>
      </w:r>
    </w:p>
  </w:footnote>
  <w:footnote w:type="continuationSeparator" w:id="0">
    <w:p w14:paraId="3C4E4215" w14:textId="77777777" w:rsidR="009213B4" w:rsidRDefault="009213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FC725" w14:textId="77777777" w:rsidR="00CA0329" w:rsidRDefault="00A41C2E" w:rsidP="00F84D0C">
    <w:pPr>
      <w:pStyle w:val="a3"/>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377AC16" w14:textId="77777777" w:rsidR="00CA0329" w:rsidRDefault="009213B4">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3F387" w14:textId="22DBD68A" w:rsidR="00CA0329" w:rsidRPr="00FF61B0" w:rsidRDefault="00A41C2E" w:rsidP="00F84D0C">
    <w:pPr>
      <w:pStyle w:val="a3"/>
      <w:framePr w:wrap="around" w:vAnchor="text" w:hAnchor="margin" w:xAlign="center" w:y="1"/>
      <w:rPr>
        <w:rStyle w:val="aa"/>
        <w:sz w:val="28"/>
        <w:szCs w:val="28"/>
      </w:rPr>
    </w:pPr>
    <w:r w:rsidRPr="00FF61B0">
      <w:rPr>
        <w:rStyle w:val="aa"/>
        <w:sz w:val="28"/>
        <w:szCs w:val="28"/>
      </w:rPr>
      <w:fldChar w:fldCharType="begin"/>
    </w:r>
    <w:r w:rsidRPr="00FF61B0">
      <w:rPr>
        <w:rStyle w:val="aa"/>
        <w:sz w:val="28"/>
        <w:szCs w:val="28"/>
      </w:rPr>
      <w:instrText xml:space="preserve">PAGE  </w:instrText>
    </w:r>
    <w:r w:rsidRPr="00FF61B0">
      <w:rPr>
        <w:rStyle w:val="aa"/>
        <w:sz w:val="28"/>
        <w:szCs w:val="28"/>
      </w:rPr>
      <w:fldChar w:fldCharType="separate"/>
    </w:r>
    <w:r w:rsidR="004A0CFC">
      <w:rPr>
        <w:rStyle w:val="aa"/>
        <w:noProof/>
        <w:sz w:val="28"/>
        <w:szCs w:val="28"/>
      </w:rPr>
      <w:t>2</w:t>
    </w:r>
    <w:r w:rsidRPr="00FF61B0">
      <w:rPr>
        <w:rStyle w:val="aa"/>
        <w:sz w:val="28"/>
        <w:szCs w:val="28"/>
      </w:rPr>
      <w:fldChar w:fldCharType="end"/>
    </w:r>
  </w:p>
  <w:p w14:paraId="4BE261A7" w14:textId="77777777" w:rsidR="00CA0329" w:rsidRPr="00EA70BB" w:rsidRDefault="009213B4">
    <w:pPr>
      <w:pStyle w:val="a3"/>
      <w:jc w:val="center"/>
      <w:rPr>
        <w:lang w:val="kk-KZ"/>
      </w:rPr>
    </w:pPr>
  </w:p>
  <w:p w14:paraId="46C914D1" w14:textId="77777777" w:rsidR="00CA0329" w:rsidRDefault="009213B4">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6D35" w14:textId="77777777" w:rsidR="00CA0329" w:rsidRPr="00974106" w:rsidRDefault="009213B4" w:rsidP="002E76E8">
    <w:pPr>
      <w:pStyle w:val="a3"/>
      <w:ind w:right="-428"/>
      <w:rPr>
        <w:color w:val="0F243E"/>
        <w:sz w:val="2"/>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30C7D"/>
    <w:multiLevelType w:val="hybridMultilevel"/>
    <w:tmpl w:val="CC6AB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467B29"/>
    <w:multiLevelType w:val="hybridMultilevel"/>
    <w:tmpl w:val="C0C857F6"/>
    <w:lvl w:ilvl="0" w:tplc="60646A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71F2287"/>
    <w:multiLevelType w:val="hybridMultilevel"/>
    <w:tmpl w:val="356CD12E"/>
    <w:lvl w:ilvl="0" w:tplc="099048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BF05E3C"/>
    <w:multiLevelType w:val="hybridMultilevel"/>
    <w:tmpl w:val="372E3E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0F535A"/>
    <w:multiLevelType w:val="multilevel"/>
    <w:tmpl w:val="C85ADD78"/>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0C39D7"/>
    <w:multiLevelType w:val="multilevel"/>
    <w:tmpl w:val="5E24DE0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9E6"/>
    <w:rsid w:val="00011451"/>
    <w:rsid w:val="000228EC"/>
    <w:rsid w:val="0004045B"/>
    <w:rsid w:val="00072A98"/>
    <w:rsid w:val="000C2B2E"/>
    <w:rsid w:val="000E2F5A"/>
    <w:rsid w:val="000F4690"/>
    <w:rsid w:val="000F4851"/>
    <w:rsid w:val="00106250"/>
    <w:rsid w:val="0011578B"/>
    <w:rsid w:val="0016654B"/>
    <w:rsid w:val="00193429"/>
    <w:rsid w:val="0019375E"/>
    <w:rsid w:val="001A4610"/>
    <w:rsid w:val="001C7E4B"/>
    <w:rsid w:val="001F19AD"/>
    <w:rsid w:val="001F214D"/>
    <w:rsid w:val="002044D6"/>
    <w:rsid w:val="00281941"/>
    <w:rsid w:val="002D214D"/>
    <w:rsid w:val="002F3703"/>
    <w:rsid w:val="00315466"/>
    <w:rsid w:val="00321C77"/>
    <w:rsid w:val="00327145"/>
    <w:rsid w:val="00342D24"/>
    <w:rsid w:val="0034308F"/>
    <w:rsid w:val="003636B7"/>
    <w:rsid w:val="0038234A"/>
    <w:rsid w:val="003C3D13"/>
    <w:rsid w:val="003E7C2B"/>
    <w:rsid w:val="0041235D"/>
    <w:rsid w:val="004331C9"/>
    <w:rsid w:val="00441DEA"/>
    <w:rsid w:val="004465EF"/>
    <w:rsid w:val="00452444"/>
    <w:rsid w:val="00476393"/>
    <w:rsid w:val="004A0CFC"/>
    <w:rsid w:val="004E0253"/>
    <w:rsid w:val="005064A1"/>
    <w:rsid w:val="00527612"/>
    <w:rsid w:val="005D3EFB"/>
    <w:rsid w:val="005E77D1"/>
    <w:rsid w:val="00607B7F"/>
    <w:rsid w:val="00614190"/>
    <w:rsid w:val="00632CA2"/>
    <w:rsid w:val="0065406F"/>
    <w:rsid w:val="00676EB6"/>
    <w:rsid w:val="00692078"/>
    <w:rsid w:val="00763F37"/>
    <w:rsid w:val="007B26B9"/>
    <w:rsid w:val="007B67B3"/>
    <w:rsid w:val="007F25ED"/>
    <w:rsid w:val="00824AE5"/>
    <w:rsid w:val="0086421B"/>
    <w:rsid w:val="0088229F"/>
    <w:rsid w:val="009213B4"/>
    <w:rsid w:val="00926D41"/>
    <w:rsid w:val="00936DBB"/>
    <w:rsid w:val="009470E4"/>
    <w:rsid w:val="009C49CC"/>
    <w:rsid w:val="009E16D4"/>
    <w:rsid w:val="00A14F26"/>
    <w:rsid w:val="00A30386"/>
    <w:rsid w:val="00A3062D"/>
    <w:rsid w:val="00A41C2E"/>
    <w:rsid w:val="00A44456"/>
    <w:rsid w:val="00A5348C"/>
    <w:rsid w:val="00AA035C"/>
    <w:rsid w:val="00AC50EB"/>
    <w:rsid w:val="00AE1BC2"/>
    <w:rsid w:val="00B06B93"/>
    <w:rsid w:val="00B15CD0"/>
    <w:rsid w:val="00B465D0"/>
    <w:rsid w:val="00B47038"/>
    <w:rsid w:val="00B63D4C"/>
    <w:rsid w:val="00B752EB"/>
    <w:rsid w:val="00B759E6"/>
    <w:rsid w:val="00BB0966"/>
    <w:rsid w:val="00BC43EE"/>
    <w:rsid w:val="00BD576F"/>
    <w:rsid w:val="00BE2079"/>
    <w:rsid w:val="00BE67CE"/>
    <w:rsid w:val="00C560D9"/>
    <w:rsid w:val="00D105FD"/>
    <w:rsid w:val="00D2581F"/>
    <w:rsid w:val="00D3687F"/>
    <w:rsid w:val="00D666D3"/>
    <w:rsid w:val="00D81168"/>
    <w:rsid w:val="00D92F8C"/>
    <w:rsid w:val="00D97A97"/>
    <w:rsid w:val="00DB4A2D"/>
    <w:rsid w:val="00DC20D6"/>
    <w:rsid w:val="00DC39BD"/>
    <w:rsid w:val="00DC4948"/>
    <w:rsid w:val="00E041E7"/>
    <w:rsid w:val="00E22EC3"/>
    <w:rsid w:val="00E562D2"/>
    <w:rsid w:val="00E8099C"/>
    <w:rsid w:val="00EC1BC7"/>
    <w:rsid w:val="00F2397D"/>
    <w:rsid w:val="00F51134"/>
    <w:rsid w:val="00F674D8"/>
    <w:rsid w:val="00F73319"/>
    <w:rsid w:val="00FA1BB5"/>
    <w:rsid w:val="00FC070E"/>
    <w:rsid w:val="00FC3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0C056"/>
  <w15:chartTrackingRefBased/>
  <w15:docId w15:val="{F357CD5D-36C4-4C09-B04B-7C5C1883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99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E8099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8099C"/>
    <w:rPr>
      <w:rFonts w:ascii="Times New Roman" w:eastAsia="Calibri" w:hAnsi="Times New Roman" w:cs="Times New Roman"/>
      <w:b/>
      <w:bCs/>
      <w:kern w:val="36"/>
      <w:sz w:val="48"/>
      <w:szCs w:val="48"/>
      <w:lang w:eastAsia="ru-RU"/>
    </w:rPr>
  </w:style>
  <w:style w:type="paragraph" w:styleId="a3">
    <w:name w:val="header"/>
    <w:basedOn w:val="a"/>
    <w:link w:val="a4"/>
    <w:uiPriority w:val="99"/>
    <w:rsid w:val="00E8099C"/>
    <w:pPr>
      <w:tabs>
        <w:tab w:val="center" w:pos="4677"/>
        <w:tab w:val="right" w:pos="9355"/>
      </w:tabs>
    </w:pPr>
    <w:rPr>
      <w:rFonts w:eastAsia="Calibri"/>
    </w:rPr>
  </w:style>
  <w:style w:type="character" w:customStyle="1" w:styleId="a4">
    <w:name w:val="Верхний колонтитул Знак"/>
    <w:basedOn w:val="a0"/>
    <w:link w:val="a3"/>
    <w:uiPriority w:val="99"/>
    <w:rsid w:val="00E8099C"/>
    <w:rPr>
      <w:rFonts w:ascii="Times New Roman" w:eastAsia="Calibri" w:hAnsi="Times New Roman" w:cs="Times New Roman"/>
      <w:sz w:val="24"/>
      <w:szCs w:val="24"/>
      <w:lang w:eastAsia="ru-RU"/>
    </w:rPr>
  </w:style>
  <w:style w:type="paragraph" w:styleId="a5">
    <w:name w:val="No Spacing"/>
    <w:uiPriority w:val="99"/>
    <w:qFormat/>
    <w:rsid w:val="00E8099C"/>
    <w:pPr>
      <w:spacing w:after="0" w:line="240" w:lineRule="auto"/>
    </w:pPr>
    <w:rPr>
      <w:rFonts w:ascii="Calibri" w:eastAsia="Calibri" w:hAnsi="Calibri" w:cs="Times New Roman"/>
    </w:rPr>
  </w:style>
  <w:style w:type="paragraph" w:styleId="a6">
    <w:name w:val="footer"/>
    <w:basedOn w:val="a"/>
    <w:link w:val="a7"/>
    <w:uiPriority w:val="99"/>
    <w:rsid w:val="00E8099C"/>
    <w:pPr>
      <w:tabs>
        <w:tab w:val="center" w:pos="4677"/>
        <w:tab w:val="right" w:pos="9355"/>
      </w:tabs>
    </w:pPr>
    <w:rPr>
      <w:rFonts w:eastAsia="Calibri"/>
    </w:rPr>
  </w:style>
  <w:style w:type="character" w:customStyle="1" w:styleId="a7">
    <w:name w:val="Нижний колонтитул Знак"/>
    <w:basedOn w:val="a0"/>
    <w:link w:val="a6"/>
    <w:uiPriority w:val="99"/>
    <w:rsid w:val="00E8099C"/>
    <w:rPr>
      <w:rFonts w:ascii="Times New Roman" w:eastAsia="Calibri" w:hAnsi="Times New Roman" w:cs="Times New Roman"/>
      <w:sz w:val="24"/>
      <w:szCs w:val="24"/>
      <w:lang w:eastAsia="ru-RU"/>
    </w:rPr>
  </w:style>
  <w:style w:type="paragraph" w:styleId="a8">
    <w:name w:val="Normal (Web)"/>
    <w:aliases w:val="Обычный (Web),Обычный (веб)1,Обычный (веб)1 Знак Знак Зн,Обычный (веб)1 Знак Знак Зн Знак Знак Знак,Обычный (веб)1 Знак Знак Зн Знак Знак,Обычный (Web)1,Обычный (веб) Знак1,Обычный (веб) Знак Знак1,Обычный (веб) Знак Знак Знак,Знак4 Зна,Зн"/>
    <w:basedOn w:val="a"/>
    <w:link w:val="a9"/>
    <w:uiPriority w:val="99"/>
    <w:rsid w:val="00E8099C"/>
    <w:pPr>
      <w:spacing w:before="100" w:beforeAutospacing="1" w:after="100" w:afterAutospacing="1"/>
    </w:pPr>
    <w:rPr>
      <w:rFonts w:ascii="Calibri" w:eastAsia="Calibri" w:hAnsi="Calibri"/>
      <w:szCs w:val="20"/>
    </w:rPr>
  </w:style>
  <w:style w:type="character" w:styleId="aa">
    <w:name w:val="page number"/>
    <w:uiPriority w:val="99"/>
    <w:rsid w:val="00E8099C"/>
    <w:rPr>
      <w:rFonts w:cs="Times New Roman"/>
    </w:rPr>
  </w:style>
  <w:style w:type="character" w:customStyle="1" w:styleId="a9">
    <w:name w:val="Обычный (веб) Знак"/>
    <w:aliases w:val="Обычный (Web) Знак,Обычный (веб)1 Знак,Обычный (веб)1 Знак Знак Зн Знак,Обычный (веб)1 Знак Знак Зн Знак Знак Знак Знак,Обычный (веб)1 Знак Знак Зн Знак Знак Знак1,Обычный (Web)1 Знак,Обычный (веб) Знак1 Знак,Знак4 Зна Знак,Зн Знак"/>
    <w:link w:val="a8"/>
    <w:uiPriority w:val="99"/>
    <w:locked/>
    <w:rsid w:val="00E8099C"/>
    <w:rPr>
      <w:rFonts w:ascii="Calibri" w:eastAsia="Calibri" w:hAnsi="Calibri" w:cs="Times New Roman"/>
      <w:sz w:val="24"/>
      <w:szCs w:val="20"/>
      <w:lang w:eastAsia="ru-RU"/>
    </w:rPr>
  </w:style>
  <w:style w:type="paragraph" w:styleId="ab">
    <w:name w:val="Body Text Indent"/>
    <w:basedOn w:val="a"/>
    <w:link w:val="ac"/>
    <w:uiPriority w:val="99"/>
    <w:rsid w:val="00E8099C"/>
    <w:pPr>
      <w:spacing w:after="120"/>
      <w:ind w:left="283"/>
    </w:pPr>
  </w:style>
  <w:style w:type="character" w:customStyle="1" w:styleId="ac">
    <w:name w:val="Основной текст с отступом Знак"/>
    <w:basedOn w:val="a0"/>
    <w:link w:val="ab"/>
    <w:uiPriority w:val="99"/>
    <w:rsid w:val="00E8099C"/>
    <w:rPr>
      <w:rFonts w:ascii="Times New Roman" w:eastAsia="Times New Roman" w:hAnsi="Times New Roman" w:cs="Times New Roman"/>
      <w:sz w:val="24"/>
      <w:szCs w:val="24"/>
      <w:lang w:eastAsia="ru-RU"/>
    </w:rPr>
  </w:style>
  <w:style w:type="paragraph" w:styleId="ad">
    <w:name w:val="Title"/>
    <w:basedOn w:val="a"/>
    <w:link w:val="ae"/>
    <w:uiPriority w:val="99"/>
    <w:qFormat/>
    <w:rsid w:val="00E8099C"/>
    <w:pPr>
      <w:jc w:val="center"/>
    </w:pPr>
    <w:rPr>
      <w:rFonts w:eastAsia="Calibri"/>
      <w:b/>
      <w:color w:val="000080"/>
      <w:sz w:val="28"/>
      <w:szCs w:val="20"/>
    </w:rPr>
  </w:style>
  <w:style w:type="character" w:customStyle="1" w:styleId="ae">
    <w:name w:val="Заголовок Знак"/>
    <w:basedOn w:val="a0"/>
    <w:link w:val="ad"/>
    <w:uiPriority w:val="99"/>
    <w:rsid w:val="00E8099C"/>
    <w:rPr>
      <w:rFonts w:ascii="Times New Roman" w:eastAsia="Calibri" w:hAnsi="Times New Roman" w:cs="Times New Roman"/>
      <w:b/>
      <w:color w:val="000080"/>
      <w:sz w:val="28"/>
      <w:szCs w:val="20"/>
      <w:lang w:eastAsia="ru-RU"/>
    </w:rPr>
  </w:style>
  <w:style w:type="paragraph" w:styleId="af">
    <w:name w:val="List Paragraph"/>
    <w:basedOn w:val="a"/>
    <w:uiPriority w:val="99"/>
    <w:qFormat/>
    <w:rsid w:val="00E8099C"/>
    <w:pPr>
      <w:ind w:left="720"/>
      <w:contextualSpacing/>
    </w:pPr>
  </w:style>
  <w:style w:type="character" w:customStyle="1" w:styleId="s1">
    <w:name w:val="s1"/>
    <w:rsid w:val="00B47038"/>
    <w:rPr>
      <w:rFonts w:ascii="Times New Roman" w:hAnsi="Times New Roman" w:cs="Times New Roman" w:hint="default"/>
      <w:b/>
      <w:bCs/>
      <w:color w:val="000000"/>
    </w:rPr>
  </w:style>
  <w:style w:type="character" w:customStyle="1" w:styleId="s0">
    <w:name w:val="s0"/>
    <w:basedOn w:val="a0"/>
    <w:uiPriority w:val="99"/>
    <w:rsid w:val="00B47038"/>
    <w:rPr>
      <w:rFonts w:ascii="Times New Roman" w:hAnsi="Times New Roman" w:cs="Times New Roman"/>
      <w:color w:val="000000"/>
      <w:sz w:val="20"/>
      <w:szCs w:val="20"/>
      <w:u w:val="none"/>
      <w:effect w:val="none"/>
    </w:rPr>
  </w:style>
  <w:style w:type="paragraph" w:styleId="af0">
    <w:name w:val="Balloon Text"/>
    <w:basedOn w:val="a"/>
    <w:link w:val="af1"/>
    <w:uiPriority w:val="99"/>
    <w:semiHidden/>
    <w:unhideWhenUsed/>
    <w:rsid w:val="00B63D4C"/>
    <w:rPr>
      <w:rFonts w:ascii="Segoe UI" w:hAnsi="Segoe UI" w:cs="Segoe UI"/>
      <w:sz w:val="18"/>
      <w:szCs w:val="18"/>
    </w:rPr>
  </w:style>
  <w:style w:type="character" w:customStyle="1" w:styleId="af1">
    <w:name w:val="Текст выноски Знак"/>
    <w:basedOn w:val="a0"/>
    <w:link w:val="af0"/>
    <w:uiPriority w:val="99"/>
    <w:semiHidden/>
    <w:rsid w:val="00B63D4C"/>
    <w:rPr>
      <w:rFonts w:ascii="Segoe UI" w:eastAsia="Times New Roman" w:hAnsi="Segoe UI" w:cs="Segoe UI"/>
      <w:sz w:val="18"/>
      <w:szCs w:val="18"/>
      <w:lang w:eastAsia="ru-RU"/>
    </w:rPr>
  </w:style>
  <w:style w:type="character" w:styleId="af2">
    <w:name w:val="annotation reference"/>
    <w:basedOn w:val="a0"/>
    <w:uiPriority w:val="99"/>
    <w:semiHidden/>
    <w:unhideWhenUsed/>
    <w:rsid w:val="00B63D4C"/>
    <w:rPr>
      <w:sz w:val="16"/>
      <w:szCs w:val="16"/>
    </w:rPr>
  </w:style>
  <w:style w:type="paragraph" w:styleId="af3">
    <w:name w:val="annotation text"/>
    <w:basedOn w:val="a"/>
    <w:link w:val="af4"/>
    <w:uiPriority w:val="99"/>
    <w:semiHidden/>
    <w:unhideWhenUsed/>
    <w:rsid w:val="00B63D4C"/>
    <w:rPr>
      <w:sz w:val="20"/>
      <w:szCs w:val="20"/>
    </w:rPr>
  </w:style>
  <w:style w:type="character" w:customStyle="1" w:styleId="af4">
    <w:name w:val="Текст примечания Знак"/>
    <w:basedOn w:val="a0"/>
    <w:link w:val="af3"/>
    <w:uiPriority w:val="99"/>
    <w:semiHidden/>
    <w:rsid w:val="00B63D4C"/>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B63D4C"/>
    <w:rPr>
      <w:b/>
      <w:bCs/>
    </w:rPr>
  </w:style>
  <w:style w:type="character" w:customStyle="1" w:styleId="af6">
    <w:name w:val="Тема примечания Знак"/>
    <w:basedOn w:val="af4"/>
    <w:link w:val="af5"/>
    <w:uiPriority w:val="99"/>
    <w:semiHidden/>
    <w:rsid w:val="00B63D4C"/>
    <w:rPr>
      <w:rFonts w:ascii="Times New Roman" w:eastAsia="Times New Roman" w:hAnsi="Times New Roman" w:cs="Times New Roman"/>
      <w:b/>
      <w:bCs/>
      <w:sz w:val="20"/>
      <w:szCs w:val="20"/>
      <w:lang w:eastAsia="ru-RU"/>
    </w:rPr>
  </w:style>
  <w:style w:type="paragraph" w:styleId="af7">
    <w:name w:val="Revision"/>
    <w:hidden/>
    <w:uiPriority w:val="99"/>
    <w:semiHidden/>
    <w:rsid w:val="00D666D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27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3</Pages>
  <Words>712</Words>
  <Characters>4061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 Даутова</dc:creator>
  <cp:keywords/>
  <dc:description/>
  <cp:lastModifiedBy>Сакен Тажиев</cp:lastModifiedBy>
  <cp:revision>16</cp:revision>
  <dcterms:created xsi:type="dcterms:W3CDTF">2020-08-06T07:35:00Z</dcterms:created>
  <dcterms:modified xsi:type="dcterms:W3CDTF">2022-04-25T05:43:00Z</dcterms:modified>
</cp:coreProperties>
</file>