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F4" w:rsidRDefault="00DB60F4" w:rsidP="00DB60F4">
      <w:pPr>
        <w:pStyle w:val="pr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</w:p>
    <w:p w:rsidR="00DB60F4" w:rsidRDefault="00DB60F4" w:rsidP="00DB60F4">
      <w:pPr>
        <w:pStyle w:val="pr"/>
      </w:pP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</w:p>
    <w:p w:rsidR="00DB60F4" w:rsidRDefault="00DB60F4" w:rsidP="00DB60F4">
      <w:pPr>
        <w:pStyle w:val="pr"/>
      </w:pPr>
      <w:r>
        <w:t xml:space="preserve">2021 </w:t>
      </w:r>
      <w:proofErr w:type="spellStart"/>
      <w:r>
        <w:t>жылғы</w:t>
      </w:r>
      <w:proofErr w:type="spellEnd"/>
      <w:r>
        <w:t xml:space="preserve"> 26 </w:t>
      </w:r>
      <w:proofErr w:type="spellStart"/>
      <w:r>
        <w:t>сәуірдегі</w:t>
      </w:r>
      <w:proofErr w:type="spellEnd"/>
    </w:p>
    <w:p w:rsidR="00DB60F4" w:rsidRDefault="00DB60F4" w:rsidP="00DB60F4">
      <w:pPr>
        <w:pStyle w:val="pr"/>
      </w:pPr>
      <w:r>
        <w:t xml:space="preserve">№ 48 </w:t>
      </w:r>
      <w:hyperlink r:id="rId4" w:history="1">
        <w:proofErr w:type="spellStart"/>
        <w:r>
          <w:rPr>
            <w:rStyle w:val="a3"/>
            <w:color w:val="000080"/>
          </w:rPr>
          <w:t>Қаулыға</w:t>
        </w:r>
        <w:proofErr w:type="spellEnd"/>
      </w:hyperlink>
    </w:p>
    <w:p w:rsidR="00DB60F4" w:rsidRDefault="00DB60F4" w:rsidP="00DB60F4">
      <w:pPr>
        <w:pStyle w:val="pr"/>
      </w:pPr>
      <w:r>
        <w:t>17-қосымша</w:t>
      </w:r>
    </w:p>
    <w:p w:rsidR="00DB60F4" w:rsidRDefault="00DB60F4" w:rsidP="00DB60F4">
      <w:pPr>
        <w:pStyle w:val="pc"/>
      </w:pPr>
      <w:r>
        <w:t> </w:t>
      </w:r>
    </w:p>
    <w:p w:rsidR="00DB60F4" w:rsidRDefault="00DB60F4" w:rsidP="00DB60F4">
      <w:pPr>
        <w:pStyle w:val="pc"/>
      </w:pPr>
      <w:r>
        <w:t> </w:t>
      </w:r>
    </w:p>
    <w:p w:rsidR="00DB60F4" w:rsidRDefault="00DB60F4" w:rsidP="00DB60F4">
      <w:pPr>
        <w:pStyle w:val="pc"/>
      </w:pPr>
      <w:proofErr w:type="spellStart"/>
      <w:r>
        <w:rPr>
          <w:b/>
          <w:bCs/>
        </w:rPr>
        <w:t>Екінші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деңгейдегі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банктердің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есептілікті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ұсыну</w:t>
      </w:r>
      <w:proofErr w:type="spellEnd"/>
    </w:p>
    <w:p w:rsidR="00DB60F4" w:rsidRDefault="00DB60F4" w:rsidP="00DB60F4">
      <w:pPr>
        <w:pStyle w:val="pc"/>
      </w:pPr>
      <w:proofErr w:type="spellStart"/>
      <w:r>
        <w:rPr>
          <w:b/>
          <w:bCs/>
        </w:rPr>
        <w:t>қағидалары</w:t>
      </w:r>
      <w:proofErr w:type="spellEnd"/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c"/>
      </w:pPr>
      <w:r>
        <w:rPr>
          <w:b/>
          <w:bCs/>
        </w:rPr>
        <w:t xml:space="preserve">1 </w:t>
      </w:r>
      <w:proofErr w:type="spellStart"/>
      <w:r>
        <w:rPr>
          <w:b/>
          <w:bCs/>
        </w:rPr>
        <w:t>тарау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Жалпы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ережелер</w:t>
      </w:r>
      <w:proofErr w:type="spellEnd"/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j"/>
      </w:pPr>
      <w:r>
        <w:t xml:space="preserve">1.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Қағидалар</w:t>
      </w:r>
      <w:proofErr w:type="spellEnd"/>
      <w:r>
        <w:t>)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1995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наурыздағы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15-бабы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бөлігінің</w:t>
      </w:r>
      <w:proofErr w:type="spellEnd"/>
      <w:r>
        <w:t xml:space="preserve"> 65-2) </w:t>
      </w:r>
      <w:proofErr w:type="spellStart"/>
      <w:r>
        <w:t>тармақшасына</w:t>
      </w:r>
      <w:proofErr w:type="spellEnd"/>
      <w:r>
        <w:t>,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банктер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банк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1995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тамыздағы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Банктер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банк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) 54-бабының 1-тармағына </w:t>
      </w:r>
      <w:proofErr w:type="spellStart"/>
      <w:r>
        <w:t>және</w:t>
      </w:r>
      <w:proofErr w:type="spellEnd"/>
      <w:r>
        <w:t xml:space="preserve"> «</w:t>
      </w:r>
      <w:proofErr w:type="spellStart"/>
      <w:r>
        <w:t>Мемлекеттік</w:t>
      </w:r>
      <w:proofErr w:type="spellEnd"/>
      <w:r>
        <w:t xml:space="preserve"> статистика </w:t>
      </w:r>
      <w:proofErr w:type="spellStart"/>
      <w:r>
        <w:t>туралы</w:t>
      </w:r>
      <w:proofErr w:type="spellEnd"/>
      <w:r>
        <w:t xml:space="preserve">» 2010 </w:t>
      </w:r>
      <w:proofErr w:type="spellStart"/>
      <w:r>
        <w:t>жылғы</w:t>
      </w:r>
      <w:proofErr w:type="spellEnd"/>
      <w:r>
        <w:t xml:space="preserve"> 19 </w:t>
      </w:r>
      <w:proofErr w:type="spellStart"/>
      <w:r>
        <w:t>наурыздағы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16-бабы 3-тармағының 2) </w:t>
      </w:r>
      <w:proofErr w:type="spellStart"/>
      <w:r>
        <w:t>тармақшасына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әзірленді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банктердің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банк)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Банкіне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Ұлттық</w:t>
      </w:r>
      <w:proofErr w:type="spellEnd"/>
      <w:r>
        <w:t xml:space="preserve"> Банк)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айқындайды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2. Осы </w:t>
      </w:r>
      <w:proofErr w:type="spellStart"/>
      <w:r>
        <w:t>қаулыда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есептілік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Банктер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банк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ұғымдар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ұғымдар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:</w:t>
      </w:r>
    </w:p>
    <w:p w:rsidR="00DB60F4" w:rsidRDefault="00DB60F4" w:rsidP="00DB60F4">
      <w:pPr>
        <w:pStyle w:val="pj"/>
      </w:pPr>
      <w:r>
        <w:t xml:space="preserve">1) </w:t>
      </w:r>
      <w:proofErr w:type="spellStart"/>
      <w:r>
        <w:t>қарыз</w:t>
      </w:r>
      <w:proofErr w:type="spellEnd"/>
      <w:r>
        <w:t xml:space="preserve"> -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банктік</w:t>
      </w:r>
      <w:proofErr w:type="spellEnd"/>
      <w:r>
        <w:t xml:space="preserve"> </w:t>
      </w:r>
      <w:proofErr w:type="spellStart"/>
      <w:r>
        <w:t>қарыз</w:t>
      </w:r>
      <w:proofErr w:type="spellEnd"/>
      <w:r>
        <w:t xml:space="preserve">, </w:t>
      </w:r>
      <w:proofErr w:type="spellStart"/>
      <w:r>
        <w:t>лизингтік</w:t>
      </w:r>
      <w:proofErr w:type="spellEnd"/>
      <w:r>
        <w:t xml:space="preserve">, </w:t>
      </w:r>
      <w:proofErr w:type="spellStart"/>
      <w:r>
        <w:t>факторингтік</w:t>
      </w:r>
      <w:proofErr w:type="spellEnd"/>
      <w:r>
        <w:t xml:space="preserve">, </w:t>
      </w:r>
      <w:proofErr w:type="spellStart"/>
      <w:r>
        <w:t>форфейтингтік</w:t>
      </w:r>
      <w:proofErr w:type="spellEnd"/>
      <w:r>
        <w:t xml:space="preserve"> </w:t>
      </w:r>
      <w:proofErr w:type="spellStart"/>
      <w:r>
        <w:t>операцияларды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асыруы</w:t>
      </w:r>
      <w:proofErr w:type="spellEnd"/>
      <w:r>
        <w:t xml:space="preserve">, ислам </w:t>
      </w:r>
      <w:proofErr w:type="spellStart"/>
      <w:r>
        <w:t>банкінің</w:t>
      </w:r>
      <w:proofErr w:type="spellEnd"/>
      <w:r>
        <w:t xml:space="preserve"> </w:t>
      </w:r>
      <w:proofErr w:type="spellStart"/>
      <w:r>
        <w:t>Банктер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банк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заңның</w:t>
      </w:r>
      <w:proofErr w:type="spellEnd"/>
      <w:r>
        <w:t xml:space="preserve"> 52-5-бабы 1-тармағының 3), 4) </w:t>
      </w:r>
      <w:proofErr w:type="spellStart"/>
      <w:r>
        <w:t>және</w:t>
      </w:r>
      <w:proofErr w:type="spellEnd"/>
      <w:r>
        <w:t xml:space="preserve"> 5) </w:t>
      </w:r>
      <w:proofErr w:type="spellStart"/>
      <w:r>
        <w:t>тармақшаларында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операцияларды</w:t>
      </w:r>
      <w:proofErr w:type="spellEnd"/>
      <w:r>
        <w:t xml:space="preserve">, </w:t>
      </w:r>
      <w:proofErr w:type="spellStart"/>
      <w:r>
        <w:t>вексельдерді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, </w:t>
      </w:r>
      <w:proofErr w:type="spellStart"/>
      <w:r>
        <w:t>кері</w:t>
      </w:r>
      <w:proofErr w:type="spellEnd"/>
      <w:r>
        <w:t xml:space="preserve"> РЕПО </w:t>
      </w:r>
      <w:proofErr w:type="spellStart"/>
      <w:r>
        <w:t>операцияларын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асыруы</w:t>
      </w:r>
      <w:proofErr w:type="spellEnd"/>
      <w:r>
        <w:t>;</w:t>
      </w:r>
    </w:p>
    <w:p w:rsidR="00DB60F4" w:rsidRDefault="00DB60F4" w:rsidP="00DB60F4">
      <w:pPr>
        <w:pStyle w:val="pj"/>
      </w:pPr>
      <w:r>
        <w:t xml:space="preserve">2)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елі</w:t>
      </w:r>
      <w:proofErr w:type="spellEnd"/>
      <w:r>
        <w:t xml:space="preserve"> (инкорпорация) -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төлеуші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ел (</w:t>
      </w:r>
      <w:proofErr w:type="spellStart"/>
      <w:r>
        <w:t>заңнамасы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);</w:t>
      </w:r>
    </w:p>
    <w:p w:rsidR="00DB60F4" w:rsidRDefault="00DB60F4" w:rsidP="00DB60F4">
      <w:pPr>
        <w:pStyle w:val="pj"/>
      </w:pPr>
      <w:r>
        <w:t xml:space="preserve">3) </w:t>
      </w:r>
      <w:proofErr w:type="spellStart"/>
      <w:r>
        <w:t>ұзарту</w:t>
      </w:r>
      <w:proofErr w:type="spellEnd"/>
      <w:r>
        <w:t xml:space="preserve"> -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қолданысының</w:t>
      </w:r>
      <w:proofErr w:type="spellEnd"/>
      <w:r>
        <w:t xml:space="preserve"> </w:t>
      </w:r>
      <w:proofErr w:type="spellStart"/>
      <w:r>
        <w:t>түпкілікті</w:t>
      </w:r>
      <w:proofErr w:type="spellEnd"/>
      <w:r>
        <w:t xml:space="preserve"> </w:t>
      </w:r>
      <w:proofErr w:type="spellStart"/>
      <w:r>
        <w:t>мерзімін</w:t>
      </w:r>
      <w:proofErr w:type="spellEnd"/>
      <w:r>
        <w:t xml:space="preserve"> </w:t>
      </w:r>
      <w:proofErr w:type="spellStart"/>
      <w:r>
        <w:t>ұзарту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</w:t>
      </w:r>
      <w:proofErr w:type="spellStart"/>
      <w:r>
        <w:t>шарттың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өзгерту</w:t>
      </w:r>
      <w:proofErr w:type="spellEnd"/>
      <w:r>
        <w:t>;</w:t>
      </w:r>
    </w:p>
    <w:p w:rsidR="00DB60F4" w:rsidRDefault="00DB60F4" w:rsidP="00DB60F4">
      <w:pPr>
        <w:pStyle w:val="pj"/>
      </w:pPr>
      <w:r>
        <w:t xml:space="preserve">4) </w:t>
      </w:r>
      <w:proofErr w:type="spellStart"/>
      <w:r>
        <w:t>шартты</w:t>
      </w:r>
      <w:proofErr w:type="spellEnd"/>
      <w:r>
        <w:t xml:space="preserve"> </w:t>
      </w:r>
      <w:proofErr w:type="spellStart"/>
      <w:r>
        <w:t>міндеттеме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>:</w:t>
      </w:r>
    </w:p>
    <w:p w:rsidR="00DB60F4" w:rsidRDefault="00DB60F4" w:rsidP="00DB60F4">
      <w:pPr>
        <w:pStyle w:val="pj"/>
      </w:pPr>
      <w:proofErr w:type="spellStart"/>
      <w:r>
        <w:t>банктің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бақылауында</w:t>
      </w:r>
      <w:proofErr w:type="spellEnd"/>
      <w:r>
        <w:t xml:space="preserve"> </w:t>
      </w:r>
      <w:proofErr w:type="spellStart"/>
      <w:r>
        <w:t>болмайтын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да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белгісіз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оқиғалар</w:t>
      </w:r>
      <w:proofErr w:type="spellEnd"/>
      <w:r>
        <w:t xml:space="preserve"> </w:t>
      </w:r>
      <w:proofErr w:type="spellStart"/>
      <w:r>
        <w:t>басталған</w:t>
      </w:r>
      <w:proofErr w:type="spellEnd"/>
      <w:r>
        <w:t xml:space="preserve"> (</w:t>
      </w:r>
      <w:proofErr w:type="spellStart"/>
      <w:r>
        <w:t>басталмаған</w:t>
      </w:r>
      <w:proofErr w:type="spellEnd"/>
      <w:r>
        <w:t xml:space="preserve">)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тануға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>;</w:t>
      </w:r>
    </w:p>
    <w:p w:rsidR="00DB60F4" w:rsidRDefault="00DB60F4" w:rsidP="00DB60F4">
      <w:pPr>
        <w:pStyle w:val="pj"/>
      </w:pPr>
      <w:r>
        <w:t xml:space="preserve">банк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пайдасына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шарттың</w:t>
      </w:r>
      <w:proofErr w:type="spellEnd"/>
      <w:r>
        <w:t xml:space="preserve"> </w:t>
      </w:r>
      <w:proofErr w:type="spellStart"/>
      <w:r>
        <w:t>талаптарынан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тәуекелдерін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міндеттеме</w:t>
      </w:r>
      <w:proofErr w:type="spellEnd"/>
      <w:r>
        <w:t>.</w:t>
      </w:r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c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тарау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Есептілікті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ұсыну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тәртібі</w:t>
      </w:r>
      <w:proofErr w:type="spellEnd"/>
    </w:p>
    <w:p w:rsidR="00DB60F4" w:rsidRDefault="00DB60F4" w:rsidP="00DB60F4">
      <w:pPr>
        <w:pStyle w:val="pc"/>
      </w:pPr>
      <w:r>
        <w:rPr>
          <w:b/>
          <w:bCs/>
        </w:rPr>
        <w:t> </w:t>
      </w:r>
    </w:p>
    <w:p w:rsidR="00DB60F4" w:rsidRDefault="00DB60F4" w:rsidP="00DB60F4">
      <w:pPr>
        <w:pStyle w:val="pj"/>
      </w:pPr>
      <w:r>
        <w:t xml:space="preserve">3. Банк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филиалдары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4. </w:t>
      </w:r>
      <w:proofErr w:type="spellStart"/>
      <w:r>
        <w:t>Есептілік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веб-порталы -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сервистеріне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жеткізудің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терезесі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5. </w:t>
      </w:r>
      <w:proofErr w:type="spellStart"/>
      <w:r>
        <w:t>Басшы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жүктелген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электрондық-цифрлық</w:t>
      </w:r>
      <w:proofErr w:type="spellEnd"/>
      <w:r>
        <w:t xml:space="preserve"> </w:t>
      </w:r>
      <w:proofErr w:type="spellStart"/>
      <w:r>
        <w:t>қолтаңба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есептілік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сақталады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6. </w:t>
      </w:r>
      <w:proofErr w:type="spellStart"/>
      <w:r>
        <w:t>Есептіліктегі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толықтығы</w:t>
      </w:r>
      <w:proofErr w:type="spellEnd"/>
      <w:r>
        <w:t xml:space="preserve"> мен </w:t>
      </w:r>
      <w:proofErr w:type="spellStart"/>
      <w:r>
        <w:t>дәйектілігін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жүктелген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DB60F4" w:rsidRDefault="00DB60F4" w:rsidP="00DB60F4">
      <w:pPr>
        <w:pStyle w:val="pj"/>
      </w:pPr>
      <w:r>
        <w:lastRenderedPageBreak/>
        <w:t xml:space="preserve">7. </w:t>
      </w:r>
      <w:proofErr w:type="spellStart"/>
      <w:r>
        <w:t>Баламалы</w:t>
      </w:r>
      <w:proofErr w:type="spellEnd"/>
      <w:r>
        <w:t xml:space="preserve"> 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бейрезиденттері-контрагенттері</w:t>
      </w:r>
      <w:proofErr w:type="spellEnd"/>
      <w:r>
        <w:t xml:space="preserve"> </w:t>
      </w:r>
      <w:proofErr w:type="spellStart"/>
      <w:r>
        <w:t>сәйкестендіргіштерінің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,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банк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бірегей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осы </w:t>
      </w:r>
      <w:proofErr w:type="spellStart"/>
      <w:r>
        <w:t>тұлғамен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өзгермейтін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8. Банк </w:t>
      </w:r>
      <w:proofErr w:type="spellStart"/>
      <w:r>
        <w:t>клиентінің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контрагентінің</w:t>
      </w:r>
      <w:proofErr w:type="spellEnd"/>
      <w:r>
        <w:t xml:space="preserve"> </w:t>
      </w:r>
      <w:proofErr w:type="spellStart"/>
      <w:r>
        <w:t>резиденттігі</w:t>
      </w:r>
      <w:proofErr w:type="spellEnd"/>
      <w:r>
        <w:t xml:space="preserve"> «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валюталық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2018 </w:t>
      </w:r>
      <w:proofErr w:type="spellStart"/>
      <w:r>
        <w:t>жылғы</w:t>
      </w:r>
      <w:proofErr w:type="spellEnd"/>
      <w:r>
        <w:t xml:space="preserve"> 2 </w:t>
      </w:r>
      <w:proofErr w:type="spellStart"/>
      <w:r>
        <w:t>шілдедегі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айқындалады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9. </w:t>
      </w:r>
      <w:proofErr w:type="spellStart"/>
      <w:r>
        <w:t>Мәмілелерге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нақтылауды</w:t>
      </w:r>
      <w:proofErr w:type="spellEnd"/>
      <w:r>
        <w:t xml:space="preserve"> </w:t>
      </w:r>
      <w:proofErr w:type="spellStart"/>
      <w:r>
        <w:t>көздейтін</w:t>
      </w:r>
      <w:proofErr w:type="spellEnd"/>
      <w:r>
        <w:t xml:space="preserve"> </w:t>
      </w:r>
      <w:proofErr w:type="spellStart"/>
      <w:r>
        <w:t>нысандарда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мәміленің</w:t>
      </w:r>
      <w:proofErr w:type="spellEnd"/>
      <w:r>
        <w:t xml:space="preserve"> </w:t>
      </w:r>
      <w:proofErr w:type="spellStart"/>
      <w:r>
        <w:t>бірегей</w:t>
      </w:r>
      <w:proofErr w:type="spellEnd"/>
      <w:r>
        <w:t xml:space="preserve"> </w:t>
      </w:r>
      <w:proofErr w:type="spellStart"/>
      <w:r>
        <w:t>сәйкестендіргіші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мәміленің</w:t>
      </w:r>
      <w:proofErr w:type="spellEnd"/>
      <w:r>
        <w:t xml:space="preserve"> (</w:t>
      </w:r>
      <w:proofErr w:type="spellStart"/>
      <w:r>
        <w:t>транзакцияның</w:t>
      </w:r>
      <w:proofErr w:type="spellEnd"/>
      <w:r>
        <w:t xml:space="preserve">) </w:t>
      </w:r>
      <w:proofErr w:type="spellStart"/>
      <w:r>
        <w:t>референсі</w:t>
      </w:r>
      <w:proofErr w:type="spellEnd"/>
      <w:r>
        <w:t xml:space="preserve"> (коды)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Референс</w:t>
      </w:r>
      <w:proofErr w:type="spellEnd"/>
      <w:r>
        <w:t xml:space="preserve"> </w:t>
      </w:r>
      <w:proofErr w:type="spellStart"/>
      <w:r>
        <w:t>мәнінің</w:t>
      </w:r>
      <w:proofErr w:type="spellEnd"/>
      <w:r>
        <w:t xml:space="preserve"> </w:t>
      </w:r>
      <w:proofErr w:type="spellStart"/>
      <w:r>
        <w:t>өрісі</w:t>
      </w:r>
      <w:proofErr w:type="spellEnd"/>
      <w:r>
        <w:t xml:space="preserve">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форматына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мәтіндік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элементтерді</w:t>
      </w:r>
      <w:proofErr w:type="spellEnd"/>
      <w:r>
        <w:t xml:space="preserve"> </w:t>
      </w:r>
      <w:proofErr w:type="spellStart"/>
      <w:r>
        <w:t>қамтуы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DB60F4" w:rsidRDefault="00DB60F4" w:rsidP="00DB60F4">
      <w:pPr>
        <w:pStyle w:val="pj"/>
      </w:pPr>
      <w:proofErr w:type="spellStart"/>
      <w:r>
        <w:t>Мәмілелерге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нақтылауды</w:t>
      </w:r>
      <w:proofErr w:type="spellEnd"/>
      <w:r>
        <w:t xml:space="preserve"> </w:t>
      </w:r>
      <w:proofErr w:type="spellStart"/>
      <w:r>
        <w:t>көздемейтін</w:t>
      </w:r>
      <w:proofErr w:type="spellEnd"/>
      <w:r>
        <w:t xml:space="preserve"> </w:t>
      </w:r>
      <w:proofErr w:type="spellStart"/>
      <w:r>
        <w:t>нысандарда</w:t>
      </w:r>
      <w:proofErr w:type="spellEnd"/>
      <w:r>
        <w:t xml:space="preserve"> </w:t>
      </w:r>
      <w:proofErr w:type="spellStart"/>
      <w:r>
        <w:t>референс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қалыптастырылатын</w:t>
      </w:r>
      <w:proofErr w:type="spellEnd"/>
      <w:r>
        <w:t xml:space="preserve"> </w:t>
      </w:r>
      <w:proofErr w:type="spellStart"/>
      <w:r>
        <w:t>ұсынылатын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жиынтығының</w:t>
      </w:r>
      <w:proofErr w:type="spellEnd"/>
      <w:r>
        <w:t xml:space="preserve"> </w:t>
      </w:r>
      <w:proofErr w:type="spellStart"/>
      <w:r>
        <w:t>бірегей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:</w:t>
      </w:r>
    </w:p>
    <w:p w:rsidR="00DB60F4" w:rsidRDefault="00DB60F4" w:rsidP="00DB60F4">
      <w:pPr>
        <w:pStyle w:val="pj"/>
      </w:pPr>
      <w:proofErr w:type="spellStart"/>
      <w:r>
        <w:t>алғашқы</w:t>
      </w:r>
      <w:proofErr w:type="spellEnd"/>
      <w:r>
        <w:t xml:space="preserve"> </w:t>
      </w:r>
      <w:proofErr w:type="spellStart"/>
      <w:r>
        <w:t>сегіз</w:t>
      </w:r>
      <w:proofErr w:type="spellEnd"/>
      <w:r>
        <w:t xml:space="preserve"> </w:t>
      </w:r>
      <w:proofErr w:type="spellStart"/>
      <w:r>
        <w:t>таңба</w:t>
      </w:r>
      <w:proofErr w:type="spellEnd"/>
      <w:r>
        <w:t xml:space="preserve"> - «ЖЖЖЖААКК» </w:t>
      </w:r>
      <w:proofErr w:type="spellStart"/>
      <w:r>
        <w:t>форматындағы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, </w:t>
      </w:r>
      <w:proofErr w:type="spellStart"/>
      <w:r>
        <w:t>мұнда</w:t>
      </w:r>
      <w:proofErr w:type="spellEnd"/>
      <w:r>
        <w:t xml:space="preserve"> «ЖЖЖЖ» - </w:t>
      </w:r>
      <w:proofErr w:type="spellStart"/>
      <w:r>
        <w:t>жыл</w:t>
      </w:r>
      <w:proofErr w:type="spellEnd"/>
      <w:r>
        <w:t xml:space="preserve">, «АА» - ай, «КК» - </w:t>
      </w:r>
      <w:proofErr w:type="spellStart"/>
      <w:r>
        <w:t>күн</w:t>
      </w:r>
      <w:proofErr w:type="spellEnd"/>
      <w:r>
        <w:t>;</w:t>
      </w:r>
    </w:p>
    <w:p w:rsidR="00DB60F4" w:rsidRDefault="00DB60F4" w:rsidP="00DB60F4">
      <w:pPr>
        <w:pStyle w:val="pj"/>
      </w:pPr>
      <w:proofErr w:type="spellStart"/>
      <w:r>
        <w:t>бір</w:t>
      </w:r>
      <w:proofErr w:type="spellEnd"/>
      <w:r>
        <w:t xml:space="preserve"> </w:t>
      </w:r>
      <w:proofErr w:type="spellStart"/>
      <w:r>
        <w:t>таңба</w:t>
      </w:r>
      <w:proofErr w:type="spellEnd"/>
      <w:r>
        <w:t xml:space="preserve"> -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бөлгіш</w:t>
      </w:r>
      <w:proofErr w:type="spellEnd"/>
      <w:r>
        <w:t xml:space="preserve"> «_»;</w:t>
      </w:r>
    </w:p>
    <w:p w:rsidR="00DB60F4" w:rsidRDefault="00DB60F4" w:rsidP="00DB60F4">
      <w:pPr>
        <w:pStyle w:val="pj"/>
      </w:pPr>
      <w:proofErr w:type="spellStart"/>
      <w:r>
        <w:t>соңғы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таңба</w:t>
      </w:r>
      <w:proofErr w:type="spellEnd"/>
      <w:r>
        <w:t xml:space="preserve"> - </w:t>
      </w:r>
      <w:proofErr w:type="spellStart"/>
      <w:r>
        <w:t>реттік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 (000001-ден 999999-ға </w:t>
      </w:r>
      <w:proofErr w:type="spellStart"/>
      <w:r>
        <w:t>дейін</w:t>
      </w:r>
      <w:proofErr w:type="spellEnd"/>
      <w:r>
        <w:t>).</w:t>
      </w:r>
    </w:p>
    <w:p w:rsidR="00DB60F4" w:rsidRDefault="00DB60F4" w:rsidP="00DB60F4">
      <w:pPr>
        <w:pStyle w:val="pj"/>
      </w:pPr>
      <w:proofErr w:type="spellStart"/>
      <w:r>
        <w:t>Есеп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мәміле</w:t>
      </w:r>
      <w:proofErr w:type="spellEnd"/>
      <w:r>
        <w:t xml:space="preserve"> (транзакция) </w:t>
      </w:r>
      <w:proofErr w:type="spellStart"/>
      <w:r>
        <w:t>референсі</w:t>
      </w:r>
      <w:proofErr w:type="spellEnd"/>
      <w:r>
        <w:t xml:space="preserve"> (коды) </w:t>
      </w:r>
      <w:proofErr w:type="spellStart"/>
      <w:r>
        <w:t>болмаса</w:t>
      </w:r>
      <w:proofErr w:type="spellEnd"/>
      <w:r>
        <w:t xml:space="preserve"> банк осы </w:t>
      </w:r>
      <w:proofErr w:type="spellStart"/>
      <w:r>
        <w:t>тармақтың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алгоритмді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10. </w:t>
      </w:r>
      <w:proofErr w:type="spellStart"/>
      <w:r>
        <w:t>Есептілікті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активтер</w:t>
      </w:r>
      <w:proofErr w:type="spellEnd"/>
      <w:r>
        <w:t xml:space="preserve"> мен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валютасындағы</w:t>
      </w:r>
      <w:proofErr w:type="spellEnd"/>
      <w:r>
        <w:t xml:space="preserve"> </w:t>
      </w:r>
      <w:proofErr w:type="spellStart"/>
      <w:r>
        <w:t>міндеттемелер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8378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«</w:t>
      </w:r>
      <w:proofErr w:type="spellStart"/>
      <w:r>
        <w:t>Валюталарды</w:t>
      </w:r>
      <w:proofErr w:type="spellEnd"/>
      <w:r>
        <w:t xml:space="preserve"> </w:t>
      </w:r>
      <w:proofErr w:type="spellStart"/>
      <w:r>
        <w:t>айырбастаудың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бағамын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белгілеу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2013 </w:t>
      </w:r>
      <w:proofErr w:type="spellStart"/>
      <w:r>
        <w:t>жылғы</w:t>
      </w:r>
      <w:proofErr w:type="spellEnd"/>
      <w:r>
        <w:t xml:space="preserve"> 25 </w:t>
      </w:r>
      <w:proofErr w:type="spellStart"/>
      <w:r>
        <w:t>қаңтардағы</w:t>
      </w:r>
      <w:proofErr w:type="spellEnd"/>
      <w:r>
        <w:t xml:space="preserve"> № 15 </w:t>
      </w:r>
      <w:proofErr w:type="spellStart"/>
      <w:r>
        <w:t>қаулысының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2013 </w:t>
      </w:r>
      <w:proofErr w:type="spellStart"/>
      <w:r>
        <w:t>жылғы</w:t>
      </w:r>
      <w:proofErr w:type="spellEnd"/>
      <w:r>
        <w:t xml:space="preserve"> 22 </w:t>
      </w:r>
      <w:proofErr w:type="spellStart"/>
      <w:r>
        <w:t>ақпандағы</w:t>
      </w:r>
      <w:proofErr w:type="spellEnd"/>
      <w:r>
        <w:t xml:space="preserve"> № 99 </w:t>
      </w:r>
      <w:proofErr w:type="spellStart"/>
      <w:r>
        <w:t>бұйрығының</w:t>
      </w:r>
      <w:proofErr w:type="spellEnd"/>
      <w:r>
        <w:t xml:space="preserve"> 1-тармағында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айқындалған</w:t>
      </w:r>
      <w:proofErr w:type="spellEnd"/>
      <w:r>
        <w:t xml:space="preserve"> </w:t>
      </w:r>
      <w:proofErr w:type="spellStart"/>
      <w:r>
        <w:t>валюталарды</w:t>
      </w:r>
      <w:proofErr w:type="spellEnd"/>
      <w:r>
        <w:t xml:space="preserve"> </w:t>
      </w:r>
      <w:proofErr w:type="spellStart"/>
      <w:r>
        <w:t>айырбастаудың</w:t>
      </w:r>
      <w:proofErr w:type="spellEnd"/>
      <w:r>
        <w:t xml:space="preserve"> </w:t>
      </w:r>
      <w:proofErr w:type="spellStart"/>
      <w:r>
        <w:t>нарықтық</w:t>
      </w:r>
      <w:proofErr w:type="spellEnd"/>
      <w:r>
        <w:t xml:space="preserve"> </w:t>
      </w:r>
      <w:proofErr w:type="spellStart"/>
      <w:r>
        <w:t>бағамы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есептеліп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DB60F4" w:rsidRDefault="00DB60F4" w:rsidP="00DB60F4">
      <w:pPr>
        <w:pStyle w:val="pj"/>
      </w:pPr>
      <w:r>
        <w:t xml:space="preserve">11. Осы </w:t>
      </w:r>
      <w:proofErr w:type="spellStart"/>
      <w:r>
        <w:t>қаулыда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нысандарының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кестелері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банктер</w:t>
      </w:r>
      <w:proofErr w:type="spellEnd"/>
      <w:r>
        <w:t xml:space="preserve"> осы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кешіктірілмейтін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DB60F4" w:rsidRDefault="00DB60F4" w:rsidP="00DB60F4">
      <w:pPr>
        <w:pStyle w:val="pj"/>
      </w:pPr>
      <w:r>
        <w:t> </w:t>
      </w:r>
    </w:p>
    <w:p w:rsidR="002875F1" w:rsidRDefault="002875F1">
      <w:bookmarkStart w:id="0" w:name="_GoBack"/>
      <w:bookmarkEnd w:id="0"/>
    </w:p>
    <w:sectPr w:rsidR="0028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F4"/>
    <w:rsid w:val="002875F1"/>
    <w:rsid w:val="00D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3FD-0F81-4BDE-8952-1B605E0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60F4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DB60F4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DB60F4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DB60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rsid w:val="00DB60F4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8013806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Сагадиева</dc:creator>
  <cp:keywords/>
  <dc:description/>
  <cp:lastModifiedBy>Маржан Сагадиева</cp:lastModifiedBy>
  <cp:revision>1</cp:revision>
  <dcterms:created xsi:type="dcterms:W3CDTF">2022-02-14T09:43:00Z</dcterms:created>
  <dcterms:modified xsi:type="dcterms:W3CDTF">2022-02-14T09:43:00Z</dcterms:modified>
</cp:coreProperties>
</file>