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29DF" w14:textId="77777777" w:rsidR="007570B9" w:rsidRDefault="007570B9" w:rsidP="00CB2F13">
      <w:pPr>
        <w:ind w:firstLine="709"/>
        <w:jc w:val="both"/>
        <w:rPr>
          <w:b/>
          <w:sz w:val="28"/>
          <w:szCs w:val="28"/>
          <w:lang w:val="kk-KZ"/>
        </w:rPr>
      </w:pPr>
    </w:p>
    <w:p w14:paraId="1C9D42D6" w14:textId="77777777" w:rsidR="007E47F8" w:rsidRPr="00CD50D3" w:rsidRDefault="007E47F8" w:rsidP="00CB2F13">
      <w:pPr>
        <w:ind w:firstLine="709"/>
        <w:jc w:val="both"/>
        <w:rPr>
          <w:b/>
          <w:sz w:val="28"/>
          <w:szCs w:val="28"/>
          <w:lang w:val="kk-KZ"/>
        </w:rPr>
      </w:pPr>
    </w:p>
    <w:p w14:paraId="06C07573" w14:textId="77777777" w:rsidR="00777DCC" w:rsidRPr="00BC48A3" w:rsidRDefault="00777DCC" w:rsidP="00777DCC">
      <w:pPr>
        <w:jc w:val="center"/>
        <w:rPr>
          <w:b/>
          <w:color w:val="000000"/>
          <w:sz w:val="28"/>
          <w:szCs w:val="28"/>
          <w:lang w:val="kk-KZ"/>
        </w:rPr>
      </w:pPr>
      <w:r w:rsidRPr="00BC48A3">
        <w:rPr>
          <w:b/>
          <w:sz w:val="28"/>
          <w:szCs w:val="28"/>
          <w:lang w:val="kk-KZ"/>
        </w:rPr>
        <w:t>«</w:t>
      </w:r>
      <w:r w:rsidRPr="00BC48A3">
        <w:rPr>
          <w:b/>
          <w:color w:val="000000"/>
          <w:sz w:val="28"/>
          <w:szCs w:val="28"/>
          <w:lang w:val="kk-KZ"/>
        </w:rPr>
        <w:t xml:space="preserve">Қазақстан Республикасы Ұлттық қорының инвестициялық операцияларын жүзеге асыру қағидаларын бекіту туралы» </w:t>
      </w:r>
      <w:r w:rsidRPr="00BC48A3">
        <w:rPr>
          <w:b/>
          <w:color w:val="000000"/>
          <w:sz w:val="28"/>
          <w:szCs w:val="28"/>
          <w:lang w:val="kk-KZ"/>
        </w:rPr>
        <w:br/>
        <w:t xml:space="preserve">Қазақстан Республикасы Ұлттық Банкі Басқармасының </w:t>
      </w:r>
      <w:r w:rsidRPr="00BC48A3">
        <w:rPr>
          <w:b/>
          <w:color w:val="000000"/>
          <w:sz w:val="28"/>
          <w:szCs w:val="28"/>
          <w:lang w:val="kk-KZ"/>
        </w:rPr>
        <w:br/>
        <w:t xml:space="preserve">2006 жылғы 25 шілдедегі № 65 қаулысына </w:t>
      </w:r>
      <w:r w:rsidRPr="00BC48A3">
        <w:rPr>
          <w:b/>
          <w:sz w:val="28"/>
          <w:szCs w:val="28"/>
          <w:lang w:val="kk-KZ"/>
        </w:rPr>
        <w:t xml:space="preserve">өзгерістер мен </w:t>
      </w:r>
      <w:r w:rsidRPr="00BC48A3">
        <w:rPr>
          <w:b/>
          <w:sz w:val="28"/>
          <w:szCs w:val="28"/>
          <w:lang w:val="kk-KZ"/>
        </w:rPr>
        <w:br/>
        <w:t>толықтыру енгізу туралы</w:t>
      </w:r>
    </w:p>
    <w:p w14:paraId="20667F8A" w14:textId="77777777" w:rsidR="00777DCC" w:rsidRPr="00BC48A3" w:rsidRDefault="00777DCC" w:rsidP="00777DCC">
      <w:pPr>
        <w:widowControl w:val="0"/>
        <w:ind w:firstLine="709"/>
        <w:jc w:val="center"/>
        <w:rPr>
          <w:b/>
          <w:sz w:val="28"/>
          <w:szCs w:val="28"/>
          <w:lang w:val="kk-KZ"/>
        </w:rPr>
      </w:pPr>
    </w:p>
    <w:p w14:paraId="1737A4E8" w14:textId="77777777" w:rsidR="00777DCC" w:rsidRPr="00BC48A3" w:rsidRDefault="00777DCC" w:rsidP="00777DCC">
      <w:pPr>
        <w:widowControl w:val="0"/>
        <w:ind w:firstLine="709"/>
        <w:jc w:val="center"/>
        <w:rPr>
          <w:sz w:val="28"/>
          <w:szCs w:val="28"/>
          <w:lang w:val="kk-KZ"/>
        </w:rPr>
      </w:pPr>
    </w:p>
    <w:p w14:paraId="4CBE0E9B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BC48A3">
        <w:rPr>
          <w:b/>
          <w:sz w:val="28"/>
          <w:szCs w:val="28"/>
          <w:lang w:val="kk-KZ"/>
        </w:rPr>
        <w:t>ҚАУЛЫ ЕТЕДІ</w:t>
      </w:r>
      <w:r w:rsidRPr="00BC48A3">
        <w:rPr>
          <w:sz w:val="28"/>
          <w:szCs w:val="28"/>
          <w:lang w:val="kk-KZ"/>
        </w:rPr>
        <w:t>:</w:t>
      </w:r>
    </w:p>
    <w:p w14:paraId="32431E3C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1. «Қазақстан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</w:t>
      </w:r>
      <w:r w:rsidRPr="00BC48A3">
        <w:rPr>
          <w:color w:val="000000"/>
          <w:sz w:val="28"/>
          <w:szCs w:val="28"/>
          <w:lang w:val="kk-KZ"/>
        </w:rPr>
        <w:t xml:space="preserve">2006 жылғы 25 шілдедегі </w:t>
      </w:r>
      <w:r w:rsidRPr="00BC48A3">
        <w:rPr>
          <w:color w:val="000000"/>
          <w:sz w:val="28"/>
          <w:szCs w:val="28"/>
          <w:lang w:val="kk-KZ"/>
        </w:rPr>
        <w:br/>
        <w:t xml:space="preserve">№ 65 қаулысына (Нормативтік құқықтық актілерді мемлекеттік тіркеу тізілімінде № </w:t>
      </w:r>
      <w:r w:rsidRPr="00BC48A3">
        <w:rPr>
          <w:sz w:val="28"/>
          <w:szCs w:val="28"/>
          <w:lang w:val="kk-KZ"/>
        </w:rPr>
        <w:t>4361</w:t>
      </w:r>
      <w:r w:rsidRPr="00BC48A3">
        <w:rPr>
          <w:color w:val="000000"/>
          <w:sz w:val="28"/>
          <w:szCs w:val="28"/>
          <w:lang w:val="kk-KZ"/>
        </w:rPr>
        <w:t xml:space="preserve"> болып тіркелген) </w:t>
      </w:r>
      <w:r w:rsidRPr="00BC48A3">
        <w:rPr>
          <w:sz w:val="28"/>
          <w:szCs w:val="28"/>
          <w:lang w:val="kk-KZ"/>
        </w:rPr>
        <w:t>мынадай өзгерістер мен толықтыру енгізілсін:</w:t>
      </w:r>
    </w:p>
    <w:p w14:paraId="53EBBA0A" w14:textId="77777777" w:rsidR="00777DCC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көрсетілген қаулымен бекітілген Қазақстан Республикасы Ұлттық қорының инвестициялық операцияларын жүзеге асыру </w:t>
      </w:r>
      <w:bookmarkStart w:id="0" w:name="sub1000527483"/>
      <w:r w:rsidRPr="00BC48A3">
        <w:rPr>
          <w:sz w:val="28"/>
          <w:szCs w:val="28"/>
          <w:lang w:val="kk-KZ"/>
        </w:rPr>
        <w:fldChar w:fldCharType="begin"/>
      </w:r>
      <w:r w:rsidRPr="00BC48A3">
        <w:rPr>
          <w:sz w:val="28"/>
          <w:szCs w:val="28"/>
          <w:lang w:val="kk-KZ"/>
        </w:rPr>
        <w:instrText xml:space="preserve"> HYPERLINK "jl:30068491.100.1000527483_0" \o "\«Қазақстан Республикасы Ұлттық қорының инвестициялық операцияларын жүзеге асыру қағидаларын бекіту туралы\» Қазақстан Республикасының Ұлттық Банкі Басқармасының 2006 жылғы 25 шілдедегі № 65 Қаулысы (2021.22.02. берілген өзгерістер мен толықтырулармен)" </w:instrText>
      </w:r>
      <w:r w:rsidRPr="00BC48A3">
        <w:rPr>
          <w:sz w:val="28"/>
          <w:szCs w:val="28"/>
          <w:lang w:val="kk-KZ"/>
        </w:rPr>
        <w:fldChar w:fldCharType="separate"/>
      </w:r>
      <w:r w:rsidRPr="00BC48A3">
        <w:rPr>
          <w:sz w:val="28"/>
          <w:szCs w:val="28"/>
          <w:lang w:val="kk-KZ"/>
        </w:rPr>
        <w:t>қағидалары</w:t>
      </w:r>
      <w:r w:rsidRPr="00BC48A3">
        <w:rPr>
          <w:sz w:val="28"/>
          <w:szCs w:val="28"/>
          <w:lang w:val="kk-KZ"/>
        </w:rPr>
        <w:fldChar w:fldCharType="end"/>
      </w:r>
      <w:bookmarkEnd w:id="0"/>
      <w:r w:rsidRPr="00BC48A3">
        <w:rPr>
          <w:sz w:val="28"/>
          <w:szCs w:val="28"/>
          <w:lang w:val="kk-KZ"/>
        </w:rPr>
        <w:t>нда:</w:t>
      </w:r>
    </w:p>
    <w:p w14:paraId="154CEE19" w14:textId="77777777" w:rsidR="00777DCC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16-1 тармақ алып тасталынсын;</w:t>
      </w:r>
    </w:p>
    <w:p w14:paraId="4356EE1A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21 тармақ алып тасталынсын;</w:t>
      </w:r>
    </w:p>
    <w:p w14:paraId="78F93E0C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26-2-тармақ мынадай редакцияда жазылсын:</w:t>
      </w:r>
    </w:p>
    <w:p w14:paraId="0CCE5410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«26-2. Өтпелі кезең – жинақ портфелінің активтерін жаңа нысаналы стратегиялық бөлуге көшіру жүзеге асырылатын кезең.»;</w:t>
      </w:r>
    </w:p>
    <w:p w14:paraId="627BAD79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52-тармақ мынадай редакцияда жазылсын:</w:t>
      </w:r>
    </w:p>
    <w:p w14:paraId="3DBAD59F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«52. Активтік басқарудағы акциялар портфелінің активтерін инвестициялау әлемнің дамыған елдері компанияларының акцияларынан тұратын, Morgan Stanley Capital International компаниясы жасайтын мамандандырылған индекс – MSCI World ex Sweden Index индексі қолданыла отырып жүзеге асырылады.</w:t>
      </w:r>
    </w:p>
    <w:p w14:paraId="43A2065C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Пассивтік басқарудағы акциялар портфелінің активтерін инвестициялау </w:t>
      </w:r>
      <w:r w:rsidRPr="00BC48A3">
        <w:rPr>
          <w:sz w:val="28"/>
          <w:szCs w:val="28"/>
          <w:lang w:val="kk-KZ"/>
        </w:rPr>
        <w:lastRenderedPageBreak/>
        <w:t xml:space="preserve">мына индекстер қолданыла отырып жүзеге асырылады: </w:t>
      </w:r>
    </w:p>
    <w:p w14:paraId="39DAC9D8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MSCI World ex Sweden Index – 100 (бір жүз) пайызға дейін;</w:t>
      </w:r>
    </w:p>
    <w:p w14:paraId="197E35D1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MSCI World ex Sweden Minimum Volatility Index – 10 (он) пайызға дейін;</w:t>
      </w:r>
    </w:p>
    <w:p w14:paraId="19E35E4E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MSCI World ex Sweden Quality Index – 20 (жиырма) пайызға дейін;</w:t>
      </w:r>
    </w:p>
    <w:p w14:paraId="42A5A5D6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MSCI World ex Sweden ESG Leaders Index – 20 (жиырма) пайызға дейін.</w:t>
      </w:r>
    </w:p>
    <w:p w14:paraId="67D7D1DD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Күн сайын есептелетін кірістілік көрсеткіші салықтарды есепке алмағанда, дивидендтерді қайта инвестициялауды есепке ала отырып, индекс кірістілігі болып табылады.»; </w:t>
      </w:r>
    </w:p>
    <w:p w14:paraId="5D9B044B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55-1-тармақ және  55-2-тармақ мынадай редакцияда жазылсын:</w:t>
      </w:r>
    </w:p>
    <w:p w14:paraId="1F009880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«55-1. Акциялар портфелінің </w:t>
      </w:r>
      <w:r w:rsidRPr="00D57B3E">
        <w:rPr>
          <w:sz w:val="28"/>
          <w:szCs w:val="28"/>
          <w:lang w:val="kk-KZ"/>
        </w:rPr>
        <w:t>нарықтық құнының</w:t>
      </w:r>
      <w:r>
        <w:rPr>
          <w:sz w:val="28"/>
          <w:szCs w:val="28"/>
          <w:lang w:val="kk-KZ"/>
        </w:rPr>
        <w:t xml:space="preserve"> </w:t>
      </w:r>
      <w:r w:rsidRPr="00BC48A3">
        <w:rPr>
          <w:sz w:val="28"/>
          <w:szCs w:val="28"/>
          <w:lang w:val="kk-KZ"/>
        </w:rPr>
        <w:t>кемінде 80 (сексен) пайызын инвестициялау Қордың активтерін сыртқы басқарушылардың көмегімен жүзеге асырылады.</w:t>
      </w:r>
    </w:p>
    <w:p w14:paraId="74E72583" w14:textId="77777777" w:rsidR="00777DCC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Ұлттық Банк жүзеге асыратын акциялар портфелін хеджирлеуге арналған </w:t>
      </w:r>
      <w:r>
        <w:rPr>
          <w:sz w:val="28"/>
          <w:szCs w:val="28"/>
          <w:lang w:val="kk-KZ"/>
        </w:rPr>
        <w:t xml:space="preserve">туынды </w:t>
      </w:r>
      <w:r w:rsidRPr="00BC48A3">
        <w:rPr>
          <w:sz w:val="28"/>
          <w:szCs w:val="28"/>
          <w:lang w:val="kk-KZ"/>
        </w:rPr>
        <w:t xml:space="preserve">қаржы құралдары </w:t>
      </w:r>
      <w:r w:rsidRPr="00D57B3E">
        <w:rPr>
          <w:sz w:val="28"/>
          <w:szCs w:val="28"/>
          <w:lang w:val="kk-KZ"/>
        </w:rPr>
        <w:t>осы тармақтың бірінші бөлігінде айқындалған лимитті</w:t>
      </w:r>
      <w:r w:rsidRPr="00BC48A3">
        <w:rPr>
          <w:sz w:val="28"/>
          <w:szCs w:val="28"/>
          <w:lang w:val="kk-KZ"/>
        </w:rPr>
        <w:t xml:space="preserve"> есептеуде ескерілмейді.</w:t>
      </w:r>
    </w:p>
    <w:p w14:paraId="62970993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55-2. Ұлттық Банк туынды қаржы құралдарын қоса алғанда, </w:t>
      </w:r>
      <w:r>
        <w:rPr>
          <w:sz w:val="28"/>
          <w:szCs w:val="28"/>
          <w:lang w:val="kk-KZ"/>
        </w:rPr>
        <w:t xml:space="preserve">туынды </w:t>
      </w:r>
      <w:r w:rsidRPr="00BC48A3">
        <w:rPr>
          <w:sz w:val="28"/>
          <w:szCs w:val="28"/>
          <w:lang w:val="kk-KZ"/>
        </w:rPr>
        <w:t>қаржы құралдарының көмегімен жүзеге асыратын акциялар портфелін хеджирлеу шығындарды барынша азайту және (немесе) акциялар портфелін жинақ портфелінің активтерін нысаналы стратегиялық бөлуге жақындату үшін жүргізіледі.</w:t>
      </w:r>
    </w:p>
    <w:p w14:paraId="57573753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364C2">
        <w:rPr>
          <w:sz w:val="28"/>
          <w:szCs w:val="28"/>
          <w:lang w:val="kk-KZ"/>
        </w:rPr>
        <w:t>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</w:t>
      </w:r>
      <w:r w:rsidRPr="00BC48A3">
        <w:rPr>
          <w:sz w:val="28"/>
          <w:szCs w:val="28"/>
          <w:lang w:val="kk-KZ"/>
        </w:rPr>
        <w:t>кциялар портфелінің нарықтық құнының 100 (бір жүз) пайызынан аспайды.</w:t>
      </w:r>
    </w:p>
    <w:p w14:paraId="47F24CB5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Ұлттық Банк жүзеге асыратын акциялар портфелін хеджирлеуге арналған </w:t>
      </w:r>
      <w:r>
        <w:rPr>
          <w:sz w:val="28"/>
          <w:szCs w:val="28"/>
          <w:lang w:val="kk-KZ"/>
        </w:rPr>
        <w:t xml:space="preserve">туынды </w:t>
      </w:r>
      <w:r w:rsidRPr="00BC48A3">
        <w:rPr>
          <w:sz w:val="28"/>
          <w:szCs w:val="28"/>
          <w:lang w:val="kk-KZ"/>
        </w:rPr>
        <w:t>қаржы құралдар кірістілік ауытқуының күтілетін өзгермелілігін есептеуде ескерілмейді.»;</w:t>
      </w:r>
    </w:p>
    <w:p w14:paraId="3575A8A0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мынадай мазмұндағы 55-3-тармақпен толықтырылсын:</w:t>
      </w:r>
    </w:p>
    <w:p w14:paraId="7DD2D90A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«55-3.</w:t>
      </w:r>
      <w:r w:rsidRPr="00BC48A3">
        <w:rPr>
          <w:lang w:val="kk-KZ"/>
        </w:rPr>
        <w:t xml:space="preserve"> </w:t>
      </w:r>
      <w:r w:rsidRPr="00BC48A3">
        <w:rPr>
          <w:sz w:val="28"/>
          <w:szCs w:val="28"/>
          <w:lang w:val="kk-KZ"/>
        </w:rPr>
        <w:t>Активтік басқарудағы акциялар портфелінің кірістілігі ауытқуының күтілетін өзгермелілігі (ex-ante tracking error) оған кіретін туынды қаржы құралдарын есепке алғанда жылдық 7 (жеті) пайыздан аспайды.</w:t>
      </w:r>
    </w:p>
    <w:p w14:paraId="1CDD4973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Осы тармақтың бірінші бөлігінде көзделген шектеу асып кеткен жағдайда Ұлттық Банк оны асып кеткен күннен бастап 15 (он бес) жұмыс күннен артық емес мерзімде жояды.»;</w:t>
      </w:r>
    </w:p>
    <w:p w14:paraId="70577B25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2-қосымша осы қаулыға </w:t>
      </w:r>
      <w:r w:rsidRPr="00BC48A3">
        <w:rPr>
          <w:rStyle w:val="s0"/>
          <w:sz w:val="28"/>
          <w:szCs w:val="28"/>
          <w:lang w:val="kk-KZ"/>
        </w:rPr>
        <w:t>қосымшаға сәйкес редакцияда</w:t>
      </w:r>
      <w:r w:rsidRPr="00BC48A3">
        <w:rPr>
          <w:sz w:val="28"/>
          <w:szCs w:val="28"/>
          <w:lang w:val="kk-KZ"/>
        </w:rPr>
        <w:t xml:space="preserve"> жазылсын.</w:t>
      </w:r>
    </w:p>
    <w:p w14:paraId="671C2763" w14:textId="77777777" w:rsidR="00777DCC" w:rsidRPr="00BC48A3" w:rsidRDefault="00777DCC" w:rsidP="00777DCC">
      <w:pPr>
        <w:widowControl w:val="0"/>
        <w:tabs>
          <w:tab w:val="left" w:pos="709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2. Монетарлық операциялар департаменті (Н.А. Тұрсынханов) Қазақстан Республикасының заңнамасында белгіленген тәртіппен:</w:t>
      </w:r>
    </w:p>
    <w:p w14:paraId="3E1FDF00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0"/>
          <w:lang w:val="kk-KZ"/>
        </w:rPr>
        <w:t>1)</w:t>
      </w:r>
      <w:r w:rsidRPr="00BC48A3">
        <w:rPr>
          <w:sz w:val="28"/>
          <w:szCs w:val="20"/>
          <w:lang w:val="kk-KZ"/>
        </w:rPr>
        <w:tab/>
      </w:r>
      <w:r w:rsidRPr="00BC48A3">
        <w:rPr>
          <w:sz w:val="28"/>
          <w:szCs w:val="28"/>
          <w:lang w:val="kk-KZ"/>
        </w:rPr>
        <w:t xml:space="preserve">Заң департаментімен (А.С. Қасенов)  бірлесіп осы қаулыны Қазақстан Республикасының Әділет министрлігінде мемлекеттік </w:t>
      </w:r>
      <w:bookmarkStart w:id="1" w:name="sub1008116474"/>
      <w:r w:rsidRPr="00BC48A3">
        <w:rPr>
          <w:sz w:val="28"/>
          <w:szCs w:val="28"/>
          <w:lang w:val="kk-KZ"/>
        </w:rPr>
        <w:fldChar w:fldCharType="begin"/>
      </w:r>
      <w:r w:rsidRPr="00BC48A3">
        <w:rPr>
          <w:sz w:val="28"/>
          <w:szCs w:val="28"/>
          <w:lang w:val="kk-KZ"/>
        </w:rPr>
        <w:instrText xml:space="preserve"> HYPERLINK "jl:34987919.0.1008116474_0" \o "АНЫҚТАМА ҚР ҰЛТТЫҚ БАНКІ БАСҚАРМАСЫНЫҢ 2021.02.03 № 25 ҚАУЛЫСЫ" </w:instrText>
      </w:r>
      <w:r w:rsidRPr="00BC48A3">
        <w:rPr>
          <w:sz w:val="28"/>
          <w:szCs w:val="28"/>
          <w:lang w:val="kk-KZ"/>
        </w:rPr>
        <w:fldChar w:fldCharType="separate"/>
      </w:r>
      <w:r w:rsidRPr="00BC48A3">
        <w:rPr>
          <w:sz w:val="28"/>
          <w:szCs w:val="28"/>
          <w:lang w:val="kk-KZ"/>
        </w:rPr>
        <w:t>тіркеуді</w:t>
      </w:r>
      <w:r w:rsidRPr="00BC48A3">
        <w:rPr>
          <w:sz w:val="28"/>
          <w:szCs w:val="28"/>
          <w:lang w:val="kk-KZ"/>
        </w:rPr>
        <w:fldChar w:fldCharType="end"/>
      </w:r>
      <w:bookmarkEnd w:id="1"/>
      <w:r w:rsidRPr="00BC48A3">
        <w:rPr>
          <w:sz w:val="28"/>
          <w:szCs w:val="20"/>
          <w:lang w:val="kk-KZ"/>
        </w:rPr>
        <w:t>;</w:t>
      </w:r>
    </w:p>
    <w:p w14:paraId="67BADB43" w14:textId="77777777" w:rsidR="00777DCC" w:rsidRPr="00BC48A3" w:rsidRDefault="00777DCC" w:rsidP="00777DCC">
      <w:pPr>
        <w:widowControl w:val="0"/>
        <w:tabs>
          <w:tab w:val="left" w:pos="1418"/>
        </w:tabs>
        <w:ind w:firstLine="709"/>
        <w:jc w:val="both"/>
        <w:rPr>
          <w:sz w:val="28"/>
          <w:szCs w:val="20"/>
          <w:lang w:val="kk-KZ"/>
        </w:rPr>
      </w:pPr>
      <w:r w:rsidRPr="00BC48A3">
        <w:rPr>
          <w:sz w:val="28"/>
          <w:szCs w:val="20"/>
          <w:lang w:val="kk-KZ"/>
        </w:rPr>
        <w:t>2)</w:t>
      </w:r>
      <w:r w:rsidRPr="00BC48A3">
        <w:rPr>
          <w:sz w:val="28"/>
          <w:szCs w:val="20"/>
          <w:lang w:val="kk-KZ"/>
        </w:rPr>
        <w:tab/>
      </w:r>
      <w:r w:rsidRPr="00BC48A3">
        <w:rPr>
          <w:sz w:val="28"/>
          <w:szCs w:val="28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BC48A3">
        <w:rPr>
          <w:rFonts w:eastAsia="Calibri"/>
          <w:sz w:val="28"/>
          <w:szCs w:val="28"/>
          <w:lang w:val="kk-KZ"/>
        </w:rPr>
        <w:t>;</w:t>
      </w:r>
    </w:p>
    <w:p w14:paraId="067A987F" w14:textId="77777777" w:rsidR="00777DCC" w:rsidRPr="00BC48A3" w:rsidRDefault="00777DCC" w:rsidP="00777DCC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lastRenderedPageBreak/>
        <w:t>3)</w:t>
      </w:r>
      <w:r w:rsidRPr="00BC48A3">
        <w:rPr>
          <w:sz w:val="28"/>
          <w:szCs w:val="28"/>
          <w:lang w:val="kk-KZ"/>
        </w:rPr>
        <w:tab/>
        <w:t>осы қаулы мемлекеттік тіркелгеннен кейін он жұмыс күні ішінде Заң департаментіне осы тармағының 2) тармақшасында көзделген іс-шаралардың орындалуы туралы мәліметтерді ұсынуды қамтамасыз етсін.</w:t>
      </w:r>
    </w:p>
    <w:p w14:paraId="2838FCFB" w14:textId="65C9285F" w:rsidR="00777DCC" w:rsidRPr="00BC48A3" w:rsidRDefault="00777DCC" w:rsidP="00777DCC">
      <w:pPr>
        <w:widowControl w:val="0"/>
        <w:ind w:firstLine="709"/>
        <w:jc w:val="both"/>
        <w:rPr>
          <w:color w:val="000000"/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3. Осы қаулының орындалуын бақылау Қазақстан Республикасының Ұлттық Банкі Төрағасының жетекшілік ететін орынбасары </w:t>
      </w:r>
      <w:r w:rsidRPr="00BC48A3">
        <w:rPr>
          <w:sz w:val="28"/>
          <w:szCs w:val="20"/>
          <w:lang w:val="kk-KZ"/>
        </w:rPr>
        <w:t>Ә.М. Молдабековаға</w:t>
      </w:r>
      <w:r w:rsidRPr="00BC48A3">
        <w:rPr>
          <w:sz w:val="28"/>
          <w:szCs w:val="28"/>
          <w:lang w:val="kk-KZ"/>
        </w:rPr>
        <w:t xml:space="preserve"> жүктелсін.</w:t>
      </w:r>
    </w:p>
    <w:p w14:paraId="2D4DEF8B" w14:textId="77777777" w:rsidR="00777DCC" w:rsidRPr="00BC48A3" w:rsidRDefault="00777DCC" w:rsidP="00777DC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04"/>
        <w:gridCol w:w="2126"/>
      </w:tblGrid>
      <w:tr w:rsidR="00777DCC" w:rsidRPr="00BC48A3" w14:paraId="6F87B2FF" w14:textId="77777777" w:rsidTr="00886FD8">
        <w:tc>
          <w:tcPr>
            <w:tcW w:w="7404" w:type="dxa"/>
            <w:hideMark/>
          </w:tcPr>
          <w:p w14:paraId="21EB707A" w14:textId="77777777" w:rsidR="00777DCC" w:rsidRPr="00BC48A3" w:rsidRDefault="00777DCC" w:rsidP="00886FD8">
            <w:pPr>
              <w:tabs>
                <w:tab w:val="left" w:pos="2848"/>
              </w:tabs>
              <w:ind w:right="3907" w:firstLine="601"/>
              <w:rPr>
                <w:b/>
                <w:sz w:val="28"/>
                <w:szCs w:val="28"/>
                <w:lang w:val="kk-KZ"/>
              </w:rPr>
            </w:pPr>
          </w:p>
          <w:p w14:paraId="6046CF03" w14:textId="77777777" w:rsidR="00777DCC" w:rsidRPr="00BC48A3" w:rsidRDefault="00777DCC" w:rsidP="00886FD8">
            <w:pPr>
              <w:tabs>
                <w:tab w:val="left" w:pos="2848"/>
              </w:tabs>
              <w:ind w:right="3907" w:firstLine="601"/>
              <w:rPr>
                <w:b/>
                <w:sz w:val="28"/>
                <w:szCs w:val="28"/>
                <w:lang w:val="kk-KZ"/>
              </w:rPr>
            </w:pPr>
          </w:p>
          <w:p w14:paraId="17808600" w14:textId="77777777" w:rsidR="00777DCC" w:rsidRPr="00BC48A3" w:rsidRDefault="00777DCC" w:rsidP="00886FD8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  <w:r w:rsidRPr="00BC48A3">
              <w:rPr>
                <w:b/>
                <w:sz w:val="28"/>
                <w:szCs w:val="28"/>
                <w:lang w:val="kk-KZ"/>
              </w:rPr>
              <w:t xml:space="preserve">Ұлттық Банк </w:t>
            </w:r>
          </w:p>
          <w:p w14:paraId="38A174A8" w14:textId="77777777" w:rsidR="00777DCC" w:rsidRPr="00BC48A3" w:rsidRDefault="00777DCC" w:rsidP="00886FD8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  <w:r w:rsidRPr="00BC48A3">
              <w:rPr>
                <w:b/>
                <w:sz w:val="28"/>
                <w:szCs w:val="28"/>
                <w:lang w:val="kk-KZ"/>
              </w:rPr>
              <w:t xml:space="preserve">   Төрағасы</w:t>
            </w:r>
          </w:p>
        </w:tc>
        <w:tc>
          <w:tcPr>
            <w:tcW w:w="2126" w:type="dxa"/>
          </w:tcPr>
          <w:p w14:paraId="250535E3" w14:textId="77777777" w:rsidR="00777DCC" w:rsidRPr="00BC48A3" w:rsidRDefault="00777DCC" w:rsidP="00886FD8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53F10BAC" w14:textId="77777777" w:rsidR="00777DCC" w:rsidRPr="00BC48A3" w:rsidRDefault="00777DCC" w:rsidP="00886FD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6159A6E4" w14:textId="77777777" w:rsidR="00777DCC" w:rsidRPr="00BC48A3" w:rsidRDefault="00777DCC" w:rsidP="00886FD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76457C3" w14:textId="77777777" w:rsidR="00777DCC" w:rsidRPr="00BC48A3" w:rsidRDefault="00777DCC" w:rsidP="00886FD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C48A3">
              <w:rPr>
                <w:b/>
                <w:sz w:val="28"/>
                <w:szCs w:val="28"/>
                <w:lang w:val="kk-KZ"/>
              </w:rPr>
              <w:t>Ғ. Пірматов</w:t>
            </w:r>
          </w:p>
        </w:tc>
      </w:tr>
    </w:tbl>
    <w:p w14:paraId="43EAD4B3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22EEBECE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C1AAE44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«КЕЛІСІЛДІ»</w:t>
      </w:r>
    </w:p>
    <w:p w14:paraId="669C40D7" w14:textId="77777777" w:rsidR="00777DCC" w:rsidRPr="00BC48A3" w:rsidRDefault="00777DCC" w:rsidP="00777DCC">
      <w:pPr>
        <w:ind w:firstLine="708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Қазақстан Республикасының</w:t>
      </w:r>
    </w:p>
    <w:p w14:paraId="137065A7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Қаржы министрлігі</w:t>
      </w:r>
    </w:p>
    <w:p w14:paraId="59F88092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2D695721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D404AA8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667CD550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E104670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16B1180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738B3B08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F649273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10531907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EF3CD73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4A1D9F8D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6D7EB7D7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15FA838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3DC54296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39850F4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15668007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184A48CA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74D7225B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7C4DE701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3A40B92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75CC3C4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1CCF2D57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530B351A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7000FFC2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7160A318" w14:textId="77777777" w:rsidR="00777DCC" w:rsidRPr="00BC48A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235DC608" w14:textId="77777777" w:rsidR="00777DCC" w:rsidRPr="00BC48A3" w:rsidRDefault="00777DCC" w:rsidP="00777DCC">
      <w:pPr>
        <w:jc w:val="right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lastRenderedPageBreak/>
        <w:t>Қазақстан Республикасы</w:t>
      </w:r>
    </w:p>
    <w:p w14:paraId="5F82F38D" w14:textId="77777777" w:rsidR="00777DCC" w:rsidRPr="00BC48A3" w:rsidRDefault="00777DCC" w:rsidP="00777DCC">
      <w:pPr>
        <w:jc w:val="right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Ұлттық Банкі Басқармасының</w:t>
      </w:r>
    </w:p>
    <w:p w14:paraId="3DC64F79" w14:textId="77777777" w:rsidR="00777DCC" w:rsidRPr="00BC48A3" w:rsidRDefault="00777DCC" w:rsidP="00777DCC">
      <w:pPr>
        <w:jc w:val="right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2022 жылғы «__» _________</w:t>
      </w:r>
    </w:p>
    <w:p w14:paraId="7BE3BA55" w14:textId="77777777" w:rsidR="00777DCC" w:rsidRPr="00BC48A3" w:rsidRDefault="00777DCC" w:rsidP="00777DCC">
      <w:pPr>
        <w:jc w:val="right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№ ___ қаулысына</w:t>
      </w:r>
    </w:p>
    <w:p w14:paraId="6A7045DD" w14:textId="77777777" w:rsidR="00777DCC" w:rsidRPr="00BC48A3" w:rsidRDefault="00777DCC" w:rsidP="00777DCC">
      <w:pPr>
        <w:jc w:val="right"/>
        <w:rPr>
          <w:bCs/>
          <w:color w:val="000000"/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қосымша</w:t>
      </w:r>
      <w:r w:rsidRPr="00BC48A3">
        <w:rPr>
          <w:bCs/>
          <w:color w:val="000000"/>
          <w:sz w:val="28"/>
          <w:szCs w:val="28"/>
          <w:lang w:val="kk-KZ"/>
        </w:rPr>
        <w:t xml:space="preserve"> </w:t>
      </w:r>
    </w:p>
    <w:p w14:paraId="70351A35" w14:textId="77777777" w:rsidR="00777DCC" w:rsidRPr="00BC48A3" w:rsidRDefault="00777DCC" w:rsidP="00777DCC">
      <w:pPr>
        <w:ind w:firstLine="5400"/>
        <w:jc w:val="right"/>
        <w:rPr>
          <w:rFonts w:eastAsia="Calibri"/>
          <w:sz w:val="28"/>
          <w:szCs w:val="28"/>
          <w:lang w:val="kk-KZ" w:eastAsia="en-US"/>
        </w:rPr>
      </w:pPr>
    </w:p>
    <w:p w14:paraId="403B44D0" w14:textId="77777777" w:rsidR="00777DCC" w:rsidRPr="00BC48A3" w:rsidRDefault="00777DCC" w:rsidP="00777DCC">
      <w:pPr>
        <w:widowControl w:val="0"/>
        <w:jc w:val="right"/>
        <w:rPr>
          <w:sz w:val="28"/>
          <w:szCs w:val="28"/>
          <w:lang w:val="kk-KZ"/>
        </w:rPr>
      </w:pPr>
      <w:r w:rsidRPr="00BC48A3">
        <w:rPr>
          <w:color w:val="000000"/>
          <w:sz w:val="28"/>
          <w:szCs w:val="28"/>
          <w:lang w:val="kk-KZ"/>
        </w:rPr>
        <w:t xml:space="preserve">Қазақстан Республикасы </w:t>
      </w:r>
      <w:r w:rsidRPr="00BC48A3">
        <w:rPr>
          <w:color w:val="000000"/>
          <w:sz w:val="28"/>
          <w:szCs w:val="28"/>
          <w:lang w:val="kk-KZ"/>
        </w:rPr>
        <w:br/>
        <w:t xml:space="preserve">Ұлттық қорының </w:t>
      </w:r>
      <w:r w:rsidRPr="00BC48A3">
        <w:rPr>
          <w:color w:val="000000"/>
          <w:sz w:val="28"/>
          <w:szCs w:val="28"/>
          <w:lang w:val="kk-KZ"/>
        </w:rPr>
        <w:br/>
        <w:t xml:space="preserve">инвестициялық операцияларын </w:t>
      </w:r>
      <w:r w:rsidRPr="00BC48A3">
        <w:rPr>
          <w:color w:val="000000"/>
          <w:sz w:val="28"/>
          <w:szCs w:val="28"/>
          <w:lang w:val="kk-KZ"/>
        </w:rPr>
        <w:br/>
        <w:t>жүзеге асыру қағидаларына</w:t>
      </w:r>
      <w:r w:rsidRPr="00BC48A3">
        <w:rPr>
          <w:sz w:val="28"/>
          <w:szCs w:val="28"/>
          <w:lang w:val="kk-KZ"/>
        </w:rPr>
        <w:t xml:space="preserve"> </w:t>
      </w:r>
    </w:p>
    <w:p w14:paraId="3CCBA638" w14:textId="77777777" w:rsidR="00777DCC" w:rsidRPr="00BC48A3" w:rsidRDefault="00777DCC" w:rsidP="00777DCC">
      <w:pPr>
        <w:widowControl w:val="0"/>
        <w:jc w:val="right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>2-қосымша</w:t>
      </w:r>
    </w:p>
    <w:p w14:paraId="6BB49732" w14:textId="77777777" w:rsidR="00777DCC" w:rsidRPr="00BC48A3" w:rsidRDefault="00777DCC" w:rsidP="00777DCC">
      <w:pPr>
        <w:widowControl w:val="0"/>
        <w:ind w:firstLine="720"/>
        <w:jc w:val="both"/>
        <w:rPr>
          <w:sz w:val="28"/>
          <w:szCs w:val="28"/>
          <w:lang w:val="kk-KZ"/>
        </w:rPr>
      </w:pPr>
    </w:p>
    <w:p w14:paraId="0A1945BD" w14:textId="77777777" w:rsidR="00777DCC" w:rsidRPr="00BC48A3" w:rsidRDefault="00777DCC" w:rsidP="00777DCC">
      <w:pPr>
        <w:widowControl w:val="0"/>
        <w:ind w:firstLine="709"/>
        <w:jc w:val="center"/>
        <w:rPr>
          <w:sz w:val="28"/>
          <w:szCs w:val="28"/>
          <w:lang w:val="kk-KZ"/>
        </w:rPr>
      </w:pPr>
      <w:r w:rsidRPr="00BC48A3">
        <w:rPr>
          <w:sz w:val="28"/>
          <w:szCs w:val="28"/>
          <w:lang w:val="kk-KZ"/>
        </w:rPr>
        <w:t xml:space="preserve">Тұрақтандыру портфелінің секторлық бөлінуі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14"/>
        <w:gridCol w:w="1552"/>
        <w:gridCol w:w="1645"/>
      </w:tblGrid>
      <w:tr w:rsidR="00777DCC" w:rsidRPr="00C720E5" w14:paraId="5E51170F" w14:textId="77777777" w:rsidTr="00886FD8">
        <w:tc>
          <w:tcPr>
            <w:tcW w:w="417" w:type="dxa"/>
            <w:vMerge w:val="restart"/>
          </w:tcPr>
          <w:p w14:paraId="06951EC8" w14:textId="77777777" w:rsidR="00777DCC" w:rsidRPr="00BC48A3" w:rsidRDefault="00777DCC" w:rsidP="00886FD8">
            <w:pPr>
              <w:jc w:val="center"/>
              <w:textAlignment w:val="baseline"/>
              <w:rPr>
                <w:rFonts w:eastAsia="Calibri"/>
                <w:lang w:val="kk-KZ" w:eastAsia="en-US"/>
              </w:rPr>
            </w:pPr>
          </w:p>
        </w:tc>
        <w:tc>
          <w:tcPr>
            <w:tcW w:w="6014" w:type="dxa"/>
            <w:vMerge w:val="restart"/>
            <w:shd w:val="clear" w:color="auto" w:fill="auto"/>
            <w:vAlign w:val="center"/>
          </w:tcPr>
          <w:p w14:paraId="21CA9E33" w14:textId="77777777" w:rsidR="00777DCC" w:rsidRPr="00BC48A3" w:rsidRDefault="00777DCC" w:rsidP="00886FD8">
            <w:pPr>
              <w:jc w:val="center"/>
              <w:textAlignment w:val="baseline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Активтер түрі</w:t>
            </w:r>
          </w:p>
          <w:p w14:paraId="7523BF33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3197" w:type="dxa"/>
            <w:gridSpan w:val="2"/>
            <w:shd w:val="clear" w:color="auto" w:fill="auto"/>
          </w:tcPr>
          <w:p w14:paraId="776AFBF6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Нарықтық құны (туынды қаржы құралдары үшін олардың негізінде жатқан қаржы құралдарының нарықтық құны пайдаланылады)</w:t>
            </w:r>
          </w:p>
        </w:tc>
      </w:tr>
      <w:tr w:rsidR="00777DCC" w:rsidRPr="00BC48A3" w14:paraId="6F693E70" w14:textId="77777777" w:rsidTr="00886FD8">
        <w:tc>
          <w:tcPr>
            <w:tcW w:w="417" w:type="dxa"/>
            <w:vMerge/>
          </w:tcPr>
          <w:p w14:paraId="67EE7CAE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6014" w:type="dxa"/>
            <w:vMerge/>
            <w:shd w:val="clear" w:color="auto" w:fill="auto"/>
          </w:tcPr>
          <w:p w14:paraId="4331FE12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</w:p>
        </w:tc>
        <w:tc>
          <w:tcPr>
            <w:tcW w:w="1552" w:type="dxa"/>
            <w:shd w:val="clear" w:color="auto" w:fill="auto"/>
          </w:tcPr>
          <w:p w14:paraId="6FECD0BA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ең төменгі (пайызбен анықталады)</w:t>
            </w:r>
          </w:p>
        </w:tc>
        <w:tc>
          <w:tcPr>
            <w:tcW w:w="1645" w:type="dxa"/>
            <w:shd w:val="clear" w:color="auto" w:fill="auto"/>
          </w:tcPr>
          <w:p w14:paraId="6B1067C1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ең жоғарғы (пайызбен анықталады)</w:t>
            </w:r>
          </w:p>
        </w:tc>
      </w:tr>
      <w:tr w:rsidR="00777DCC" w:rsidRPr="00BC48A3" w14:paraId="6D5DA9A0" w14:textId="77777777" w:rsidTr="00886FD8">
        <w:tc>
          <w:tcPr>
            <w:tcW w:w="417" w:type="dxa"/>
          </w:tcPr>
          <w:p w14:paraId="338D3B1C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  <w:lang w:val="kk-KZ"/>
              </w:rPr>
            </w:pPr>
            <w:r w:rsidRPr="00BC48A3">
              <w:rPr>
                <w:color w:val="000000"/>
                <w:spacing w:val="2"/>
                <w:lang w:val="kk-KZ"/>
              </w:rPr>
              <w:t>№ п/п</w:t>
            </w:r>
          </w:p>
        </w:tc>
        <w:tc>
          <w:tcPr>
            <w:tcW w:w="6014" w:type="dxa"/>
            <w:shd w:val="clear" w:color="auto" w:fill="auto"/>
          </w:tcPr>
          <w:p w14:paraId="4C2174B7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  <w:lang w:val="kk-KZ"/>
              </w:rPr>
            </w:pPr>
            <w:r w:rsidRPr="00BC48A3">
              <w:rPr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A877EA0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2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B119A69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3</w:t>
            </w:r>
          </w:p>
        </w:tc>
      </w:tr>
      <w:tr w:rsidR="00777DCC" w:rsidRPr="00BC48A3" w14:paraId="34BF927F" w14:textId="77777777" w:rsidTr="00886FD8">
        <w:tc>
          <w:tcPr>
            <w:tcW w:w="417" w:type="dxa"/>
          </w:tcPr>
          <w:p w14:paraId="3D414627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1</w:t>
            </w:r>
          </w:p>
        </w:tc>
        <w:tc>
          <w:tcPr>
            <w:tcW w:w="6014" w:type="dxa"/>
            <w:shd w:val="clear" w:color="auto" w:fill="auto"/>
          </w:tcPr>
          <w:p w14:paraId="0C2D16B8" w14:textId="77777777" w:rsidR="00777DCC" w:rsidRPr="00BC48A3" w:rsidRDefault="00777DCC" w:rsidP="00886FD8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Ақша (ағымдағы шоттардағы қалдықтар; келесі жұмыс күні қайтару мүмкіндігімен ақша нарығы қорларына орналастырылған қаражат), эталондық портфелге кіретін елдердің мемлекеттік бағалы қағаздары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8CD4E70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50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746DE01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100</w:t>
            </w:r>
          </w:p>
        </w:tc>
      </w:tr>
      <w:tr w:rsidR="00777DCC" w:rsidRPr="00BC48A3" w14:paraId="3B23269F" w14:textId="77777777" w:rsidTr="00886FD8">
        <w:tc>
          <w:tcPr>
            <w:tcW w:w="417" w:type="dxa"/>
          </w:tcPr>
          <w:p w14:paraId="3463EC94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2</w:t>
            </w:r>
          </w:p>
        </w:tc>
        <w:tc>
          <w:tcPr>
            <w:tcW w:w="6014" w:type="dxa"/>
            <w:shd w:val="clear" w:color="auto" w:fill="auto"/>
          </w:tcPr>
          <w:p w14:paraId="7877A674" w14:textId="77777777" w:rsidR="00777DCC" w:rsidRPr="00BC48A3" w:rsidRDefault="00777DCC" w:rsidP="00886FD8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Эталондық индекске кірмейтін елдердің мемлекеттік бағалы қағаздары, агенттік борыштық міндеттемелер, Халықаралық есеп айырысу Банкін қоса алғанда халықаралық қаржы ұйымдарының борыштық міндеттемелері, эталондық портфельге кіретін елдердің муниципалдық борыштық міндеттемелері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139B54A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DECA92E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50</w:t>
            </w:r>
          </w:p>
        </w:tc>
      </w:tr>
      <w:tr w:rsidR="00777DCC" w:rsidRPr="00BC48A3" w14:paraId="7A3621B3" w14:textId="77777777" w:rsidTr="00886FD8">
        <w:tc>
          <w:tcPr>
            <w:tcW w:w="417" w:type="dxa"/>
          </w:tcPr>
          <w:p w14:paraId="4E8D8497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3</w:t>
            </w:r>
          </w:p>
        </w:tc>
        <w:tc>
          <w:tcPr>
            <w:tcW w:w="6014" w:type="dxa"/>
            <w:shd w:val="clear" w:color="auto" w:fill="auto"/>
          </w:tcPr>
          <w:p w14:paraId="2624851A" w14:textId="77777777" w:rsidR="00777DCC" w:rsidRPr="00BC48A3" w:rsidRDefault="00777DCC" w:rsidP="00886FD8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Депозиттер (салымдар), оның ішінде репо операцияларынан депозиттерге (салымдарға) орналастырылған ақша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212EDAA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0B348DF2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50</w:t>
            </w:r>
          </w:p>
        </w:tc>
      </w:tr>
      <w:tr w:rsidR="00777DCC" w:rsidRPr="00BC48A3" w14:paraId="2D5B5812" w14:textId="77777777" w:rsidTr="00886FD8">
        <w:tc>
          <w:tcPr>
            <w:tcW w:w="417" w:type="dxa"/>
          </w:tcPr>
          <w:p w14:paraId="09B7D75A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4</w:t>
            </w:r>
          </w:p>
        </w:tc>
        <w:tc>
          <w:tcPr>
            <w:tcW w:w="6014" w:type="dxa"/>
            <w:shd w:val="clear" w:color="auto" w:fill="auto"/>
          </w:tcPr>
          <w:p w14:paraId="6CCD4CF8" w14:textId="77777777" w:rsidR="00777DCC" w:rsidRPr="00BC48A3" w:rsidRDefault="00777DCC" w:rsidP="00886FD8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BC48A3">
              <w:rPr>
                <w:color w:val="000000"/>
                <w:spacing w:val="2"/>
              </w:rPr>
              <w:t>Туынды қаржы құралдары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B0EA58E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kk-KZ" w:eastAsia="en-US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BF1FBF3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BC48A3">
              <w:rPr>
                <w:rFonts w:eastAsia="Calibri"/>
                <w:lang w:val="en-US" w:eastAsia="en-US"/>
              </w:rPr>
              <w:t>2</w:t>
            </w:r>
            <w:r w:rsidRPr="00BC48A3">
              <w:rPr>
                <w:rFonts w:eastAsia="Calibri"/>
                <w:lang w:val="kk-KZ" w:eastAsia="en-US"/>
              </w:rPr>
              <w:t>0</w:t>
            </w:r>
          </w:p>
        </w:tc>
      </w:tr>
      <w:tr w:rsidR="00777DCC" w:rsidRPr="00F60E8B" w14:paraId="47C2166C" w14:textId="77777777" w:rsidTr="00886FD8">
        <w:tc>
          <w:tcPr>
            <w:tcW w:w="417" w:type="dxa"/>
          </w:tcPr>
          <w:p w14:paraId="244E6642" w14:textId="77777777" w:rsidR="00777DCC" w:rsidRPr="00BC48A3" w:rsidRDefault="00777DCC" w:rsidP="00886FD8">
            <w:pPr>
              <w:contextualSpacing/>
              <w:jc w:val="center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5</w:t>
            </w:r>
          </w:p>
        </w:tc>
        <w:tc>
          <w:tcPr>
            <w:tcW w:w="6014" w:type="dxa"/>
            <w:shd w:val="clear" w:color="auto" w:fill="auto"/>
          </w:tcPr>
          <w:p w14:paraId="6EB5C2E6" w14:textId="77777777" w:rsidR="00777DCC" w:rsidRPr="00BC48A3" w:rsidRDefault="00777DCC" w:rsidP="00886FD8">
            <w:pPr>
              <w:contextualSpacing/>
              <w:jc w:val="both"/>
              <w:rPr>
                <w:color w:val="000000"/>
                <w:spacing w:val="2"/>
              </w:rPr>
            </w:pPr>
            <w:r w:rsidRPr="00BC48A3">
              <w:rPr>
                <w:color w:val="000000"/>
                <w:spacing w:val="2"/>
              </w:rPr>
              <w:t>Корпоративтік бағалы қағаздар, коммерциялық бағалы қағаздар, депозиттік сертификаттар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E02D1FD" w14:textId="77777777" w:rsidR="00777DCC" w:rsidRPr="00BC48A3" w:rsidRDefault="00777DCC" w:rsidP="00886FD8">
            <w:pPr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BC48A3"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D3EA80E" w14:textId="77777777" w:rsidR="00777DCC" w:rsidRPr="00F60E8B" w:rsidRDefault="00777DCC" w:rsidP="00886FD8">
            <w:pPr>
              <w:contextualSpacing/>
              <w:jc w:val="center"/>
              <w:rPr>
                <w:rFonts w:eastAsia="Calibri"/>
                <w:lang w:val="en-US" w:eastAsia="en-US"/>
              </w:rPr>
            </w:pPr>
            <w:r w:rsidRPr="00BC48A3">
              <w:rPr>
                <w:rFonts w:eastAsia="Calibri"/>
                <w:lang w:val="en-US" w:eastAsia="en-US"/>
              </w:rPr>
              <w:t>30</w:t>
            </w:r>
          </w:p>
        </w:tc>
      </w:tr>
    </w:tbl>
    <w:p w14:paraId="7BE3184E" w14:textId="77777777" w:rsidR="00777DCC" w:rsidRPr="006E14E3" w:rsidRDefault="00777DCC" w:rsidP="00777DCC">
      <w:pPr>
        <w:ind w:firstLine="709"/>
        <w:jc w:val="both"/>
        <w:rPr>
          <w:sz w:val="28"/>
          <w:szCs w:val="28"/>
          <w:lang w:val="kk-KZ"/>
        </w:rPr>
      </w:pPr>
    </w:p>
    <w:p w14:paraId="2366F3EC" w14:textId="77777777" w:rsidR="003B21B5" w:rsidRPr="00CD50D3" w:rsidRDefault="003B21B5" w:rsidP="00777DCC">
      <w:pPr>
        <w:widowControl w:val="0"/>
        <w:ind w:firstLine="709"/>
        <w:jc w:val="center"/>
        <w:rPr>
          <w:lang w:val="kk-KZ"/>
        </w:rPr>
      </w:pPr>
    </w:p>
    <w:sectPr w:rsidR="003B21B5" w:rsidRPr="00CD50D3" w:rsidSect="001C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851" w:bottom="1418" w:left="1418" w:header="107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6139B" w14:textId="77777777" w:rsidR="00A924C5" w:rsidRDefault="00A924C5">
      <w:r>
        <w:separator/>
      </w:r>
    </w:p>
  </w:endnote>
  <w:endnote w:type="continuationSeparator" w:id="0">
    <w:p w14:paraId="2D388A56" w14:textId="77777777" w:rsidR="00A924C5" w:rsidRDefault="00A9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B0CBC" w14:textId="77777777" w:rsidR="00C720E5" w:rsidRDefault="00C720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6926" w14:textId="77777777" w:rsidR="00C720E5" w:rsidRDefault="00C720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0264" w14:textId="77777777" w:rsidR="00C720E5" w:rsidRDefault="00C720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C980" w14:textId="77777777" w:rsidR="00A924C5" w:rsidRDefault="00A924C5">
      <w:r>
        <w:separator/>
      </w:r>
    </w:p>
  </w:footnote>
  <w:footnote w:type="continuationSeparator" w:id="0">
    <w:p w14:paraId="7F19AD38" w14:textId="77777777" w:rsidR="00A924C5" w:rsidRDefault="00A9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E946" w14:textId="77777777" w:rsidR="00C720E5" w:rsidRDefault="00C720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775557967"/>
      <w:docPartObj>
        <w:docPartGallery w:val="Page Numbers (Top of Page)"/>
        <w:docPartUnique/>
      </w:docPartObj>
    </w:sdtPr>
    <w:sdtEndPr/>
    <w:sdtContent>
      <w:p w14:paraId="4AD584DB" w14:textId="243AF14A" w:rsidR="007570B9" w:rsidRDefault="006664E3" w:rsidP="007570B9">
        <w:pPr>
          <w:pStyle w:val="a4"/>
          <w:jc w:val="center"/>
          <w:rPr>
            <w:sz w:val="28"/>
            <w:szCs w:val="28"/>
          </w:rPr>
        </w:pPr>
        <w:r w:rsidRPr="00271C03">
          <w:rPr>
            <w:sz w:val="28"/>
            <w:szCs w:val="28"/>
          </w:rPr>
          <w:fldChar w:fldCharType="begin"/>
        </w:r>
        <w:r w:rsidRPr="00271C03">
          <w:rPr>
            <w:sz w:val="28"/>
            <w:szCs w:val="28"/>
          </w:rPr>
          <w:instrText>PAGE   \* MERGEFORMAT</w:instrText>
        </w:r>
        <w:r w:rsidRPr="00271C03">
          <w:rPr>
            <w:sz w:val="28"/>
            <w:szCs w:val="28"/>
          </w:rPr>
          <w:fldChar w:fldCharType="separate"/>
        </w:r>
        <w:r w:rsidR="00C720E5">
          <w:rPr>
            <w:noProof/>
            <w:sz w:val="28"/>
            <w:szCs w:val="28"/>
          </w:rPr>
          <w:t>2</w:t>
        </w:r>
        <w:r w:rsidRPr="00271C03">
          <w:rPr>
            <w:sz w:val="28"/>
            <w:szCs w:val="28"/>
          </w:rPr>
          <w:fldChar w:fldCharType="end"/>
        </w:r>
      </w:p>
      <w:p w14:paraId="7C568FA9" w14:textId="77777777" w:rsidR="006664E3" w:rsidRPr="00271C03" w:rsidRDefault="00A924C5" w:rsidP="007570B9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441A" w14:textId="3D90A881" w:rsidR="007E47F8" w:rsidRPr="007A4861" w:rsidRDefault="00B77026" w:rsidP="007E47F8">
    <w:pPr>
      <w:jc w:val="right"/>
      <w:rPr>
        <w:b/>
        <w:sz w:val="28"/>
        <w:szCs w:val="28"/>
      </w:rPr>
    </w:pPr>
    <w:r>
      <w:rPr>
        <w:b/>
        <w:sz w:val="28"/>
        <w:szCs w:val="28"/>
      </w:rPr>
      <w:t>Жоба</w:t>
    </w:r>
    <w:r w:rsidR="007E47F8" w:rsidRPr="007A4861">
      <w:rPr>
        <w:b/>
        <w:sz w:val="28"/>
        <w:szCs w:val="28"/>
      </w:rPr>
      <w:t xml:space="preserve"> </w:t>
    </w:r>
  </w:p>
  <w:p w14:paraId="47C2729C" w14:textId="77777777" w:rsidR="007E47F8" w:rsidRDefault="007E47F8" w:rsidP="007E47F8"/>
  <w:tbl>
    <w:tblPr>
      <w:tblW w:w="10080" w:type="dxa"/>
      <w:tblInd w:w="-72" w:type="dxa"/>
      <w:tblLayout w:type="fixed"/>
      <w:tblLook w:val="01E0" w:firstRow="1" w:lastRow="1" w:firstColumn="1" w:lastColumn="1" w:noHBand="0" w:noVBand="0"/>
    </w:tblPr>
    <w:tblGrid>
      <w:gridCol w:w="4320"/>
      <w:gridCol w:w="1800"/>
      <w:gridCol w:w="3960"/>
    </w:tblGrid>
    <w:tr w:rsidR="007E47F8" w:rsidRPr="00AD2505" w14:paraId="7FAF5C1C" w14:textId="77777777" w:rsidTr="003D7F8A">
      <w:trPr>
        <w:trHeight w:val="1843"/>
      </w:trPr>
      <w:tc>
        <w:tcPr>
          <w:tcW w:w="4320" w:type="dxa"/>
        </w:tcPr>
        <w:p w14:paraId="09B3AA5C" w14:textId="77777777" w:rsidR="007E47F8" w:rsidRPr="00AD2505" w:rsidRDefault="007E47F8" w:rsidP="003D7F8A">
          <w:pPr>
            <w:jc w:val="center"/>
            <w:rPr>
              <w:sz w:val="22"/>
              <w:szCs w:val="22"/>
              <w:lang w:eastAsia="en-US"/>
            </w:rPr>
          </w:pPr>
        </w:p>
        <w:p w14:paraId="4C9B3D2C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  <w:r w:rsidRPr="00AD2505">
            <w:rPr>
              <w:b/>
              <w:sz w:val="22"/>
              <w:szCs w:val="22"/>
              <w:lang w:val="kk-KZ" w:eastAsia="en-US"/>
            </w:rPr>
            <w:t>«ҚАЗАҚСТАН РЕСПУБЛИКАСЫНЫҢ</w:t>
          </w:r>
        </w:p>
        <w:p w14:paraId="7A86B233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  <w:r w:rsidRPr="00AD2505">
            <w:rPr>
              <w:b/>
              <w:sz w:val="22"/>
              <w:szCs w:val="22"/>
              <w:lang w:val="kk-KZ" w:eastAsia="en-US"/>
            </w:rPr>
            <w:t>ҰЛТТЫҚ БАНКІ»</w:t>
          </w:r>
        </w:p>
        <w:p w14:paraId="1C6F39FA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val="kk-KZ" w:eastAsia="en-US"/>
            </w:rPr>
          </w:pPr>
        </w:p>
        <w:p w14:paraId="720FF16D" w14:textId="77777777" w:rsidR="007E47F8" w:rsidRPr="00AD2505" w:rsidRDefault="007E47F8" w:rsidP="003D7F8A">
          <w:pPr>
            <w:jc w:val="center"/>
            <w:rPr>
              <w:sz w:val="22"/>
              <w:szCs w:val="22"/>
              <w:lang w:val="kk-KZ" w:eastAsia="en-US"/>
            </w:rPr>
          </w:pPr>
          <w:r w:rsidRPr="00AD2505">
            <w:rPr>
              <w:sz w:val="22"/>
              <w:szCs w:val="22"/>
              <w:lang w:val="kk-KZ" w:eastAsia="en-US"/>
            </w:rPr>
            <w:t xml:space="preserve">РЕСПУБЛИКАЛЫҚ </w:t>
          </w:r>
        </w:p>
        <w:p w14:paraId="68ADD8FB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val="kk-KZ" w:eastAsia="en-US"/>
            </w:rPr>
            <w:t>МЕМЛЕКЕТТІК МЕКЕМЕСІ</w:t>
          </w:r>
        </w:p>
        <w:p w14:paraId="706A1515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eastAsia="en-US"/>
            </w:rPr>
          </w:pPr>
        </w:p>
      </w:tc>
      <w:tc>
        <w:tcPr>
          <w:tcW w:w="1800" w:type="dxa"/>
          <w:hideMark/>
        </w:tcPr>
        <w:p w14:paraId="30B7C928" w14:textId="77777777" w:rsidR="007E47F8" w:rsidRPr="00AD2505" w:rsidRDefault="007E47F8" w:rsidP="003D7F8A">
          <w:pPr>
            <w:jc w:val="center"/>
            <w:rPr>
              <w:sz w:val="22"/>
              <w:szCs w:val="22"/>
              <w:lang w:val="kk-KZ" w:eastAsia="en-US"/>
            </w:rPr>
          </w:pPr>
          <w:r w:rsidRPr="00AD2505">
            <w:rPr>
              <w:b/>
              <w:noProof/>
              <w:sz w:val="28"/>
              <w:szCs w:val="20"/>
            </w:rPr>
            <w:drawing>
              <wp:inline distT="0" distB="0" distL="0" distR="0" wp14:anchorId="010B2388" wp14:editId="235EDB05">
                <wp:extent cx="940435" cy="940435"/>
                <wp:effectExtent l="0" t="0" r="0" b="0"/>
                <wp:docPr id="3" name="Рисунок 3" descr="Описание: Kazak_gerb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Описание: Kazak_gerb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43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15ACC70B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val="en-US" w:eastAsia="en-US"/>
            </w:rPr>
          </w:pPr>
        </w:p>
        <w:p w14:paraId="205CBDBA" w14:textId="77777777" w:rsidR="007E47F8" w:rsidRPr="00AD2505" w:rsidRDefault="007E47F8" w:rsidP="003D7F8A">
          <w:pPr>
            <w:jc w:val="center"/>
            <w:rPr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eastAsia="en-US"/>
            </w:rPr>
            <w:t xml:space="preserve">РЕСПУБЛИКАНСКОЕ </w:t>
          </w:r>
        </w:p>
        <w:p w14:paraId="20E73C0C" w14:textId="77777777" w:rsidR="007E47F8" w:rsidRPr="00AD2505" w:rsidRDefault="007E47F8" w:rsidP="003D7F8A">
          <w:pPr>
            <w:jc w:val="center"/>
            <w:rPr>
              <w:sz w:val="22"/>
              <w:szCs w:val="22"/>
              <w:lang w:eastAsia="en-US"/>
            </w:rPr>
          </w:pPr>
          <w:r w:rsidRPr="00AD2505">
            <w:rPr>
              <w:sz w:val="22"/>
              <w:szCs w:val="22"/>
              <w:lang w:eastAsia="en-US"/>
            </w:rPr>
            <w:t>ГОСУДАР</w:t>
          </w:r>
          <w:r w:rsidRPr="00AD2505">
            <w:rPr>
              <w:sz w:val="22"/>
              <w:szCs w:val="22"/>
              <w:lang w:val="kk-KZ" w:eastAsia="en-US"/>
            </w:rPr>
            <w:t>С</w:t>
          </w:r>
          <w:r w:rsidRPr="00AD2505">
            <w:rPr>
              <w:sz w:val="22"/>
              <w:szCs w:val="22"/>
              <w:lang w:eastAsia="en-US"/>
            </w:rPr>
            <w:t>ТВЕННОЕ УЧРЕЖДЕНИЕ</w:t>
          </w:r>
        </w:p>
        <w:p w14:paraId="61F76A08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eastAsia="en-US"/>
            </w:rPr>
          </w:pPr>
        </w:p>
        <w:p w14:paraId="6BAB8E4B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b/>
              <w:sz w:val="22"/>
              <w:szCs w:val="22"/>
              <w:lang w:eastAsia="en-US"/>
            </w:rPr>
            <w:t>«НАЦИОНАЛЬНЫЙ БАНК</w:t>
          </w:r>
        </w:p>
        <w:p w14:paraId="2F7EC7D6" w14:textId="77777777" w:rsidR="007E47F8" w:rsidRPr="00AD2505" w:rsidRDefault="007E47F8" w:rsidP="003D7F8A">
          <w:pPr>
            <w:jc w:val="center"/>
            <w:rPr>
              <w:b/>
              <w:sz w:val="22"/>
              <w:szCs w:val="22"/>
              <w:lang w:eastAsia="en-US"/>
            </w:rPr>
          </w:pPr>
          <w:r w:rsidRPr="00AD2505">
            <w:rPr>
              <w:b/>
              <w:sz w:val="22"/>
              <w:szCs w:val="22"/>
              <w:lang w:eastAsia="en-US"/>
            </w:rPr>
            <w:t>РЕСПУБЛИКИ КАЗАХСТАН»</w:t>
          </w:r>
        </w:p>
        <w:p w14:paraId="2DC5287F" w14:textId="77777777" w:rsidR="007E47F8" w:rsidRPr="00AD2505" w:rsidRDefault="007E47F8" w:rsidP="003D7F8A">
          <w:pPr>
            <w:jc w:val="center"/>
            <w:rPr>
              <w:b/>
              <w:lang w:eastAsia="en-US"/>
            </w:rPr>
          </w:pPr>
        </w:p>
      </w:tc>
    </w:tr>
    <w:tr w:rsidR="007E47F8" w:rsidRPr="00AD2505" w14:paraId="05937C75" w14:textId="77777777" w:rsidTr="003D7F8A">
      <w:trPr>
        <w:trHeight w:val="691"/>
      </w:trPr>
      <w:tc>
        <w:tcPr>
          <w:tcW w:w="4320" w:type="dxa"/>
          <w:hideMark/>
        </w:tcPr>
        <w:p w14:paraId="056DA56C" w14:textId="77777777" w:rsidR="007E47F8" w:rsidRPr="00AD2505" w:rsidRDefault="007E47F8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en-US" w:eastAsia="en-US"/>
            </w:rPr>
            <w:t>БА</w:t>
          </w:r>
          <w:r w:rsidRPr="00AD2505">
            <w:rPr>
              <w:b/>
              <w:sz w:val="28"/>
              <w:szCs w:val="20"/>
              <w:lang w:val="kk-KZ" w:eastAsia="en-US"/>
            </w:rPr>
            <w:t>СҚАРМАСЫНЫҢ</w:t>
          </w:r>
        </w:p>
        <w:p w14:paraId="5A6FCE77" w14:textId="77777777" w:rsidR="007E47F8" w:rsidRPr="00AD2505" w:rsidRDefault="007E47F8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>ҚАУЛЫСЫ</w:t>
          </w:r>
        </w:p>
      </w:tc>
      <w:tc>
        <w:tcPr>
          <w:tcW w:w="1800" w:type="dxa"/>
        </w:tcPr>
        <w:p w14:paraId="0E5087D8" w14:textId="77777777" w:rsidR="007E47F8" w:rsidRPr="00AD2505" w:rsidRDefault="007E47F8" w:rsidP="003D7F8A">
          <w:pPr>
            <w:ind w:left="158"/>
            <w:jc w:val="both"/>
            <w:rPr>
              <w:lang w:val="kk-KZ" w:eastAsia="en-US"/>
            </w:rPr>
          </w:pPr>
        </w:p>
      </w:tc>
      <w:tc>
        <w:tcPr>
          <w:tcW w:w="3960" w:type="dxa"/>
          <w:hideMark/>
        </w:tcPr>
        <w:p w14:paraId="4278306D" w14:textId="77777777" w:rsidR="007E47F8" w:rsidRPr="00AD2505" w:rsidRDefault="007E47F8" w:rsidP="003D7F8A">
          <w:pPr>
            <w:jc w:val="center"/>
            <w:rPr>
              <w:b/>
              <w:lang w:val="kk-KZ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 xml:space="preserve">ПОСТАНОВЛЕНИЕ </w:t>
          </w:r>
        </w:p>
        <w:p w14:paraId="17E69FF7" w14:textId="77777777" w:rsidR="007E47F8" w:rsidRPr="00AD2505" w:rsidRDefault="007E47F8" w:rsidP="003D7F8A">
          <w:pPr>
            <w:jc w:val="center"/>
            <w:rPr>
              <w:b/>
              <w:lang w:val="en-US" w:eastAsia="en-US"/>
            </w:rPr>
          </w:pPr>
          <w:r w:rsidRPr="00AD2505">
            <w:rPr>
              <w:b/>
              <w:sz w:val="28"/>
              <w:szCs w:val="20"/>
              <w:lang w:val="kk-KZ" w:eastAsia="en-US"/>
            </w:rPr>
            <w:t>ПРАВЛЕНИЯ</w:t>
          </w:r>
        </w:p>
      </w:tc>
    </w:tr>
    <w:tr w:rsidR="007E47F8" w:rsidRPr="00AD2505" w14:paraId="2D9D27C3" w14:textId="77777777" w:rsidTr="003D7F8A">
      <w:trPr>
        <w:trHeight w:val="406"/>
      </w:trPr>
      <w:tc>
        <w:tcPr>
          <w:tcW w:w="4320" w:type="dxa"/>
        </w:tcPr>
        <w:p w14:paraId="061A510D" w14:textId="77777777" w:rsidR="007E47F8" w:rsidRPr="00AD2505" w:rsidRDefault="007E47F8" w:rsidP="003D7F8A">
          <w:pPr>
            <w:jc w:val="center"/>
            <w:rPr>
              <w:lang w:val="en-US" w:eastAsia="en-US"/>
            </w:rPr>
          </w:pPr>
        </w:p>
        <w:p w14:paraId="3AA40A35" w14:textId="14B1A633" w:rsidR="007E47F8" w:rsidRPr="00AD2505" w:rsidRDefault="00C720E5" w:rsidP="003D7F8A">
          <w:pPr>
            <w:jc w:val="center"/>
            <w:rPr>
              <w:sz w:val="28"/>
              <w:szCs w:val="20"/>
              <w:lang w:val="en-US" w:eastAsia="en-US"/>
            </w:rPr>
          </w:pPr>
          <w:r>
            <w:rPr>
              <w:sz w:val="28"/>
              <w:szCs w:val="20"/>
              <w:lang w:eastAsia="en-US"/>
            </w:rPr>
            <w:t>2022 жы</w:t>
          </w:r>
          <w:r>
            <w:rPr>
              <w:sz w:val="28"/>
              <w:szCs w:val="20"/>
              <w:lang w:val="kk-KZ" w:eastAsia="en-US"/>
            </w:rPr>
            <w:t>лғы</w:t>
          </w:r>
          <w:r w:rsidR="007E47F8">
            <w:rPr>
              <w:sz w:val="28"/>
              <w:szCs w:val="20"/>
              <w:lang w:val="en-US" w:eastAsia="en-US"/>
            </w:rPr>
            <w:t>______</w:t>
          </w:r>
          <w:bookmarkStart w:id="2" w:name="_GoBack"/>
          <w:bookmarkEnd w:id="2"/>
          <w:r w:rsidR="007E47F8">
            <w:rPr>
              <w:sz w:val="28"/>
              <w:szCs w:val="20"/>
              <w:lang w:val="en-US" w:eastAsia="en-US"/>
            </w:rPr>
            <w:t xml:space="preserve">____ </w:t>
          </w:r>
        </w:p>
        <w:p w14:paraId="42286CB8" w14:textId="77777777" w:rsidR="007E47F8" w:rsidRPr="00AD2505" w:rsidRDefault="007E47F8" w:rsidP="003D7F8A">
          <w:pPr>
            <w:jc w:val="center"/>
            <w:rPr>
              <w:sz w:val="28"/>
              <w:szCs w:val="20"/>
              <w:lang w:val="en-US" w:eastAsia="en-US"/>
            </w:rPr>
          </w:pPr>
        </w:p>
        <w:p w14:paraId="23DFA40A" w14:textId="77777777" w:rsidR="007E47F8" w:rsidRPr="00AD2505" w:rsidRDefault="007E47F8" w:rsidP="003D7F8A">
          <w:pPr>
            <w:jc w:val="center"/>
            <w:rPr>
              <w:lang w:val="en-US" w:eastAsia="en-US"/>
            </w:rPr>
          </w:pPr>
          <w:r>
            <w:rPr>
              <w:sz w:val="28"/>
              <w:szCs w:val="20"/>
              <w:lang w:val="kk-KZ" w:eastAsia="en-US"/>
            </w:rPr>
            <w:t>Нұр-Сұлтан</w:t>
          </w:r>
          <w:r w:rsidRPr="00AD2505">
            <w:rPr>
              <w:sz w:val="28"/>
              <w:szCs w:val="20"/>
              <w:lang w:val="en-US" w:eastAsia="en-US"/>
            </w:rPr>
            <w:t xml:space="preserve"> қаласы</w:t>
          </w:r>
        </w:p>
      </w:tc>
      <w:tc>
        <w:tcPr>
          <w:tcW w:w="1800" w:type="dxa"/>
        </w:tcPr>
        <w:p w14:paraId="55A4DB43" w14:textId="77777777" w:rsidR="007E47F8" w:rsidRPr="00AD2505" w:rsidRDefault="007E47F8" w:rsidP="003D7F8A">
          <w:pPr>
            <w:jc w:val="center"/>
            <w:rPr>
              <w:lang w:val="en-US" w:eastAsia="en-US"/>
            </w:rPr>
          </w:pPr>
        </w:p>
      </w:tc>
      <w:tc>
        <w:tcPr>
          <w:tcW w:w="3960" w:type="dxa"/>
        </w:tcPr>
        <w:p w14:paraId="307C8C0E" w14:textId="77777777" w:rsidR="007E47F8" w:rsidRPr="00AD2505" w:rsidRDefault="007E47F8" w:rsidP="003D7F8A">
          <w:pPr>
            <w:jc w:val="center"/>
            <w:rPr>
              <w:lang w:val="en-US" w:eastAsia="en-US"/>
            </w:rPr>
          </w:pPr>
        </w:p>
        <w:p w14:paraId="3515D273" w14:textId="77777777" w:rsidR="007E47F8" w:rsidRPr="00AD2505" w:rsidRDefault="007E47F8" w:rsidP="003D7F8A">
          <w:pPr>
            <w:jc w:val="center"/>
            <w:rPr>
              <w:sz w:val="28"/>
              <w:szCs w:val="20"/>
              <w:lang w:val="en-US" w:eastAsia="en-US"/>
            </w:rPr>
          </w:pPr>
          <w:r w:rsidRPr="00AD2505">
            <w:rPr>
              <w:sz w:val="28"/>
              <w:szCs w:val="20"/>
              <w:lang w:val="en-US" w:eastAsia="en-US"/>
            </w:rPr>
            <w:t>№ ___</w:t>
          </w:r>
        </w:p>
        <w:p w14:paraId="213745B2" w14:textId="77777777" w:rsidR="007E47F8" w:rsidRPr="00AD2505" w:rsidRDefault="007E47F8" w:rsidP="003D7F8A">
          <w:pPr>
            <w:jc w:val="center"/>
            <w:rPr>
              <w:sz w:val="28"/>
              <w:szCs w:val="20"/>
              <w:lang w:val="en-US" w:eastAsia="en-US"/>
            </w:rPr>
          </w:pPr>
        </w:p>
        <w:p w14:paraId="60796ED1" w14:textId="77777777" w:rsidR="007E47F8" w:rsidRPr="007A4861" w:rsidRDefault="007E47F8" w:rsidP="003D7F8A">
          <w:pPr>
            <w:jc w:val="center"/>
            <w:rPr>
              <w:lang w:eastAsia="en-US"/>
            </w:rPr>
          </w:pPr>
          <w:r w:rsidRPr="00AD2505">
            <w:rPr>
              <w:sz w:val="28"/>
              <w:szCs w:val="20"/>
              <w:lang w:val="en-US" w:eastAsia="en-US"/>
            </w:rPr>
            <w:t xml:space="preserve">город </w:t>
          </w:r>
          <w:r>
            <w:rPr>
              <w:sz w:val="28"/>
              <w:szCs w:val="20"/>
              <w:lang w:eastAsia="en-US"/>
            </w:rPr>
            <w:t>Нур-Султан</w:t>
          </w:r>
        </w:p>
      </w:tc>
    </w:tr>
  </w:tbl>
  <w:p w14:paraId="1619A0B2" w14:textId="77777777" w:rsidR="007E47F8" w:rsidRDefault="007E47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66B29"/>
    <w:multiLevelType w:val="hybridMultilevel"/>
    <w:tmpl w:val="3F5E88C0"/>
    <w:lvl w:ilvl="0" w:tplc="267CD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2E38EA"/>
    <w:multiLevelType w:val="hybridMultilevel"/>
    <w:tmpl w:val="49CEEED0"/>
    <w:lvl w:ilvl="0" w:tplc="C8F6266C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7814706A"/>
    <w:multiLevelType w:val="hybridMultilevel"/>
    <w:tmpl w:val="C700EE94"/>
    <w:lvl w:ilvl="0" w:tplc="0C8817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5024"/>
    <w:rsid w:val="00005F54"/>
    <w:rsid w:val="0000772C"/>
    <w:rsid w:val="00007886"/>
    <w:rsid w:val="000078D3"/>
    <w:rsid w:val="0001032E"/>
    <w:rsid w:val="000110DD"/>
    <w:rsid w:val="00015217"/>
    <w:rsid w:val="00015C3B"/>
    <w:rsid w:val="0001717F"/>
    <w:rsid w:val="000221F5"/>
    <w:rsid w:val="000237C5"/>
    <w:rsid w:val="0002509E"/>
    <w:rsid w:val="00032AF2"/>
    <w:rsid w:val="00033548"/>
    <w:rsid w:val="00036445"/>
    <w:rsid w:val="00036BD9"/>
    <w:rsid w:val="000372A2"/>
    <w:rsid w:val="000376E3"/>
    <w:rsid w:val="00037E7A"/>
    <w:rsid w:val="0004209B"/>
    <w:rsid w:val="0004294A"/>
    <w:rsid w:val="00042B43"/>
    <w:rsid w:val="0004455C"/>
    <w:rsid w:val="00044FDB"/>
    <w:rsid w:val="0004606D"/>
    <w:rsid w:val="0005046D"/>
    <w:rsid w:val="000515C8"/>
    <w:rsid w:val="000521B1"/>
    <w:rsid w:val="00054723"/>
    <w:rsid w:val="00054C82"/>
    <w:rsid w:val="000552E8"/>
    <w:rsid w:val="00055616"/>
    <w:rsid w:val="00061C9F"/>
    <w:rsid w:val="000706F9"/>
    <w:rsid w:val="00071EA3"/>
    <w:rsid w:val="0007311A"/>
    <w:rsid w:val="0007466A"/>
    <w:rsid w:val="000756F0"/>
    <w:rsid w:val="00075B38"/>
    <w:rsid w:val="0007767F"/>
    <w:rsid w:val="00080ADD"/>
    <w:rsid w:val="00081085"/>
    <w:rsid w:val="0008190B"/>
    <w:rsid w:val="00082F0B"/>
    <w:rsid w:val="00083D92"/>
    <w:rsid w:val="00085698"/>
    <w:rsid w:val="000857A7"/>
    <w:rsid w:val="00085B65"/>
    <w:rsid w:val="00086D79"/>
    <w:rsid w:val="00087A4D"/>
    <w:rsid w:val="000908DE"/>
    <w:rsid w:val="000927C5"/>
    <w:rsid w:val="00093D87"/>
    <w:rsid w:val="00096324"/>
    <w:rsid w:val="00096FC7"/>
    <w:rsid w:val="00097A3B"/>
    <w:rsid w:val="000A0C29"/>
    <w:rsid w:val="000A173D"/>
    <w:rsid w:val="000A3B91"/>
    <w:rsid w:val="000A62F4"/>
    <w:rsid w:val="000A6FF2"/>
    <w:rsid w:val="000A73A7"/>
    <w:rsid w:val="000A7983"/>
    <w:rsid w:val="000B107A"/>
    <w:rsid w:val="000B16E1"/>
    <w:rsid w:val="000B1BE0"/>
    <w:rsid w:val="000B2DEB"/>
    <w:rsid w:val="000B4658"/>
    <w:rsid w:val="000B51E4"/>
    <w:rsid w:val="000B6101"/>
    <w:rsid w:val="000B68E9"/>
    <w:rsid w:val="000B7F00"/>
    <w:rsid w:val="000C31EF"/>
    <w:rsid w:val="000C329E"/>
    <w:rsid w:val="000C3A02"/>
    <w:rsid w:val="000D041D"/>
    <w:rsid w:val="000D0B70"/>
    <w:rsid w:val="000D23BA"/>
    <w:rsid w:val="000D51AC"/>
    <w:rsid w:val="000D522F"/>
    <w:rsid w:val="000E1082"/>
    <w:rsid w:val="000E1E12"/>
    <w:rsid w:val="000E279C"/>
    <w:rsid w:val="000E652C"/>
    <w:rsid w:val="000E72CD"/>
    <w:rsid w:val="000F0A20"/>
    <w:rsid w:val="000F0BB3"/>
    <w:rsid w:val="000F0F8A"/>
    <w:rsid w:val="000F2B84"/>
    <w:rsid w:val="000F4368"/>
    <w:rsid w:val="000F60B4"/>
    <w:rsid w:val="000F69F1"/>
    <w:rsid w:val="000F7D22"/>
    <w:rsid w:val="00101A75"/>
    <w:rsid w:val="0010279C"/>
    <w:rsid w:val="00102FF4"/>
    <w:rsid w:val="0010327C"/>
    <w:rsid w:val="001036A2"/>
    <w:rsid w:val="00104B1B"/>
    <w:rsid w:val="00104EE9"/>
    <w:rsid w:val="00105571"/>
    <w:rsid w:val="0010692C"/>
    <w:rsid w:val="00106B28"/>
    <w:rsid w:val="00112ED7"/>
    <w:rsid w:val="00115C62"/>
    <w:rsid w:val="0011631A"/>
    <w:rsid w:val="00116916"/>
    <w:rsid w:val="00117F3F"/>
    <w:rsid w:val="00121F63"/>
    <w:rsid w:val="001223B1"/>
    <w:rsid w:val="001250DF"/>
    <w:rsid w:val="001259DB"/>
    <w:rsid w:val="0012669E"/>
    <w:rsid w:val="001276F3"/>
    <w:rsid w:val="00127A0B"/>
    <w:rsid w:val="00130027"/>
    <w:rsid w:val="00130124"/>
    <w:rsid w:val="00131424"/>
    <w:rsid w:val="00132C60"/>
    <w:rsid w:val="00133531"/>
    <w:rsid w:val="0013401F"/>
    <w:rsid w:val="00135FC5"/>
    <w:rsid w:val="00136C6B"/>
    <w:rsid w:val="00141F43"/>
    <w:rsid w:val="00143784"/>
    <w:rsid w:val="00143A77"/>
    <w:rsid w:val="00143BCD"/>
    <w:rsid w:val="00145DCD"/>
    <w:rsid w:val="00147ED2"/>
    <w:rsid w:val="0015047C"/>
    <w:rsid w:val="00150EFD"/>
    <w:rsid w:val="00151DC0"/>
    <w:rsid w:val="0015217A"/>
    <w:rsid w:val="00153B87"/>
    <w:rsid w:val="00154DC0"/>
    <w:rsid w:val="00155BDD"/>
    <w:rsid w:val="001576B4"/>
    <w:rsid w:val="00157B06"/>
    <w:rsid w:val="0016076F"/>
    <w:rsid w:val="00160EE5"/>
    <w:rsid w:val="00161815"/>
    <w:rsid w:val="00161B35"/>
    <w:rsid w:val="00161B65"/>
    <w:rsid w:val="0016509D"/>
    <w:rsid w:val="001655A0"/>
    <w:rsid w:val="001659D9"/>
    <w:rsid w:val="00165CF6"/>
    <w:rsid w:val="0016602B"/>
    <w:rsid w:val="001671BC"/>
    <w:rsid w:val="00171A38"/>
    <w:rsid w:val="0017254F"/>
    <w:rsid w:val="00176467"/>
    <w:rsid w:val="00177CC4"/>
    <w:rsid w:val="001819D9"/>
    <w:rsid w:val="0018418E"/>
    <w:rsid w:val="001855E6"/>
    <w:rsid w:val="001865C0"/>
    <w:rsid w:val="001870EB"/>
    <w:rsid w:val="001904D5"/>
    <w:rsid w:val="00191BD5"/>
    <w:rsid w:val="00191E6F"/>
    <w:rsid w:val="001925E8"/>
    <w:rsid w:val="001938A8"/>
    <w:rsid w:val="0019487D"/>
    <w:rsid w:val="00194F38"/>
    <w:rsid w:val="0019544D"/>
    <w:rsid w:val="001958A2"/>
    <w:rsid w:val="00196B9D"/>
    <w:rsid w:val="001A03AE"/>
    <w:rsid w:val="001A0852"/>
    <w:rsid w:val="001A15D3"/>
    <w:rsid w:val="001A1E7E"/>
    <w:rsid w:val="001A3B9C"/>
    <w:rsid w:val="001A6A9B"/>
    <w:rsid w:val="001B43FA"/>
    <w:rsid w:val="001B45C6"/>
    <w:rsid w:val="001B65A1"/>
    <w:rsid w:val="001B65CB"/>
    <w:rsid w:val="001B77FF"/>
    <w:rsid w:val="001C0055"/>
    <w:rsid w:val="001C03D5"/>
    <w:rsid w:val="001C198B"/>
    <w:rsid w:val="001C2323"/>
    <w:rsid w:val="001C4941"/>
    <w:rsid w:val="001C5AFF"/>
    <w:rsid w:val="001C6632"/>
    <w:rsid w:val="001C6D47"/>
    <w:rsid w:val="001C70A2"/>
    <w:rsid w:val="001C77EF"/>
    <w:rsid w:val="001D01F9"/>
    <w:rsid w:val="001D0AE4"/>
    <w:rsid w:val="001D4001"/>
    <w:rsid w:val="001D4A20"/>
    <w:rsid w:val="001D7C48"/>
    <w:rsid w:val="001E4A55"/>
    <w:rsid w:val="001E572E"/>
    <w:rsid w:val="001E63B4"/>
    <w:rsid w:val="001F0DD2"/>
    <w:rsid w:val="001F2BE9"/>
    <w:rsid w:val="001F6E67"/>
    <w:rsid w:val="001F7173"/>
    <w:rsid w:val="001F7439"/>
    <w:rsid w:val="001F7F9C"/>
    <w:rsid w:val="002010D7"/>
    <w:rsid w:val="00205E9D"/>
    <w:rsid w:val="002107C7"/>
    <w:rsid w:val="00210929"/>
    <w:rsid w:val="002122B8"/>
    <w:rsid w:val="00212763"/>
    <w:rsid w:val="00213313"/>
    <w:rsid w:val="0021402C"/>
    <w:rsid w:val="0021424E"/>
    <w:rsid w:val="00214774"/>
    <w:rsid w:val="00216CB6"/>
    <w:rsid w:val="00217B75"/>
    <w:rsid w:val="002201BF"/>
    <w:rsid w:val="00220F01"/>
    <w:rsid w:val="0022114F"/>
    <w:rsid w:val="00222971"/>
    <w:rsid w:val="002243B8"/>
    <w:rsid w:val="002277F9"/>
    <w:rsid w:val="00230F0A"/>
    <w:rsid w:val="002321C9"/>
    <w:rsid w:val="00233232"/>
    <w:rsid w:val="00234341"/>
    <w:rsid w:val="00236DE6"/>
    <w:rsid w:val="0023791F"/>
    <w:rsid w:val="00240589"/>
    <w:rsid w:val="0024267B"/>
    <w:rsid w:val="00242DCE"/>
    <w:rsid w:val="00244EA8"/>
    <w:rsid w:val="00245792"/>
    <w:rsid w:val="00247447"/>
    <w:rsid w:val="0024750F"/>
    <w:rsid w:val="002538E6"/>
    <w:rsid w:val="00254D2D"/>
    <w:rsid w:val="0025517F"/>
    <w:rsid w:val="00257018"/>
    <w:rsid w:val="00257326"/>
    <w:rsid w:val="00257779"/>
    <w:rsid w:val="00261452"/>
    <w:rsid w:val="002641EC"/>
    <w:rsid w:val="0026448D"/>
    <w:rsid w:val="00265866"/>
    <w:rsid w:val="00265CD1"/>
    <w:rsid w:val="0026679B"/>
    <w:rsid w:val="002674D5"/>
    <w:rsid w:val="002713EC"/>
    <w:rsid w:val="00271514"/>
    <w:rsid w:val="00271C03"/>
    <w:rsid w:val="00271E00"/>
    <w:rsid w:val="00274908"/>
    <w:rsid w:val="00274E42"/>
    <w:rsid w:val="00276553"/>
    <w:rsid w:val="00277029"/>
    <w:rsid w:val="00281171"/>
    <w:rsid w:val="00290529"/>
    <w:rsid w:val="002909E7"/>
    <w:rsid w:val="00291C87"/>
    <w:rsid w:val="00293920"/>
    <w:rsid w:val="002952C3"/>
    <w:rsid w:val="00295769"/>
    <w:rsid w:val="00295A6A"/>
    <w:rsid w:val="0029642F"/>
    <w:rsid w:val="00296AA5"/>
    <w:rsid w:val="002973E9"/>
    <w:rsid w:val="002A3BA8"/>
    <w:rsid w:val="002B1055"/>
    <w:rsid w:val="002B13E6"/>
    <w:rsid w:val="002B2C37"/>
    <w:rsid w:val="002B30D8"/>
    <w:rsid w:val="002C17F6"/>
    <w:rsid w:val="002C3570"/>
    <w:rsid w:val="002C4951"/>
    <w:rsid w:val="002C5A20"/>
    <w:rsid w:val="002D0C1E"/>
    <w:rsid w:val="002D1A27"/>
    <w:rsid w:val="002D3C95"/>
    <w:rsid w:val="002D4927"/>
    <w:rsid w:val="002E02F4"/>
    <w:rsid w:val="002E4CDF"/>
    <w:rsid w:val="002E67A7"/>
    <w:rsid w:val="002E6BEA"/>
    <w:rsid w:val="002F1628"/>
    <w:rsid w:val="002F196B"/>
    <w:rsid w:val="002F2DB6"/>
    <w:rsid w:val="002F2F93"/>
    <w:rsid w:val="002F5275"/>
    <w:rsid w:val="00300ED6"/>
    <w:rsid w:val="0030119F"/>
    <w:rsid w:val="00301B4E"/>
    <w:rsid w:val="003020A5"/>
    <w:rsid w:val="003021F9"/>
    <w:rsid w:val="003022B7"/>
    <w:rsid w:val="00302BA0"/>
    <w:rsid w:val="003038AB"/>
    <w:rsid w:val="00306F54"/>
    <w:rsid w:val="003073D1"/>
    <w:rsid w:val="003104E8"/>
    <w:rsid w:val="00312CCE"/>
    <w:rsid w:val="00313153"/>
    <w:rsid w:val="00313B73"/>
    <w:rsid w:val="00314EE7"/>
    <w:rsid w:val="003171C3"/>
    <w:rsid w:val="003218A0"/>
    <w:rsid w:val="0032465F"/>
    <w:rsid w:val="003250C9"/>
    <w:rsid w:val="00325406"/>
    <w:rsid w:val="00330755"/>
    <w:rsid w:val="00332C96"/>
    <w:rsid w:val="00335037"/>
    <w:rsid w:val="00335D39"/>
    <w:rsid w:val="00336430"/>
    <w:rsid w:val="00341B27"/>
    <w:rsid w:val="00342C70"/>
    <w:rsid w:val="00342DE1"/>
    <w:rsid w:val="00344B89"/>
    <w:rsid w:val="003479CC"/>
    <w:rsid w:val="00352A75"/>
    <w:rsid w:val="00354A68"/>
    <w:rsid w:val="00354C1B"/>
    <w:rsid w:val="003557F8"/>
    <w:rsid w:val="00362B12"/>
    <w:rsid w:val="0036396B"/>
    <w:rsid w:val="00363C54"/>
    <w:rsid w:val="00363EF1"/>
    <w:rsid w:val="0036416B"/>
    <w:rsid w:val="003673AE"/>
    <w:rsid w:val="00367FC6"/>
    <w:rsid w:val="00374FDE"/>
    <w:rsid w:val="00375DED"/>
    <w:rsid w:val="00375E0D"/>
    <w:rsid w:val="00377330"/>
    <w:rsid w:val="0037779D"/>
    <w:rsid w:val="0038172D"/>
    <w:rsid w:val="003825D1"/>
    <w:rsid w:val="00384A99"/>
    <w:rsid w:val="00384E5B"/>
    <w:rsid w:val="00386B55"/>
    <w:rsid w:val="00391E71"/>
    <w:rsid w:val="00392957"/>
    <w:rsid w:val="00392A93"/>
    <w:rsid w:val="00393141"/>
    <w:rsid w:val="003A06B5"/>
    <w:rsid w:val="003A47D4"/>
    <w:rsid w:val="003A665E"/>
    <w:rsid w:val="003B0106"/>
    <w:rsid w:val="003B067B"/>
    <w:rsid w:val="003B0B37"/>
    <w:rsid w:val="003B21B5"/>
    <w:rsid w:val="003B36E2"/>
    <w:rsid w:val="003B3F1C"/>
    <w:rsid w:val="003B3F32"/>
    <w:rsid w:val="003C0D90"/>
    <w:rsid w:val="003C14D6"/>
    <w:rsid w:val="003C23EF"/>
    <w:rsid w:val="003C552E"/>
    <w:rsid w:val="003C5DD9"/>
    <w:rsid w:val="003D04D1"/>
    <w:rsid w:val="003D231D"/>
    <w:rsid w:val="003D2FF6"/>
    <w:rsid w:val="003D3570"/>
    <w:rsid w:val="003D37CC"/>
    <w:rsid w:val="003D6A24"/>
    <w:rsid w:val="003E1300"/>
    <w:rsid w:val="003E4672"/>
    <w:rsid w:val="003E65FF"/>
    <w:rsid w:val="003E6C67"/>
    <w:rsid w:val="003E7110"/>
    <w:rsid w:val="003E752D"/>
    <w:rsid w:val="003E778A"/>
    <w:rsid w:val="003F1C2C"/>
    <w:rsid w:val="003F2CAE"/>
    <w:rsid w:val="003F5AE0"/>
    <w:rsid w:val="003F626F"/>
    <w:rsid w:val="003F68FC"/>
    <w:rsid w:val="003F77FF"/>
    <w:rsid w:val="00405EAA"/>
    <w:rsid w:val="00406FFC"/>
    <w:rsid w:val="0040746B"/>
    <w:rsid w:val="00407638"/>
    <w:rsid w:val="00410D6D"/>
    <w:rsid w:val="00411468"/>
    <w:rsid w:val="004126F0"/>
    <w:rsid w:val="00415A68"/>
    <w:rsid w:val="004167A5"/>
    <w:rsid w:val="00417326"/>
    <w:rsid w:val="00420822"/>
    <w:rsid w:val="00422CAC"/>
    <w:rsid w:val="00422D83"/>
    <w:rsid w:val="00423364"/>
    <w:rsid w:val="00425271"/>
    <w:rsid w:val="004275B5"/>
    <w:rsid w:val="00431125"/>
    <w:rsid w:val="00432B16"/>
    <w:rsid w:val="00434191"/>
    <w:rsid w:val="0043576F"/>
    <w:rsid w:val="00440E4C"/>
    <w:rsid w:val="00441685"/>
    <w:rsid w:val="00441716"/>
    <w:rsid w:val="004433D1"/>
    <w:rsid w:val="0044369D"/>
    <w:rsid w:val="00445DBA"/>
    <w:rsid w:val="004513F9"/>
    <w:rsid w:val="00451F14"/>
    <w:rsid w:val="00452657"/>
    <w:rsid w:val="00454489"/>
    <w:rsid w:val="004557E8"/>
    <w:rsid w:val="0045681B"/>
    <w:rsid w:val="00456960"/>
    <w:rsid w:val="0046253C"/>
    <w:rsid w:val="00465E72"/>
    <w:rsid w:val="004706A8"/>
    <w:rsid w:val="00471AE4"/>
    <w:rsid w:val="00474FE9"/>
    <w:rsid w:val="004757AE"/>
    <w:rsid w:val="0047720D"/>
    <w:rsid w:val="00480202"/>
    <w:rsid w:val="00480D79"/>
    <w:rsid w:val="0048379D"/>
    <w:rsid w:val="004866CA"/>
    <w:rsid w:val="00486826"/>
    <w:rsid w:val="0048729C"/>
    <w:rsid w:val="00492E3C"/>
    <w:rsid w:val="00494337"/>
    <w:rsid w:val="00495EF1"/>
    <w:rsid w:val="004977AD"/>
    <w:rsid w:val="004A2C4B"/>
    <w:rsid w:val="004A3A63"/>
    <w:rsid w:val="004A4C93"/>
    <w:rsid w:val="004A6563"/>
    <w:rsid w:val="004B0632"/>
    <w:rsid w:val="004B1543"/>
    <w:rsid w:val="004C03AF"/>
    <w:rsid w:val="004C04D3"/>
    <w:rsid w:val="004C0E62"/>
    <w:rsid w:val="004C198D"/>
    <w:rsid w:val="004C380B"/>
    <w:rsid w:val="004C3C76"/>
    <w:rsid w:val="004C4B64"/>
    <w:rsid w:val="004C68A7"/>
    <w:rsid w:val="004C69B9"/>
    <w:rsid w:val="004C6C05"/>
    <w:rsid w:val="004C7F8A"/>
    <w:rsid w:val="004D3D0E"/>
    <w:rsid w:val="004D601A"/>
    <w:rsid w:val="004D666E"/>
    <w:rsid w:val="004D6771"/>
    <w:rsid w:val="004D7663"/>
    <w:rsid w:val="004E1C1F"/>
    <w:rsid w:val="004E50C7"/>
    <w:rsid w:val="004E5BAE"/>
    <w:rsid w:val="004E5D65"/>
    <w:rsid w:val="004E6BDF"/>
    <w:rsid w:val="004E791C"/>
    <w:rsid w:val="004F0F47"/>
    <w:rsid w:val="004F18A3"/>
    <w:rsid w:val="004F1F58"/>
    <w:rsid w:val="004F3AE5"/>
    <w:rsid w:val="004F6797"/>
    <w:rsid w:val="005002B1"/>
    <w:rsid w:val="00500383"/>
    <w:rsid w:val="00500D6E"/>
    <w:rsid w:val="0050287D"/>
    <w:rsid w:val="005032B2"/>
    <w:rsid w:val="00503786"/>
    <w:rsid w:val="00503EE4"/>
    <w:rsid w:val="00505718"/>
    <w:rsid w:val="00506741"/>
    <w:rsid w:val="00510C7E"/>
    <w:rsid w:val="00513482"/>
    <w:rsid w:val="00513603"/>
    <w:rsid w:val="005148D1"/>
    <w:rsid w:val="00515399"/>
    <w:rsid w:val="00515C24"/>
    <w:rsid w:val="00515CC6"/>
    <w:rsid w:val="00516969"/>
    <w:rsid w:val="00517AE5"/>
    <w:rsid w:val="00521ECE"/>
    <w:rsid w:val="005230D0"/>
    <w:rsid w:val="00526047"/>
    <w:rsid w:val="00526BFF"/>
    <w:rsid w:val="005317F6"/>
    <w:rsid w:val="00531BAD"/>
    <w:rsid w:val="00533493"/>
    <w:rsid w:val="00533747"/>
    <w:rsid w:val="005349D4"/>
    <w:rsid w:val="00535333"/>
    <w:rsid w:val="0054146C"/>
    <w:rsid w:val="00541592"/>
    <w:rsid w:val="00542F80"/>
    <w:rsid w:val="00543D6A"/>
    <w:rsid w:val="005457F5"/>
    <w:rsid w:val="00546448"/>
    <w:rsid w:val="00546F30"/>
    <w:rsid w:val="00550128"/>
    <w:rsid w:val="005506AA"/>
    <w:rsid w:val="0055098C"/>
    <w:rsid w:val="00551CB3"/>
    <w:rsid w:val="00551D6B"/>
    <w:rsid w:val="0055261E"/>
    <w:rsid w:val="005528F0"/>
    <w:rsid w:val="00552F4C"/>
    <w:rsid w:val="00552F7D"/>
    <w:rsid w:val="00554A80"/>
    <w:rsid w:val="00555FEA"/>
    <w:rsid w:val="005570EE"/>
    <w:rsid w:val="0055774F"/>
    <w:rsid w:val="005577F9"/>
    <w:rsid w:val="0056356F"/>
    <w:rsid w:val="005647D1"/>
    <w:rsid w:val="005707EE"/>
    <w:rsid w:val="005721DA"/>
    <w:rsid w:val="00572F97"/>
    <w:rsid w:val="00573D67"/>
    <w:rsid w:val="00573F3A"/>
    <w:rsid w:val="0057436B"/>
    <w:rsid w:val="00574D1B"/>
    <w:rsid w:val="00574D9F"/>
    <w:rsid w:val="005771CD"/>
    <w:rsid w:val="00577702"/>
    <w:rsid w:val="00577765"/>
    <w:rsid w:val="00581811"/>
    <w:rsid w:val="00585400"/>
    <w:rsid w:val="005878BE"/>
    <w:rsid w:val="00590219"/>
    <w:rsid w:val="00594C7E"/>
    <w:rsid w:val="005A043B"/>
    <w:rsid w:val="005A0577"/>
    <w:rsid w:val="005A0E32"/>
    <w:rsid w:val="005A202E"/>
    <w:rsid w:val="005A35C7"/>
    <w:rsid w:val="005A5CE3"/>
    <w:rsid w:val="005A6211"/>
    <w:rsid w:val="005A6E6E"/>
    <w:rsid w:val="005B0C90"/>
    <w:rsid w:val="005B0CD2"/>
    <w:rsid w:val="005B1F96"/>
    <w:rsid w:val="005B37FE"/>
    <w:rsid w:val="005B3FB1"/>
    <w:rsid w:val="005C0856"/>
    <w:rsid w:val="005C0E10"/>
    <w:rsid w:val="005C2174"/>
    <w:rsid w:val="005C2F2E"/>
    <w:rsid w:val="005C3E06"/>
    <w:rsid w:val="005C3E5C"/>
    <w:rsid w:val="005C7404"/>
    <w:rsid w:val="005C7C31"/>
    <w:rsid w:val="005D0A50"/>
    <w:rsid w:val="005D0A5D"/>
    <w:rsid w:val="005D10E5"/>
    <w:rsid w:val="005D15AD"/>
    <w:rsid w:val="005D3E43"/>
    <w:rsid w:val="005D5750"/>
    <w:rsid w:val="005E0D1E"/>
    <w:rsid w:val="005E0E6C"/>
    <w:rsid w:val="005E16E3"/>
    <w:rsid w:val="005E1AA9"/>
    <w:rsid w:val="005E1DB2"/>
    <w:rsid w:val="005E281E"/>
    <w:rsid w:val="005E4B7C"/>
    <w:rsid w:val="005E6909"/>
    <w:rsid w:val="005F24E9"/>
    <w:rsid w:val="005F2BD1"/>
    <w:rsid w:val="005F38CA"/>
    <w:rsid w:val="005F4663"/>
    <w:rsid w:val="005F6B34"/>
    <w:rsid w:val="0060036E"/>
    <w:rsid w:val="00600A19"/>
    <w:rsid w:val="00600F0B"/>
    <w:rsid w:val="0060216E"/>
    <w:rsid w:val="00603D73"/>
    <w:rsid w:val="006051B7"/>
    <w:rsid w:val="0060787E"/>
    <w:rsid w:val="00607A7A"/>
    <w:rsid w:val="00611F43"/>
    <w:rsid w:val="00612043"/>
    <w:rsid w:val="00612397"/>
    <w:rsid w:val="006127CA"/>
    <w:rsid w:val="00613743"/>
    <w:rsid w:val="00614ACE"/>
    <w:rsid w:val="006172B0"/>
    <w:rsid w:val="00620425"/>
    <w:rsid w:val="006213E3"/>
    <w:rsid w:val="006224BF"/>
    <w:rsid w:val="00622C94"/>
    <w:rsid w:val="006269FC"/>
    <w:rsid w:val="00627534"/>
    <w:rsid w:val="0062757C"/>
    <w:rsid w:val="00627912"/>
    <w:rsid w:val="00630C6D"/>
    <w:rsid w:val="00630EE7"/>
    <w:rsid w:val="00630F43"/>
    <w:rsid w:val="006310D6"/>
    <w:rsid w:val="0063349D"/>
    <w:rsid w:val="0064056E"/>
    <w:rsid w:val="0064123A"/>
    <w:rsid w:val="00642028"/>
    <w:rsid w:val="006425F6"/>
    <w:rsid w:val="006428CE"/>
    <w:rsid w:val="00645758"/>
    <w:rsid w:val="0064581D"/>
    <w:rsid w:val="00645821"/>
    <w:rsid w:val="00646A2B"/>
    <w:rsid w:val="006473CF"/>
    <w:rsid w:val="00647D02"/>
    <w:rsid w:val="00652044"/>
    <w:rsid w:val="00652DD5"/>
    <w:rsid w:val="00652FF8"/>
    <w:rsid w:val="006534F1"/>
    <w:rsid w:val="0065484B"/>
    <w:rsid w:val="00655030"/>
    <w:rsid w:val="006557D4"/>
    <w:rsid w:val="00657BDA"/>
    <w:rsid w:val="0066213C"/>
    <w:rsid w:val="00663BBA"/>
    <w:rsid w:val="006664E3"/>
    <w:rsid w:val="00667473"/>
    <w:rsid w:val="00671BE3"/>
    <w:rsid w:val="00674829"/>
    <w:rsid w:val="00676CAF"/>
    <w:rsid w:val="006775A6"/>
    <w:rsid w:val="0068104B"/>
    <w:rsid w:val="006817A7"/>
    <w:rsid w:val="00681E23"/>
    <w:rsid w:val="00682581"/>
    <w:rsid w:val="00682E9E"/>
    <w:rsid w:val="00683124"/>
    <w:rsid w:val="0068695A"/>
    <w:rsid w:val="00687E0D"/>
    <w:rsid w:val="00693782"/>
    <w:rsid w:val="00694085"/>
    <w:rsid w:val="0069412A"/>
    <w:rsid w:val="00697D9B"/>
    <w:rsid w:val="006A1F79"/>
    <w:rsid w:val="006A270E"/>
    <w:rsid w:val="006A2A4A"/>
    <w:rsid w:val="006A38B1"/>
    <w:rsid w:val="006A685D"/>
    <w:rsid w:val="006A6C3D"/>
    <w:rsid w:val="006A6C9D"/>
    <w:rsid w:val="006B417C"/>
    <w:rsid w:val="006B5684"/>
    <w:rsid w:val="006B67D5"/>
    <w:rsid w:val="006B6DD8"/>
    <w:rsid w:val="006B7892"/>
    <w:rsid w:val="006B79A4"/>
    <w:rsid w:val="006C3BA1"/>
    <w:rsid w:val="006C67BA"/>
    <w:rsid w:val="006C6CB3"/>
    <w:rsid w:val="006D0307"/>
    <w:rsid w:val="006D0A35"/>
    <w:rsid w:val="006D12F2"/>
    <w:rsid w:val="006D1703"/>
    <w:rsid w:val="006D1BEE"/>
    <w:rsid w:val="006D3F7B"/>
    <w:rsid w:val="006D49E2"/>
    <w:rsid w:val="006D4AB7"/>
    <w:rsid w:val="006D558C"/>
    <w:rsid w:val="006D6C30"/>
    <w:rsid w:val="006D6F0F"/>
    <w:rsid w:val="006E3EBA"/>
    <w:rsid w:val="006E406C"/>
    <w:rsid w:val="006E4193"/>
    <w:rsid w:val="006E5EA1"/>
    <w:rsid w:val="006E68DF"/>
    <w:rsid w:val="006F0C20"/>
    <w:rsid w:val="006F1343"/>
    <w:rsid w:val="006F2461"/>
    <w:rsid w:val="006F3488"/>
    <w:rsid w:val="006F5EC2"/>
    <w:rsid w:val="006F7207"/>
    <w:rsid w:val="006F7332"/>
    <w:rsid w:val="0070094E"/>
    <w:rsid w:val="00703AEE"/>
    <w:rsid w:val="00705404"/>
    <w:rsid w:val="00705B8A"/>
    <w:rsid w:val="00706B53"/>
    <w:rsid w:val="00710B7A"/>
    <w:rsid w:val="00711D9F"/>
    <w:rsid w:val="007128F4"/>
    <w:rsid w:val="00712AE5"/>
    <w:rsid w:val="00713870"/>
    <w:rsid w:val="00714DCA"/>
    <w:rsid w:val="00715F1C"/>
    <w:rsid w:val="007205C5"/>
    <w:rsid w:val="00735216"/>
    <w:rsid w:val="00735966"/>
    <w:rsid w:val="00736E8A"/>
    <w:rsid w:val="00737FDD"/>
    <w:rsid w:val="00740376"/>
    <w:rsid w:val="00740E70"/>
    <w:rsid w:val="0074128A"/>
    <w:rsid w:val="00741FC2"/>
    <w:rsid w:val="00745ABD"/>
    <w:rsid w:val="00751CED"/>
    <w:rsid w:val="00753125"/>
    <w:rsid w:val="007539E3"/>
    <w:rsid w:val="007570B9"/>
    <w:rsid w:val="0076177D"/>
    <w:rsid w:val="00761BA7"/>
    <w:rsid w:val="00762583"/>
    <w:rsid w:val="00762C2A"/>
    <w:rsid w:val="007667BC"/>
    <w:rsid w:val="00770F55"/>
    <w:rsid w:val="007717CA"/>
    <w:rsid w:val="00777DCC"/>
    <w:rsid w:val="00780196"/>
    <w:rsid w:val="00781533"/>
    <w:rsid w:val="00784C69"/>
    <w:rsid w:val="00785F20"/>
    <w:rsid w:val="00794951"/>
    <w:rsid w:val="00796342"/>
    <w:rsid w:val="00796A00"/>
    <w:rsid w:val="00796E34"/>
    <w:rsid w:val="007A0E71"/>
    <w:rsid w:val="007A2152"/>
    <w:rsid w:val="007A23E6"/>
    <w:rsid w:val="007A4486"/>
    <w:rsid w:val="007A4EFE"/>
    <w:rsid w:val="007A562A"/>
    <w:rsid w:val="007A695A"/>
    <w:rsid w:val="007B2171"/>
    <w:rsid w:val="007B2DE6"/>
    <w:rsid w:val="007B69D2"/>
    <w:rsid w:val="007C145A"/>
    <w:rsid w:val="007C1DD3"/>
    <w:rsid w:val="007C2D6B"/>
    <w:rsid w:val="007C54C5"/>
    <w:rsid w:val="007D0DDB"/>
    <w:rsid w:val="007D3211"/>
    <w:rsid w:val="007D4B76"/>
    <w:rsid w:val="007D5BC5"/>
    <w:rsid w:val="007D7D4C"/>
    <w:rsid w:val="007E043A"/>
    <w:rsid w:val="007E0DB9"/>
    <w:rsid w:val="007E2EF3"/>
    <w:rsid w:val="007E47F8"/>
    <w:rsid w:val="007E6838"/>
    <w:rsid w:val="007F0375"/>
    <w:rsid w:val="007F0F6F"/>
    <w:rsid w:val="007F1504"/>
    <w:rsid w:val="007F275A"/>
    <w:rsid w:val="007F4106"/>
    <w:rsid w:val="007F5285"/>
    <w:rsid w:val="007F5CFE"/>
    <w:rsid w:val="007F6A72"/>
    <w:rsid w:val="007F6F1B"/>
    <w:rsid w:val="007F7F8F"/>
    <w:rsid w:val="00800D94"/>
    <w:rsid w:val="0080169F"/>
    <w:rsid w:val="008018A6"/>
    <w:rsid w:val="008020C2"/>
    <w:rsid w:val="00805156"/>
    <w:rsid w:val="0081353A"/>
    <w:rsid w:val="0081366E"/>
    <w:rsid w:val="008148E9"/>
    <w:rsid w:val="0082067E"/>
    <w:rsid w:val="00823488"/>
    <w:rsid w:val="008242C2"/>
    <w:rsid w:val="00827C4F"/>
    <w:rsid w:val="00830BD1"/>
    <w:rsid w:val="0083279E"/>
    <w:rsid w:val="00833035"/>
    <w:rsid w:val="008360C0"/>
    <w:rsid w:val="00837348"/>
    <w:rsid w:val="00842127"/>
    <w:rsid w:val="00842DA4"/>
    <w:rsid w:val="00843E73"/>
    <w:rsid w:val="0084400B"/>
    <w:rsid w:val="0084614F"/>
    <w:rsid w:val="008530E7"/>
    <w:rsid w:val="00853A26"/>
    <w:rsid w:val="008540B2"/>
    <w:rsid w:val="00855B59"/>
    <w:rsid w:val="00856E0C"/>
    <w:rsid w:val="008600EF"/>
    <w:rsid w:val="00860FAF"/>
    <w:rsid w:val="00861D49"/>
    <w:rsid w:val="00865533"/>
    <w:rsid w:val="00865A01"/>
    <w:rsid w:val="00867222"/>
    <w:rsid w:val="00867A0E"/>
    <w:rsid w:val="00872BE0"/>
    <w:rsid w:val="00873186"/>
    <w:rsid w:val="0087319F"/>
    <w:rsid w:val="00873D13"/>
    <w:rsid w:val="00874632"/>
    <w:rsid w:val="0087485C"/>
    <w:rsid w:val="00876AF4"/>
    <w:rsid w:val="00876B21"/>
    <w:rsid w:val="00880DCE"/>
    <w:rsid w:val="00883834"/>
    <w:rsid w:val="00884332"/>
    <w:rsid w:val="00884A5F"/>
    <w:rsid w:val="00884F47"/>
    <w:rsid w:val="00886998"/>
    <w:rsid w:val="00886A4D"/>
    <w:rsid w:val="00886DBA"/>
    <w:rsid w:val="008872A5"/>
    <w:rsid w:val="008914F2"/>
    <w:rsid w:val="00892EF0"/>
    <w:rsid w:val="008956B6"/>
    <w:rsid w:val="00895B8D"/>
    <w:rsid w:val="008973A4"/>
    <w:rsid w:val="008A0315"/>
    <w:rsid w:val="008A1DD8"/>
    <w:rsid w:val="008A2BCE"/>
    <w:rsid w:val="008A361D"/>
    <w:rsid w:val="008A554C"/>
    <w:rsid w:val="008A574D"/>
    <w:rsid w:val="008A681A"/>
    <w:rsid w:val="008B2266"/>
    <w:rsid w:val="008B5A03"/>
    <w:rsid w:val="008B5D31"/>
    <w:rsid w:val="008B7763"/>
    <w:rsid w:val="008C073D"/>
    <w:rsid w:val="008C0E8C"/>
    <w:rsid w:val="008C29A5"/>
    <w:rsid w:val="008C2EAA"/>
    <w:rsid w:val="008C3078"/>
    <w:rsid w:val="008C4138"/>
    <w:rsid w:val="008C5092"/>
    <w:rsid w:val="008C544A"/>
    <w:rsid w:val="008C556E"/>
    <w:rsid w:val="008D196B"/>
    <w:rsid w:val="008D2DBF"/>
    <w:rsid w:val="008D3022"/>
    <w:rsid w:val="008D3E34"/>
    <w:rsid w:val="008D4496"/>
    <w:rsid w:val="008D556C"/>
    <w:rsid w:val="008D776E"/>
    <w:rsid w:val="008E0285"/>
    <w:rsid w:val="008E5298"/>
    <w:rsid w:val="008F25C3"/>
    <w:rsid w:val="008F4C3B"/>
    <w:rsid w:val="00902F7B"/>
    <w:rsid w:val="009053B6"/>
    <w:rsid w:val="009075FD"/>
    <w:rsid w:val="00910EC4"/>
    <w:rsid w:val="00912B12"/>
    <w:rsid w:val="00913FF7"/>
    <w:rsid w:val="00914B96"/>
    <w:rsid w:val="00914E90"/>
    <w:rsid w:val="009161DD"/>
    <w:rsid w:val="00916A15"/>
    <w:rsid w:val="00916BE7"/>
    <w:rsid w:val="00920BE5"/>
    <w:rsid w:val="0092252A"/>
    <w:rsid w:val="00922623"/>
    <w:rsid w:val="00923F9A"/>
    <w:rsid w:val="009245D4"/>
    <w:rsid w:val="0092480D"/>
    <w:rsid w:val="00926597"/>
    <w:rsid w:val="00927ECF"/>
    <w:rsid w:val="0093014E"/>
    <w:rsid w:val="009307D2"/>
    <w:rsid w:val="009334F3"/>
    <w:rsid w:val="00933A61"/>
    <w:rsid w:val="00933BCF"/>
    <w:rsid w:val="00933CC1"/>
    <w:rsid w:val="0093673E"/>
    <w:rsid w:val="00937AF2"/>
    <w:rsid w:val="00940399"/>
    <w:rsid w:val="00942D64"/>
    <w:rsid w:val="00943D07"/>
    <w:rsid w:val="00944084"/>
    <w:rsid w:val="00946E55"/>
    <w:rsid w:val="00950A11"/>
    <w:rsid w:val="00950BFF"/>
    <w:rsid w:val="00951CBE"/>
    <w:rsid w:val="009525F4"/>
    <w:rsid w:val="00953411"/>
    <w:rsid w:val="009546DE"/>
    <w:rsid w:val="00954F76"/>
    <w:rsid w:val="0096049C"/>
    <w:rsid w:val="00961FB8"/>
    <w:rsid w:val="00962414"/>
    <w:rsid w:val="00963157"/>
    <w:rsid w:val="009659F6"/>
    <w:rsid w:val="00965E36"/>
    <w:rsid w:val="00965F3B"/>
    <w:rsid w:val="00966371"/>
    <w:rsid w:val="00966A8F"/>
    <w:rsid w:val="00970320"/>
    <w:rsid w:val="00971194"/>
    <w:rsid w:val="009720C9"/>
    <w:rsid w:val="00973996"/>
    <w:rsid w:val="00974B45"/>
    <w:rsid w:val="00974CE4"/>
    <w:rsid w:val="00982627"/>
    <w:rsid w:val="00983324"/>
    <w:rsid w:val="00983F73"/>
    <w:rsid w:val="0098533D"/>
    <w:rsid w:val="00985911"/>
    <w:rsid w:val="00986910"/>
    <w:rsid w:val="00987371"/>
    <w:rsid w:val="00987F41"/>
    <w:rsid w:val="009915E5"/>
    <w:rsid w:val="009945C2"/>
    <w:rsid w:val="00994D0C"/>
    <w:rsid w:val="009A1B22"/>
    <w:rsid w:val="009A2467"/>
    <w:rsid w:val="009A5580"/>
    <w:rsid w:val="009A588F"/>
    <w:rsid w:val="009A5B7F"/>
    <w:rsid w:val="009A630F"/>
    <w:rsid w:val="009B11E8"/>
    <w:rsid w:val="009B1497"/>
    <w:rsid w:val="009B3A9A"/>
    <w:rsid w:val="009B3C69"/>
    <w:rsid w:val="009B3EA6"/>
    <w:rsid w:val="009C1CF6"/>
    <w:rsid w:val="009C34B3"/>
    <w:rsid w:val="009C56E6"/>
    <w:rsid w:val="009C6C63"/>
    <w:rsid w:val="009D29E6"/>
    <w:rsid w:val="009D4012"/>
    <w:rsid w:val="009D5407"/>
    <w:rsid w:val="009D6785"/>
    <w:rsid w:val="009D7B0C"/>
    <w:rsid w:val="009D7B22"/>
    <w:rsid w:val="009E1F4A"/>
    <w:rsid w:val="009E2D75"/>
    <w:rsid w:val="009E4E24"/>
    <w:rsid w:val="009E5F60"/>
    <w:rsid w:val="009E6F00"/>
    <w:rsid w:val="009E7C3C"/>
    <w:rsid w:val="009F45DD"/>
    <w:rsid w:val="009F669A"/>
    <w:rsid w:val="00A015AB"/>
    <w:rsid w:val="00A020EA"/>
    <w:rsid w:val="00A02861"/>
    <w:rsid w:val="00A06939"/>
    <w:rsid w:val="00A10A5D"/>
    <w:rsid w:val="00A10CEF"/>
    <w:rsid w:val="00A1178E"/>
    <w:rsid w:val="00A122A0"/>
    <w:rsid w:val="00A13477"/>
    <w:rsid w:val="00A21718"/>
    <w:rsid w:val="00A21C5B"/>
    <w:rsid w:val="00A23356"/>
    <w:rsid w:val="00A27C00"/>
    <w:rsid w:val="00A3111C"/>
    <w:rsid w:val="00A314E7"/>
    <w:rsid w:val="00A31AB2"/>
    <w:rsid w:val="00A34298"/>
    <w:rsid w:val="00A35227"/>
    <w:rsid w:val="00A37189"/>
    <w:rsid w:val="00A40743"/>
    <w:rsid w:val="00A410E1"/>
    <w:rsid w:val="00A42FE0"/>
    <w:rsid w:val="00A44AFF"/>
    <w:rsid w:val="00A45DCF"/>
    <w:rsid w:val="00A45F7C"/>
    <w:rsid w:val="00A4672C"/>
    <w:rsid w:val="00A5063A"/>
    <w:rsid w:val="00A50AC4"/>
    <w:rsid w:val="00A51AC3"/>
    <w:rsid w:val="00A51FBD"/>
    <w:rsid w:val="00A615A4"/>
    <w:rsid w:val="00A61E2B"/>
    <w:rsid w:val="00A62868"/>
    <w:rsid w:val="00A65D36"/>
    <w:rsid w:val="00A71559"/>
    <w:rsid w:val="00A736E6"/>
    <w:rsid w:val="00A74B3C"/>
    <w:rsid w:val="00A81014"/>
    <w:rsid w:val="00A81306"/>
    <w:rsid w:val="00A81A0D"/>
    <w:rsid w:val="00A82B40"/>
    <w:rsid w:val="00A82BC0"/>
    <w:rsid w:val="00A85CDD"/>
    <w:rsid w:val="00A87040"/>
    <w:rsid w:val="00A87356"/>
    <w:rsid w:val="00A87900"/>
    <w:rsid w:val="00A90129"/>
    <w:rsid w:val="00A90CE4"/>
    <w:rsid w:val="00A924C5"/>
    <w:rsid w:val="00A94167"/>
    <w:rsid w:val="00A95AC6"/>
    <w:rsid w:val="00AA1E1C"/>
    <w:rsid w:val="00AA4956"/>
    <w:rsid w:val="00AA5618"/>
    <w:rsid w:val="00AA6C64"/>
    <w:rsid w:val="00AB0F24"/>
    <w:rsid w:val="00AB11A7"/>
    <w:rsid w:val="00AB124D"/>
    <w:rsid w:val="00AB198C"/>
    <w:rsid w:val="00AB2349"/>
    <w:rsid w:val="00AB786D"/>
    <w:rsid w:val="00AB78DB"/>
    <w:rsid w:val="00AC045A"/>
    <w:rsid w:val="00AC11B3"/>
    <w:rsid w:val="00AC2649"/>
    <w:rsid w:val="00AC2685"/>
    <w:rsid w:val="00AC2FC7"/>
    <w:rsid w:val="00AC3659"/>
    <w:rsid w:val="00AC3A78"/>
    <w:rsid w:val="00AC5445"/>
    <w:rsid w:val="00AD2872"/>
    <w:rsid w:val="00AD3E54"/>
    <w:rsid w:val="00AD411B"/>
    <w:rsid w:val="00AD5DC1"/>
    <w:rsid w:val="00AE20CB"/>
    <w:rsid w:val="00AE21B0"/>
    <w:rsid w:val="00AE4085"/>
    <w:rsid w:val="00AE694B"/>
    <w:rsid w:val="00AF235E"/>
    <w:rsid w:val="00AF25AD"/>
    <w:rsid w:val="00AF3806"/>
    <w:rsid w:val="00AF4CA9"/>
    <w:rsid w:val="00AF69DF"/>
    <w:rsid w:val="00AF72C0"/>
    <w:rsid w:val="00B0024C"/>
    <w:rsid w:val="00B016F4"/>
    <w:rsid w:val="00B10EA7"/>
    <w:rsid w:val="00B1159F"/>
    <w:rsid w:val="00B1238F"/>
    <w:rsid w:val="00B124EF"/>
    <w:rsid w:val="00B13D12"/>
    <w:rsid w:val="00B14446"/>
    <w:rsid w:val="00B14837"/>
    <w:rsid w:val="00B156D9"/>
    <w:rsid w:val="00B15E29"/>
    <w:rsid w:val="00B166CE"/>
    <w:rsid w:val="00B16EDB"/>
    <w:rsid w:val="00B204EE"/>
    <w:rsid w:val="00B21F84"/>
    <w:rsid w:val="00B233AD"/>
    <w:rsid w:val="00B24C16"/>
    <w:rsid w:val="00B24FA8"/>
    <w:rsid w:val="00B25673"/>
    <w:rsid w:val="00B258A0"/>
    <w:rsid w:val="00B32689"/>
    <w:rsid w:val="00B340AC"/>
    <w:rsid w:val="00B353E8"/>
    <w:rsid w:val="00B3583A"/>
    <w:rsid w:val="00B40654"/>
    <w:rsid w:val="00B41A40"/>
    <w:rsid w:val="00B41D50"/>
    <w:rsid w:val="00B424E8"/>
    <w:rsid w:val="00B43C80"/>
    <w:rsid w:val="00B43D62"/>
    <w:rsid w:val="00B4652A"/>
    <w:rsid w:val="00B4694E"/>
    <w:rsid w:val="00B50B1D"/>
    <w:rsid w:val="00B523A0"/>
    <w:rsid w:val="00B5359D"/>
    <w:rsid w:val="00B57B93"/>
    <w:rsid w:val="00B626B4"/>
    <w:rsid w:val="00B63929"/>
    <w:rsid w:val="00B63E0C"/>
    <w:rsid w:val="00B64080"/>
    <w:rsid w:val="00B65D06"/>
    <w:rsid w:val="00B65FFC"/>
    <w:rsid w:val="00B66640"/>
    <w:rsid w:val="00B71AF9"/>
    <w:rsid w:val="00B74AE4"/>
    <w:rsid w:val="00B760C1"/>
    <w:rsid w:val="00B77026"/>
    <w:rsid w:val="00B77D62"/>
    <w:rsid w:val="00B77FB3"/>
    <w:rsid w:val="00B808DF"/>
    <w:rsid w:val="00B81773"/>
    <w:rsid w:val="00B82624"/>
    <w:rsid w:val="00B82631"/>
    <w:rsid w:val="00B8359E"/>
    <w:rsid w:val="00B83E6E"/>
    <w:rsid w:val="00B85060"/>
    <w:rsid w:val="00B8546E"/>
    <w:rsid w:val="00B860B9"/>
    <w:rsid w:val="00B8676A"/>
    <w:rsid w:val="00B86E15"/>
    <w:rsid w:val="00B86F85"/>
    <w:rsid w:val="00B86F88"/>
    <w:rsid w:val="00B87A9A"/>
    <w:rsid w:val="00B91F27"/>
    <w:rsid w:val="00B92E5B"/>
    <w:rsid w:val="00B93282"/>
    <w:rsid w:val="00B955DD"/>
    <w:rsid w:val="00B969FB"/>
    <w:rsid w:val="00B97734"/>
    <w:rsid w:val="00BA08CB"/>
    <w:rsid w:val="00BA1F14"/>
    <w:rsid w:val="00BA3EB0"/>
    <w:rsid w:val="00BA5C28"/>
    <w:rsid w:val="00BA77D4"/>
    <w:rsid w:val="00BA7E41"/>
    <w:rsid w:val="00BB0E15"/>
    <w:rsid w:val="00BB4194"/>
    <w:rsid w:val="00BB6100"/>
    <w:rsid w:val="00BB6D04"/>
    <w:rsid w:val="00BC0265"/>
    <w:rsid w:val="00BC0CEC"/>
    <w:rsid w:val="00BC1A1E"/>
    <w:rsid w:val="00BC1CF2"/>
    <w:rsid w:val="00BC3350"/>
    <w:rsid w:val="00BC33F3"/>
    <w:rsid w:val="00BC66B4"/>
    <w:rsid w:val="00BD2334"/>
    <w:rsid w:val="00BD35ED"/>
    <w:rsid w:val="00BD4D4F"/>
    <w:rsid w:val="00BD72B1"/>
    <w:rsid w:val="00BD7BA8"/>
    <w:rsid w:val="00BD7CFD"/>
    <w:rsid w:val="00BE0D58"/>
    <w:rsid w:val="00BE0F7A"/>
    <w:rsid w:val="00BE48AC"/>
    <w:rsid w:val="00BE4DCF"/>
    <w:rsid w:val="00BE5453"/>
    <w:rsid w:val="00BE5B75"/>
    <w:rsid w:val="00BE6086"/>
    <w:rsid w:val="00BE6DB2"/>
    <w:rsid w:val="00BE71A5"/>
    <w:rsid w:val="00BE754A"/>
    <w:rsid w:val="00BF1A82"/>
    <w:rsid w:val="00BF3D3C"/>
    <w:rsid w:val="00BF4AD7"/>
    <w:rsid w:val="00BF5801"/>
    <w:rsid w:val="00BF6F66"/>
    <w:rsid w:val="00C00BBF"/>
    <w:rsid w:val="00C01838"/>
    <w:rsid w:val="00C02AE1"/>
    <w:rsid w:val="00C069F4"/>
    <w:rsid w:val="00C06F38"/>
    <w:rsid w:val="00C136A5"/>
    <w:rsid w:val="00C136FA"/>
    <w:rsid w:val="00C13871"/>
    <w:rsid w:val="00C16C0B"/>
    <w:rsid w:val="00C20195"/>
    <w:rsid w:val="00C20B44"/>
    <w:rsid w:val="00C243E7"/>
    <w:rsid w:val="00C25BAC"/>
    <w:rsid w:val="00C26726"/>
    <w:rsid w:val="00C26839"/>
    <w:rsid w:val="00C30B5D"/>
    <w:rsid w:val="00C31C9A"/>
    <w:rsid w:val="00C34296"/>
    <w:rsid w:val="00C4176C"/>
    <w:rsid w:val="00C42266"/>
    <w:rsid w:val="00C4598C"/>
    <w:rsid w:val="00C45993"/>
    <w:rsid w:val="00C45DD5"/>
    <w:rsid w:val="00C468B2"/>
    <w:rsid w:val="00C47727"/>
    <w:rsid w:val="00C47ADC"/>
    <w:rsid w:val="00C5243B"/>
    <w:rsid w:val="00C528E2"/>
    <w:rsid w:val="00C530C7"/>
    <w:rsid w:val="00C55870"/>
    <w:rsid w:val="00C563BF"/>
    <w:rsid w:val="00C56458"/>
    <w:rsid w:val="00C6044C"/>
    <w:rsid w:val="00C615D9"/>
    <w:rsid w:val="00C6241F"/>
    <w:rsid w:val="00C641BE"/>
    <w:rsid w:val="00C66554"/>
    <w:rsid w:val="00C719C1"/>
    <w:rsid w:val="00C71D0E"/>
    <w:rsid w:val="00C720E5"/>
    <w:rsid w:val="00C73A7E"/>
    <w:rsid w:val="00C74AAC"/>
    <w:rsid w:val="00C7557F"/>
    <w:rsid w:val="00C76CC3"/>
    <w:rsid w:val="00C80573"/>
    <w:rsid w:val="00C8106F"/>
    <w:rsid w:val="00C82CBD"/>
    <w:rsid w:val="00C85C8A"/>
    <w:rsid w:val="00C86264"/>
    <w:rsid w:val="00C9047D"/>
    <w:rsid w:val="00C93531"/>
    <w:rsid w:val="00C93BD4"/>
    <w:rsid w:val="00C95F2F"/>
    <w:rsid w:val="00CA11C6"/>
    <w:rsid w:val="00CA29E2"/>
    <w:rsid w:val="00CA32EF"/>
    <w:rsid w:val="00CA3440"/>
    <w:rsid w:val="00CA373D"/>
    <w:rsid w:val="00CA4D01"/>
    <w:rsid w:val="00CA5B50"/>
    <w:rsid w:val="00CA6BF7"/>
    <w:rsid w:val="00CB01CF"/>
    <w:rsid w:val="00CB0262"/>
    <w:rsid w:val="00CB2F13"/>
    <w:rsid w:val="00CB4523"/>
    <w:rsid w:val="00CB5561"/>
    <w:rsid w:val="00CB7110"/>
    <w:rsid w:val="00CB7ADB"/>
    <w:rsid w:val="00CB7C6E"/>
    <w:rsid w:val="00CC2E03"/>
    <w:rsid w:val="00CC3291"/>
    <w:rsid w:val="00CC3CC9"/>
    <w:rsid w:val="00CC7E51"/>
    <w:rsid w:val="00CD2741"/>
    <w:rsid w:val="00CD2AC2"/>
    <w:rsid w:val="00CD2E88"/>
    <w:rsid w:val="00CD50D3"/>
    <w:rsid w:val="00CE3AB7"/>
    <w:rsid w:val="00CF2F0A"/>
    <w:rsid w:val="00CF4E54"/>
    <w:rsid w:val="00CF565D"/>
    <w:rsid w:val="00CF7192"/>
    <w:rsid w:val="00D000F1"/>
    <w:rsid w:val="00D01257"/>
    <w:rsid w:val="00D0182F"/>
    <w:rsid w:val="00D01B0F"/>
    <w:rsid w:val="00D02EB7"/>
    <w:rsid w:val="00D049C0"/>
    <w:rsid w:val="00D05ECC"/>
    <w:rsid w:val="00D10EC3"/>
    <w:rsid w:val="00D157A4"/>
    <w:rsid w:val="00D200AE"/>
    <w:rsid w:val="00D2265E"/>
    <w:rsid w:val="00D22F78"/>
    <w:rsid w:val="00D2305E"/>
    <w:rsid w:val="00D233E7"/>
    <w:rsid w:val="00D27BEB"/>
    <w:rsid w:val="00D32246"/>
    <w:rsid w:val="00D34759"/>
    <w:rsid w:val="00D36A39"/>
    <w:rsid w:val="00D4040A"/>
    <w:rsid w:val="00D40F0B"/>
    <w:rsid w:val="00D42082"/>
    <w:rsid w:val="00D423C3"/>
    <w:rsid w:val="00D4408F"/>
    <w:rsid w:val="00D4695D"/>
    <w:rsid w:val="00D46B96"/>
    <w:rsid w:val="00D519B1"/>
    <w:rsid w:val="00D51CAB"/>
    <w:rsid w:val="00D52253"/>
    <w:rsid w:val="00D5376C"/>
    <w:rsid w:val="00D6073D"/>
    <w:rsid w:val="00D611A8"/>
    <w:rsid w:val="00D6216D"/>
    <w:rsid w:val="00D62E1E"/>
    <w:rsid w:val="00D65BC7"/>
    <w:rsid w:val="00D65BF3"/>
    <w:rsid w:val="00D66A66"/>
    <w:rsid w:val="00D6703D"/>
    <w:rsid w:val="00D70EAC"/>
    <w:rsid w:val="00D72DD9"/>
    <w:rsid w:val="00D74367"/>
    <w:rsid w:val="00D74A37"/>
    <w:rsid w:val="00D74D7C"/>
    <w:rsid w:val="00D74FC6"/>
    <w:rsid w:val="00D75091"/>
    <w:rsid w:val="00D76518"/>
    <w:rsid w:val="00D80897"/>
    <w:rsid w:val="00D80B1A"/>
    <w:rsid w:val="00D82BFD"/>
    <w:rsid w:val="00D85B3A"/>
    <w:rsid w:val="00D8797D"/>
    <w:rsid w:val="00D87AF0"/>
    <w:rsid w:val="00D928F6"/>
    <w:rsid w:val="00D933D3"/>
    <w:rsid w:val="00D94022"/>
    <w:rsid w:val="00D94A21"/>
    <w:rsid w:val="00D96341"/>
    <w:rsid w:val="00D96D18"/>
    <w:rsid w:val="00DA0A85"/>
    <w:rsid w:val="00DA2084"/>
    <w:rsid w:val="00DA24D6"/>
    <w:rsid w:val="00DA2E2D"/>
    <w:rsid w:val="00DA3E1B"/>
    <w:rsid w:val="00DA7E1E"/>
    <w:rsid w:val="00DB22DD"/>
    <w:rsid w:val="00DB4933"/>
    <w:rsid w:val="00DB5B0A"/>
    <w:rsid w:val="00DB6640"/>
    <w:rsid w:val="00DB7A95"/>
    <w:rsid w:val="00DC0F97"/>
    <w:rsid w:val="00DC3C6D"/>
    <w:rsid w:val="00DC45F7"/>
    <w:rsid w:val="00DC48E8"/>
    <w:rsid w:val="00DD148F"/>
    <w:rsid w:val="00DD2EEE"/>
    <w:rsid w:val="00DD34F4"/>
    <w:rsid w:val="00DD38E5"/>
    <w:rsid w:val="00DD3BD9"/>
    <w:rsid w:val="00DE1881"/>
    <w:rsid w:val="00DE212A"/>
    <w:rsid w:val="00DE3965"/>
    <w:rsid w:val="00DE46E5"/>
    <w:rsid w:val="00DE7384"/>
    <w:rsid w:val="00DF1512"/>
    <w:rsid w:val="00DF19FE"/>
    <w:rsid w:val="00DF2893"/>
    <w:rsid w:val="00DF316D"/>
    <w:rsid w:val="00DF326B"/>
    <w:rsid w:val="00DF337B"/>
    <w:rsid w:val="00DF3C45"/>
    <w:rsid w:val="00DF58D6"/>
    <w:rsid w:val="00DF60F2"/>
    <w:rsid w:val="00DF637F"/>
    <w:rsid w:val="00DF6382"/>
    <w:rsid w:val="00DF6716"/>
    <w:rsid w:val="00DF707D"/>
    <w:rsid w:val="00E028E8"/>
    <w:rsid w:val="00E04365"/>
    <w:rsid w:val="00E05F23"/>
    <w:rsid w:val="00E05F7F"/>
    <w:rsid w:val="00E113F0"/>
    <w:rsid w:val="00E136A3"/>
    <w:rsid w:val="00E13A5C"/>
    <w:rsid w:val="00E15119"/>
    <w:rsid w:val="00E152EF"/>
    <w:rsid w:val="00E16249"/>
    <w:rsid w:val="00E173A0"/>
    <w:rsid w:val="00E177D5"/>
    <w:rsid w:val="00E218AC"/>
    <w:rsid w:val="00E22E34"/>
    <w:rsid w:val="00E24FBC"/>
    <w:rsid w:val="00E310E2"/>
    <w:rsid w:val="00E33D08"/>
    <w:rsid w:val="00E34A54"/>
    <w:rsid w:val="00E34A76"/>
    <w:rsid w:val="00E359D8"/>
    <w:rsid w:val="00E40B39"/>
    <w:rsid w:val="00E42ABC"/>
    <w:rsid w:val="00E43B38"/>
    <w:rsid w:val="00E44B63"/>
    <w:rsid w:val="00E5084D"/>
    <w:rsid w:val="00E50BD0"/>
    <w:rsid w:val="00E54432"/>
    <w:rsid w:val="00E5554D"/>
    <w:rsid w:val="00E55609"/>
    <w:rsid w:val="00E5749C"/>
    <w:rsid w:val="00E60255"/>
    <w:rsid w:val="00E6048E"/>
    <w:rsid w:val="00E62B87"/>
    <w:rsid w:val="00E65385"/>
    <w:rsid w:val="00E6751C"/>
    <w:rsid w:val="00E7078F"/>
    <w:rsid w:val="00E7079C"/>
    <w:rsid w:val="00E71A2A"/>
    <w:rsid w:val="00E72239"/>
    <w:rsid w:val="00E73385"/>
    <w:rsid w:val="00E73AA8"/>
    <w:rsid w:val="00E74E3D"/>
    <w:rsid w:val="00E839B4"/>
    <w:rsid w:val="00E83FB7"/>
    <w:rsid w:val="00E8410C"/>
    <w:rsid w:val="00E849F6"/>
    <w:rsid w:val="00E84FFD"/>
    <w:rsid w:val="00E856B7"/>
    <w:rsid w:val="00E86337"/>
    <w:rsid w:val="00E900D8"/>
    <w:rsid w:val="00E93FB4"/>
    <w:rsid w:val="00E9435E"/>
    <w:rsid w:val="00E953EC"/>
    <w:rsid w:val="00E96C33"/>
    <w:rsid w:val="00E96E0F"/>
    <w:rsid w:val="00EA2100"/>
    <w:rsid w:val="00EA2502"/>
    <w:rsid w:val="00EA48DE"/>
    <w:rsid w:val="00EA6D81"/>
    <w:rsid w:val="00EB156A"/>
    <w:rsid w:val="00EB6032"/>
    <w:rsid w:val="00EC0C7A"/>
    <w:rsid w:val="00EC1502"/>
    <w:rsid w:val="00EC6A53"/>
    <w:rsid w:val="00ED0F09"/>
    <w:rsid w:val="00ED1BDD"/>
    <w:rsid w:val="00ED3F6D"/>
    <w:rsid w:val="00ED3FFE"/>
    <w:rsid w:val="00ED5AAA"/>
    <w:rsid w:val="00EE0191"/>
    <w:rsid w:val="00EE1CEE"/>
    <w:rsid w:val="00EE1FFE"/>
    <w:rsid w:val="00EE509C"/>
    <w:rsid w:val="00EE7595"/>
    <w:rsid w:val="00EE79DA"/>
    <w:rsid w:val="00EF0197"/>
    <w:rsid w:val="00EF3E19"/>
    <w:rsid w:val="00EF4166"/>
    <w:rsid w:val="00EF483B"/>
    <w:rsid w:val="00EF6469"/>
    <w:rsid w:val="00EF7E24"/>
    <w:rsid w:val="00F028E5"/>
    <w:rsid w:val="00F040D9"/>
    <w:rsid w:val="00F05D3A"/>
    <w:rsid w:val="00F064E6"/>
    <w:rsid w:val="00F07608"/>
    <w:rsid w:val="00F10B05"/>
    <w:rsid w:val="00F122AE"/>
    <w:rsid w:val="00F13364"/>
    <w:rsid w:val="00F13622"/>
    <w:rsid w:val="00F15830"/>
    <w:rsid w:val="00F1666B"/>
    <w:rsid w:val="00F17F91"/>
    <w:rsid w:val="00F20CEE"/>
    <w:rsid w:val="00F21172"/>
    <w:rsid w:val="00F212FA"/>
    <w:rsid w:val="00F21635"/>
    <w:rsid w:val="00F231F8"/>
    <w:rsid w:val="00F26FFF"/>
    <w:rsid w:val="00F27413"/>
    <w:rsid w:val="00F31AF3"/>
    <w:rsid w:val="00F32A5A"/>
    <w:rsid w:val="00F34A25"/>
    <w:rsid w:val="00F35AED"/>
    <w:rsid w:val="00F4230C"/>
    <w:rsid w:val="00F433A0"/>
    <w:rsid w:val="00F43413"/>
    <w:rsid w:val="00F43930"/>
    <w:rsid w:val="00F454A2"/>
    <w:rsid w:val="00F472F9"/>
    <w:rsid w:val="00F476A0"/>
    <w:rsid w:val="00F501DB"/>
    <w:rsid w:val="00F53D94"/>
    <w:rsid w:val="00F553F4"/>
    <w:rsid w:val="00F60ED8"/>
    <w:rsid w:val="00F61653"/>
    <w:rsid w:val="00F62394"/>
    <w:rsid w:val="00F62AA4"/>
    <w:rsid w:val="00F719FD"/>
    <w:rsid w:val="00F71BB3"/>
    <w:rsid w:val="00F733CD"/>
    <w:rsid w:val="00F7371F"/>
    <w:rsid w:val="00F74F6F"/>
    <w:rsid w:val="00F77E15"/>
    <w:rsid w:val="00F81154"/>
    <w:rsid w:val="00F839FD"/>
    <w:rsid w:val="00F83B00"/>
    <w:rsid w:val="00F84885"/>
    <w:rsid w:val="00F8492F"/>
    <w:rsid w:val="00F85D91"/>
    <w:rsid w:val="00F8637B"/>
    <w:rsid w:val="00F90BDD"/>
    <w:rsid w:val="00F91754"/>
    <w:rsid w:val="00F95B07"/>
    <w:rsid w:val="00F95C78"/>
    <w:rsid w:val="00F95F84"/>
    <w:rsid w:val="00F965FD"/>
    <w:rsid w:val="00F96FB2"/>
    <w:rsid w:val="00FA1222"/>
    <w:rsid w:val="00FA184B"/>
    <w:rsid w:val="00FA1F41"/>
    <w:rsid w:val="00FA2CE4"/>
    <w:rsid w:val="00FA4829"/>
    <w:rsid w:val="00FA7112"/>
    <w:rsid w:val="00FB2516"/>
    <w:rsid w:val="00FB3CB4"/>
    <w:rsid w:val="00FB5E62"/>
    <w:rsid w:val="00FB69FC"/>
    <w:rsid w:val="00FC0568"/>
    <w:rsid w:val="00FC1171"/>
    <w:rsid w:val="00FC1374"/>
    <w:rsid w:val="00FC1A0E"/>
    <w:rsid w:val="00FC3CB0"/>
    <w:rsid w:val="00FC4936"/>
    <w:rsid w:val="00FC5D63"/>
    <w:rsid w:val="00FC6C7B"/>
    <w:rsid w:val="00FD12F0"/>
    <w:rsid w:val="00FD29A3"/>
    <w:rsid w:val="00FD3817"/>
    <w:rsid w:val="00FD4E5B"/>
    <w:rsid w:val="00FD4F6F"/>
    <w:rsid w:val="00FD4F8B"/>
    <w:rsid w:val="00FD70A9"/>
    <w:rsid w:val="00FE0911"/>
    <w:rsid w:val="00FE1E3D"/>
    <w:rsid w:val="00FE3DE8"/>
    <w:rsid w:val="00FE63C8"/>
    <w:rsid w:val="00FE6629"/>
    <w:rsid w:val="00FF57E2"/>
    <w:rsid w:val="00FF58B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53FDF"/>
  <w15:docId w15:val="{3423C2A3-B1B1-43D2-8750-D8A7D6F2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DD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10A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8">
    <w:name w:val="footnote text"/>
    <w:basedOn w:val="a"/>
    <w:link w:val="a9"/>
    <w:rsid w:val="00D70EAC"/>
    <w:pPr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70EAC"/>
  </w:style>
  <w:style w:type="character" w:styleId="aa">
    <w:name w:val="footnote reference"/>
    <w:rsid w:val="00D70EAC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b">
    <w:name w:val="List Paragraph"/>
    <w:basedOn w:val="a"/>
    <w:uiPriority w:val="34"/>
    <w:qFormat/>
    <w:rsid w:val="008D4496"/>
    <w:pPr>
      <w:ind w:left="720"/>
      <w:contextualSpacing/>
    </w:pPr>
  </w:style>
  <w:style w:type="paragraph" w:styleId="ac">
    <w:name w:val="Balloon Text"/>
    <w:basedOn w:val="a"/>
    <w:link w:val="ad"/>
    <w:rsid w:val="00AD5D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D5DC1"/>
    <w:rPr>
      <w:rFonts w:ascii="Tahoma" w:hAnsi="Tahoma" w:cs="Tahoma"/>
      <w:sz w:val="16"/>
      <w:szCs w:val="16"/>
      <w:lang w:val="ru-RU" w:eastAsia="ru-RU"/>
    </w:rPr>
  </w:style>
  <w:style w:type="character" w:styleId="ae">
    <w:name w:val="annotation reference"/>
    <w:basedOn w:val="a0"/>
    <w:rsid w:val="00F53D94"/>
    <w:rPr>
      <w:sz w:val="16"/>
      <w:szCs w:val="16"/>
    </w:rPr>
  </w:style>
  <w:style w:type="paragraph" w:styleId="af">
    <w:name w:val="annotation text"/>
    <w:basedOn w:val="a"/>
    <w:link w:val="af0"/>
    <w:rsid w:val="00F53D9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53D94"/>
    <w:rPr>
      <w:lang w:val="ru-RU" w:eastAsia="ru-RU"/>
    </w:rPr>
  </w:style>
  <w:style w:type="paragraph" w:styleId="af1">
    <w:name w:val="annotation subject"/>
    <w:basedOn w:val="af"/>
    <w:next w:val="af"/>
    <w:link w:val="af2"/>
    <w:rsid w:val="00F53D94"/>
    <w:rPr>
      <w:b/>
      <w:bCs/>
    </w:rPr>
  </w:style>
  <w:style w:type="character" w:customStyle="1" w:styleId="af2">
    <w:name w:val="Тема примечания Знак"/>
    <w:basedOn w:val="af0"/>
    <w:link w:val="af1"/>
    <w:rsid w:val="00F53D94"/>
    <w:rPr>
      <w:b/>
      <w:bCs/>
      <w:lang w:val="ru-RU"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F53D9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tlid-translation">
    <w:name w:val="tlid-translation"/>
    <w:rsid w:val="00F53D94"/>
  </w:style>
  <w:style w:type="character" w:customStyle="1" w:styleId="30">
    <w:name w:val="Заголовок 3 Знак"/>
    <w:basedOn w:val="a0"/>
    <w:link w:val="3"/>
    <w:semiHidden/>
    <w:rsid w:val="00A10A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s0">
    <w:name w:val="s0"/>
    <w:basedOn w:val="a0"/>
    <w:rsid w:val="002909E7"/>
    <w:rPr>
      <w:color w:val="000000"/>
    </w:rPr>
  </w:style>
  <w:style w:type="character" w:customStyle="1" w:styleId="s2">
    <w:name w:val="s2"/>
    <w:basedOn w:val="a0"/>
    <w:rsid w:val="004C68A7"/>
    <w:rPr>
      <w:color w:val="000080"/>
    </w:rPr>
  </w:style>
  <w:style w:type="character" w:customStyle="1" w:styleId="s20">
    <w:name w:val="s20"/>
    <w:basedOn w:val="a0"/>
    <w:rsid w:val="004C68A7"/>
  </w:style>
  <w:style w:type="character" w:customStyle="1" w:styleId="s21">
    <w:name w:val="s21"/>
    <w:basedOn w:val="a0"/>
    <w:rsid w:val="003E752D"/>
  </w:style>
  <w:style w:type="character" w:styleId="af3">
    <w:name w:val="Strong"/>
    <w:basedOn w:val="a0"/>
    <w:qFormat/>
    <w:rsid w:val="003C2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1352-EBB4-4B49-B1F4-632A50EF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Қазақстан Республикасыньң</vt:lpstr>
      <vt:lpstr>Қазақстан Республикасыньң</vt:lpstr>
    </vt:vector>
  </TitlesOfParts>
  <Company>nb</Company>
  <LinksUpToDate>false</LinksUpToDate>
  <CharactersWithSpaces>5941</CharactersWithSpaces>
  <SharedDoc>false</SharedDoc>
  <HLinks>
    <vt:vector size="6" baseType="variant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jl:30068245.100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Жазира Канаева</cp:lastModifiedBy>
  <cp:revision>2</cp:revision>
  <cp:lastPrinted>2020-02-28T11:41:00Z</cp:lastPrinted>
  <dcterms:created xsi:type="dcterms:W3CDTF">2022-02-10T13:07:00Z</dcterms:created>
  <dcterms:modified xsi:type="dcterms:W3CDTF">2022-02-10T13:07:00Z</dcterms:modified>
</cp:coreProperties>
</file>