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C17B2" w14:textId="049B9045" w:rsidR="00847BDC" w:rsidRDefault="00727A1B" w:rsidP="00DE4A9B">
      <w:pPr>
        <w:jc w:val="center"/>
        <w:rPr>
          <w:b/>
          <w:sz w:val="24"/>
          <w:szCs w:val="24"/>
          <w:lang w:val="kk-KZ"/>
        </w:rPr>
      </w:pPr>
      <w:r w:rsidRPr="00727A1B">
        <w:rPr>
          <w:b/>
          <w:sz w:val="24"/>
          <w:szCs w:val="24"/>
          <w:lang w:val="kk-KZ"/>
        </w:rPr>
        <w:t>«</w:t>
      </w:r>
      <w:r w:rsidR="00B43502" w:rsidRPr="00B43502">
        <w:rPr>
          <w:b/>
          <w:sz w:val="24"/>
          <w:szCs w:val="24"/>
          <w:lang w:val="kk-KZ"/>
        </w:rPr>
        <w:t>Валюта айырбастаудың нарықтық бағамын айқындау тәртібі туралы</w:t>
      </w:r>
      <w:bookmarkStart w:id="0" w:name="_GoBack"/>
      <w:bookmarkEnd w:id="0"/>
      <w:r w:rsidR="00DE4A9B">
        <w:rPr>
          <w:b/>
          <w:sz w:val="24"/>
          <w:szCs w:val="24"/>
          <w:lang w:val="kk-KZ"/>
        </w:rPr>
        <w:t xml:space="preserve">» </w:t>
      </w:r>
      <w:r w:rsidR="00DE4A9B" w:rsidRPr="00DE4A9B">
        <w:rPr>
          <w:b/>
          <w:sz w:val="24"/>
          <w:szCs w:val="24"/>
          <w:lang w:val="kk-KZ"/>
        </w:rPr>
        <w:t>Қазақстан Республикасы Ұлттық Банкі Басқармасының 2013 жылғы 25 қаңтардағы № 15 Қаулысы және Қазақстан Республикасы Қаржы министрінің 2013</w:t>
      </w:r>
      <w:r w:rsidR="00DE4A9B">
        <w:rPr>
          <w:b/>
          <w:sz w:val="24"/>
          <w:szCs w:val="24"/>
          <w:lang w:val="kk-KZ"/>
        </w:rPr>
        <w:t xml:space="preserve"> жылғы 22 ақпандағы № 99 бұйры</w:t>
      </w:r>
      <w:r w:rsidRPr="00727A1B">
        <w:rPr>
          <w:b/>
          <w:sz w:val="24"/>
          <w:szCs w:val="24"/>
          <w:lang w:val="kk-KZ"/>
        </w:rPr>
        <w:t xml:space="preserve">ғына өзгерістер енгізу туралы» </w:t>
      </w:r>
    </w:p>
    <w:p w14:paraId="5A515DF1" w14:textId="67FD900C" w:rsidR="00847BDC" w:rsidRDefault="00727A1B" w:rsidP="00727A1B">
      <w:pPr>
        <w:jc w:val="center"/>
        <w:rPr>
          <w:b/>
          <w:sz w:val="24"/>
          <w:szCs w:val="24"/>
          <w:lang w:val="kk-KZ"/>
        </w:rPr>
      </w:pPr>
      <w:r w:rsidRPr="00727A1B">
        <w:rPr>
          <w:b/>
          <w:sz w:val="24"/>
          <w:szCs w:val="24"/>
          <w:lang w:val="kk-KZ"/>
        </w:rPr>
        <w:t>бірлескен</w:t>
      </w:r>
      <w:r w:rsidR="00847BDC" w:rsidRPr="00847BDC">
        <w:rPr>
          <w:b/>
          <w:sz w:val="24"/>
          <w:szCs w:val="24"/>
          <w:lang w:val="kk-KZ"/>
        </w:rPr>
        <w:t xml:space="preserve"> </w:t>
      </w:r>
      <w:r w:rsidRPr="00727A1B">
        <w:rPr>
          <w:b/>
          <w:sz w:val="24"/>
          <w:szCs w:val="24"/>
          <w:lang w:val="kk-KZ"/>
        </w:rPr>
        <w:t xml:space="preserve">Қазақстан Республикасы Ұлттық Банкінің Басқармасы қаулысы мен Қазақстан Республикасы Қаржы министрінің бұйрығы жобасына </w:t>
      </w:r>
    </w:p>
    <w:p w14:paraId="24CE820E" w14:textId="7D2D9F9E" w:rsidR="00BC2FE4" w:rsidRDefault="00727A1B" w:rsidP="00727A1B">
      <w:pPr>
        <w:jc w:val="center"/>
        <w:rPr>
          <w:b/>
          <w:sz w:val="24"/>
          <w:szCs w:val="24"/>
          <w:lang w:val="kk-KZ"/>
        </w:rPr>
      </w:pPr>
      <w:r w:rsidRPr="00727A1B">
        <w:rPr>
          <w:b/>
          <w:sz w:val="24"/>
          <w:szCs w:val="24"/>
          <w:lang w:val="kk-KZ"/>
        </w:rPr>
        <w:t>салыстырмалы кесте</w:t>
      </w:r>
    </w:p>
    <w:p w14:paraId="66666C47" w14:textId="77777777" w:rsidR="00727A1B" w:rsidRPr="00F17B9C" w:rsidRDefault="00727A1B" w:rsidP="00727A1B">
      <w:pPr>
        <w:jc w:val="center"/>
        <w:rPr>
          <w:szCs w:val="28"/>
          <w:lang w:val="kk-KZ"/>
        </w:rPr>
      </w:pPr>
    </w:p>
    <w:tbl>
      <w:tblPr>
        <w:tblW w:w="50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199"/>
        <w:gridCol w:w="1946"/>
        <w:gridCol w:w="4205"/>
        <w:gridCol w:w="4237"/>
        <w:gridCol w:w="2601"/>
      </w:tblGrid>
      <w:tr w:rsidR="009D50AD" w:rsidRPr="00A42FA4" w14:paraId="44FE668F" w14:textId="77777777" w:rsidTr="003E30A5">
        <w:trPr>
          <w:trHeight w:val="223"/>
          <w:jc w:val="center"/>
        </w:trPr>
        <w:tc>
          <w:tcPr>
            <w:tcW w:w="1199" w:type="dxa"/>
            <w:shd w:val="clear" w:color="auto" w:fill="auto"/>
          </w:tcPr>
          <w:p w14:paraId="7FF559F3" w14:textId="77777777" w:rsidR="009D50AD" w:rsidRPr="009D50AD" w:rsidRDefault="009D50AD" w:rsidP="009D50AD">
            <w:pPr>
              <w:pStyle w:val="a3"/>
              <w:jc w:val="center"/>
              <w:rPr>
                <w:rFonts w:ascii="Times New Roman" w:hAnsi="Times New Roman"/>
                <w:b/>
                <w:sz w:val="24"/>
                <w:szCs w:val="24"/>
              </w:rPr>
            </w:pPr>
            <w:r w:rsidRPr="009D50AD">
              <w:rPr>
                <w:rFonts w:ascii="Times New Roman" w:hAnsi="Times New Roman"/>
                <w:b/>
                <w:sz w:val="24"/>
                <w:szCs w:val="24"/>
                <w:lang w:val="kk-KZ"/>
              </w:rPr>
              <w:t xml:space="preserve">р/с </w:t>
            </w:r>
            <w:r w:rsidRPr="009D50AD">
              <w:rPr>
                <w:rFonts w:ascii="Times New Roman" w:hAnsi="Times New Roman"/>
                <w:b/>
                <w:sz w:val="24"/>
                <w:szCs w:val="24"/>
              </w:rPr>
              <w:t>№</w:t>
            </w:r>
          </w:p>
          <w:p w14:paraId="21600B36" w14:textId="6471E1EE" w:rsidR="009D50AD" w:rsidRPr="009D50AD" w:rsidRDefault="009D50AD" w:rsidP="009D50AD">
            <w:pPr>
              <w:pStyle w:val="a3"/>
              <w:jc w:val="center"/>
              <w:rPr>
                <w:rFonts w:ascii="Times New Roman" w:hAnsi="Times New Roman"/>
                <w:b/>
                <w:sz w:val="24"/>
                <w:szCs w:val="24"/>
                <w:lang w:val="kk-KZ"/>
              </w:rPr>
            </w:pPr>
          </w:p>
        </w:tc>
        <w:tc>
          <w:tcPr>
            <w:tcW w:w="1946" w:type="dxa"/>
            <w:shd w:val="clear" w:color="auto" w:fill="auto"/>
          </w:tcPr>
          <w:p w14:paraId="508BC16F" w14:textId="2395BDAD" w:rsidR="009D50AD" w:rsidRPr="009D50AD" w:rsidRDefault="009D50AD" w:rsidP="009D50AD">
            <w:pPr>
              <w:pStyle w:val="a3"/>
              <w:jc w:val="center"/>
              <w:rPr>
                <w:rFonts w:ascii="Times New Roman" w:hAnsi="Times New Roman"/>
                <w:b/>
                <w:sz w:val="24"/>
                <w:szCs w:val="24"/>
                <w:lang w:val="kk-KZ"/>
              </w:rPr>
            </w:pPr>
            <w:r w:rsidRPr="009D50AD">
              <w:rPr>
                <w:rFonts w:ascii="Times New Roman" w:hAnsi="Times New Roman"/>
                <w:b/>
                <w:sz w:val="24"/>
                <w:szCs w:val="24"/>
                <w:lang w:val="kk-KZ"/>
              </w:rPr>
              <w:t>Жобаның құрылымдық  элементі,</w:t>
            </w:r>
          </w:p>
          <w:p w14:paraId="1C889CB1" w14:textId="429A4C9F" w:rsidR="009D50AD" w:rsidRPr="009D50AD" w:rsidRDefault="009D50AD" w:rsidP="009D50AD">
            <w:pPr>
              <w:pStyle w:val="a3"/>
              <w:jc w:val="center"/>
              <w:rPr>
                <w:rFonts w:ascii="Times New Roman" w:hAnsi="Times New Roman"/>
                <w:b/>
                <w:sz w:val="24"/>
                <w:szCs w:val="24"/>
                <w:lang w:val="kk-KZ"/>
              </w:rPr>
            </w:pPr>
            <w:r w:rsidRPr="009D50AD">
              <w:rPr>
                <w:rFonts w:ascii="Times New Roman" w:hAnsi="Times New Roman"/>
                <w:b/>
                <w:sz w:val="24"/>
                <w:szCs w:val="24"/>
                <w:lang w:val="kk-KZ"/>
              </w:rPr>
              <w:t>оған өзгерістер</w:t>
            </w:r>
          </w:p>
          <w:p w14:paraId="7C9ACBF6" w14:textId="76B15AE3" w:rsidR="009D50AD" w:rsidRPr="009D50AD" w:rsidRDefault="009D50AD" w:rsidP="009D50AD">
            <w:pPr>
              <w:pStyle w:val="a3"/>
              <w:jc w:val="center"/>
              <w:rPr>
                <w:rFonts w:ascii="Times New Roman" w:hAnsi="Times New Roman"/>
                <w:b/>
                <w:sz w:val="24"/>
                <w:szCs w:val="24"/>
                <w:lang w:val="kk-KZ"/>
              </w:rPr>
            </w:pPr>
            <w:r w:rsidRPr="009D50AD">
              <w:rPr>
                <w:rFonts w:ascii="Times New Roman" w:hAnsi="Times New Roman"/>
                <w:b/>
                <w:sz w:val="24"/>
                <w:szCs w:val="24"/>
                <w:lang w:val="kk-KZ"/>
              </w:rPr>
              <w:t>енгізіледі</w:t>
            </w:r>
          </w:p>
        </w:tc>
        <w:tc>
          <w:tcPr>
            <w:tcW w:w="4205" w:type="dxa"/>
            <w:shd w:val="clear" w:color="auto" w:fill="auto"/>
          </w:tcPr>
          <w:p w14:paraId="2B92BF63" w14:textId="77777777" w:rsidR="009D50AD" w:rsidRPr="009D50AD" w:rsidRDefault="009D50AD" w:rsidP="009D50AD">
            <w:pPr>
              <w:pStyle w:val="a3"/>
              <w:jc w:val="center"/>
              <w:rPr>
                <w:rFonts w:ascii="Times New Roman" w:hAnsi="Times New Roman"/>
                <w:b/>
                <w:sz w:val="24"/>
                <w:szCs w:val="24"/>
                <w:lang w:val="kk-KZ"/>
              </w:rPr>
            </w:pPr>
          </w:p>
          <w:p w14:paraId="37C4F8BB" w14:textId="77777777" w:rsidR="009D50AD" w:rsidRPr="009D50AD" w:rsidRDefault="009D50AD" w:rsidP="009D50AD">
            <w:pPr>
              <w:pStyle w:val="a3"/>
              <w:jc w:val="center"/>
              <w:rPr>
                <w:rFonts w:ascii="Times New Roman" w:hAnsi="Times New Roman"/>
                <w:b/>
                <w:sz w:val="24"/>
                <w:szCs w:val="24"/>
                <w:lang w:val="kk-KZ"/>
              </w:rPr>
            </w:pPr>
            <w:r w:rsidRPr="009D50AD">
              <w:rPr>
                <w:rFonts w:ascii="Times New Roman" w:hAnsi="Times New Roman"/>
                <w:b/>
                <w:sz w:val="24"/>
                <w:szCs w:val="24"/>
                <w:lang w:val="kk-KZ"/>
              </w:rPr>
              <w:t xml:space="preserve">Жобаның құрылымдық </w:t>
            </w:r>
            <w:r w:rsidRPr="009D50AD">
              <w:rPr>
                <w:rFonts w:ascii="Times New Roman" w:hAnsi="Times New Roman"/>
                <w:b/>
                <w:sz w:val="24"/>
                <w:szCs w:val="24"/>
              </w:rPr>
              <w:t xml:space="preserve"> элемент</w:t>
            </w:r>
            <w:r w:rsidRPr="009D50AD">
              <w:rPr>
                <w:rFonts w:ascii="Times New Roman" w:hAnsi="Times New Roman"/>
                <w:b/>
                <w:sz w:val="24"/>
                <w:szCs w:val="24"/>
                <w:lang w:val="kk-KZ"/>
              </w:rPr>
              <w:t xml:space="preserve">інің қолданыстағы </w:t>
            </w:r>
            <w:r w:rsidRPr="009D50AD">
              <w:rPr>
                <w:rFonts w:ascii="Times New Roman" w:hAnsi="Times New Roman"/>
                <w:b/>
                <w:sz w:val="24"/>
                <w:szCs w:val="24"/>
              </w:rPr>
              <w:t xml:space="preserve"> редакция</w:t>
            </w:r>
            <w:r w:rsidRPr="009D50AD">
              <w:rPr>
                <w:rFonts w:ascii="Times New Roman" w:hAnsi="Times New Roman"/>
                <w:b/>
                <w:sz w:val="24"/>
                <w:szCs w:val="24"/>
                <w:lang w:val="kk-KZ"/>
              </w:rPr>
              <w:t>сы</w:t>
            </w:r>
          </w:p>
          <w:p w14:paraId="598FA928" w14:textId="70DEBA02" w:rsidR="009D50AD" w:rsidRPr="009D50AD" w:rsidRDefault="009D50AD" w:rsidP="009D50AD">
            <w:pPr>
              <w:pStyle w:val="a3"/>
              <w:jc w:val="center"/>
              <w:rPr>
                <w:rFonts w:ascii="Times New Roman" w:hAnsi="Times New Roman"/>
                <w:b/>
                <w:sz w:val="24"/>
                <w:szCs w:val="24"/>
                <w:lang w:val="kk-KZ"/>
              </w:rPr>
            </w:pPr>
          </w:p>
        </w:tc>
        <w:tc>
          <w:tcPr>
            <w:tcW w:w="4237" w:type="dxa"/>
            <w:tcBorders>
              <w:right w:val="single" w:sz="4" w:space="0" w:color="auto"/>
            </w:tcBorders>
            <w:shd w:val="clear" w:color="auto" w:fill="auto"/>
          </w:tcPr>
          <w:p w14:paraId="446C74AA" w14:textId="77777777" w:rsidR="009D50AD" w:rsidRPr="009D50AD" w:rsidRDefault="009D50AD" w:rsidP="009D50AD">
            <w:pPr>
              <w:pStyle w:val="a3"/>
              <w:jc w:val="center"/>
              <w:rPr>
                <w:rFonts w:ascii="Times New Roman" w:hAnsi="Times New Roman"/>
                <w:b/>
                <w:sz w:val="24"/>
                <w:szCs w:val="24"/>
                <w:lang w:val="kk-KZ"/>
              </w:rPr>
            </w:pPr>
          </w:p>
          <w:p w14:paraId="7759490E" w14:textId="347A4123" w:rsidR="009D50AD" w:rsidRPr="009D50AD" w:rsidRDefault="009D50AD" w:rsidP="009D50AD">
            <w:pPr>
              <w:pStyle w:val="a3"/>
              <w:jc w:val="center"/>
              <w:rPr>
                <w:rFonts w:ascii="Times New Roman" w:hAnsi="Times New Roman"/>
                <w:b/>
                <w:sz w:val="24"/>
                <w:szCs w:val="24"/>
                <w:lang w:val="kk-KZ"/>
              </w:rPr>
            </w:pPr>
            <w:r w:rsidRPr="009D50AD">
              <w:rPr>
                <w:rFonts w:ascii="Times New Roman" w:hAnsi="Times New Roman"/>
                <w:b/>
                <w:sz w:val="24"/>
                <w:szCs w:val="24"/>
                <w:lang w:val="kk-KZ"/>
              </w:rPr>
              <w:t>Жобаның құрылымдық  элементінің ұсынылған редакциясы</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39EB246" w14:textId="77777777" w:rsidR="009D50AD" w:rsidRPr="009D50AD" w:rsidRDefault="009D50AD" w:rsidP="009D50AD">
            <w:pPr>
              <w:pStyle w:val="a3"/>
              <w:jc w:val="center"/>
              <w:rPr>
                <w:rFonts w:ascii="Times New Roman" w:hAnsi="Times New Roman"/>
                <w:b/>
                <w:sz w:val="24"/>
                <w:szCs w:val="24"/>
                <w:lang w:val="kk-KZ"/>
              </w:rPr>
            </w:pPr>
          </w:p>
          <w:p w14:paraId="3754A302" w14:textId="5A2A089D" w:rsidR="009D50AD" w:rsidRPr="009D50AD" w:rsidRDefault="009D50AD" w:rsidP="009D50AD">
            <w:pPr>
              <w:pStyle w:val="a3"/>
              <w:jc w:val="center"/>
              <w:rPr>
                <w:rFonts w:ascii="Times New Roman" w:hAnsi="Times New Roman"/>
                <w:b/>
                <w:sz w:val="24"/>
                <w:szCs w:val="24"/>
                <w:lang w:val="kk-KZ"/>
              </w:rPr>
            </w:pPr>
            <w:r w:rsidRPr="009D50AD">
              <w:rPr>
                <w:rFonts w:ascii="Times New Roman" w:hAnsi="Times New Roman"/>
                <w:b/>
                <w:sz w:val="24"/>
                <w:szCs w:val="24"/>
                <w:lang w:val="kk-KZ"/>
              </w:rPr>
              <w:t>Негіздеме</w:t>
            </w:r>
            <w:r w:rsidRPr="009D50AD">
              <w:rPr>
                <w:rFonts w:ascii="Times New Roman" w:hAnsi="Times New Roman"/>
                <w:b/>
                <w:sz w:val="24"/>
                <w:szCs w:val="24"/>
              </w:rPr>
              <w:t xml:space="preserve">, </w:t>
            </w:r>
            <w:r w:rsidRPr="009D50AD">
              <w:rPr>
                <w:rFonts w:ascii="Times New Roman" w:hAnsi="Times New Roman"/>
                <w:b/>
                <w:sz w:val="24"/>
                <w:szCs w:val="24"/>
                <w:lang w:val="kk-KZ"/>
              </w:rPr>
              <w:t>түсініктеме</w:t>
            </w:r>
          </w:p>
        </w:tc>
      </w:tr>
      <w:tr w:rsidR="00BC2FE4" w:rsidRPr="00A42FA4" w14:paraId="720B5E37" w14:textId="77777777" w:rsidTr="00C944A6">
        <w:trPr>
          <w:trHeight w:val="223"/>
          <w:jc w:val="center"/>
        </w:trPr>
        <w:tc>
          <w:tcPr>
            <w:tcW w:w="1199" w:type="dxa"/>
            <w:shd w:val="clear" w:color="auto" w:fill="auto"/>
          </w:tcPr>
          <w:p w14:paraId="6EB145D3" w14:textId="77777777" w:rsidR="00BC2FE4" w:rsidRPr="00A42FA4" w:rsidRDefault="00BC2FE4" w:rsidP="00DB575D">
            <w:pPr>
              <w:pStyle w:val="a3"/>
              <w:jc w:val="center"/>
              <w:rPr>
                <w:rFonts w:ascii="Times New Roman" w:hAnsi="Times New Roman"/>
                <w:b/>
                <w:sz w:val="24"/>
                <w:szCs w:val="24"/>
                <w:lang w:val="kk-KZ"/>
              </w:rPr>
            </w:pPr>
            <w:r w:rsidRPr="00A42FA4">
              <w:rPr>
                <w:rFonts w:ascii="Times New Roman" w:hAnsi="Times New Roman"/>
                <w:b/>
                <w:sz w:val="24"/>
                <w:szCs w:val="24"/>
                <w:lang w:val="kk-KZ"/>
              </w:rPr>
              <w:t>1</w:t>
            </w:r>
          </w:p>
        </w:tc>
        <w:tc>
          <w:tcPr>
            <w:tcW w:w="1946" w:type="dxa"/>
            <w:shd w:val="clear" w:color="auto" w:fill="auto"/>
          </w:tcPr>
          <w:p w14:paraId="21D0B39A" w14:textId="77777777" w:rsidR="00BC2FE4" w:rsidRPr="00A42FA4" w:rsidRDefault="00BC2FE4" w:rsidP="00DB575D">
            <w:pPr>
              <w:pStyle w:val="a3"/>
              <w:jc w:val="center"/>
              <w:rPr>
                <w:rFonts w:ascii="Times New Roman" w:hAnsi="Times New Roman"/>
                <w:b/>
                <w:sz w:val="24"/>
                <w:szCs w:val="24"/>
                <w:lang w:val="kk-KZ"/>
              </w:rPr>
            </w:pPr>
            <w:r w:rsidRPr="00A42FA4">
              <w:rPr>
                <w:rFonts w:ascii="Times New Roman" w:hAnsi="Times New Roman"/>
                <w:b/>
                <w:sz w:val="24"/>
                <w:szCs w:val="24"/>
                <w:lang w:val="kk-KZ"/>
              </w:rPr>
              <w:t>2</w:t>
            </w:r>
          </w:p>
        </w:tc>
        <w:tc>
          <w:tcPr>
            <w:tcW w:w="4205" w:type="dxa"/>
            <w:shd w:val="clear" w:color="auto" w:fill="auto"/>
          </w:tcPr>
          <w:p w14:paraId="5E86EFD6" w14:textId="77777777" w:rsidR="00BC2FE4" w:rsidRPr="00A42FA4" w:rsidRDefault="00BC2FE4" w:rsidP="00DB575D">
            <w:pPr>
              <w:pStyle w:val="a3"/>
              <w:ind w:firstLine="395"/>
              <w:jc w:val="center"/>
              <w:rPr>
                <w:rFonts w:ascii="Times New Roman" w:hAnsi="Times New Roman"/>
                <w:b/>
                <w:sz w:val="24"/>
                <w:szCs w:val="24"/>
                <w:lang w:val="kk-KZ"/>
              </w:rPr>
            </w:pPr>
            <w:r w:rsidRPr="00A42FA4">
              <w:rPr>
                <w:rFonts w:ascii="Times New Roman" w:hAnsi="Times New Roman"/>
                <w:b/>
                <w:sz w:val="24"/>
                <w:szCs w:val="24"/>
                <w:lang w:val="kk-KZ"/>
              </w:rPr>
              <w:t>3</w:t>
            </w:r>
          </w:p>
        </w:tc>
        <w:tc>
          <w:tcPr>
            <w:tcW w:w="4237" w:type="dxa"/>
            <w:tcBorders>
              <w:right w:val="single" w:sz="4" w:space="0" w:color="auto"/>
            </w:tcBorders>
            <w:shd w:val="clear" w:color="auto" w:fill="auto"/>
          </w:tcPr>
          <w:p w14:paraId="79ABDD39" w14:textId="77777777" w:rsidR="00BC2FE4" w:rsidRPr="00A42FA4" w:rsidRDefault="00BC2FE4" w:rsidP="00DB575D">
            <w:pPr>
              <w:ind w:firstLine="267"/>
              <w:contextualSpacing/>
              <w:jc w:val="center"/>
              <w:rPr>
                <w:b/>
                <w:sz w:val="24"/>
                <w:szCs w:val="24"/>
                <w:lang w:val="kk-KZ"/>
              </w:rPr>
            </w:pPr>
            <w:r w:rsidRPr="00A42FA4">
              <w:rPr>
                <w:b/>
                <w:sz w:val="24"/>
                <w:szCs w:val="24"/>
                <w:lang w:val="kk-KZ"/>
              </w:rPr>
              <w:t>4</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5152D6E8" w14:textId="77777777" w:rsidR="00BC2FE4" w:rsidRPr="00A42FA4" w:rsidRDefault="00BC2FE4" w:rsidP="00DB575D">
            <w:pPr>
              <w:ind w:firstLine="301"/>
              <w:jc w:val="center"/>
              <w:rPr>
                <w:b/>
                <w:sz w:val="24"/>
                <w:szCs w:val="24"/>
                <w:lang w:val="kk-KZ"/>
              </w:rPr>
            </w:pPr>
            <w:r w:rsidRPr="00A42FA4">
              <w:rPr>
                <w:b/>
                <w:sz w:val="24"/>
                <w:szCs w:val="24"/>
                <w:lang w:val="kk-KZ"/>
              </w:rPr>
              <w:t>5</w:t>
            </w:r>
          </w:p>
        </w:tc>
      </w:tr>
      <w:tr w:rsidR="00B30D11" w:rsidRPr="00F17ACF" w14:paraId="149030DF" w14:textId="77777777" w:rsidTr="00C944A6">
        <w:trPr>
          <w:trHeight w:val="223"/>
          <w:jc w:val="center"/>
        </w:trPr>
        <w:tc>
          <w:tcPr>
            <w:tcW w:w="1199" w:type="dxa"/>
            <w:shd w:val="clear" w:color="auto" w:fill="auto"/>
          </w:tcPr>
          <w:p w14:paraId="419F2DD7" w14:textId="3AC690EC" w:rsidR="00B30D11" w:rsidRPr="00A42FA4" w:rsidRDefault="00B30D11" w:rsidP="00B30D11">
            <w:pPr>
              <w:pStyle w:val="a3"/>
              <w:jc w:val="both"/>
              <w:rPr>
                <w:rFonts w:ascii="Times New Roman" w:hAnsi="Times New Roman"/>
                <w:sz w:val="24"/>
                <w:szCs w:val="24"/>
                <w:lang w:val="kk-KZ"/>
              </w:rPr>
            </w:pPr>
            <w:r>
              <w:rPr>
                <w:rFonts w:ascii="Times New Roman" w:hAnsi="Times New Roman"/>
                <w:sz w:val="24"/>
                <w:szCs w:val="24"/>
                <w:lang w:val="kk-KZ"/>
              </w:rPr>
              <w:t>1.</w:t>
            </w:r>
          </w:p>
        </w:tc>
        <w:tc>
          <w:tcPr>
            <w:tcW w:w="1946" w:type="dxa"/>
            <w:shd w:val="clear" w:color="auto" w:fill="auto"/>
          </w:tcPr>
          <w:p w14:paraId="12AE669A" w14:textId="60C47D1A" w:rsidR="00B30D11" w:rsidRPr="00A42FA4" w:rsidRDefault="00B30D11" w:rsidP="00847BDC">
            <w:pPr>
              <w:pStyle w:val="a3"/>
              <w:ind w:right="-108"/>
              <w:rPr>
                <w:rFonts w:ascii="Times New Roman" w:hAnsi="Times New Roman"/>
                <w:sz w:val="24"/>
                <w:szCs w:val="24"/>
                <w:lang w:val="kk-KZ"/>
              </w:rPr>
            </w:pPr>
            <w:r>
              <w:rPr>
                <w:rFonts w:ascii="Times New Roman" w:hAnsi="Times New Roman"/>
                <w:sz w:val="24"/>
                <w:szCs w:val="24"/>
                <w:lang w:val="kk-KZ"/>
              </w:rPr>
              <w:t>1</w:t>
            </w:r>
            <w:r w:rsidRPr="00A42FA4">
              <w:rPr>
                <w:rFonts w:ascii="Times New Roman" w:hAnsi="Times New Roman"/>
                <w:sz w:val="24"/>
                <w:szCs w:val="24"/>
                <w:lang w:val="kk-KZ"/>
              </w:rPr>
              <w:t>-тармақ</w:t>
            </w:r>
          </w:p>
        </w:tc>
        <w:tc>
          <w:tcPr>
            <w:tcW w:w="4205" w:type="dxa"/>
            <w:shd w:val="clear" w:color="auto" w:fill="auto"/>
          </w:tcPr>
          <w:p w14:paraId="540104D3" w14:textId="77777777" w:rsidR="00847BDC" w:rsidRPr="00847BDC" w:rsidRDefault="00847BDC" w:rsidP="00847BDC">
            <w:pPr>
              <w:widowControl w:val="0"/>
              <w:tabs>
                <w:tab w:val="num" w:pos="1134"/>
              </w:tabs>
              <w:rPr>
                <w:sz w:val="24"/>
                <w:szCs w:val="24"/>
                <w:lang w:val="kk-KZ"/>
              </w:rPr>
            </w:pPr>
            <w:r w:rsidRPr="00847BDC">
              <w:rPr>
                <w:sz w:val="24"/>
                <w:szCs w:val="24"/>
                <w:lang w:val="kk-KZ"/>
              </w:rPr>
              <w:t>1. Валюталарды айырбастаудың нарықтық бағамы «Қазақстан қор биржасы» акционерлік қоғамы (бұдан әрі - биржа) шетел валюталарымен сауда-саттық жүргізетін жұмыс күндері, мынадай тәртіппен күнделікті айқындалады:</w:t>
            </w:r>
          </w:p>
          <w:p w14:paraId="46D9F84C" w14:textId="77777777" w:rsidR="00847BDC" w:rsidRPr="00847BDC" w:rsidRDefault="00847BDC" w:rsidP="00847BDC">
            <w:pPr>
              <w:widowControl w:val="0"/>
              <w:tabs>
                <w:tab w:val="num" w:pos="1134"/>
              </w:tabs>
              <w:rPr>
                <w:sz w:val="24"/>
                <w:szCs w:val="24"/>
                <w:lang w:val="kk-KZ"/>
              </w:rPr>
            </w:pPr>
            <w:r w:rsidRPr="00847BDC">
              <w:rPr>
                <w:sz w:val="24"/>
                <w:szCs w:val="24"/>
                <w:lang w:val="kk-KZ"/>
              </w:rPr>
              <w:t>1) АҚШ доллары бойынша валюта айырбастаудың нарықтық бағамы теңгенің АҚШ долларына қатысты Нұр-Сұлтан қаласының уақытымен сағат 15-30-дағы жағдай бойынша қалыптасқан орташа алынған биржалық бағамы ретінде айқындалады;</w:t>
            </w:r>
          </w:p>
          <w:p w14:paraId="33174C3C" w14:textId="77777777" w:rsidR="00847BDC" w:rsidRPr="00847BDC" w:rsidRDefault="00847BDC" w:rsidP="00847BDC">
            <w:pPr>
              <w:widowControl w:val="0"/>
              <w:tabs>
                <w:tab w:val="num" w:pos="1134"/>
              </w:tabs>
              <w:rPr>
                <w:sz w:val="24"/>
                <w:szCs w:val="24"/>
                <w:lang w:val="kk-KZ"/>
              </w:rPr>
            </w:pPr>
          </w:p>
          <w:p w14:paraId="1FD45E5C" w14:textId="77777777" w:rsidR="00847BDC" w:rsidRPr="00847BDC" w:rsidRDefault="00847BDC" w:rsidP="00847BDC">
            <w:pPr>
              <w:widowControl w:val="0"/>
              <w:tabs>
                <w:tab w:val="num" w:pos="1134"/>
              </w:tabs>
              <w:rPr>
                <w:sz w:val="24"/>
                <w:szCs w:val="24"/>
                <w:lang w:val="kk-KZ"/>
              </w:rPr>
            </w:pPr>
            <w:r w:rsidRPr="00847BDC">
              <w:rPr>
                <w:sz w:val="24"/>
                <w:szCs w:val="24"/>
                <w:lang w:val="kk-KZ"/>
              </w:rPr>
              <w:t xml:space="preserve">2) басқа шетел валюталары бойынша валюталарды айырбастаудың теңгеге қатысты нарықтық бағамы АҚШ долларының теңгеге қатысты нарықтық бағамын және осы </w:t>
            </w:r>
            <w:r w:rsidRPr="00847BDC">
              <w:rPr>
                <w:sz w:val="24"/>
                <w:szCs w:val="24"/>
                <w:lang w:val="kk-KZ"/>
              </w:rPr>
              <w:lastRenderedPageBreak/>
              <w:t>валюталардың ақпараттық агенттіктердің арналары бойынша алынған сұраныстың баға белгіленімдеріне сәйкес Нұр-Сұлтан қаласының уақытымен сағат 16-00-дегі жағдай бойынша қалыптасқан АҚШ долларына бағамдарын пайдалана отырып есептелген кросс-бағам ретінде айқындалады.</w:t>
            </w:r>
          </w:p>
          <w:p w14:paraId="4C8235E8" w14:textId="77777777" w:rsidR="00847BDC" w:rsidRPr="00847BDC" w:rsidRDefault="00847BDC" w:rsidP="00847BDC">
            <w:pPr>
              <w:widowControl w:val="0"/>
              <w:tabs>
                <w:tab w:val="num" w:pos="1134"/>
              </w:tabs>
              <w:rPr>
                <w:sz w:val="24"/>
                <w:szCs w:val="24"/>
                <w:lang w:val="kk-KZ"/>
              </w:rPr>
            </w:pPr>
            <w:r w:rsidRPr="00847BDC">
              <w:rPr>
                <w:sz w:val="24"/>
                <w:szCs w:val="24"/>
                <w:lang w:val="kk-KZ"/>
              </w:rPr>
              <w:t xml:space="preserve">Қазақстан Республикасының Ұлттық Банкі биржада сауда-саттық жүргізілген күні осы тармақта белгіленген тәртіппен айқындалған, Нормативтік құқықтық актілерді мемлекеттік тіркеу тізілімінде № 7977 тіркелген Қазақстан Республикасының Ұлттық Банкі Басқармасының «Қазақстан Республикасы ұлттық валютасының шетел валюталарына қатысты ресми бағамын белгілеу қағидаларын бекіту туралы» 2012 жылғы 24 тамыздағы № 242 қаулысына (бұдан әрі - Ресми бағамдар жөніндегі қаулы) қосымшада көрсетілген шетел валюталарының теңгеге қатысты бағамдарын белгілейді </w:t>
            </w:r>
            <w:r w:rsidRPr="00847BDC">
              <w:rPr>
                <w:b/>
                <w:strike/>
                <w:sz w:val="24"/>
                <w:szCs w:val="24"/>
                <w:lang w:val="kk-KZ"/>
              </w:rPr>
              <w:t>және екінші деңгейдегі банктерге және басқа мүдделі тұлғаларға деректерді ресми байланыс арналары (электрондық почта, факс және VIDO бағдарламалық қамтамасыз етуі) арқылы жіберу жолымен хабардар етеді</w:t>
            </w:r>
            <w:r w:rsidRPr="00847BDC">
              <w:rPr>
                <w:sz w:val="24"/>
                <w:szCs w:val="24"/>
                <w:lang w:val="kk-KZ"/>
              </w:rPr>
              <w:t>.</w:t>
            </w:r>
          </w:p>
          <w:p w14:paraId="47A2DF16" w14:textId="4863B6C9" w:rsidR="00B30D11" w:rsidRPr="00C944A6" w:rsidRDefault="00847BDC" w:rsidP="00847BDC">
            <w:pPr>
              <w:widowControl w:val="0"/>
              <w:tabs>
                <w:tab w:val="num" w:pos="1134"/>
              </w:tabs>
              <w:rPr>
                <w:sz w:val="24"/>
                <w:szCs w:val="24"/>
                <w:lang w:val="kk-KZ"/>
              </w:rPr>
            </w:pPr>
            <w:r w:rsidRPr="00847BDC">
              <w:rPr>
                <w:sz w:val="24"/>
                <w:szCs w:val="24"/>
                <w:lang w:val="kk-KZ"/>
              </w:rPr>
              <w:lastRenderedPageBreak/>
              <w:t>Ресми бағамдар жөніндегі қаулыға қосымшада көрсетілмеген айырбасталатын валюталардың нарықтық бағамдарын ұйымдар осы тармақта белгіленген тәртіппен дербес айқындайды. АҚШ долларының теңгеге қатысты нарықтық бағамы белгіленген күні Financial Times газетінде немесе оның интернет-ресурсында, сондай-ақ Bloomberg немесе Reuters ақпараттық порталдарында жарияланған шетел валютасының АҚШ долларына бағамын пайдалануға болады.</w:t>
            </w:r>
          </w:p>
        </w:tc>
        <w:tc>
          <w:tcPr>
            <w:tcW w:w="4237" w:type="dxa"/>
            <w:tcBorders>
              <w:right w:val="single" w:sz="4" w:space="0" w:color="auto"/>
            </w:tcBorders>
            <w:shd w:val="clear" w:color="auto" w:fill="auto"/>
          </w:tcPr>
          <w:p w14:paraId="2DA153FD" w14:textId="77777777" w:rsidR="00847BDC" w:rsidRPr="00847BDC" w:rsidRDefault="00847BDC" w:rsidP="00847BDC">
            <w:pPr>
              <w:widowControl w:val="0"/>
              <w:tabs>
                <w:tab w:val="num" w:pos="1134"/>
              </w:tabs>
              <w:rPr>
                <w:sz w:val="24"/>
                <w:szCs w:val="24"/>
                <w:lang w:val="kk-KZ"/>
              </w:rPr>
            </w:pPr>
            <w:r w:rsidRPr="00847BDC">
              <w:rPr>
                <w:sz w:val="24"/>
                <w:szCs w:val="24"/>
                <w:lang w:val="kk-KZ"/>
              </w:rPr>
              <w:lastRenderedPageBreak/>
              <w:t>1. Валюталарды айырбастаудың нарықтық бағамы «Қазақстан қор биржасы» акционерлік қоғамы (бұдан әрі – биржа) шетел валюталарымен сауда-саттық жүргізетін жұмыс күндері, мынадай тәртіппен күнделікті айқындалады:</w:t>
            </w:r>
          </w:p>
          <w:p w14:paraId="211FE79B" w14:textId="77777777" w:rsidR="00847BDC" w:rsidRPr="00847BDC" w:rsidRDefault="00847BDC" w:rsidP="00847BDC">
            <w:pPr>
              <w:widowControl w:val="0"/>
              <w:tabs>
                <w:tab w:val="num" w:pos="1134"/>
              </w:tabs>
              <w:rPr>
                <w:sz w:val="24"/>
                <w:szCs w:val="24"/>
                <w:lang w:val="kk-KZ"/>
              </w:rPr>
            </w:pPr>
            <w:r w:rsidRPr="00847BDC">
              <w:rPr>
                <w:sz w:val="24"/>
                <w:szCs w:val="24"/>
                <w:lang w:val="kk-KZ"/>
              </w:rPr>
              <w:t xml:space="preserve">1) Америка Құрама Штаттары </w:t>
            </w:r>
            <w:r w:rsidRPr="00847BDC">
              <w:rPr>
                <w:b/>
                <w:sz w:val="24"/>
                <w:szCs w:val="24"/>
                <w:lang w:val="kk-KZ"/>
              </w:rPr>
              <w:t>(бұдан әрі – АҚШ)</w:t>
            </w:r>
            <w:r w:rsidRPr="00847BDC">
              <w:rPr>
                <w:sz w:val="24"/>
                <w:szCs w:val="24"/>
                <w:lang w:val="kk-KZ"/>
              </w:rPr>
              <w:t xml:space="preserve"> доллары бойынша валюта айырбастаудың нарықтық бағамы теңгенің АҚШ долларына қатысты Нұр-Сұлтан қаласының уақытымен сағат 15-30-дағы жағдай бойынша қалыптасқан орташа алынған биржалық бағамы ретінде айқындалады;</w:t>
            </w:r>
          </w:p>
          <w:p w14:paraId="6004DEDA" w14:textId="77777777" w:rsidR="00847BDC" w:rsidRPr="00847BDC" w:rsidRDefault="00847BDC" w:rsidP="00847BDC">
            <w:pPr>
              <w:widowControl w:val="0"/>
              <w:tabs>
                <w:tab w:val="num" w:pos="1134"/>
              </w:tabs>
              <w:rPr>
                <w:sz w:val="24"/>
                <w:szCs w:val="24"/>
                <w:lang w:val="kk-KZ"/>
              </w:rPr>
            </w:pPr>
            <w:r w:rsidRPr="00847BDC">
              <w:rPr>
                <w:sz w:val="24"/>
                <w:szCs w:val="24"/>
                <w:lang w:val="kk-KZ"/>
              </w:rPr>
              <w:t xml:space="preserve">2) басқа шетел валюталары бойынша валюталарды айырбастаудың теңгеге қатысты нарықтық бағамы АҚШ долларының теңгеге қатысты нарықтық бағамын және осы </w:t>
            </w:r>
            <w:r w:rsidRPr="00847BDC">
              <w:rPr>
                <w:sz w:val="24"/>
                <w:szCs w:val="24"/>
                <w:lang w:val="kk-KZ"/>
              </w:rPr>
              <w:lastRenderedPageBreak/>
              <w:t>валюталардың ақпараттық агенттіктердің арналары бойынша алынған сұраныстың баға белгіленімдеріне сәйкес Нұр-Сұлтан қаласының уақытымен сағат 16-00-дегі жағдай бойынша қалыптасқан АҚШ долларына бағамдарын пайдалана отырып есептелген кросс-бағам ретінде айқындалады.</w:t>
            </w:r>
          </w:p>
          <w:p w14:paraId="5CEDA8D5" w14:textId="5C19379D" w:rsidR="00847BDC" w:rsidRPr="00847BDC" w:rsidRDefault="00847BDC" w:rsidP="00847BDC">
            <w:pPr>
              <w:widowControl w:val="0"/>
              <w:tabs>
                <w:tab w:val="num" w:pos="1134"/>
              </w:tabs>
              <w:rPr>
                <w:sz w:val="24"/>
                <w:szCs w:val="24"/>
                <w:lang w:val="kk-KZ"/>
              </w:rPr>
            </w:pPr>
            <w:r w:rsidRPr="00847BDC">
              <w:rPr>
                <w:sz w:val="24"/>
                <w:szCs w:val="24"/>
                <w:lang w:val="kk-KZ"/>
              </w:rPr>
              <w:t>Қазақстан Республикасының Ұлттық Банкі биржада сауда-саттық жүргізілген күні осы тармақта белгіленген тәртіппен айқындалған, Нормативтік құқықтық актілерді мемлекеттік тіркеу тізілімінде № 7977 болып тіркелген «Қазақстан Республикасы ұлттық валютасының шетел валюталарына қатысты ресми бағамын белгілеу қағидаларын бекіту туралы» Қазақстан Республикасының Ұлттық Банкі Басқарма</w:t>
            </w:r>
            <w:r>
              <w:rPr>
                <w:sz w:val="24"/>
                <w:szCs w:val="24"/>
                <w:lang w:val="kk-KZ"/>
              </w:rPr>
              <w:t xml:space="preserve">сының 2012 жылғы 24 тамыздағы </w:t>
            </w:r>
            <w:r w:rsidRPr="00847BDC">
              <w:rPr>
                <w:sz w:val="24"/>
                <w:szCs w:val="24"/>
                <w:lang w:val="kk-KZ"/>
              </w:rPr>
              <w:t>№ 242 қаулысына (бұдан әрі – Ресми бағамдар жөніндегі қаулы) қосымшада көрсетілген шетел валюталарының теңгеге қатысты бағамдарын белгілейді.</w:t>
            </w:r>
          </w:p>
          <w:p w14:paraId="5462AE2B" w14:textId="77777777" w:rsidR="00847BDC" w:rsidRDefault="00847BDC" w:rsidP="00847BDC">
            <w:pPr>
              <w:widowControl w:val="0"/>
              <w:tabs>
                <w:tab w:val="num" w:pos="1134"/>
              </w:tabs>
              <w:rPr>
                <w:sz w:val="24"/>
                <w:szCs w:val="24"/>
                <w:lang w:val="kk-KZ"/>
              </w:rPr>
            </w:pPr>
          </w:p>
          <w:p w14:paraId="3ADA6D0F" w14:textId="77777777" w:rsidR="00847BDC" w:rsidRDefault="00847BDC" w:rsidP="00847BDC">
            <w:pPr>
              <w:widowControl w:val="0"/>
              <w:tabs>
                <w:tab w:val="num" w:pos="1134"/>
              </w:tabs>
              <w:rPr>
                <w:sz w:val="24"/>
                <w:szCs w:val="24"/>
                <w:lang w:val="kk-KZ"/>
              </w:rPr>
            </w:pPr>
          </w:p>
          <w:p w14:paraId="77905A92" w14:textId="77777777" w:rsidR="00847BDC" w:rsidRDefault="00847BDC" w:rsidP="00847BDC">
            <w:pPr>
              <w:widowControl w:val="0"/>
              <w:tabs>
                <w:tab w:val="num" w:pos="1134"/>
              </w:tabs>
              <w:rPr>
                <w:sz w:val="24"/>
                <w:szCs w:val="24"/>
                <w:lang w:val="kk-KZ"/>
              </w:rPr>
            </w:pPr>
          </w:p>
          <w:p w14:paraId="3AEB1A8D" w14:textId="77777777" w:rsidR="00847BDC" w:rsidRDefault="00847BDC" w:rsidP="00847BDC">
            <w:pPr>
              <w:widowControl w:val="0"/>
              <w:tabs>
                <w:tab w:val="num" w:pos="1134"/>
              </w:tabs>
              <w:rPr>
                <w:sz w:val="24"/>
                <w:szCs w:val="24"/>
                <w:lang w:val="kk-KZ"/>
              </w:rPr>
            </w:pPr>
          </w:p>
          <w:p w14:paraId="399E7113" w14:textId="77777777" w:rsidR="00847BDC" w:rsidRDefault="00847BDC" w:rsidP="00847BDC">
            <w:pPr>
              <w:widowControl w:val="0"/>
              <w:tabs>
                <w:tab w:val="num" w:pos="1134"/>
              </w:tabs>
              <w:rPr>
                <w:sz w:val="24"/>
                <w:szCs w:val="24"/>
                <w:lang w:val="kk-KZ"/>
              </w:rPr>
            </w:pPr>
          </w:p>
          <w:p w14:paraId="4A72E9D1" w14:textId="77777777" w:rsidR="00847BDC" w:rsidRDefault="00847BDC" w:rsidP="00847BDC">
            <w:pPr>
              <w:widowControl w:val="0"/>
              <w:tabs>
                <w:tab w:val="num" w:pos="1134"/>
              </w:tabs>
              <w:rPr>
                <w:sz w:val="24"/>
                <w:szCs w:val="24"/>
                <w:lang w:val="kk-KZ"/>
              </w:rPr>
            </w:pPr>
          </w:p>
          <w:p w14:paraId="287CD065" w14:textId="77777777" w:rsidR="00847BDC" w:rsidRDefault="00847BDC" w:rsidP="00847BDC">
            <w:pPr>
              <w:widowControl w:val="0"/>
              <w:tabs>
                <w:tab w:val="num" w:pos="1134"/>
              </w:tabs>
              <w:rPr>
                <w:sz w:val="24"/>
                <w:szCs w:val="24"/>
                <w:lang w:val="kk-KZ"/>
              </w:rPr>
            </w:pPr>
          </w:p>
          <w:p w14:paraId="3A90D719" w14:textId="77777777" w:rsidR="00847BDC" w:rsidRDefault="00847BDC" w:rsidP="00847BDC">
            <w:pPr>
              <w:widowControl w:val="0"/>
              <w:tabs>
                <w:tab w:val="num" w:pos="1134"/>
              </w:tabs>
              <w:rPr>
                <w:sz w:val="24"/>
                <w:szCs w:val="24"/>
                <w:lang w:val="kk-KZ"/>
              </w:rPr>
            </w:pPr>
          </w:p>
          <w:p w14:paraId="4E553139" w14:textId="2A5CE256" w:rsidR="00B30D11" w:rsidRPr="00D17ECA" w:rsidRDefault="00847BDC" w:rsidP="00847BDC">
            <w:pPr>
              <w:widowControl w:val="0"/>
              <w:tabs>
                <w:tab w:val="num" w:pos="1134"/>
              </w:tabs>
              <w:rPr>
                <w:sz w:val="24"/>
                <w:szCs w:val="24"/>
                <w:lang w:val="kk-KZ"/>
              </w:rPr>
            </w:pPr>
            <w:r w:rsidRPr="00847BDC">
              <w:rPr>
                <w:sz w:val="24"/>
                <w:szCs w:val="24"/>
                <w:lang w:val="kk-KZ"/>
              </w:rPr>
              <w:lastRenderedPageBreak/>
              <w:t xml:space="preserve">Ресми бағамдар жөніндегі қаулыға қосымшада көрсетілмеген айырбасталатын валюталардың нарықтық бағамдарын ұйымдар осы тармақта белгіленген тәртіппен дербес айқындайды. АҚШ долларының теңгеге қатысты нарықтық бағамы белгіленген күні </w:t>
            </w:r>
            <w:r w:rsidRPr="00847BDC">
              <w:rPr>
                <w:b/>
                <w:sz w:val="24"/>
                <w:szCs w:val="24"/>
                <w:lang w:val="kk-KZ"/>
              </w:rPr>
              <w:t>Файнэншл Таймс (Financial Times)</w:t>
            </w:r>
            <w:r w:rsidRPr="00847BDC">
              <w:rPr>
                <w:sz w:val="24"/>
                <w:szCs w:val="24"/>
                <w:lang w:val="kk-KZ"/>
              </w:rPr>
              <w:t xml:space="preserve"> газетінде немесе оның интернет-ресурсында, сондай-ақ </w:t>
            </w:r>
            <w:r w:rsidRPr="00847BDC">
              <w:rPr>
                <w:b/>
                <w:sz w:val="24"/>
                <w:szCs w:val="24"/>
                <w:lang w:val="kk-KZ"/>
              </w:rPr>
              <w:t>Блумберг (Bloomberg)</w:t>
            </w:r>
            <w:r w:rsidRPr="00847BDC">
              <w:rPr>
                <w:sz w:val="24"/>
                <w:szCs w:val="24"/>
                <w:lang w:val="kk-KZ"/>
              </w:rPr>
              <w:t xml:space="preserve"> не </w:t>
            </w:r>
            <w:r w:rsidRPr="00847BDC">
              <w:rPr>
                <w:b/>
                <w:sz w:val="24"/>
                <w:szCs w:val="24"/>
                <w:lang w:val="kk-KZ"/>
              </w:rPr>
              <w:t>РЕЙТЕР (Reuters)</w:t>
            </w:r>
            <w:r w:rsidRPr="00847BDC">
              <w:rPr>
                <w:sz w:val="24"/>
                <w:szCs w:val="24"/>
                <w:lang w:val="kk-KZ"/>
              </w:rPr>
              <w:t xml:space="preserve"> ақпараттық порталдарында жарияланған шетел валютасының АҚШ долларына бағамын пайдалануға болады.</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65A18F07" w14:textId="77777777" w:rsidR="00F17ACF" w:rsidRPr="00F17ACF" w:rsidRDefault="00F17ACF" w:rsidP="00F17ACF">
            <w:pPr>
              <w:rPr>
                <w:sz w:val="24"/>
                <w:szCs w:val="24"/>
                <w:lang w:val="kk-KZ"/>
              </w:rPr>
            </w:pPr>
            <w:r w:rsidRPr="00F17ACF">
              <w:rPr>
                <w:sz w:val="24"/>
                <w:szCs w:val="24"/>
                <w:lang w:val="kk-KZ"/>
              </w:rPr>
              <w:lastRenderedPageBreak/>
              <w:t>Нақтылау өңдеу.</w:t>
            </w:r>
          </w:p>
          <w:p w14:paraId="01F8EDEB" w14:textId="77777777" w:rsidR="00F17ACF" w:rsidRPr="00F17ACF" w:rsidRDefault="00F17ACF" w:rsidP="00F17ACF">
            <w:pPr>
              <w:rPr>
                <w:sz w:val="24"/>
                <w:szCs w:val="24"/>
                <w:lang w:val="kk-KZ"/>
              </w:rPr>
            </w:pPr>
          </w:p>
          <w:p w14:paraId="45CBF2D7" w14:textId="209DEEFA" w:rsidR="00F17ACF" w:rsidRPr="00F17ACF" w:rsidRDefault="00F17ACF" w:rsidP="00F17ACF">
            <w:pPr>
              <w:rPr>
                <w:sz w:val="24"/>
                <w:szCs w:val="24"/>
                <w:lang w:val="kk-KZ"/>
              </w:rPr>
            </w:pPr>
            <w:r w:rsidRPr="00F17ACF">
              <w:rPr>
                <w:sz w:val="24"/>
                <w:szCs w:val="24"/>
                <w:lang w:val="kk-KZ"/>
              </w:rPr>
              <w:t>Қ</w:t>
            </w:r>
            <w:r>
              <w:rPr>
                <w:sz w:val="24"/>
                <w:szCs w:val="24"/>
                <w:lang w:val="kk-KZ"/>
              </w:rPr>
              <w:t>НС</w:t>
            </w:r>
            <w:r w:rsidRPr="00F17ACF">
              <w:rPr>
                <w:sz w:val="24"/>
                <w:szCs w:val="24"/>
                <w:lang w:val="kk-KZ"/>
              </w:rPr>
              <w:t xml:space="preserve">Д ұсынысы: </w:t>
            </w:r>
          </w:p>
          <w:p w14:paraId="3C2FEADD" w14:textId="7BCB76CE" w:rsidR="00F17ACF" w:rsidRPr="00F17ACF" w:rsidRDefault="00F17ACF" w:rsidP="00F17ACF">
            <w:pPr>
              <w:rPr>
                <w:sz w:val="24"/>
                <w:szCs w:val="24"/>
                <w:lang w:val="kk-KZ"/>
              </w:rPr>
            </w:pPr>
            <w:r w:rsidRPr="00F17ACF">
              <w:rPr>
                <w:sz w:val="24"/>
                <w:szCs w:val="24"/>
                <w:lang w:val="kk-KZ"/>
              </w:rPr>
              <w:t xml:space="preserve">Мүдделі тұлғаларды ақпараттандыру және валюталардың ресми бағамдары туралы ақпаратты тарату жөніндегі норманы алып тастау ұсынылады, өйткені бұл ҚРҰБ Басқармасының «Қазақстан Республикасы ұлттық валютасының шетел валюталарына қатысты ресми бағамын белгілеу қағидаларын бекіту туралы» 2012 жылғы 24 тамыздағы </w:t>
            </w:r>
            <w:r w:rsidRPr="00F17ACF">
              <w:rPr>
                <w:sz w:val="24"/>
                <w:szCs w:val="24"/>
                <w:lang w:val="kk-KZ"/>
              </w:rPr>
              <w:lastRenderedPageBreak/>
              <w:t>№ 242 қаулысының 10-тармағымен регламенттелген.</w:t>
            </w:r>
          </w:p>
          <w:p w14:paraId="1551F914" w14:textId="77777777" w:rsidR="00F17ACF" w:rsidRPr="00F17ACF" w:rsidRDefault="00F17ACF" w:rsidP="00F17ACF">
            <w:pPr>
              <w:rPr>
                <w:sz w:val="24"/>
                <w:szCs w:val="24"/>
                <w:lang w:val="kk-KZ"/>
              </w:rPr>
            </w:pPr>
          </w:p>
          <w:p w14:paraId="354E3691" w14:textId="04CD311D" w:rsidR="00B30D11" w:rsidRPr="00A42FA4" w:rsidRDefault="00F17ACF" w:rsidP="00F17ACF">
            <w:pPr>
              <w:rPr>
                <w:sz w:val="24"/>
                <w:szCs w:val="24"/>
                <w:lang w:val="kk-KZ"/>
              </w:rPr>
            </w:pPr>
            <w:r w:rsidRPr="00F17ACF">
              <w:rPr>
                <w:sz w:val="24"/>
                <w:szCs w:val="24"/>
                <w:lang w:val="kk-KZ"/>
              </w:rPr>
              <w:t>Нақтылау өңдеу.</w:t>
            </w:r>
          </w:p>
        </w:tc>
      </w:tr>
      <w:tr w:rsidR="00F17ACF" w:rsidRPr="00F17ACF" w14:paraId="782776F6" w14:textId="77777777" w:rsidTr="00C944A6">
        <w:trPr>
          <w:trHeight w:val="223"/>
          <w:jc w:val="center"/>
        </w:trPr>
        <w:tc>
          <w:tcPr>
            <w:tcW w:w="1199" w:type="dxa"/>
            <w:shd w:val="clear" w:color="auto" w:fill="auto"/>
          </w:tcPr>
          <w:p w14:paraId="392A5F50" w14:textId="5B685D7D" w:rsidR="00F17ACF" w:rsidRPr="00A42FA4" w:rsidRDefault="00F17ACF" w:rsidP="00F17ACF">
            <w:pPr>
              <w:pStyle w:val="a3"/>
              <w:jc w:val="both"/>
              <w:rPr>
                <w:rFonts w:ascii="Times New Roman" w:hAnsi="Times New Roman"/>
                <w:sz w:val="24"/>
                <w:szCs w:val="24"/>
                <w:lang w:val="kk-KZ"/>
              </w:rPr>
            </w:pPr>
            <w:r>
              <w:rPr>
                <w:rFonts w:ascii="Times New Roman" w:hAnsi="Times New Roman"/>
                <w:sz w:val="24"/>
                <w:szCs w:val="24"/>
                <w:lang w:val="kk-KZ"/>
              </w:rPr>
              <w:lastRenderedPageBreak/>
              <w:t>2</w:t>
            </w:r>
            <w:r w:rsidRPr="00A42FA4">
              <w:rPr>
                <w:rFonts w:ascii="Times New Roman" w:hAnsi="Times New Roman"/>
                <w:sz w:val="24"/>
                <w:szCs w:val="24"/>
                <w:lang w:val="kk-KZ"/>
              </w:rPr>
              <w:t>.</w:t>
            </w:r>
          </w:p>
        </w:tc>
        <w:tc>
          <w:tcPr>
            <w:tcW w:w="1946" w:type="dxa"/>
            <w:shd w:val="clear" w:color="auto" w:fill="auto"/>
          </w:tcPr>
          <w:p w14:paraId="2E49C5A0" w14:textId="1EEBD172" w:rsidR="00F17ACF" w:rsidRPr="00A42FA4" w:rsidRDefault="00F17ACF" w:rsidP="00F17ACF">
            <w:pPr>
              <w:pStyle w:val="a3"/>
              <w:ind w:right="-108"/>
              <w:rPr>
                <w:rFonts w:ascii="Times New Roman" w:hAnsi="Times New Roman"/>
                <w:sz w:val="24"/>
                <w:szCs w:val="24"/>
                <w:lang w:val="kk-KZ"/>
              </w:rPr>
            </w:pPr>
            <w:r>
              <w:rPr>
                <w:rFonts w:ascii="Times New Roman" w:hAnsi="Times New Roman"/>
                <w:sz w:val="24"/>
                <w:szCs w:val="24"/>
                <w:lang w:val="kk-KZ"/>
              </w:rPr>
              <w:t>3-</w:t>
            </w:r>
            <w:r w:rsidRPr="00474861">
              <w:rPr>
                <w:rFonts w:ascii="Times New Roman" w:hAnsi="Times New Roman"/>
                <w:sz w:val="24"/>
                <w:szCs w:val="24"/>
                <w:lang w:val="kk-KZ"/>
              </w:rPr>
              <w:t>тармақ</w:t>
            </w:r>
          </w:p>
        </w:tc>
        <w:tc>
          <w:tcPr>
            <w:tcW w:w="4205" w:type="dxa"/>
            <w:shd w:val="clear" w:color="auto" w:fill="auto"/>
          </w:tcPr>
          <w:p w14:paraId="3627BEB1" w14:textId="77777777" w:rsidR="00F17ACF" w:rsidRPr="00D17ECA" w:rsidRDefault="00F17ACF" w:rsidP="00F17ACF">
            <w:pPr>
              <w:pStyle w:val="a3"/>
              <w:jc w:val="both"/>
              <w:rPr>
                <w:rFonts w:ascii="Times New Roman" w:hAnsi="Times New Roman"/>
                <w:sz w:val="24"/>
                <w:szCs w:val="24"/>
                <w:lang w:val="kk-KZ"/>
              </w:rPr>
            </w:pPr>
            <w:r w:rsidRPr="00D17ECA">
              <w:rPr>
                <w:rFonts w:ascii="Times New Roman" w:hAnsi="Times New Roman"/>
                <w:sz w:val="24"/>
                <w:szCs w:val="24"/>
                <w:lang w:val="kk-KZ"/>
              </w:rPr>
              <w:t xml:space="preserve">3. Қаржы ұйымдары (қызметінің ерекше түрі шетел валютасымен айырбастау операцияларын ұйымдастыру болып табылатын заңды тұлғаларды қоспағанда), «Қазақстан Даму Банкі» акционерлік қоғамы, акционерлік инвестициялық қорлар, арнайы қаржы компаниялары, исламдық арнайы қаржы компаниялары, сондай-ақ Қазақстан Республикасының Ұлттық Банкі және акцияларының елу және одан да көп пайызы (жарғылық капиталдағы қатысу үлестері) немесе акцияларының бақылау пакеті Қазақстан Республикасының Ұлттық Банкіне тиесілі заңды тұлғалар </w:t>
            </w:r>
            <w:r w:rsidRPr="00023EB6">
              <w:rPr>
                <w:rFonts w:ascii="Times New Roman" w:hAnsi="Times New Roman"/>
                <w:b/>
                <w:strike/>
                <w:sz w:val="24"/>
                <w:szCs w:val="24"/>
                <w:lang w:val="kk-KZ"/>
              </w:rPr>
              <w:t>қаржылық есептілікті қалыптастыру</w:t>
            </w:r>
            <w:r w:rsidRPr="00D17ECA">
              <w:rPr>
                <w:rFonts w:ascii="Times New Roman" w:hAnsi="Times New Roman"/>
                <w:sz w:val="24"/>
                <w:szCs w:val="24"/>
                <w:lang w:val="kk-KZ"/>
              </w:rPr>
              <w:t xml:space="preserve"> мақсатында </w:t>
            </w:r>
            <w:r w:rsidRPr="00D17ECA">
              <w:rPr>
                <w:rFonts w:ascii="Times New Roman" w:hAnsi="Times New Roman"/>
                <w:sz w:val="24"/>
                <w:szCs w:val="24"/>
                <w:lang w:val="kk-KZ"/>
              </w:rPr>
              <w:lastRenderedPageBreak/>
              <w:t>халықаралық қаржылық есептілік стандарттарына сәйкес қайта саналуы тиіс активтер мен міндеттемелерді қайта санауды биржада сауда-саттық жүргізілген күннің соңында осы бұйрықтың және қаулының 1-тармағында белгіленген тәртіппен айқындалған валюталарды айырбастаудың нарықтық бағамын пайдалана отырып жүзеге асырсын.</w:t>
            </w:r>
          </w:p>
          <w:p w14:paraId="2C70041F" w14:textId="77777777" w:rsidR="00F17ACF" w:rsidRDefault="00F17ACF" w:rsidP="00F17ACF">
            <w:pPr>
              <w:pStyle w:val="a3"/>
              <w:jc w:val="both"/>
              <w:rPr>
                <w:rFonts w:ascii="Times New Roman" w:hAnsi="Times New Roman"/>
                <w:sz w:val="24"/>
                <w:szCs w:val="24"/>
                <w:lang w:val="kk-KZ"/>
              </w:rPr>
            </w:pPr>
          </w:p>
          <w:p w14:paraId="1AD12DC5" w14:textId="77777777" w:rsidR="00F17ACF" w:rsidRDefault="00F17ACF" w:rsidP="00F17ACF">
            <w:pPr>
              <w:pStyle w:val="a3"/>
              <w:jc w:val="both"/>
              <w:rPr>
                <w:rFonts w:ascii="Times New Roman" w:hAnsi="Times New Roman"/>
                <w:sz w:val="24"/>
                <w:szCs w:val="24"/>
                <w:lang w:val="kk-KZ"/>
              </w:rPr>
            </w:pPr>
          </w:p>
          <w:p w14:paraId="4D3C6293" w14:textId="77777777" w:rsidR="00F17ACF" w:rsidRDefault="00F17ACF" w:rsidP="00F17ACF">
            <w:pPr>
              <w:pStyle w:val="a3"/>
              <w:jc w:val="both"/>
              <w:rPr>
                <w:rFonts w:ascii="Times New Roman" w:hAnsi="Times New Roman"/>
                <w:sz w:val="24"/>
                <w:szCs w:val="24"/>
                <w:lang w:val="kk-KZ"/>
              </w:rPr>
            </w:pPr>
          </w:p>
          <w:p w14:paraId="796C7C64" w14:textId="77777777" w:rsidR="00F17ACF" w:rsidRDefault="00F17ACF" w:rsidP="00F17ACF">
            <w:pPr>
              <w:pStyle w:val="a3"/>
              <w:jc w:val="both"/>
              <w:rPr>
                <w:rFonts w:ascii="Times New Roman" w:hAnsi="Times New Roman"/>
                <w:sz w:val="24"/>
                <w:szCs w:val="24"/>
                <w:lang w:val="kk-KZ"/>
              </w:rPr>
            </w:pPr>
          </w:p>
          <w:p w14:paraId="0F0268D9" w14:textId="77777777" w:rsidR="00F17ACF" w:rsidRDefault="00F17ACF" w:rsidP="00F17ACF">
            <w:pPr>
              <w:pStyle w:val="a3"/>
              <w:jc w:val="both"/>
              <w:rPr>
                <w:rFonts w:ascii="Times New Roman" w:hAnsi="Times New Roman"/>
                <w:sz w:val="24"/>
                <w:szCs w:val="24"/>
                <w:lang w:val="kk-KZ"/>
              </w:rPr>
            </w:pPr>
          </w:p>
          <w:p w14:paraId="5798D2D8" w14:textId="77777777" w:rsidR="00F17ACF" w:rsidRDefault="00F17ACF" w:rsidP="00F17ACF">
            <w:pPr>
              <w:pStyle w:val="a3"/>
              <w:jc w:val="both"/>
              <w:rPr>
                <w:rFonts w:ascii="Times New Roman" w:hAnsi="Times New Roman"/>
                <w:sz w:val="24"/>
                <w:szCs w:val="24"/>
                <w:lang w:val="kk-KZ"/>
              </w:rPr>
            </w:pPr>
          </w:p>
          <w:p w14:paraId="7CD394B7" w14:textId="77777777" w:rsidR="00F17ACF" w:rsidRDefault="00F17ACF" w:rsidP="00F17ACF">
            <w:pPr>
              <w:pStyle w:val="a3"/>
              <w:jc w:val="both"/>
              <w:rPr>
                <w:rFonts w:ascii="Times New Roman" w:hAnsi="Times New Roman"/>
                <w:sz w:val="24"/>
                <w:szCs w:val="24"/>
                <w:lang w:val="kk-KZ"/>
              </w:rPr>
            </w:pPr>
          </w:p>
          <w:p w14:paraId="1BA616DF" w14:textId="77777777" w:rsidR="00F17ACF" w:rsidRDefault="00F17ACF" w:rsidP="00F17ACF">
            <w:pPr>
              <w:pStyle w:val="a3"/>
              <w:jc w:val="both"/>
              <w:rPr>
                <w:rFonts w:ascii="Times New Roman" w:hAnsi="Times New Roman"/>
                <w:sz w:val="24"/>
                <w:szCs w:val="24"/>
                <w:lang w:val="kk-KZ"/>
              </w:rPr>
            </w:pPr>
          </w:p>
          <w:p w14:paraId="1460B1E6" w14:textId="77777777" w:rsidR="00F17ACF" w:rsidRDefault="00F17ACF" w:rsidP="00F17ACF">
            <w:pPr>
              <w:pStyle w:val="a3"/>
              <w:jc w:val="both"/>
              <w:rPr>
                <w:rFonts w:ascii="Times New Roman" w:hAnsi="Times New Roman"/>
                <w:sz w:val="24"/>
                <w:szCs w:val="24"/>
                <w:lang w:val="kk-KZ"/>
              </w:rPr>
            </w:pPr>
          </w:p>
          <w:p w14:paraId="1F895188" w14:textId="77777777" w:rsidR="00F17ACF" w:rsidRDefault="00F17ACF" w:rsidP="00F17ACF">
            <w:pPr>
              <w:pStyle w:val="a3"/>
              <w:jc w:val="both"/>
              <w:rPr>
                <w:rFonts w:ascii="Times New Roman" w:hAnsi="Times New Roman"/>
                <w:sz w:val="24"/>
                <w:szCs w:val="24"/>
                <w:lang w:val="kk-KZ"/>
              </w:rPr>
            </w:pPr>
          </w:p>
          <w:p w14:paraId="2DCB62B2" w14:textId="02A8C48F" w:rsidR="00F17ACF" w:rsidRPr="00D17ECA" w:rsidRDefault="00F17ACF" w:rsidP="00F17ACF">
            <w:pPr>
              <w:pStyle w:val="a3"/>
              <w:jc w:val="both"/>
              <w:rPr>
                <w:rFonts w:ascii="Times New Roman" w:hAnsi="Times New Roman"/>
                <w:sz w:val="24"/>
                <w:szCs w:val="24"/>
                <w:lang w:val="kk-KZ"/>
              </w:rPr>
            </w:pPr>
            <w:r w:rsidRPr="00D17ECA">
              <w:rPr>
                <w:rFonts w:ascii="Times New Roman" w:hAnsi="Times New Roman"/>
                <w:sz w:val="24"/>
                <w:szCs w:val="24"/>
                <w:lang w:val="kk-KZ"/>
              </w:rPr>
              <w:t xml:space="preserve">Қалған ұйымдар қаржылық есептілікті қалыптастыру мақсатында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қайта санауға жататын активтер мен міндеттемелерді қайта санауды осы бұйрықтың және қаулының 1-тармағында белгіленген тәртіппен, сауда-саттық жүргізілген есепті кезеңнің соңғы күніне айқындалған валюталарды айырбастаудың </w:t>
            </w:r>
            <w:r w:rsidRPr="00D17ECA">
              <w:rPr>
                <w:rFonts w:ascii="Times New Roman" w:hAnsi="Times New Roman"/>
                <w:sz w:val="24"/>
                <w:szCs w:val="24"/>
                <w:lang w:val="kk-KZ"/>
              </w:rPr>
              <w:lastRenderedPageBreak/>
              <w:t>нарықтық бағамын жабу бағамы ретінде пайдалана отырып есепті күні жүзеге асырсын.</w:t>
            </w:r>
          </w:p>
          <w:p w14:paraId="1D69EA57" w14:textId="241165E9" w:rsidR="00F17ACF" w:rsidRPr="00D17ECA" w:rsidRDefault="00F17ACF" w:rsidP="00F17ACF">
            <w:pPr>
              <w:pStyle w:val="a3"/>
              <w:jc w:val="both"/>
              <w:rPr>
                <w:rFonts w:ascii="Times New Roman" w:hAnsi="Times New Roman"/>
                <w:sz w:val="24"/>
                <w:szCs w:val="24"/>
                <w:lang w:val="kk-KZ"/>
              </w:rPr>
            </w:pPr>
            <w:r w:rsidRPr="00D17ECA">
              <w:rPr>
                <w:rFonts w:ascii="Times New Roman" w:hAnsi="Times New Roman"/>
                <w:sz w:val="24"/>
                <w:szCs w:val="24"/>
                <w:lang w:val="kk-KZ"/>
              </w:rPr>
              <w:t xml:space="preserve">Қаржы ұйымдары (қызметінің ерекше түрі шетел валютасымен айырбастау операцияларын ұйымдастыру болып табылатын заңды тұлғаларды қоспағанда), «Қазақстан Даму Банкі» акционерлік қоғамы, акционерлік инвестициялық қорлар, арнайы қаржы компаниялары, исламдық арнайы қаржы компаниялары, сондай-ақ Қазақстан Республикасының Ұлттық Банкі және акцияларының елу және одан да көп пайызы (жарғылық капиталдағы қатысу үлестері) немесе акцияларының бақылау пакеті Қазақстан Республикасының Ұлттық Банкіне тиесілі заңды тұлғалар осы бұйрықтың және қаулының 1-тармағында белгіленген тәртіппен айқындалған валюталарды айырбастаудың нарықтық бағамын пайдалана отырып бухгалтерлік есепті жүргізуді жүзеге асыруға мүмкіндік беретін автоматтандырылған ақпарат жүйесі болған жағдайда, бухгалтерлік есепті жүргізу мақсаттары үшін осы бұйрықтың және қаулының 1-тармағында белгіленген тәртіппен айқындалған валюталарды айырбастаудың нарықтық бағамын биржада сауда-саттық жүргізілген күні және күннің соңында қайта санауды </w:t>
            </w:r>
            <w:r w:rsidRPr="00D17ECA">
              <w:rPr>
                <w:rFonts w:ascii="Times New Roman" w:hAnsi="Times New Roman"/>
                <w:sz w:val="24"/>
                <w:szCs w:val="24"/>
                <w:lang w:val="kk-KZ"/>
              </w:rPr>
              <w:lastRenderedPageBreak/>
              <w:t>жүзеге асырмастан келесі жұмыс емес күндері пайдалана алады.</w:t>
            </w:r>
          </w:p>
        </w:tc>
        <w:tc>
          <w:tcPr>
            <w:tcW w:w="4237" w:type="dxa"/>
            <w:tcBorders>
              <w:right w:val="single" w:sz="4" w:space="0" w:color="auto"/>
            </w:tcBorders>
            <w:shd w:val="clear" w:color="auto" w:fill="auto"/>
          </w:tcPr>
          <w:p w14:paraId="135D05D7" w14:textId="77777777" w:rsidR="00F17ACF" w:rsidRPr="00847BDC" w:rsidRDefault="00F17ACF" w:rsidP="00F17ACF">
            <w:pPr>
              <w:widowControl w:val="0"/>
              <w:suppressAutoHyphens/>
              <w:rPr>
                <w:sz w:val="24"/>
                <w:szCs w:val="24"/>
                <w:lang w:val="kk-KZ"/>
              </w:rPr>
            </w:pPr>
            <w:r w:rsidRPr="00847BDC">
              <w:rPr>
                <w:sz w:val="24"/>
                <w:szCs w:val="24"/>
                <w:lang w:val="kk-KZ"/>
              </w:rPr>
              <w:lastRenderedPageBreak/>
              <w:t xml:space="preserve">3. Қаржы ұйымдары (қызметінің ерекше түрі шетел валютасымен айырбастау операцияларын ұйымдастыру болып табылатын заңды тұлғаларды қоспағанда), </w:t>
            </w:r>
            <w:r w:rsidRPr="00847BDC">
              <w:rPr>
                <w:b/>
                <w:sz w:val="24"/>
                <w:szCs w:val="24"/>
                <w:lang w:val="kk-KZ"/>
              </w:rPr>
              <w:t>Қазақстан Республикасы бейрезидент-банктерінің филиалдары,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w:t>
            </w:r>
            <w:r w:rsidRPr="00847BDC">
              <w:rPr>
                <w:sz w:val="24"/>
                <w:szCs w:val="24"/>
                <w:lang w:val="kk-KZ"/>
              </w:rPr>
              <w:t xml:space="preserve">, «Қазақстан Даму Банкі» акционерлік қоғамы, акционерлік инвестициялық қорлар, арнайы қаржы компаниялары, исламдық арнайы қаржы компаниялары, сондай-ақ Қазақстан Республикасының Ұлттық Банкі және </w:t>
            </w:r>
            <w:r w:rsidRPr="00847BDC">
              <w:rPr>
                <w:sz w:val="24"/>
                <w:szCs w:val="24"/>
                <w:lang w:val="kk-KZ"/>
              </w:rPr>
              <w:lastRenderedPageBreak/>
              <w:t xml:space="preserve">акцияларының елу және одан да көп пайызы (жарғылық капиталдағы қатысу үлестері) немесе акцияларының бақылау пакеті Қазақстан Республикасының Ұлттық Банкіне тиесілі заңды тұлғалар </w:t>
            </w:r>
            <w:r w:rsidRPr="004B02B6">
              <w:rPr>
                <w:b/>
                <w:sz w:val="24"/>
                <w:szCs w:val="24"/>
                <w:lang w:val="kk-KZ"/>
              </w:rPr>
              <w:t>бухгалтерлік есепті жүргізу, қаржылық есептілікті және бухгалтерлік есеп деректері бойынша есептілікті қалыптастыру</w:t>
            </w:r>
            <w:r w:rsidRPr="00847BDC">
              <w:rPr>
                <w:sz w:val="24"/>
                <w:szCs w:val="24"/>
                <w:lang w:val="kk-KZ"/>
              </w:rPr>
              <w:t xml:space="preserve"> мақсатында халықаралық қаржылық есептілік стандарттарына сәйкес қайта саналуы тиіс активтер мен міндеттемелерді қайта санауды биржада сауда-саттық жүргізілген күннің соңында осы бұйрықтың және қаулының 1-тармағында белгіленген тәртіппен айқындалған валюталарды айырбастаудың нарықтық бағамын пайдалана отырып жүзеге асырсын.</w:t>
            </w:r>
          </w:p>
          <w:p w14:paraId="72B5C485" w14:textId="77777777" w:rsidR="00F17ACF" w:rsidRPr="00847BDC" w:rsidRDefault="00F17ACF" w:rsidP="00F17ACF">
            <w:pPr>
              <w:widowControl w:val="0"/>
              <w:suppressAutoHyphens/>
              <w:rPr>
                <w:sz w:val="24"/>
                <w:szCs w:val="24"/>
                <w:lang w:val="kk-KZ"/>
              </w:rPr>
            </w:pPr>
            <w:r w:rsidRPr="00847BDC">
              <w:rPr>
                <w:sz w:val="24"/>
                <w:szCs w:val="24"/>
                <w:lang w:val="kk-KZ"/>
              </w:rPr>
              <w:t xml:space="preserve">Қалған ұйымдар қаржылық есептілікті қалыптастыру мақсатында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қайта санауға жататын активтер мен міндеттемелерді қайта санауды осы бұйрықтың және қаулының 1-тармағында белгіленген тәртіппен, сауда-саттық жүргізілген есепті кезеңнің соңғы күніне айқындалған валюталарды айырбастаудың </w:t>
            </w:r>
            <w:r w:rsidRPr="00847BDC">
              <w:rPr>
                <w:sz w:val="24"/>
                <w:szCs w:val="24"/>
                <w:lang w:val="kk-KZ"/>
              </w:rPr>
              <w:lastRenderedPageBreak/>
              <w:t>нарықтық бағамын жабу бағамы ретінде пайдалана отырып есепті күні жүзеге асырсын.</w:t>
            </w:r>
          </w:p>
          <w:p w14:paraId="121B6EFA" w14:textId="42412418" w:rsidR="00F17ACF" w:rsidRPr="00D17ECA" w:rsidRDefault="00F17ACF" w:rsidP="00F17ACF">
            <w:pPr>
              <w:contextualSpacing/>
              <w:rPr>
                <w:b/>
                <w:sz w:val="24"/>
                <w:szCs w:val="24"/>
                <w:lang w:val="kk-KZ"/>
              </w:rPr>
            </w:pPr>
            <w:r w:rsidRPr="00847BDC">
              <w:rPr>
                <w:sz w:val="24"/>
                <w:szCs w:val="24"/>
                <w:lang w:val="kk-KZ"/>
              </w:rPr>
              <w:t xml:space="preserve">Қаржы ұйымдары (қызметінің ерекше түрі шетел валютасымен айырбастау операцияларын ұйымдастыру болып табылатын заңды тұлғаларды қоспағанда), </w:t>
            </w:r>
            <w:r w:rsidRPr="004B02B6">
              <w:rPr>
                <w:b/>
                <w:sz w:val="24"/>
                <w:szCs w:val="24"/>
                <w:lang w:val="kk-KZ"/>
              </w:rPr>
              <w:t>Қазақстан Республикасы бейрезидент-банктерінің филиалдары, Қазақстан Республикасы бейрезидент-сақтандыру (қайта сақтандыру) ұйымдарының филиалдары және Қазақстан Республикасы бейрезидент-сақтандыру брокерлерінің филиалдары</w:t>
            </w:r>
            <w:r w:rsidRPr="00847BDC">
              <w:rPr>
                <w:sz w:val="24"/>
                <w:szCs w:val="24"/>
                <w:lang w:val="kk-KZ"/>
              </w:rPr>
              <w:t xml:space="preserve">, «Қазақстан Даму Банкі» акционерлік қоғамы, акционерлік инвестициялық қорлар, арнайы қаржы компаниялары, исламдық арнайы қаржы компаниялары, сондай-ақ Қазақстан Республикасының Ұлттық Банкі және акцияларының елу және одан да көп пайызы (жарғылық капиталдағы қатысу үлестері) немесе акцияларының бақылау пакеті Қазақстан Республикасының Ұлттық Банкіне тиесілі заңды тұлғалар осы бұйрықтың және қаулының 1-тармағында белгіленген тәртіппен айқындалған валюталарды айырбастаудың нарықтық бағамын пайдалана отырып бухгалтерлік есепті жүргізуді жүзеге асыруға мүмкіндік беретін </w:t>
            </w:r>
            <w:r w:rsidRPr="00847BDC">
              <w:rPr>
                <w:sz w:val="24"/>
                <w:szCs w:val="24"/>
                <w:lang w:val="kk-KZ"/>
              </w:rPr>
              <w:lastRenderedPageBreak/>
              <w:t>автоматтандырылған ақпараттық жүйесі болған жағдайда, бухгалтерлік есепті жүргізу мақсаттары үшін осы бұйрықтың және қаулының 1-тармағында белгіленген тәртіппен айқындалған валюталарды айырбастаудың нарықтық бағамын биржада сауда-саттық жүргізілген күні және күннің соңында қайта санауды жүзеге асырмастан келесі жұмыс емес күндері пайдалана алады.</w:t>
            </w:r>
          </w:p>
        </w:tc>
        <w:tc>
          <w:tcPr>
            <w:tcW w:w="2601" w:type="dxa"/>
            <w:tcBorders>
              <w:top w:val="single" w:sz="4" w:space="0" w:color="auto"/>
              <w:left w:val="single" w:sz="4" w:space="0" w:color="auto"/>
              <w:bottom w:val="single" w:sz="4" w:space="0" w:color="auto"/>
              <w:right w:val="single" w:sz="4" w:space="0" w:color="auto"/>
            </w:tcBorders>
            <w:shd w:val="clear" w:color="auto" w:fill="auto"/>
          </w:tcPr>
          <w:p w14:paraId="5381946F" w14:textId="77777777" w:rsidR="00F17ACF" w:rsidRPr="00F17ACF" w:rsidRDefault="00F17ACF" w:rsidP="00F17ACF">
            <w:pPr>
              <w:rPr>
                <w:sz w:val="24"/>
                <w:szCs w:val="24"/>
                <w:lang w:val="kk-KZ"/>
              </w:rPr>
            </w:pPr>
            <w:r w:rsidRPr="00F17ACF">
              <w:rPr>
                <w:sz w:val="24"/>
                <w:szCs w:val="24"/>
                <w:lang w:val="kk-KZ"/>
              </w:rPr>
              <w:lastRenderedPageBreak/>
              <w:t xml:space="preserve">Өзгерістер бухгалтерлік есепті жүргізу, қаржылық есептілікті қалыптастыру және халықаралық қаржылық есептілік стандарттарына және Қазақстан Республикасының бухгалтерлік есеп пен қаржылық есептілік туралы заңнамасының талаптарына сәйкес қайта есептеуге жататын активтер мен міндеттемелерді қайта есептеуді жүзеге асыру кезінде тіркелген </w:t>
            </w:r>
            <w:r w:rsidRPr="00F17ACF">
              <w:rPr>
                <w:sz w:val="24"/>
                <w:szCs w:val="24"/>
                <w:lang w:val="kk-KZ"/>
              </w:rPr>
              <w:lastRenderedPageBreak/>
              <w:t>айырбастау бағамын пайдалану қағидаларын Қазақстан Республикасының бейрезидент банктерінің филиалдарына, Қазақстан Республикасының бейрезидент сақтандыру (қайта сақтандыру) ұйымдарының филиалдарына және сақтандыру брокерлерінің филиалдарына тарату мақсатында енгізіледі – Қазақстан Республикасының резидент емес.</w:t>
            </w:r>
          </w:p>
          <w:p w14:paraId="2D2858BE" w14:textId="77777777" w:rsidR="00F17ACF" w:rsidRPr="00F17ACF" w:rsidRDefault="00F17ACF" w:rsidP="00F17ACF">
            <w:pPr>
              <w:rPr>
                <w:sz w:val="24"/>
                <w:szCs w:val="24"/>
                <w:lang w:val="kk-KZ"/>
              </w:rPr>
            </w:pPr>
          </w:p>
          <w:p w14:paraId="417D1F52" w14:textId="7FE13282" w:rsidR="00F17ACF" w:rsidRPr="00A42FA4" w:rsidRDefault="00F17ACF" w:rsidP="00F17ACF">
            <w:pPr>
              <w:rPr>
                <w:sz w:val="24"/>
                <w:szCs w:val="24"/>
                <w:lang w:val="kk-KZ"/>
              </w:rPr>
            </w:pPr>
            <w:r w:rsidRPr="00F17ACF">
              <w:rPr>
                <w:sz w:val="24"/>
                <w:szCs w:val="24"/>
                <w:lang w:val="kk-KZ"/>
              </w:rPr>
              <w:t>Нақтылау өңдеу.</w:t>
            </w:r>
          </w:p>
        </w:tc>
      </w:tr>
    </w:tbl>
    <w:p w14:paraId="0FC27B97" w14:textId="77777777" w:rsidR="00BC2FE4" w:rsidRPr="001D7394" w:rsidRDefault="00BC2FE4" w:rsidP="00BC2FE4">
      <w:pPr>
        <w:jc w:val="center"/>
        <w:rPr>
          <w:b/>
          <w:sz w:val="24"/>
          <w:szCs w:val="24"/>
          <w:lang w:val="kk-KZ"/>
        </w:rPr>
      </w:pPr>
    </w:p>
    <w:p w14:paraId="330C0F05" w14:textId="77777777" w:rsidR="00BC2FE4" w:rsidRPr="001D7394" w:rsidRDefault="00BC2FE4" w:rsidP="00BC2FE4">
      <w:pPr>
        <w:jc w:val="center"/>
        <w:rPr>
          <w:b/>
          <w:sz w:val="24"/>
          <w:szCs w:val="24"/>
          <w:lang w:val="kk-KZ"/>
        </w:rPr>
      </w:pPr>
    </w:p>
    <w:p w14:paraId="47F325CC" w14:textId="77777777" w:rsidR="008C45E3" w:rsidRPr="003C2CEB" w:rsidRDefault="008C45E3" w:rsidP="008C45E3">
      <w:pPr>
        <w:ind w:left="708"/>
        <w:rPr>
          <w:b/>
          <w:color w:val="000000"/>
          <w:szCs w:val="28"/>
          <w:lang w:val="kk-KZ"/>
        </w:rPr>
      </w:pPr>
      <w:r w:rsidRPr="003C2CEB">
        <w:rPr>
          <w:b/>
          <w:color w:val="000000"/>
          <w:szCs w:val="28"/>
          <w:lang w:val="kk-KZ"/>
        </w:rPr>
        <w:t xml:space="preserve">ҚРҰБ Бухгалтерлік есеп </w:t>
      </w:r>
    </w:p>
    <w:p w14:paraId="55FDD933" w14:textId="77777777" w:rsidR="008C45E3" w:rsidRPr="003C2CEB" w:rsidRDefault="008C45E3" w:rsidP="008C45E3">
      <w:pPr>
        <w:ind w:left="708"/>
        <w:rPr>
          <w:b/>
          <w:color w:val="000000"/>
          <w:szCs w:val="28"/>
          <w:lang w:val="kk-KZ"/>
        </w:rPr>
      </w:pPr>
      <w:r w:rsidRPr="003C2CEB">
        <w:rPr>
          <w:b/>
          <w:color w:val="000000"/>
          <w:szCs w:val="28"/>
          <w:lang w:val="kk-KZ"/>
        </w:rPr>
        <w:t>департаментінің директоры –</w:t>
      </w:r>
      <w:r>
        <w:rPr>
          <w:b/>
          <w:color w:val="000000"/>
          <w:szCs w:val="28"/>
          <w:lang w:val="kk-KZ"/>
        </w:rPr>
        <w:t xml:space="preserve"> </w:t>
      </w:r>
    </w:p>
    <w:p w14:paraId="06826E6B" w14:textId="0A539573" w:rsidR="008C45E3" w:rsidRPr="00981B0A" w:rsidRDefault="008C45E3" w:rsidP="008C45E3">
      <w:pPr>
        <w:ind w:left="708"/>
        <w:rPr>
          <w:b/>
          <w:color w:val="000000"/>
          <w:szCs w:val="28"/>
          <w:lang w:val="kk-KZ"/>
        </w:rPr>
      </w:pPr>
      <w:r w:rsidRPr="003C2CEB">
        <w:rPr>
          <w:b/>
          <w:color w:val="000000"/>
          <w:szCs w:val="28"/>
          <w:lang w:val="kk-KZ"/>
        </w:rPr>
        <w:t>Бас бухгалтері</w:t>
      </w:r>
      <w:r w:rsidRPr="003C2CEB">
        <w:rPr>
          <w:b/>
          <w:color w:val="000000"/>
          <w:szCs w:val="28"/>
          <w:lang w:val="kk-KZ"/>
        </w:rPr>
        <w:tab/>
      </w:r>
      <w:r w:rsidRPr="003C2CEB">
        <w:rPr>
          <w:b/>
          <w:color w:val="000000"/>
          <w:szCs w:val="28"/>
          <w:lang w:val="kk-KZ"/>
        </w:rPr>
        <w:tab/>
      </w:r>
      <w:r w:rsidRPr="003C2CEB">
        <w:rPr>
          <w:b/>
          <w:color w:val="000000"/>
          <w:szCs w:val="28"/>
          <w:lang w:val="kk-KZ"/>
        </w:rPr>
        <w:tab/>
      </w:r>
      <w:r w:rsidRPr="003C2CEB">
        <w:rPr>
          <w:b/>
          <w:color w:val="000000"/>
          <w:szCs w:val="28"/>
          <w:lang w:val="kk-KZ"/>
        </w:rPr>
        <w:tab/>
      </w:r>
      <w:r w:rsidRPr="003C2CEB">
        <w:rPr>
          <w:b/>
          <w:color w:val="000000"/>
          <w:szCs w:val="28"/>
          <w:lang w:val="kk-KZ"/>
        </w:rPr>
        <w:tab/>
      </w:r>
      <w:r w:rsidRPr="003C2CEB">
        <w:rPr>
          <w:b/>
          <w:color w:val="000000"/>
          <w:szCs w:val="28"/>
          <w:lang w:val="kk-KZ"/>
        </w:rPr>
        <w:tab/>
      </w:r>
      <w:r w:rsidRPr="003C2CEB">
        <w:rPr>
          <w:b/>
          <w:color w:val="000000"/>
          <w:szCs w:val="28"/>
          <w:lang w:val="kk-KZ"/>
        </w:rPr>
        <w:tab/>
      </w:r>
      <w:r w:rsidRPr="003C2CEB">
        <w:rPr>
          <w:b/>
          <w:color w:val="000000"/>
          <w:szCs w:val="28"/>
          <w:lang w:val="kk-KZ"/>
        </w:rPr>
        <w:tab/>
      </w:r>
      <w:r>
        <w:rPr>
          <w:b/>
          <w:color w:val="000000"/>
          <w:szCs w:val="28"/>
          <w:lang w:val="kk-KZ"/>
        </w:rPr>
        <w:tab/>
      </w:r>
      <w:r>
        <w:rPr>
          <w:b/>
          <w:color w:val="000000"/>
          <w:szCs w:val="28"/>
          <w:lang w:val="kk-KZ"/>
        </w:rPr>
        <w:tab/>
      </w:r>
      <w:r>
        <w:rPr>
          <w:b/>
          <w:color w:val="000000"/>
          <w:szCs w:val="28"/>
          <w:lang w:val="kk-KZ"/>
        </w:rPr>
        <w:tab/>
      </w:r>
      <w:r>
        <w:rPr>
          <w:b/>
          <w:color w:val="000000"/>
          <w:szCs w:val="28"/>
          <w:lang w:val="kk-KZ"/>
        </w:rPr>
        <w:tab/>
      </w:r>
      <w:r>
        <w:rPr>
          <w:b/>
          <w:color w:val="000000"/>
          <w:szCs w:val="28"/>
          <w:lang w:val="kk-KZ"/>
        </w:rPr>
        <w:tab/>
        <w:t>Д</w:t>
      </w:r>
      <w:r w:rsidRPr="003C2CEB">
        <w:rPr>
          <w:b/>
          <w:color w:val="000000"/>
          <w:szCs w:val="28"/>
          <w:lang w:val="kk-KZ"/>
        </w:rPr>
        <w:t>.</w:t>
      </w:r>
      <w:r>
        <w:rPr>
          <w:b/>
          <w:color w:val="000000"/>
          <w:szCs w:val="28"/>
          <w:lang w:val="kk-KZ"/>
        </w:rPr>
        <w:t>А</w:t>
      </w:r>
      <w:r w:rsidRPr="003C2CEB">
        <w:rPr>
          <w:b/>
          <w:color w:val="000000"/>
          <w:szCs w:val="28"/>
          <w:lang w:val="kk-KZ"/>
        </w:rPr>
        <w:t xml:space="preserve">. </w:t>
      </w:r>
      <w:r>
        <w:rPr>
          <w:b/>
          <w:color w:val="000000"/>
          <w:szCs w:val="28"/>
          <w:lang w:val="kk-KZ"/>
        </w:rPr>
        <w:t>Тайшибаев</w:t>
      </w:r>
      <w:r w:rsidRPr="003C2CEB">
        <w:rPr>
          <w:b/>
          <w:color w:val="000000"/>
          <w:szCs w:val="28"/>
          <w:lang w:val="kk-KZ"/>
        </w:rPr>
        <w:t>а</w:t>
      </w:r>
      <w:r>
        <w:rPr>
          <w:b/>
          <w:color w:val="000000"/>
          <w:szCs w:val="28"/>
          <w:lang w:val="kk-KZ"/>
        </w:rPr>
        <w:t xml:space="preserve"> </w:t>
      </w:r>
    </w:p>
    <w:p w14:paraId="65CED3D8" w14:textId="77777777" w:rsidR="00217139" w:rsidRPr="005B4B16" w:rsidRDefault="00217139" w:rsidP="00217139">
      <w:pPr>
        <w:pStyle w:val="a3"/>
        <w:jc w:val="both"/>
        <w:rPr>
          <w:rFonts w:ascii="Times New Roman" w:hAnsi="Times New Roman"/>
          <w:sz w:val="18"/>
          <w:szCs w:val="18"/>
        </w:rPr>
      </w:pPr>
    </w:p>
    <w:sectPr w:rsidR="00217139" w:rsidRPr="005B4B16" w:rsidSect="00B3472F">
      <w:pgSz w:w="16838" w:h="11906" w:orient="landscape" w:code="9"/>
      <w:pgMar w:top="1418" w:right="1418" w:bottom="851" w:left="1418" w:header="709" w:footer="709"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3F542B"/>
    <w:multiLevelType w:val="hybridMultilevel"/>
    <w:tmpl w:val="FBD27298"/>
    <w:lvl w:ilvl="0" w:tplc="0419000F">
      <w:start w:val="1"/>
      <w:numFmt w:val="decimal"/>
      <w:lvlText w:val="%1."/>
      <w:lvlJc w:val="left"/>
      <w:pPr>
        <w:tabs>
          <w:tab w:val="num" w:pos="1211"/>
        </w:tabs>
        <w:ind w:left="1211" w:hanging="360"/>
      </w:pPr>
      <w:rPr>
        <w:rFonts w:hint="default"/>
      </w:rPr>
    </w:lvl>
    <w:lvl w:ilvl="1" w:tplc="D79ADA2E">
      <w:start w:val="1"/>
      <w:numFmt w:val="decimal"/>
      <w:lvlText w:val="%2)"/>
      <w:lvlJc w:val="left"/>
      <w:pPr>
        <w:tabs>
          <w:tab w:val="num" w:pos="3669"/>
        </w:tabs>
        <w:ind w:left="3669" w:hanging="1260"/>
      </w:pPr>
      <w:rPr>
        <w:rFonts w:hint="default"/>
      </w:rPr>
    </w:lvl>
    <w:lvl w:ilvl="2" w:tplc="0419001B">
      <w:start w:val="1"/>
      <w:numFmt w:val="lowerRoman"/>
      <w:lvlText w:val="%3."/>
      <w:lvlJc w:val="right"/>
      <w:pPr>
        <w:tabs>
          <w:tab w:val="num" w:pos="3936"/>
        </w:tabs>
        <w:ind w:left="3936" w:hanging="180"/>
      </w:pPr>
    </w:lvl>
    <w:lvl w:ilvl="3" w:tplc="0419000F" w:tentative="1">
      <w:start w:val="1"/>
      <w:numFmt w:val="decimal"/>
      <w:lvlText w:val="%4."/>
      <w:lvlJc w:val="left"/>
      <w:pPr>
        <w:tabs>
          <w:tab w:val="num" w:pos="4656"/>
        </w:tabs>
        <w:ind w:left="4656" w:hanging="360"/>
      </w:pPr>
    </w:lvl>
    <w:lvl w:ilvl="4" w:tplc="04190019" w:tentative="1">
      <w:start w:val="1"/>
      <w:numFmt w:val="lowerLetter"/>
      <w:lvlText w:val="%5."/>
      <w:lvlJc w:val="left"/>
      <w:pPr>
        <w:tabs>
          <w:tab w:val="num" w:pos="5376"/>
        </w:tabs>
        <w:ind w:left="5376" w:hanging="360"/>
      </w:pPr>
    </w:lvl>
    <w:lvl w:ilvl="5" w:tplc="0419001B" w:tentative="1">
      <w:start w:val="1"/>
      <w:numFmt w:val="lowerRoman"/>
      <w:lvlText w:val="%6."/>
      <w:lvlJc w:val="right"/>
      <w:pPr>
        <w:tabs>
          <w:tab w:val="num" w:pos="6096"/>
        </w:tabs>
        <w:ind w:left="6096" w:hanging="180"/>
      </w:pPr>
    </w:lvl>
    <w:lvl w:ilvl="6" w:tplc="0419000F" w:tentative="1">
      <w:start w:val="1"/>
      <w:numFmt w:val="decimal"/>
      <w:lvlText w:val="%7."/>
      <w:lvlJc w:val="left"/>
      <w:pPr>
        <w:tabs>
          <w:tab w:val="num" w:pos="6816"/>
        </w:tabs>
        <w:ind w:left="6816" w:hanging="360"/>
      </w:pPr>
    </w:lvl>
    <w:lvl w:ilvl="7" w:tplc="04190019" w:tentative="1">
      <w:start w:val="1"/>
      <w:numFmt w:val="lowerLetter"/>
      <w:lvlText w:val="%8."/>
      <w:lvlJc w:val="left"/>
      <w:pPr>
        <w:tabs>
          <w:tab w:val="num" w:pos="7536"/>
        </w:tabs>
        <w:ind w:left="7536" w:hanging="360"/>
      </w:pPr>
    </w:lvl>
    <w:lvl w:ilvl="8" w:tplc="0419001B" w:tentative="1">
      <w:start w:val="1"/>
      <w:numFmt w:val="lowerRoman"/>
      <w:lvlText w:val="%9."/>
      <w:lvlJc w:val="right"/>
      <w:pPr>
        <w:tabs>
          <w:tab w:val="num" w:pos="8256"/>
        </w:tabs>
        <w:ind w:left="825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18C"/>
    <w:rsid w:val="00005655"/>
    <w:rsid w:val="00010A65"/>
    <w:rsid w:val="00023EB6"/>
    <w:rsid w:val="00030A4A"/>
    <w:rsid w:val="000314F1"/>
    <w:rsid w:val="00043ABA"/>
    <w:rsid w:val="00043CF6"/>
    <w:rsid w:val="00067A38"/>
    <w:rsid w:val="000701BE"/>
    <w:rsid w:val="000718C4"/>
    <w:rsid w:val="000B4EEF"/>
    <w:rsid w:val="000B6469"/>
    <w:rsid w:val="000E294F"/>
    <w:rsid w:val="000E4111"/>
    <w:rsid w:val="000F35CF"/>
    <w:rsid w:val="000F7CD4"/>
    <w:rsid w:val="0011633A"/>
    <w:rsid w:val="001213FA"/>
    <w:rsid w:val="00121821"/>
    <w:rsid w:val="00124795"/>
    <w:rsid w:val="00125836"/>
    <w:rsid w:val="00146BF6"/>
    <w:rsid w:val="00150A55"/>
    <w:rsid w:val="0015358F"/>
    <w:rsid w:val="00167963"/>
    <w:rsid w:val="00170140"/>
    <w:rsid w:val="00181F80"/>
    <w:rsid w:val="001828DB"/>
    <w:rsid w:val="00192AB5"/>
    <w:rsid w:val="001A3ABA"/>
    <w:rsid w:val="001A3AF9"/>
    <w:rsid w:val="001B18C4"/>
    <w:rsid w:val="001B2BF8"/>
    <w:rsid w:val="001D7394"/>
    <w:rsid w:val="001E0C75"/>
    <w:rsid w:val="001E71C8"/>
    <w:rsid w:val="00217139"/>
    <w:rsid w:val="00226540"/>
    <w:rsid w:val="00227F1B"/>
    <w:rsid w:val="00234FD6"/>
    <w:rsid w:val="0027215B"/>
    <w:rsid w:val="00296895"/>
    <w:rsid w:val="002A405E"/>
    <w:rsid w:val="002A481B"/>
    <w:rsid w:val="0031406C"/>
    <w:rsid w:val="00327FBB"/>
    <w:rsid w:val="00345B75"/>
    <w:rsid w:val="00363112"/>
    <w:rsid w:val="00373A7A"/>
    <w:rsid w:val="00384707"/>
    <w:rsid w:val="003B0393"/>
    <w:rsid w:val="003C0E1E"/>
    <w:rsid w:val="003C16A8"/>
    <w:rsid w:val="003C304C"/>
    <w:rsid w:val="003D6B16"/>
    <w:rsid w:val="003E2CED"/>
    <w:rsid w:val="003E560A"/>
    <w:rsid w:val="003F335A"/>
    <w:rsid w:val="00414047"/>
    <w:rsid w:val="00414C28"/>
    <w:rsid w:val="00423AF6"/>
    <w:rsid w:val="00455372"/>
    <w:rsid w:val="0046535C"/>
    <w:rsid w:val="00474861"/>
    <w:rsid w:val="00492FDE"/>
    <w:rsid w:val="004A4DAE"/>
    <w:rsid w:val="004B023F"/>
    <w:rsid w:val="004B02B6"/>
    <w:rsid w:val="004F0782"/>
    <w:rsid w:val="005017D4"/>
    <w:rsid w:val="005028A3"/>
    <w:rsid w:val="005305D7"/>
    <w:rsid w:val="00532498"/>
    <w:rsid w:val="0053470F"/>
    <w:rsid w:val="00565B48"/>
    <w:rsid w:val="005665FE"/>
    <w:rsid w:val="005A4F9E"/>
    <w:rsid w:val="005B0B4C"/>
    <w:rsid w:val="005B4B16"/>
    <w:rsid w:val="005C0059"/>
    <w:rsid w:val="005C36C5"/>
    <w:rsid w:val="005D24ED"/>
    <w:rsid w:val="005E6806"/>
    <w:rsid w:val="005F30D5"/>
    <w:rsid w:val="00613F01"/>
    <w:rsid w:val="00654083"/>
    <w:rsid w:val="006664FF"/>
    <w:rsid w:val="00684C8B"/>
    <w:rsid w:val="00684DAE"/>
    <w:rsid w:val="006A1BED"/>
    <w:rsid w:val="006B1EA1"/>
    <w:rsid w:val="006B7FC9"/>
    <w:rsid w:val="006D1219"/>
    <w:rsid w:val="00711050"/>
    <w:rsid w:val="00714307"/>
    <w:rsid w:val="00727A1B"/>
    <w:rsid w:val="00773AAF"/>
    <w:rsid w:val="00782F64"/>
    <w:rsid w:val="007C1A8E"/>
    <w:rsid w:val="007C3508"/>
    <w:rsid w:val="007C51A4"/>
    <w:rsid w:val="007C6744"/>
    <w:rsid w:val="007E2E37"/>
    <w:rsid w:val="007F4541"/>
    <w:rsid w:val="008029C0"/>
    <w:rsid w:val="00847BDC"/>
    <w:rsid w:val="008822B8"/>
    <w:rsid w:val="0089103E"/>
    <w:rsid w:val="008A299E"/>
    <w:rsid w:val="008A665B"/>
    <w:rsid w:val="008B0669"/>
    <w:rsid w:val="008C45E3"/>
    <w:rsid w:val="008C63B2"/>
    <w:rsid w:val="00903140"/>
    <w:rsid w:val="0092318C"/>
    <w:rsid w:val="00926737"/>
    <w:rsid w:val="00933ECE"/>
    <w:rsid w:val="00943D6C"/>
    <w:rsid w:val="0094680D"/>
    <w:rsid w:val="009554AC"/>
    <w:rsid w:val="00964FEF"/>
    <w:rsid w:val="00967373"/>
    <w:rsid w:val="009726DF"/>
    <w:rsid w:val="009A53C2"/>
    <w:rsid w:val="009B310B"/>
    <w:rsid w:val="009D50AD"/>
    <w:rsid w:val="009F6AA2"/>
    <w:rsid w:val="00A01AFB"/>
    <w:rsid w:val="00A14B17"/>
    <w:rsid w:val="00A32C1D"/>
    <w:rsid w:val="00A42FA4"/>
    <w:rsid w:val="00A502A9"/>
    <w:rsid w:val="00A50F3A"/>
    <w:rsid w:val="00A61CCA"/>
    <w:rsid w:val="00A63F55"/>
    <w:rsid w:val="00A84111"/>
    <w:rsid w:val="00A94929"/>
    <w:rsid w:val="00AD0083"/>
    <w:rsid w:val="00AD02E7"/>
    <w:rsid w:val="00AF4821"/>
    <w:rsid w:val="00B07EE1"/>
    <w:rsid w:val="00B108F6"/>
    <w:rsid w:val="00B30D11"/>
    <w:rsid w:val="00B43502"/>
    <w:rsid w:val="00B47E9C"/>
    <w:rsid w:val="00B72AA2"/>
    <w:rsid w:val="00BC2FE4"/>
    <w:rsid w:val="00BC5FB3"/>
    <w:rsid w:val="00BC7509"/>
    <w:rsid w:val="00BD0CFA"/>
    <w:rsid w:val="00BF57DA"/>
    <w:rsid w:val="00C06882"/>
    <w:rsid w:val="00C12B95"/>
    <w:rsid w:val="00C27240"/>
    <w:rsid w:val="00C477D7"/>
    <w:rsid w:val="00C70D9B"/>
    <w:rsid w:val="00C84C93"/>
    <w:rsid w:val="00C91FEF"/>
    <w:rsid w:val="00C944A6"/>
    <w:rsid w:val="00CB28AA"/>
    <w:rsid w:val="00CB6F0B"/>
    <w:rsid w:val="00CC28F9"/>
    <w:rsid w:val="00CF5586"/>
    <w:rsid w:val="00D11069"/>
    <w:rsid w:val="00D14C5D"/>
    <w:rsid w:val="00D17ECA"/>
    <w:rsid w:val="00D3222E"/>
    <w:rsid w:val="00D41B88"/>
    <w:rsid w:val="00D65E3B"/>
    <w:rsid w:val="00D7012B"/>
    <w:rsid w:val="00D80C1E"/>
    <w:rsid w:val="00DA513A"/>
    <w:rsid w:val="00DC2CF8"/>
    <w:rsid w:val="00DE4A9B"/>
    <w:rsid w:val="00E04B6C"/>
    <w:rsid w:val="00E1305E"/>
    <w:rsid w:val="00E33DC3"/>
    <w:rsid w:val="00E41C2A"/>
    <w:rsid w:val="00E96AE6"/>
    <w:rsid w:val="00EA72A9"/>
    <w:rsid w:val="00ED7CC8"/>
    <w:rsid w:val="00EE7F32"/>
    <w:rsid w:val="00F005F5"/>
    <w:rsid w:val="00F10574"/>
    <w:rsid w:val="00F15CA6"/>
    <w:rsid w:val="00F17ACF"/>
    <w:rsid w:val="00F17B9C"/>
    <w:rsid w:val="00F26D65"/>
    <w:rsid w:val="00F31E13"/>
    <w:rsid w:val="00F47C76"/>
    <w:rsid w:val="00F5102B"/>
    <w:rsid w:val="00F77DFA"/>
    <w:rsid w:val="00F85BF4"/>
    <w:rsid w:val="00F864BB"/>
    <w:rsid w:val="00F92CA5"/>
    <w:rsid w:val="00FA12F4"/>
    <w:rsid w:val="00FB7457"/>
    <w:rsid w:val="00FD170B"/>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3DF15"/>
  <w15:docId w15:val="{CFE07866-9E3D-4DD0-83E2-E0C2E9716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2FE4"/>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9D50AD"/>
    <w:pPr>
      <w:keepNext/>
      <w:tabs>
        <w:tab w:val="left" w:pos="2694"/>
      </w:tabs>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BC2FE4"/>
    <w:pPr>
      <w:spacing w:after="0" w:line="240" w:lineRule="auto"/>
    </w:pPr>
    <w:rPr>
      <w:rFonts w:ascii="Calibri" w:eastAsia="Calibri" w:hAnsi="Calibri" w:cs="Times New Roman"/>
      <w:lang w:eastAsia="en-US"/>
    </w:rPr>
  </w:style>
  <w:style w:type="character" w:customStyle="1" w:styleId="a4">
    <w:name w:val="Без интервала Знак"/>
    <w:link w:val="a3"/>
    <w:uiPriority w:val="1"/>
    <w:locked/>
    <w:rsid w:val="00BC2FE4"/>
    <w:rPr>
      <w:rFonts w:ascii="Calibri" w:eastAsia="Calibri" w:hAnsi="Calibri" w:cs="Times New Roman"/>
      <w:lang w:eastAsia="en-US"/>
    </w:rPr>
  </w:style>
  <w:style w:type="paragraph" w:customStyle="1" w:styleId="11">
    <w:name w:val="Стиль11"/>
    <w:basedOn w:val="a"/>
    <w:link w:val="110"/>
    <w:rsid w:val="00BC2FE4"/>
    <w:pPr>
      <w:widowControl w:val="0"/>
    </w:pPr>
  </w:style>
  <w:style w:type="character" w:customStyle="1" w:styleId="110">
    <w:name w:val="Стиль11 Знак"/>
    <w:link w:val="11"/>
    <w:locked/>
    <w:rsid w:val="00BC2FE4"/>
    <w:rPr>
      <w:rFonts w:ascii="Times New Roman" w:eastAsia="Times New Roman" w:hAnsi="Times New Roman" w:cs="Times New Roman"/>
      <w:sz w:val="28"/>
      <w:szCs w:val="20"/>
      <w:lang w:eastAsia="ru-RU"/>
    </w:rPr>
  </w:style>
  <w:style w:type="paragraph" w:styleId="a5">
    <w:name w:val="List Paragraph"/>
    <w:basedOn w:val="a"/>
    <w:uiPriority w:val="34"/>
    <w:qFormat/>
    <w:rsid w:val="00BC2FE4"/>
    <w:pPr>
      <w:ind w:left="720"/>
      <w:contextualSpacing/>
    </w:pPr>
  </w:style>
  <w:style w:type="character" w:customStyle="1" w:styleId="s0">
    <w:name w:val="s0"/>
    <w:uiPriority w:val="99"/>
    <w:rsid w:val="00BC2FE4"/>
    <w:rPr>
      <w:rFonts w:ascii="Times New Roman" w:hAnsi="Times New Roman" w:cs="Times New Roman" w:hint="default"/>
      <w:b w:val="0"/>
      <w:bCs w:val="0"/>
      <w:i w:val="0"/>
      <w:iCs w:val="0"/>
      <w:strike w:val="0"/>
      <w:dstrike w:val="0"/>
      <w:color w:val="000000"/>
      <w:sz w:val="32"/>
      <w:szCs w:val="32"/>
      <w:u w:val="none"/>
      <w:effect w:val="none"/>
    </w:rPr>
  </w:style>
  <w:style w:type="character" w:styleId="a6">
    <w:name w:val="annotation reference"/>
    <w:basedOn w:val="a0"/>
    <w:uiPriority w:val="99"/>
    <w:semiHidden/>
    <w:unhideWhenUsed/>
    <w:rsid w:val="00D7012B"/>
    <w:rPr>
      <w:sz w:val="16"/>
      <w:szCs w:val="16"/>
    </w:rPr>
  </w:style>
  <w:style w:type="paragraph" w:styleId="a7">
    <w:name w:val="annotation text"/>
    <w:basedOn w:val="a"/>
    <w:link w:val="a8"/>
    <w:uiPriority w:val="99"/>
    <w:semiHidden/>
    <w:unhideWhenUsed/>
    <w:rsid w:val="00D7012B"/>
    <w:rPr>
      <w:sz w:val="20"/>
    </w:rPr>
  </w:style>
  <w:style w:type="character" w:customStyle="1" w:styleId="a8">
    <w:name w:val="Текст примечания Знак"/>
    <w:basedOn w:val="a0"/>
    <w:link w:val="a7"/>
    <w:uiPriority w:val="99"/>
    <w:semiHidden/>
    <w:rsid w:val="00D7012B"/>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D7012B"/>
    <w:rPr>
      <w:b/>
      <w:bCs/>
    </w:rPr>
  </w:style>
  <w:style w:type="character" w:customStyle="1" w:styleId="aa">
    <w:name w:val="Тема примечания Знак"/>
    <w:basedOn w:val="a8"/>
    <w:link w:val="a9"/>
    <w:uiPriority w:val="99"/>
    <w:semiHidden/>
    <w:rsid w:val="00D7012B"/>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D7012B"/>
    <w:rPr>
      <w:rFonts w:ascii="Segoe UI" w:hAnsi="Segoe UI" w:cs="Segoe UI"/>
      <w:sz w:val="18"/>
      <w:szCs w:val="18"/>
    </w:rPr>
  </w:style>
  <w:style w:type="character" w:customStyle="1" w:styleId="ac">
    <w:name w:val="Текст выноски Знак"/>
    <w:basedOn w:val="a0"/>
    <w:link w:val="ab"/>
    <w:uiPriority w:val="99"/>
    <w:semiHidden/>
    <w:rsid w:val="00D7012B"/>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9D50AD"/>
    <w:rPr>
      <w:rFonts w:ascii="Times New Roman" w:eastAsia="Times New Roman" w:hAnsi="Times New Roman" w:cs="Times New Roman"/>
      <w:b/>
      <w:sz w:val="28"/>
      <w:szCs w:val="20"/>
      <w:lang w:eastAsia="ru-RU"/>
    </w:rPr>
  </w:style>
  <w:style w:type="character" w:customStyle="1" w:styleId="s1">
    <w:name w:val="s1"/>
    <w:basedOn w:val="a0"/>
    <w:rsid w:val="00C84C93"/>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187189">
      <w:bodyDiv w:val="1"/>
      <w:marLeft w:val="0"/>
      <w:marRight w:val="0"/>
      <w:marTop w:val="0"/>
      <w:marBottom w:val="0"/>
      <w:divBdr>
        <w:top w:val="none" w:sz="0" w:space="0" w:color="auto"/>
        <w:left w:val="none" w:sz="0" w:space="0" w:color="auto"/>
        <w:bottom w:val="none" w:sz="0" w:space="0" w:color="auto"/>
        <w:right w:val="none" w:sz="0" w:space="0" w:color="auto"/>
      </w:divBdr>
    </w:div>
    <w:div w:id="1668366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6</Pages>
  <Words>1667</Words>
  <Characters>9504</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11149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Ажар Омашева</dc:creator>
  <cp:lastModifiedBy>Ажар Омашева</cp:lastModifiedBy>
  <cp:revision>40</cp:revision>
  <dcterms:created xsi:type="dcterms:W3CDTF">2020-09-14T13:01:00Z</dcterms:created>
  <dcterms:modified xsi:type="dcterms:W3CDTF">2021-08-31T12:49:00Z</dcterms:modified>
</cp:coreProperties>
</file>