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31442" w14:textId="77777777" w:rsidR="005C33B9" w:rsidRPr="00D94F85" w:rsidRDefault="005C33B9" w:rsidP="005C33B9">
      <w:pPr>
        <w:jc w:val="center"/>
        <w:rPr>
          <w:rFonts w:ascii="Times New Roman" w:hAnsi="Times New Roman" w:cs="Times New Roman"/>
          <w:b/>
          <w:color w:val="000000" w:themeColor="text1"/>
          <w:sz w:val="28"/>
          <w:lang w:val="kk-KZ"/>
        </w:rPr>
      </w:pPr>
      <w:bookmarkStart w:id="0" w:name="_GoBack"/>
      <w:bookmarkEnd w:id="0"/>
      <w:permStart w:id="1508984234" w:edGrp="everyone"/>
      <w:permEnd w:id="1508984234"/>
      <w:r w:rsidRPr="00D94F85">
        <w:rPr>
          <w:rFonts w:ascii="Times New Roman" w:hAnsi="Times New Roman" w:cs="Times New Roman"/>
          <w:b/>
          <w:color w:val="000000" w:themeColor="text1"/>
          <w:sz w:val="28"/>
          <w:lang w:val="kk-KZ"/>
        </w:rPr>
        <w:t>Transition of microfinance organizations to international financial reporting standards</w:t>
      </w:r>
    </w:p>
    <w:p w14:paraId="014D1E84" w14:textId="6526ABD9" w:rsidR="00F87398" w:rsidRPr="00D94F85" w:rsidRDefault="00F87398" w:rsidP="00F87398">
      <w:pPr>
        <w:spacing w:after="0" w:line="240" w:lineRule="auto"/>
        <w:jc w:val="both"/>
        <w:rPr>
          <w:rFonts w:ascii="Times New Roman" w:hAnsi="Times New Roman" w:cs="Times New Roman"/>
          <w:color w:val="000000" w:themeColor="text1"/>
          <w:sz w:val="24"/>
          <w:lang w:val="kk-KZ"/>
        </w:rPr>
      </w:pPr>
    </w:p>
    <w:p w14:paraId="06986F38" w14:textId="77777777" w:rsidR="00F87398" w:rsidRPr="00D94F85" w:rsidRDefault="00F87398" w:rsidP="00F87398">
      <w:pPr>
        <w:spacing w:after="0" w:line="240" w:lineRule="auto"/>
        <w:ind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kk-KZ"/>
        </w:rPr>
        <w:t>From 1 January 2021, in acc</w:t>
      </w:r>
      <w:r w:rsidR="00803C7C" w:rsidRPr="00D94F85">
        <w:rPr>
          <w:rFonts w:ascii="Times New Roman" w:hAnsi="Times New Roman" w:cs="Times New Roman"/>
          <w:color w:val="000000" w:themeColor="text1"/>
          <w:sz w:val="24"/>
          <w:lang w:val="kk-KZ"/>
        </w:rPr>
        <w:t xml:space="preserve">ordance with the Law of the RK </w:t>
      </w:r>
      <w:r w:rsidR="00803C7C"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kk-KZ"/>
        </w:rPr>
        <w:t>On amendments and additions to some legislative acts of the Republic of Kazakhstan on issues of the restoration of economic growth</w:t>
      </w:r>
      <w:r w:rsidR="00803C7C"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kk-KZ"/>
        </w:rPr>
        <w:t xml:space="preserve"> (p. 36 </w:t>
      </w:r>
      <w:r w:rsidR="0057588F" w:rsidRPr="00D94F85">
        <w:rPr>
          <w:rFonts w:ascii="Times New Roman" w:hAnsi="Times New Roman" w:cs="Times New Roman"/>
          <w:color w:val="000000" w:themeColor="text1"/>
          <w:sz w:val="24"/>
          <w:lang w:val="en-US"/>
        </w:rPr>
        <w:t>A</w:t>
      </w:r>
      <w:r w:rsidRPr="00D94F85">
        <w:rPr>
          <w:rFonts w:ascii="Times New Roman" w:hAnsi="Times New Roman" w:cs="Times New Roman"/>
          <w:color w:val="000000" w:themeColor="text1"/>
          <w:sz w:val="24"/>
          <w:lang w:val="kk-KZ"/>
        </w:rPr>
        <w:t xml:space="preserve">. 1) the activity of organizations engaged in microfinance activities (hereinafter – </w:t>
      </w:r>
      <w:r w:rsidR="00803C7C" w:rsidRPr="00D94F85">
        <w:rPr>
          <w:rFonts w:ascii="Times New Roman" w:hAnsi="Times New Roman" w:cs="Times New Roman"/>
          <w:color w:val="000000" w:themeColor="text1"/>
          <w:sz w:val="24"/>
          <w:lang w:val="en-US"/>
        </w:rPr>
        <w:t>MFO</w:t>
      </w:r>
      <w:r w:rsidRPr="00D94F85">
        <w:rPr>
          <w:rFonts w:ascii="Times New Roman" w:hAnsi="Times New Roman" w:cs="Times New Roman"/>
          <w:color w:val="000000" w:themeColor="text1"/>
          <w:sz w:val="24"/>
          <w:lang w:val="kk-KZ"/>
        </w:rPr>
        <w:t>) refers to financial services.</w:t>
      </w:r>
    </w:p>
    <w:p w14:paraId="20EF72D7" w14:textId="595F91AE" w:rsidR="00803C7C" w:rsidRPr="00D94F85" w:rsidRDefault="0057588F" w:rsidP="00F87398">
      <w:pPr>
        <w:spacing w:after="0" w:line="240" w:lineRule="auto"/>
        <w:ind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kk-KZ"/>
        </w:rPr>
        <w:t xml:space="preserve">According to the Law of the Republic of Kazakhstan </w:t>
      </w:r>
      <w:r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kk-KZ"/>
        </w:rPr>
        <w:t>On Accounting and Financial Reporting</w:t>
      </w:r>
      <w:r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kk-KZ"/>
        </w:rPr>
        <w:t xml:space="preserve">, organizations providing financial services must maintain accounting records and prepare financial statements in accordance with International Financial Reporting Standards (hereinafter – IFRS) and regulatory legal acts of the National Bank of the Republic of Kazakhstan </w:t>
      </w:r>
      <w:r w:rsidR="003F3D5E" w:rsidRPr="00D94F85">
        <w:rPr>
          <w:rFonts w:ascii="Times New Roman" w:hAnsi="Times New Roman" w:cs="Times New Roman"/>
          <w:color w:val="000000" w:themeColor="text1"/>
          <w:sz w:val="24"/>
          <w:lang w:val="kk-KZ"/>
        </w:rPr>
        <w:t>on the issues of</w:t>
      </w:r>
      <w:r w:rsidRPr="00D94F85">
        <w:rPr>
          <w:rFonts w:ascii="Times New Roman" w:hAnsi="Times New Roman" w:cs="Times New Roman"/>
          <w:color w:val="000000" w:themeColor="text1"/>
          <w:sz w:val="24"/>
          <w:lang w:val="kk-KZ"/>
        </w:rPr>
        <w:t xml:space="preserve"> accounting and financial reporting (par</w:t>
      </w:r>
      <w:r w:rsidRPr="00D94F85">
        <w:rPr>
          <w:rFonts w:ascii="Times New Roman" w:hAnsi="Times New Roman" w:cs="Times New Roman"/>
          <w:color w:val="000000" w:themeColor="text1"/>
          <w:sz w:val="24"/>
          <w:lang w:val="en-US"/>
        </w:rPr>
        <w:t>t</w:t>
      </w:r>
      <w:r w:rsidRPr="00D94F85">
        <w:rPr>
          <w:rFonts w:ascii="Times New Roman" w:hAnsi="Times New Roman" w:cs="Times New Roman"/>
          <w:color w:val="000000" w:themeColor="text1"/>
          <w:sz w:val="24"/>
          <w:lang w:val="kk-KZ"/>
        </w:rPr>
        <w:t xml:space="preserve"> 2</w:t>
      </w:r>
      <w:r w:rsidRPr="00D94F85">
        <w:rPr>
          <w:rFonts w:ascii="Times New Roman" w:hAnsi="Times New Roman" w:cs="Times New Roman"/>
          <w:color w:val="000000" w:themeColor="text1"/>
          <w:sz w:val="24"/>
          <w:lang w:val="en-US"/>
        </w:rPr>
        <w:t xml:space="preserve"> of the </w:t>
      </w:r>
      <w:r w:rsidRPr="00D94F85">
        <w:rPr>
          <w:rFonts w:ascii="Times New Roman" w:hAnsi="Times New Roman" w:cs="Times New Roman"/>
          <w:color w:val="000000" w:themeColor="text1"/>
          <w:sz w:val="24"/>
          <w:lang w:val="kk-KZ"/>
        </w:rPr>
        <w:t>p 4, A 2).</w:t>
      </w:r>
      <w:r w:rsidRPr="00D94F85">
        <w:rPr>
          <w:lang w:val="en-US"/>
        </w:rPr>
        <w:t xml:space="preserve"> </w:t>
      </w:r>
      <w:r w:rsidRPr="00D94F85">
        <w:rPr>
          <w:rFonts w:ascii="Times New Roman" w:hAnsi="Times New Roman" w:cs="Times New Roman"/>
          <w:color w:val="000000" w:themeColor="text1"/>
          <w:sz w:val="24"/>
          <w:lang w:val="kk-KZ"/>
        </w:rPr>
        <w:t xml:space="preserve">Therefore, microfinance organizations </w:t>
      </w:r>
      <w:r w:rsidR="004E07FB" w:rsidRPr="00D94F85">
        <w:rPr>
          <w:rFonts w:ascii="Times New Roman" w:hAnsi="Times New Roman" w:cs="Times New Roman"/>
          <w:color w:val="000000" w:themeColor="text1"/>
          <w:sz w:val="24"/>
          <w:lang w:val="en-US"/>
        </w:rPr>
        <w:t>must</w:t>
      </w:r>
      <w:r w:rsidRPr="00D94F85">
        <w:rPr>
          <w:rFonts w:ascii="Times New Roman" w:hAnsi="Times New Roman" w:cs="Times New Roman"/>
          <w:color w:val="000000" w:themeColor="text1"/>
          <w:sz w:val="24"/>
          <w:lang w:val="kk-KZ"/>
        </w:rPr>
        <w:t xml:space="preserve"> carry out comprehensive work on the transition to IFRS and the application of regulatory legal acts of the National Bank of the Republic of Kazakhstan on accounting and financial reporting.</w:t>
      </w:r>
    </w:p>
    <w:p w14:paraId="1D15699F" w14:textId="77777777" w:rsidR="0057588F" w:rsidRPr="00D94F85" w:rsidRDefault="0057588F" w:rsidP="00F87398">
      <w:pPr>
        <w:spacing w:after="0" w:line="240" w:lineRule="auto"/>
        <w:ind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kk-KZ"/>
        </w:rPr>
        <w:t>The regulatory legal acts of the National Bank of the Republic of Kazakhstan on the regulation of the activities of microfinance organizations on the issues of accounting and financial reporting include:</w:t>
      </w:r>
    </w:p>
    <w:p w14:paraId="5981C633" w14:textId="740D6535" w:rsidR="0057588F" w:rsidRPr="00D94F85" w:rsidRDefault="00293E3D" w:rsidP="00FA2552">
      <w:pPr>
        <w:pStyle w:val="a4"/>
        <w:numPr>
          <w:ilvl w:val="0"/>
          <w:numId w:val="35"/>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b/>
          <w:color w:val="000000" w:themeColor="text1"/>
          <w:sz w:val="24"/>
          <w:lang w:val="en-US"/>
        </w:rPr>
        <w:t>General</w:t>
      </w:r>
      <w:r w:rsidR="00493AF9" w:rsidRPr="00D94F85">
        <w:rPr>
          <w:rFonts w:ascii="Times New Roman" w:hAnsi="Times New Roman" w:cs="Times New Roman"/>
          <w:b/>
          <w:color w:val="000000" w:themeColor="text1"/>
          <w:sz w:val="24"/>
          <w:lang w:val="en-US"/>
        </w:rPr>
        <w:t xml:space="preserve"> </w:t>
      </w:r>
      <w:r w:rsidR="00FA2552" w:rsidRPr="00D94F85">
        <w:rPr>
          <w:rFonts w:ascii="Times New Roman" w:hAnsi="Times New Roman" w:cs="Times New Roman"/>
          <w:b/>
          <w:color w:val="000000" w:themeColor="text1"/>
          <w:sz w:val="24"/>
          <w:lang w:val="kk-KZ"/>
        </w:rPr>
        <w:t>chart of accounts</w:t>
      </w:r>
      <w:r w:rsidR="00FA2552" w:rsidRPr="00D94F85">
        <w:rPr>
          <w:rFonts w:ascii="Times New Roman" w:hAnsi="Times New Roman" w:cs="Times New Roman"/>
          <w:color w:val="000000" w:themeColor="text1"/>
          <w:sz w:val="24"/>
          <w:lang w:val="kk-KZ"/>
        </w:rPr>
        <w:t xml:space="preserve"> for individual subjects of the financial market of the Republic of Kazakhstan, approved by Resolution No. 79 of the Board of the National Bank of the Republic of Kazakhstan dated September 22, 2008</w:t>
      </w:r>
      <w:r w:rsidR="00FA2552" w:rsidRPr="00D94F85">
        <w:rPr>
          <w:rFonts w:ascii="Times New Roman" w:hAnsi="Times New Roman" w:cs="Times New Roman"/>
          <w:color w:val="000000" w:themeColor="text1"/>
          <w:sz w:val="24"/>
          <w:lang w:val="en-US"/>
        </w:rPr>
        <w:t>;</w:t>
      </w:r>
    </w:p>
    <w:p w14:paraId="629D7505" w14:textId="77777777" w:rsidR="00FA2552" w:rsidRPr="00D94F85" w:rsidRDefault="00FA2552" w:rsidP="00FA2552">
      <w:pPr>
        <w:pStyle w:val="a4"/>
        <w:numPr>
          <w:ilvl w:val="0"/>
          <w:numId w:val="35"/>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b/>
          <w:color w:val="000000" w:themeColor="text1"/>
          <w:sz w:val="24"/>
          <w:lang w:val="kk-KZ"/>
        </w:rPr>
        <w:t>Instructions on accounting</w:t>
      </w:r>
      <w:r w:rsidRPr="00D94F85">
        <w:rPr>
          <w:rFonts w:ascii="Times New Roman" w:hAnsi="Times New Roman" w:cs="Times New Roman"/>
          <w:color w:val="000000" w:themeColor="text1"/>
          <w:sz w:val="24"/>
          <w:lang w:val="kk-KZ"/>
        </w:rPr>
        <w:t xml:space="preserve"> by </w:t>
      </w:r>
      <w:r w:rsidR="009046E6" w:rsidRPr="00D94F85">
        <w:rPr>
          <w:rFonts w:ascii="Times New Roman" w:hAnsi="Times New Roman" w:cs="Times New Roman"/>
          <w:color w:val="000000" w:themeColor="text1"/>
          <w:sz w:val="24"/>
          <w:lang w:val="en-US"/>
        </w:rPr>
        <w:t>specific</w:t>
      </w:r>
      <w:r w:rsidRPr="00D94F85">
        <w:rPr>
          <w:rFonts w:ascii="Times New Roman" w:hAnsi="Times New Roman" w:cs="Times New Roman"/>
          <w:color w:val="000000" w:themeColor="text1"/>
          <w:sz w:val="24"/>
          <w:lang w:val="kk-KZ"/>
        </w:rPr>
        <w:t xml:space="preserve"> entities</w:t>
      </w:r>
      <w:r w:rsidR="009046E6" w:rsidRPr="00D94F85">
        <w:rPr>
          <w:rFonts w:ascii="Times New Roman" w:hAnsi="Times New Roman" w:cs="Times New Roman"/>
          <w:color w:val="000000" w:themeColor="text1"/>
          <w:sz w:val="24"/>
          <w:lang w:val="en-US"/>
        </w:rPr>
        <w:t xml:space="preserve"> of </w:t>
      </w:r>
      <w:r w:rsidR="009046E6" w:rsidRPr="00D94F85">
        <w:rPr>
          <w:rFonts w:ascii="Times New Roman" w:hAnsi="Times New Roman" w:cs="Times New Roman"/>
          <w:color w:val="000000" w:themeColor="text1"/>
          <w:sz w:val="24"/>
          <w:lang w:val="kk-KZ"/>
        </w:rPr>
        <w:t>financial market</w:t>
      </w:r>
      <w:r w:rsidRPr="00D94F85">
        <w:rPr>
          <w:rFonts w:ascii="Times New Roman" w:hAnsi="Times New Roman" w:cs="Times New Roman"/>
          <w:color w:val="000000" w:themeColor="text1"/>
          <w:sz w:val="24"/>
          <w:lang w:val="kk-KZ"/>
        </w:rPr>
        <w:t xml:space="preserve">, </w:t>
      </w:r>
      <w:r w:rsidR="009046E6" w:rsidRPr="00D94F85">
        <w:rPr>
          <w:rFonts w:ascii="Times New Roman" w:hAnsi="Times New Roman" w:cs="Times New Roman"/>
          <w:color w:val="000000" w:themeColor="text1"/>
          <w:sz w:val="24"/>
          <w:lang w:val="kk-KZ"/>
        </w:rPr>
        <w:br/>
      </w:r>
      <w:r w:rsidRPr="00D94F85">
        <w:rPr>
          <w:rFonts w:ascii="Times New Roman" w:hAnsi="Times New Roman" w:cs="Times New Roman"/>
          <w:color w:val="000000" w:themeColor="text1"/>
          <w:sz w:val="24"/>
          <w:lang w:val="kk-KZ"/>
        </w:rPr>
        <w:t>approved by Resolution No. 68 of the Board of the National Bank of the Republic of Kazakhstan dated July 1, 2011</w:t>
      </w:r>
      <w:r w:rsidRPr="00D94F85">
        <w:rPr>
          <w:rFonts w:ascii="Times New Roman" w:hAnsi="Times New Roman" w:cs="Times New Roman"/>
          <w:color w:val="000000" w:themeColor="text1"/>
          <w:sz w:val="24"/>
          <w:lang w:val="en-US"/>
        </w:rPr>
        <w:t>;</w:t>
      </w:r>
      <w:r w:rsidR="009046E6" w:rsidRPr="00D94F85">
        <w:rPr>
          <w:rFonts w:ascii="Times New Roman" w:hAnsi="Times New Roman" w:cs="Times New Roman"/>
          <w:color w:val="000000" w:themeColor="text1"/>
          <w:sz w:val="24"/>
          <w:lang w:val="en-US"/>
        </w:rPr>
        <w:t xml:space="preserve"> </w:t>
      </w:r>
    </w:p>
    <w:p w14:paraId="4D9F24EC" w14:textId="77777777" w:rsidR="00FA2552" w:rsidRPr="00D94F85" w:rsidRDefault="00FA2552" w:rsidP="00FA2552">
      <w:pPr>
        <w:pStyle w:val="a4"/>
        <w:numPr>
          <w:ilvl w:val="0"/>
          <w:numId w:val="35"/>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b/>
          <w:color w:val="000000" w:themeColor="text1"/>
          <w:sz w:val="24"/>
          <w:lang w:val="kk-KZ"/>
        </w:rPr>
        <w:t>Rules for the presentation of financial statements</w:t>
      </w:r>
      <w:r w:rsidRPr="00D94F85">
        <w:rPr>
          <w:rFonts w:ascii="Times New Roman" w:hAnsi="Times New Roman" w:cs="Times New Roman"/>
          <w:color w:val="000000" w:themeColor="text1"/>
          <w:sz w:val="24"/>
          <w:lang w:val="kk-KZ"/>
        </w:rPr>
        <w:t xml:space="preserve"> by financial Organizations and Organizations Engaged in Microfinance Activities, approved by Resolution No. 41 of the Board of the National Bank of the Republic of Kazakhstan dated January 28, 2016</w:t>
      </w:r>
      <w:r w:rsidRPr="00D94F85">
        <w:rPr>
          <w:rFonts w:ascii="Times New Roman" w:hAnsi="Times New Roman" w:cs="Times New Roman"/>
          <w:color w:val="000000" w:themeColor="text1"/>
          <w:sz w:val="24"/>
          <w:lang w:val="en-US"/>
        </w:rPr>
        <w:t>;</w:t>
      </w:r>
    </w:p>
    <w:p w14:paraId="6D583EFC" w14:textId="77777777" w:rsidR="00FA2552" w:rsidRPr="00D94F85" w:rsidRDefault="00FA2552" w:rsidP="00FA2552">
      <w:pPr>
        <w:pStyle w:val="a4"/>
        <w:numPr>
          <w:ilvl w:val="0"/>
          <w:numId w:val="35"/>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b/>
          <w:color w:val="000000" w:themeColor="text1"/>
          <w:sz w:val="24"/>
          <w:lang w:val="kk-KZ"/>
        </w:rPr>
        <w:t>Rules of automation of accounting</w:t>
      </w:r>
      <w:r w:rsidRPr="00D94F85">
        <w:rPr>
          <w:rFonts w:ascii="Times New Roman" w:hAnsi="Times New Roman" w:cs="Times New Roman"/>
          <w:color w:val="000000" w:themeColor="text1"/>
          <w:sz w:val="24"/>
          <w:lang w:val="kk-KZ"/>
        </w:rPr>
        <w:t>, approved by the Resolution of the Board of the National Bank of the Republic of Kazakhstan dated March 27, 2017 No. 47</w:t>
      </w:r>
      <w:r w:rsidRPr="00D94F85">
        <w:rPr>
          <w:rFonts w:ascii="Times New Roman" w:hAnsi="Times New Roman" w:cs="Times New Roman"/>
          <w:color w:val="000000" w:themeColor="text1"/>
          <w:sz w:val="24"/>
          <w:lang w:val="en-US"/>
        </w:rPr>
        <w:t>.</w:t>
      </w:r>
    </w:p>
    <w:p w14:paraId="5E8BF226" w14:textId="7B09574E" w:rsidR="002D2497" w:rsidRPr="00D94F85" w:rsidRDefault="00FA2552" w:rsidP="00FA2552">
      <w:pPr>
        <w:spacing w:after="0" w:line="240" w:lineRule="auto"/>
        <w:ind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en-US"/>
        </w:rPr>
        <w:t xml:space="preserve">In transition </w:t>
      </w:r>
      <w:r w:rsidRPr="00D94F85">
        <w:rPr>
          <w:rFonts w:ascii="Times New Roman" w:hAnsi="Times New Roman" w:cs="Times New Roman"/>
          <w:color w:val="000000" w:themeColor="text1"/>
          <w:sz w:val="24"/>
          <w:lang w:val="kk-KZ"/>
        </w:rPr>
        <w:t xml:space="preserve">to IFRS, microfinance organizations </w:t>
      </w:r>
      <w:r w:rsidR="00214708" w:rsidRPr="00D94F85">
        <w:rPr>
          <w:rFonts w:ascii="Times New Roman" w:hAnsi="Times New Roman" w:cs="Times New Roman"/>
          <w:color w:val="000000" w:themeColor="text1"/>
          <w:sz w:val="24"/>
          <w:lang w:val="en-US"/>
        </w:rPr>
        <w:t>must</w:t>
      </w:r>
      <w:r w:rsidRPr="00D94F85">
        <w:rPr>
          <w:rFonts w:ascii="Times New Roman" w:hAnsi="Times New Roman" w:cs="Times New Roman"/>
          <w:color w:val="000000" w:themeColor="text1"/>
          <w:sz w:val="24"/>
          <w:lang w:val="kk-KZ"/>
        </w:rPr>
        <w:t xml:space="preserve"> be guided by the standards of IFRS 1 </w:t>
      </w:r>
      <w:r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kk-KZ"/>
        </w:rPr>
        <w:t>First Application of IFRS</w:t>
      </w:r>
      <w:r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kk-KZ"/>
        </w:rPr>
        <w:t xml:space="preserve"> (hereinafter referred to as IFRS 1).</w:t>
      </w:r>
    </w:p>
    <w:p w14:paraId="055A64A9" w14:textId="77777777" w:rsidR="002D2497" w:rsidRPr="00D94F85" w:rsidRDefault="00FA2552" w:rsidP="00FA2552">
      <w:pPr>
        <w:spacing w:after="0" w:line="240" w:lineRule="auto"/>
        <w:ind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In accordance with paragraph 21 of IFRS 1, an entity's first financial statements under IFRS must include at least</w:t>
      </w:r>
      <w:r w:rsidR="002D2497" w:rsidRPr="00D94F85">
        <w:rPr>
          <w:rFonts w:ascii="Times New Roman" w:hAnsi="Times New Roman" w:cs="Times New Roman"/>
          <w:color w:val="000000" w:themeColor="text1"/>
          <w:sz w:val="24"/>
          <w:lang w:val="en-US"/>
        </w:rPr>
        <w:t>:</w:t>
      </w:r>
    </w:p>
    <w:p w14:paraId="5BCA9F2A" w14:textId="0748E301" w:rsidR="002D2497" w:rsidRPr="00D94F85" w:rsidRDefault="00FA2552" w:rsidP="002D2497">
      <w:pPr>
        <w:pStyle w:val="a4"/>
        <w:numPr>
          <w:ilvl w:val="0"/>
          <w:numId w:val="40"/>
        </w:numPr>
        <w:spacing w:after="0" w:line="240" w:lineRule="auto"/>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three statements of financial position</w:t>
      </w:r>
      <w:r w:rsidR="002D2497" w:rsidRPr="00D94F85">
        <w:rPr>
          <w:rFonts w:ascii="Times New Roman" w:hAnsi="Times New Roman" w:cs="Times New Roman"/>
          <w:color w:val="000000" w:themeColor="text1"/>
          <w:sz w:val="24"/>
          <w:lang w:val="en-US"/>
        </w:rPr>
        <w:t>;</w:t>
      </w:r>
    </w:p>
    <w:p w14:paraId="47D58ABC" w14:textId="77777777" w:rsidR="002D2497" w:rsidRPr="00D94F85" w:rsidRDefault="00FA2552" w:rsidP="002D2497">
      <w:pPr>
        <w:pStyle w:val="a4"/>
        <w:numPr>
          <w:ilvl w:val="0"/>
          <w:numId w:val="40"/>
        </w:numPr>
        <w:spacing w:after="0" w:line="240" w:lineRule="auto"/>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 two statements of profit or loss and other comprehensive income</w:t>
      </w:r>
      <w:r w:rsidR="002D2497" w:rsidRPr="00D94F85">
        <w:rPr>
          <w:rFonts w:ascii="Times New Roman" w:hAnsi="Times New Roman" w:cs="Times New Roman"/>
          <w:color w:val="000000" w:themeColor="text1"/>
          <w:sz w:val="24"/>
          <w:lang w:val="en-US"/>
        </w:rPr>
        <w:t>;</w:t>
      </w:r>
    </w:p>
    <w:p w14:paraId="18CF6E2B" w14:textId="77777777" w:rsidR="002D2497" w:rsidRPr="00D94F85" w:rsidRDefault="00FA2552" w:rsidP="002D2497">
      <w:pPr>
        <w:pStyle w:val="a4"/>
        <w:numPr>
          <w:ilvl w:val="0"/>
          <w:numId w:val="40"/>
        </w:numPr>
        <w:spacing w:after="0" w:line="240" w:lineRule="auto"/>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 two separate statements of profit or loss (if any)</w:t>
      </w:r>
      <w:r w:rsidR="002D2497" w:rsidRPr="00D94F85">
        <w:rPr>
          <w:rFonts w:ascii="Times New Roman" w:hAnsi="Times New Roman" w:cs="Times New Roman"/>
          <w:color w:val="000000" w:themeColor="text1"/>
          <w:sz w:val="24"/>
          <w:lang w:val="en-US"/>
        </w:rPr>
        <w:t>;</w:t>
      </w:r>
    </w:p>
    <w:p w14:paraId="5E7E706F" w14:textId="77777777" w:rsidR="002D2497" w:rsidRPr="00D94F85" w:rsidRDefault="00FA2552" w:rsidP="002D2497">
      <w:pPr>
        <w:pStyle w:val="a4"/>
        <w:numPr>
          <w:ilvl w:val="0"/>
          <w:numId w:val="40"/>
        </w:numPr>
        <w:spacing w:after="0" w:line="240" w:lineRule="auto"/>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 two statements of cash flows</w:t>
      </w:r>
      <w:r w:rsidR="002D2497" w:rsidRPr="00D94F85">
        <w:rPr>
          <w:rFonts w:ascii="Times New Roman" w:hAnsi="Times New Roman" w:cs="Times New Roman"/>
          <w:color w:val="000000" w:themeColor="text1"/>
          <w:sz w:val="24"/>
          <w:lang w:val="en-US"/>
        </w:rPr>
        <w:t>;</w:t>
      </w:r>
    </w:p>
    <w:p w14:paraId="719C9C9B" w14:textId="77777777" w:rsidR="002D2497" w:rsidRPr="00D94F85" w:rsidRDefault="00FA2552" w:rsidP="002D2497">
      <w:pPr>
        <w:pStyle w:val="a4"/>
        <w:numPr>
          <w:ilvl w:val="0"/>
          <w:numId w:val="40"/>
        </w:numPr>
        <w:spacing w:after="0" w:line="240" w:lineRule="auto"/>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 two statements of changes in equity, </w:t>
      </w:r>
    </w:p>
    <w:p w14:paraId="6D752DCC" w14:textId="33AC3C93" w:rsidR="00FA2552" w:rsidRPr="00D94F85" w:rsidRDefault="00FA2552" w:rsidP="002D2497">
      <w:pPr>
        <w:pStyle w:val="a4"/>
        <w:spacing w:after="0" w:line="240" w:lineRule="auto"/>
        <w:ind w:left="106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and related notes, including comparative information for all the statements presented.</w:t>
      </w:r>
    </w:p>
    <w:p w14:paraId="1183E0C0" w14:textId="77777777" w:rsidR="009334CD" w:rsidRPr="00D94F85" w:rsidRDefault="009334CD" w:rsidP="00F87398">
      <w:pPr>
        <w:spacing w:after="0" w:line="240" w:lineRule="auto"/>
        <w:ind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kk-KZ"/>
        </w:rPr>
        <w:t>Thus, schematically, the reporting process for the transition to IFRS is as follows (Figure 1):</w:t>
      </w:r>
    </w:p>
    <w:p w14:paraId="492E7E69" w14:textId="77777777" w:rsidR="005E1C2B" w:rsidRPr="00D94F85" w:rsidRDefault="005E1C2B" w:rsidP="005E1C2B">
      <w:pPr>
        <w:spacing w:before="120" w:after="0" w:line="240" w:lineRule="auto"/>
        <w:ind w:right="283"/>
        <w:jc w:val="right"/>
        <w:rPr>
          <w:rFonts w:ascii="Times New Roman" w:hAnsi="Times New Roman" w:cs="Times New Roman"/>
          <w:i/>
          <w:lang w:val="en-US"/>
        </w:rPr>
      </w:pPr>
      <w:r w:rsidRPr="00D94F85">
        <w:rPr>
          <w:rFonts w:ascii="Times New Roman" w:hAnsi="Times New Roman" w:cs="Times New Roman"/>
          <w:i/>
          <w:lang w:val="en-US"/>
        </w:rPr>
        <w:t>Figure 1. Preparation of MFO reports during the transition to IFRS</w:t>
      </w:r>
    </w:p>
    <w:p w14:paraId="17B45338" w14:textId="77777777" w:rsidR="005E1C2B" w:rsidRPr="00D94F85" w:rsidRDefault="005E1C2B" w:rsidP="005E1C2B">
      <w:pPr>
        <w:spacing w:before="120" w:after="0" w:line="240" w:lineRule="auto"/>
        <w:ind w:right="283"/>
        <w:jc w:val="right"/>
        <w:rPr>
          <w:rFonts w:ascii="Times New Roman" w:hAnsi="Times New Roman" w:cs="Times New Roman"/>
          <w:lang w:val="en-US"/>
        </w:rPr>
      </w:pPr>
      <w:r w:rsidRPr="00D94F85">
        <w:rPr>
          <w:rFonts w:ascii="Times New Roman" w:hAnsi="Times New Roman" w:cs="Times New Roman"/>
          <w:noProof/>
          <w:lang w:eastAsia="ru-RU"/>
        </w:rPr>
        <w:drawing>
          <wp:inline distT="0" distB="0" distL="0" distR="0" wp14:anchorId="5FB866DE" wp14:editId="14792DA9">
            <wp:extent cx="6059170" cy="1241946"/>
            <wp:effectExtent l="0" t="0" r="3683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BE95359" w14:textId="77777777" w:rsidR="005E1C2B" w:rsidRPr="00D94F85" w:rsidRDefault="005E1C2B" w:rsidP="00F87398">
      <w:pPr>
        <w:spacing w:after="0" w:line="240" w:lineRule="auto"/>
        <w:ind w:firstLine="709"/>
        <w:jc w:val="both"/>
        <w:rPr>
          <w:rFonts w:ascii="Times New Roman" w:hAnsi="Times New Roman" w:cs="Times New Roman"/>
          <w:color w:val="000000" w:themeColor="text1"/>
          <w:sz w:val="24"/>
          <w:lang w:val="kk-KZ"/>
        </w:rPr>
      </w:pPr>
    </w:p>
    <w:p w14:paraId="412F6C87" w14:textId="77777777" w:rsidR="00105C7B" w:rsidRPr="00D94F85" w:rsidRDefault="00105C7B" w:rsidP="00F87398">
      <w:pPr>
        <w:spacing w:after="0" w:line="240" w:lineRule="auto"/>
        <w:ind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kk-KZ"/>
        </w:rPr>
        <w:t>In general, the process of transition to IFRS for MF</w:t>
      </w:r>
      <w:r w:rsidR="00E24DCF" w:rsidRPr="00D94F85">
        <w:rPr>
          <w:rFonts w:ascii="Times New Roman" w:hAnsi="Times New Roman" w:cs="Times New Roman"/>
          <w:color w:val="000000" w:themeColor="text1"/>
          <w:sz w:val="24"/>
          <w:lang w:val="en-US"/>
        </w:rPr>
        <w:t>O</w:t>
      </w:r>
      <w:r w:rsidRPr="00D94F85">
        <w:rPr>
          <w:rFonts w:ascii="Times New Roman" w:hAnsi="Times New Roman" w:cs="Times New Roman"/>
          <w:color w:val="000000" w:themeColor="text1"/>
          <w:sz w:val="24"/>
          <w:lang w:val="kk-KZ"/>
        </w:rPr>
        <w:t>s provides for:</w:t>
      </w:r>
    </w:p>
    <w:p w14:paraId="53633FCC" w14:textId="77777777" w:rsidR="00E24DCF" w:rsidRPr="00D94F85" w:rsidRDefault="00E24DCF" w:rsidP="002D44C2">
      <w:pPr>
        <w:pStyle w:val="a4"/>
        <w:numPr>
          <w:ilvl w:val="0"/>
          <w:numId w:val="37"/>
        </w:numPr>
        <w:tabs>
          <w:tab w:val="left" w:pos="993"/>
        </w:tabs>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kk-KZ"/>
        </w:rPr>
        <w:t>Development of the accounting policy of the MF</w:t>
      </w:r>
      <w:r w:rsidRPr="00D94F85">
        <w:rPr>
          <w:rFonts w:ascii="Times New Roman" w:hAnsi="Times New Roman" w:cs="Times New Roman"/>
          <w:color w:val="000000" w:themeColor="text1"/>
          <w:sz w:val="24"/>
          <w:lang w:val="en-US"/>
        </w:rPr>
        <w:t>O</w:t>
      </w:r>
      <w:r w:rsidRPr="00D94F85">
        <w:rPr>
          <w:rFonts w:ascii="Times New Roman" w:hAnsi="Times New Roman" w:cs="Times New Roman"/>
          <w:color w:val="000000" w:themeColor="text1"/>
          <w:sz w:val="24"/>
          <w:lang w:val="kk-KZ"/>
        </w:rPr>
        <w:t xml:space="preserve"> - determination of the principles that will be used in the preparation of financial statements in accordance with IFRS</w:t>
      </w:r>
      <w:r w:rsidRPr="00D94F85">
        <w:rPr>
          <w:rFonts w:ascii="Times New Roman" w:hAnsi="Times New Roman" w:cs="Times New Roman"/>
          <w:color w:val="000000" w:themeColor="text1"/>
          <w:sz w:val="24"/>
          <w:lang w:val="en-US"/>
        </w:rPr>
        <w:t>.</w:t>
      </w:r>
    </w:p>
    <w:p w14:paraId="21935D43" w14:textId="147CA313" w:rsidR="00E24DCF" w:rsidRPr="00D94F85" w:rsidRDefault="003776BB" w:rsidP="002D44C2">
      <w:pPr>
        <w:pStyle w:val="a4"/>
        <w:numPr>
          <w:ilvl w:val="0"/>
          <w:numId w:val="37"/>
        </w:numPr>
        <w:tabs>
          <w:tab w:val="left" w:pos="993"/>
        </w:tabs>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lastRenderedPageBreak/>
        <w:t xml:space="preserve">Determination of the need to apply the </w:t>
      </w:r>
      <w:r w:rsidR="00293E3D"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voluntary</w:t>
      </w:r>
      <w:r w:rsidR="00293E3D"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 xml:space="preserve"> exceptions</w:t>
      </w:r>
      <w:r w:rsidR="00573951" w:rsidRPr="00D94F85">
        <w:rPr>
          <w:rStyle w:val="a9"/>
          <w:rFonts w:ascii="Times New Roman" w:hAnsi="Times New Roman" w:cs="Times New Roman"/>
          <w:color w:val="000000" w:themeColor="text1"/>
          <w:sz w:val="24"/>
          <w:lang w:val="en-US"/>
        </w:rPr>
        <w:footnoteReference w:id="1"/>
      </w:r>
      <w:r w:rsidRPr="00D94F85">
        <w:rPr>
          <w:rFonts w:ascii="Times New Roman" w:hAnsi="Times New Roman" w:cs="Times New Roman"/>
          <w:color w:val="000000" w:themeColor="text1"/>
          <w:sz w:val="24"/>
          <w:lang w:val="en-US"/>
        </w:rPr>
        <w:t xml:space="preserve"> provided for in paragraph D1 of IFRS 1.</w:t>
      </w:r>
    </w:p>
    <w:p w14:paraId="2D6D9940" w14:textId="77777777" w:rsidR="003776BB" w:rsidRPr="00D94F85" w:rsidRDefault="003776BB" w:rsidP="002D44C2">
      <w:pPr>
        <w:pStyle w:val="a4"/>
        <w:numPr>
          <w:ilvl w:val="0"/>
          <w:numId w:val="37"/>
        </w:numPr>
        <w:tabs>
          <w:tab w:val="left" w:pos="993"/>
        </w:tabs>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Applying the </w:t>
      </w:r>
      <w:r w:rsidR="00573951"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mandatory</w:t>
      </w:r>
      <w:r w:rsidR="00573951"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 xml:space="preserve"> exceptions</w:t>
      </w:r>
      <w:r w:rsidR="00573951" w:rsidRPr="00D94F85">
        <w:rPr>
          <w:rStyle w:val="a9"/>
          <w:rFonts w:ascii="Times New Roman" w:hAnsi="Times New Roman" w:cs="Times New Roman"/>
          <w:color w:val="000000" w:themeColor="text1"/>
          <w:sz w:val="24"/>
          <w:lang w:val="en-US"/>
        </w:rPr>
        <w:footnoteReference w:id="2"/>
      </w:r>
      <w:r w:rsidRPr="00D94F85">
        <w:rPr>
          <w:rFonts w:ascii="Times New Roman" w:hAnsi="Times New Roman" w:cs="Times New Roman"/>
          <w:color w:val="000000" w:themeColor="text1"/>
          <w:sz w:val="24"/>
          <w:lang w:val="en-US"/>
        </w:rPr>
        <w:t xml:space="preserve"> described in paragraph B1 of IFRS 1.</w:t>
      </w:r>
    </w:p>
    <w:p w14:paraId="609CF1C8" w14:textId="77777777" w:rsidR="003776BB" w:rsidRPr="00D94F85" w:rsidRDefault="003776BB" w:rsidP="002D44C2">
      <w:pPr>
        <w:pStyle w:val="a4"/>
        <w:numPr>
          <w:ilvl w:val="0"/>
          <w:numId w:val="37"/>
        </w:numPr>
        <w:tabs>
          <w:tab w:val="left" w:pos="993"/>
        </w:tabs>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en-US"/>
        </w:rPr>
        <w:t xml:space="preserve">Preparation of the </w:t>
      </w:r>
      <w:r w:rsidR="003E25E6" w:rsidRPr="00D94F85">
        <w:rPr>
          <w:rFonts w:ascii="Times New Roman" w:hAnsi="Times New Roman" w:cs="Times New Roman"/>
          <w:color w:val="000000" w:themeColor="text1"/>
          <w:sz w:val="24"/>
          <w:lang w:val="en-US"/>
        </w:rPr>
        <w:t xml:space="preserve">opening </w:t>
      </w:r>
      <w:r w:rsidRPr="00D94F85">
        <w:rPr>
          <w:rFonts w:ascii="Times New Roman" w:hAnsi="Times New Roman" w:cs="Times New Roman"/>
          <w:color w:val="000000" w:themeColor="text1"/>
          <w:sz w:val="24"/>
          <w:lang w:val="en-US"/>
        </w:rPr>
        <w:t>report (balance sheet) on the date of transition to IFRS.</w:t>
      </w:r>
    </w:p>
    <w:p w14:paraId="7FF47512" w14:textId="179FA5D6" w:rsidR="00C07CFD" w:rsidRPr="00D94F85" w:rsidRDefault="00C07CFD" w:rsidP="00C07CFD">
      <w:pPr>
        <w:tabs>
          <w:tab w:val="left" w:pos="993"/>
        </w:tabs>
        <w:spacing w:after="0" w:line="240" w:lineRule="auto"/>
        <w:ind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kk-KZ"/>
        </w:rPr>
        <w:t xml:space="preserve">When preparing an </w:t>
      </w:r>
      <w:r w:rsidR="003E25E6" w:rsidRPr="00D94F85">
        <w:rPr>
          <w:rFonts w:ascii="Times New Roman" w:hAnsi="Times New Roman" w:cs="Times New Roman"/>
          <w:color w:val="000000" w:themeColor="text1"/>
          <w:sz w:val="24"/>
          <w:lang w:val="en-US"/>
        </w:rPr>
        <w:t xml:space="preserve">opening </w:t>
      </w:r>
      <w:r w:rsidRPr="00D94F85">
        <w:rPr>
          <w:rFonts w:ascii="Times New Roman" w:hAnsi="Times New Roman" w:cs="Times New Roman"/>
          <w:color w:val="000000" w:themeColor="text1"/>
          <w:sz w:val="24"/>
          <w:lang w:val="kk-KZ"/>
        </w:rPr>
        <w:t>statement of financial position under IFRS</w:t>
      </w:r>
      <w:r w:rsidRPr="00D94F85">
        <w:rPr>
          <w:rFonts w:ascii="Times New Roman" w:hAnsi="Times New Roman" w:cs="Times New Roman"/>
          <w:color w:val="000000" w:themeColor="text1"/>
          <w:sz w:val="24"/>
          <w:lang w:val="en-US"/>
        </w:rPr>
        <w:t>,</w:t>
      </w:r>
      <w:r w:rsidRPr="00D94F85">
        <w:rPr>
          <w:lang w:val="en-US"/>
        </w:rPr>
        <w:t xml:space="preserve"> </w:t>
      </w:r>
      <w:r w:rsidRPr="00D94F85">
        <w:rPr>
          <w:rFonts w:ascii="Times New Roman" w:hAnsi="Times New Roman" w:cs="Times New Roman"/>
          <w:color w:val="000000" w:themeColor="text1"/>
          <w:sz w:val="24"/>
          <w:lang w:val="kk-KZ"/>
        </w:rPr>
        <w:t>with the exceptions set out in paragraphs</w:t>
      </w:r>
      <w:r w:rsidRPr="00D94F85">
        <w:rPr>
          <w:lang w:val="en-US"/>
        </w:rPr>
        <w:t xml:space="preserve"> </w:t>
      </w:r>
      <w:r w:rsidRPr="00D94F85">
        <w:rPr>
          <w:rFonts w:ascii="Times New Roman" w:hAnsi="Times New Roman" w:cs="Times New Roman"/>
          <w:color w:val="000000" w:themeColor="text1"/>
          <w:sz w:val="24"/>
          <w:lang w:val="kk-KZ"/>
        </w:rPr>
        <w:t>13-19 and Annexes B-E of IFRS 1, MF</w:t>
      </w:r>
      <w:r w:rsidRPr="00D94F85">
        <w:rPr>
          <w:rFonts w:ascii="Times New Roman" w:hAnsi="Times New Roman" w:cs="Times New Roman"/>
          <w:color w:val="000000" w:themeColor="text1"/>
          <w:sz w:val="24"/>
          <w:lang w:val="en-US"/>
        </w:rPr>
        <w:t>O</w:t>
      </w:r>
      <w:r w:rsidRPr="00D94F85">
        <w:rPr>
          <w:rFonts w:ascii="Times New Roman" w:hAnsi="Times New Roman" w:cs="Times New Roman"/>
          <w:color w:val="000000" w:themeColor="text1"/>
          <w:sz w:val="24"/>
          <w:lang w:val="kk-KZ"/>
        </w:rPr>
        <w:t xml:space="preserve">s </w:t>
      </w:r>
      <w:r w:rsidR="00F06CD0" w:rsidRPr="00D94F85">
        <w:rPr>
          <w:rFonts w:ascii="Times New Roman" w:hAnsi="Times New Roman" w:cs="Times New Roman"/>
          <w:color w:val="000000" w:themeColor="text1"/>
          <w:sz w:val="24"/>
          <w:lang w:val="en-US"/>
        </w:rPr>
        <w:t>must</w:t>
      </w:r>
      <w:r w:rsidRPr="00D94F85">
        <w:rPr>
          <w:rFonts w:ascii="Times New Roman" w:hAnsi="Times New Roman" w:cs="Times New Roman"/>
          <w:color w:val="000000" w:themeColor="text1"/>
          <w:sz w:val="24"/>
          <w:lang w:val="kk-KZ"/>
        </w:rPr>
        <w:t>:</w:t>
      </w:r>
    </w:p>
    <w:p w14:paraId="603C3790" w14:textId="77777777" w:rsidR="00C07CFD" w:rsidRPr="00D94F85" w:rsidRDefault="00C07CFD" w:rsidP="00C07CFD">
      <w:pPr>
        <w:pStyle w:val="a4"/>
        <w:numPr>
          <w:ilvl w:val="0"/>
          <w:numId w:val="38"/>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en-US"/>
        </w:rPr>
        <w:t xml:space="preserve"> </w:t>
      </w:r>
      <w:r w:rsidRPr="00D94F85">
        <w:rPr>
          <w:rFonts w:ascii="Times New Roman" w:hAnsi="Times New Roman" w:cs="Times New Roman"/>
          <w:color w:val="000000" w:themeColor="text1"/>
          <w:sz w:val="24"/>
          <w:lang w:val="kk-KZ"/>
        </w:rPr>
        <w:t>recognize all assets and liabilities that are required to be recognized under IFRS;</w:t>
      </w:r>
    </w:p>
    <w:p w14:paraId="012C6B41" w14:textId="77777777" w:rsidR="00C07CFD" w:rsidRPr="00D94F85" w:rsidRDefault="00C07CFD" w:rsidP="00C07CFD">
      <w:pPr>
        <w:pStyle w:val="a4"/>
        <w:numPr>
          <w:ilvl w:val="0"/>
          <w:numId w:val="38"/>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en-US"/>
        </w:rPr>
        <w:t xml:space="preserve"> </w:t>
      </w:r>
      <w:r w:rsidRPr="00D94F85">
        <w:rPr>
          <w:rFonts w:ascii="Times New Roman" w:hAnsi="Times New Roman" w:cs="Times New Roman"/>
          <w:color w:val="000000" w:themeColor="text1"/>
          <w:sz w:val="24"/>
          <w:lang w:val="kk-KZ"/>
        </w:rPr>
        <w:t>do not recognize items as assets or liabilities if IFRS do not allow such recognition;</w:t>
      </w:r>
    </w:p>
    <w:p w14:paraId="201B4B39" w14:textId="3CF9406A" w:rsidR="00C07CFD" w:rsidRPr="00D94F85" w:rsidRDefault="00C07CFD" w:rsidP="009334CD">
      <w:pPr>
        <w:pStyle w:val="a4"/>
        <w:numPr>
          <w:ilvl w:val="0"/>
          <w:numId w:val="38"/>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en-US"/>
        </w:rPr>
        <w:t xml:space="preserve"> </w:t>
      </w:r>
      <w:r w:rsidRPr="00D94F85">
        <w:rPr>
          <w:rFonts w:ascii="Times New Roman" w:hAnsi="Times New Roman" w:cs="Times New Roman"/>
          <w:color w:val="000000" w:themeColor="text1"/>
          <w:sz w:val="24"/>
          <w:lang w:val="kk-KZ"/>
        </w:rPr>
        <w:t>reclassify items that, in accordance with previously applied generally accepted accounting principles</w:t>
      </w:r>
      <w:r w:rsidR="009334CD" w:rsidRPr="00D94F85">
        <w:rPr>
          <w:rFonts w:ascii="Times New Roman" w:hAnsi="Times New Roman" w:cs="Times New Roman"/>
          <w:color w:val="000000" w:themeColor="text1"/>
          <w:sz w:val="24"/>
          <w:lang w:val="kk-KZ"/>
        </w:rPr>
        <w:t xml:space="preserve"> (hereinafter-</w:t>
      </w:r>
      <w:r w:rsidR="00214708" w:rsidRPr="00D94F85">
        <w:rPr>
          <w:rFonts w:ascii="Times New Roman" w:hAnsi="Times New Roman" w:cs="Times New Roman"/>
          <w:color w:val="000000" w:themeColor="text1"/>
          <w:sz w:val="24"/>
          <w:lang w:val="en-US"/>
        </w:rPr>
        <w:t>GA</w:t>
      </w:r>
      <w:r w:rsidR="009334CD" w:rsidRPr="00D94F85">
        <w:rPr>
          <w:rFonts w:ascii="Times New Roman" w:hAnsi="Times New Roman" w:cs="Times New Roman"/>
          <w:color w:val="000000" w:themeColor="text1"/>
          <w:sz w:val="24"/>
          <w:lang w:val="kk-KZ"/>
        </w:rPr>
        <w:t>AP)</w:t>
      </w:r>
      <w:r w:rsidRPr="00D94F85">
        <w:rPr>
          <w:rFonts w:ascii="Times New Roman" w:hAnsi="Times New Roman" w:cs="Times New Roman"/>
          <w:color w:val="000000" w:themeColor="text1"/>
          <w:sz w:val="24"/>
          <w:lang w:val="kk-KZ"/>
        </w:rPr>
        <w:t xml:space="preserve">, </w:t>
      </w:r>
      <w:r w:rsidR="00EB5CA5" w:rsidRPr="00D94F85">
        <w:rPr>
          <w:rFonts w:ascii="Times New Roman" w:hAnsi="Times New Roman" w:cs="Times New Roman"/>
          <w:color w:val="000000" w:themeColor="text1"/>
          <w:sz w:val="24"/>
          <w:lang w:val="en-US"/>
        </w:rPr>
        <w:t>has</w:t>
      </w:r>
      <w:r w:rsidRPr="00D94F85">
        <w:rPr>
          <w:rFonts w:ascii="Times New Roman" w:hAnsi="Times New Roman" w:cs="Times New Roman"/>
          <w:color w:val="000000" w:themeColor="text1"/>
          <w:sz w:val="24"/>
          <w:lang w:val="kk-KZ"/>
        </w:rPr>
        <w:t xml:space="preserve"> been recognized as a type of asset, liability or component of equity, but are a different type of asset, liability or component of equity under IFRS; and</w:t>
      </w:r>
    </w:p>
    <w:p w14:paraId="52217C6F" w14:textId="77777777" w:rsidR="00C07CFD" w:rsidRPr="00D94F85" w:rsidRDefault="00C07CFD" w:rsidP="00C07CFD">
      <w:pPr>
        <w:pStyle w:val="a4"/>
        <w:numPr>
          <w:ilvl w:val="0"/>
          <w:numId w:val="38"/>
        </w:numPr>
        <w:spacing w:after="0" w:line="240" w:lineRule="auto"/>
        <w:ind w:left="0" w:firstLine="709"/>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en-US"/>
        </w:rPr>
        <w:t xml:space="preserve"> </w:t>
      </w:r>
      <w:r w:rsidRPr="00D94F85">
        <w:rPr>
          <w:rFonts w:ascii="Times New Roman" w:hAnsi="Times New Roman" w:cs="Times New Roman"/>
          <w:color w:val="000000" w:themeColor="text1"/>
          <w:sz w:val="24"/>
          <w:lang w:val="kk-KZ"/>
        </w:rPr>
        <w:t>apply IFRS to the measurement of all recognized assets and liabilities.</w:t>
      </w:r>
    </w:p>
    <w:p w14:paraId="69AF928A" w14:textId="77777777" w:rsidR="00CD5C16" w:rsidRPr="00D94F85" w:rsidRDefault="00CD5C16" w:rsidP="00C07CFD">
      <w:pPr>
        <w:spacing w:after="0" w:line="240" w:lineRule="auto"/>
        <w:jc w:val="both"/>
        <w:rPr>
          <w:rFonts w:ascii="Times New Roman" w:hAnsi="Times New Roman" w:cs="Times New Roman"/>
          <w:color w:val="000000" w:themeColor="text1"/>
          <w:sz w:val="24"/>
          <w:lang w:val="kk-KZ"/>
        </w:rPr>
      </w:pPr>
    </w:p>
    <w:p w14:paraId="0F95A2FC" w14:textId="77777777" w:rsidR="00C07CFD" w:rsidRPr="00D94F85" w:rsidRDefault="00CD5C16" w:rsidP="00C07CFD">
      <w:pPr>
        <w:spacing w:after="0" w:line="240" w:lineRule="auto"/>
        <w:jc w:val="both"/>
        <w:rPr>
          <w:rFonts w:ascii="Times New Roman" w:hAnsi="Times New Roman" w:cs="Times New Roman"/>
          <w:color w:val="000000" w:themeColor="text1"/>
          <w:sz w:val="24"/>
          <w:lang w:val="kk-KZ"/>
        </w:rPr>
      </w:pPr>
      <w:r w:rsidRPr="00D94F85">
        <w:rPr>
          <w:rFonts w:ascii="Times New Roman" w:hAnsi="Times New Roman" w:cs="Times New Roman"/>
          <w:color w:val="000000" w:themeColor="text1"/>
          <w:sz w:val="24"/>
          <w:lang w:val="kk-KZ"/>
        </w:rPr>
        <w:t>An example of a step-by-step transition to IFRS for MF</w:t>
      </w:r>
      <w:r w:rsidR="00010A0D" w:rsidRPr="00D94F85">
        <w:rPr>
          <w:rFonts w:ascii="Times New Roman" w:hAnsi="Times New Roman" w:cs="Times New Roman"/>
          <w:color w:val="000000" w:themeColor="text1"/>
          <w:sz w:val="24"/>
          <w:lang w:val="en-US"/>
        </w:rPr>
        <w:t>O</w:t>
      </w:r>
      <w:r w:rsidRPr="00D94F85">
        <w:rPr>
          <w:rFonts w:ascii="Times New Roman" w:hAnsi="Times New Roman" w:cs="Times New Roman"/>
          <w:color w:val="000000" w:themeColor="text1"/>
          <w:sz w:val="24"/>
          <w:lang w:val="kk-KZ"/>
        </w:rPr>
        <w:t>s is shown in Figure 2.</w:t>
      </w:r>
    </w:p>
    <w:p w14:paraId="0D3FE390" w14:textId="77777777" w:rsidR="00CD5C16" w:rsidRPr="00D94F85" w:rsidRDefault="00CD5C16" w:rsidP="00CD5C16">
      <w:pPr>
        <w:pStyle w:val="a4"/>
        <w:spacing w:before="240" w:line="240" w:lineRule="auto"/>
        <w:ind w:left="2820" w:right="283" w:firstLine="720"/>
        <w:jc w:val="center"/>
        <w:rPr>
          <w:rFonts w:ascii="Times New Roman" w:hAnsi="Times New Roman" w:cs="Times New Roman"/>
          <w:i/>
          <w:sz w:val="24"/>
          <w:szCs w:val="24"/>
          <w:lang w:val="en-US"/>
        </w:rPr>
      </w:pPr>
      <w:r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50400" behindDoc="0" locked="0" layoutInCell="1" allowOverlap="1" wp14:anchorId="3AF42BDB" wp14:editId="44433F4F">
                <wp:simplePos x="0" y="0"/>
                <wp:positionH relativeFrom="column">
                  <wp:posOffset>385445</wp:posOffset>
                </wp:positionH>
                <wp:positionV relativeFrom="paragraph">
                  <wp:posOffset>323850</wp:posOffset>
                </wp:positionV>
                <wp:extent cx="1010285" cy="342900"/>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1010285" cy="342900"/>
                        </a:xfrm>
                        <a:prstGeom prst="rect">
                          <a:avLst/>
                        </a:prstGeom>
                        <a:noFill/>
                        <a:ln w="6350">
                          <a:noFill/>
                        </a:ln>
                      </wps:spPr>
                      <wps:txbx>
                        <w:txbxContent>
                          <w:p w14:paraId="40EE8517" w14:textId="77777777" w:rsidR="00CD5C16" w:rsidRPr="00A939A5" w:rsidRDefault="00ED44F4" w:rsidP="00CD5C16">
                            <w:pPr>
                              <w:spacing w:after="0" w:line="240" w:lineRule="auto"/>
                              <w:jc w:val="center"/>
                              <w:rPr>
                                <w:rFonts w:ascii="Times New Roman" w:hAnsi="Times New Roman" w:cs="Times New Roman"/>
                                <w:sz w:val="16"/>
                                <w:szCs w:val="16"/>
                              </w:rPr>
                            </w:pPr>
                            <w:proofErr w:type="spellStart"/>
                            <w:r w:rsidRPr="00ED44F4">
                              <w:rPr>
                                <w:rFonts w:ascii="Times New Roman" w:hAnsi="Times New Roman" w:cs="Times New Roman"/>
                                <w:sz w:val="16"/>
                                <w:szCs w:val="16"/>
                              </w:rPr>
                              <w:t>Development</w:t>
                            </w:r>
                            <w:proofErr w:type="spellEnd"/>
                            <w:r w:rsidRPr="00ED44F4">
                              <w:rPr>
                                <w:rFonts w:ascii="Times New Roman" w:hAnsi="Times New Roman" w:cs="Times New Roman"/>
                                <w:sz w:val="16"/>
                                <w:szCs w:val="16"/>
                              </w:rPr>
                              <w:t xml:space="preserve"> </w:t>
                            </w:r>
                            <w:proofErr w:type="spellStart"/>
                            <w:r w:rsidRPr="00ED44F4">
                              <w:rPr>
                                <w:rFonts w:ascii="Times New Roman" w:hAnsi="Times New Roman" w:cs="Times New Roman"/>
                                <w:sz w:val="16"/>
                                <w:szCs w:val="16"/>
                              </w:rPr>
                              <w:t>of</w:t>
                            </w:r>
                            <w:proofErr w:type="spellEnd"/>
                            <w:r w:rsidRPr="00ED44F4">
                              <w:rPr>
                                <w:rFonts w:ascii="Times New Roman" w:hAnsi="Times New Roman" w:cs="Times New Roman"/>
                                <w:sz w:val="16"/>
                                <w:szCs w:val="16"/>
                              </w:rPr>
                              <w:t xml:space="preserve"> </w:t>
                            </w:r>
                            <w:proofErr w:type="spellStart"/>
                            <w:r w:rsidRPr="00ED44F4">
                              <w:rPr>
                                <w:rFonts w:ascii="Times New Roman" w:hAnsi="Times New Roman" w:cs="Times New Roman"/>
                                <w:sz w:val="16"/>
                                <w:szCs w:val="16"/>
                              </w:rPr>
                              <w:t>accounting</w:t>
                            </w:r>
                            <w:proofErr w:type="spellEnd"/>
                            <w:r w:rsidRPr="00ED44F4">
                              <w:rPr>
                                <w:rFonts w:ascii="Times New Roman" w:hAnsi="Times New Roman" w:cs="Times New Roman"/>
                                <w:sz w:val="16"/>
                                <w:szCs w:val="16"/>
                              </w:rPr>
                              <w:t xml:space="preserve"> </w:t>
                            </w:r>
                            <w:proofErr w:type="spellStart"/>
                            <w:r w:rsidRPr="00ED44F4">
                              <w:rPr>
                                <w:rFonts w:ascii="Times New Roman" w:hAnsi="Times New Roman" w:cs="Times New Roman"/>
                                <w:sz w:val="16"/>
                                <w:szCs w:val="16"/>
                              </w:rPr>
                              <w:t>policy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42BDB" id="_x0000_t202" coordsize="21600,21600" o:spt="202" path="m,l,21600r21600,l21600,xe">
                <v:stroke joinstyle="miter"/>
                <v:path gradientshapeok="t" o:connecttype="rect"/>
              </v:shapetype>
              <v:shape id="Надпись 15" o:spid="_x0000_s1026" type="#_x0000_t202" style="position:absolute;left:0;text-align:left;margin-left:30.35pt;margin-top:25.5pt;width:79.55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" filled="f" stroked="f" strokeweight=".5pt">
                <v:textbox>
                  <w:txbxContent>
                    <w:p w14:paraId="40EE8517" w14:textId="77777777" w:rsidR="00CD5C16" w:rsidRPr="00A939A5" w:rsidRDefault="00ED44F4" w:rsidP="00CD5C16">
                      <w:pPr>
                        <w:spacing w:after="0" w:line="240" w:lineRule="auto"/>
                        <w:jc w:val="center"/>
                        <w:rPr>
                          <w:rFonts w:ascii="Times New Roman" w:hAnsi="Times New Roman" w:cs="Times New Roman"/>
                          <w:sz w:val="16"/>
                          <w:szCs w:val="16"/>
                        </w:rPr>
                      </w:pPr>
                      <w:proofErr w:type="spellStart"/>
                      <w:r w:rsidRPr="00ED44F4">
                        <w:rPr>
                          <w:rFonts w:ascii="Times New Roman" w:hAnsi="Times New Roman" w:cs="Times New Roman"/>
                          <w:sz w:val="16"/>
                          <w:szCs w:val="16"/>
                        </w:rPr>
                        <w:t>Development</w:t>
                      </w:r>
                      <w:proofErr w:type="spellEnd"/>
                      <w:r w:rsidRPr="00ED44F4">
                        <w:rPr>
                          <w:rFonts w:ascii="Times New Roman" w:hAnsi="Times New Roman" w:cs="Times New Roman"/>
                          <w:sz w:val="16"/>
                          <w:szCs w:val="16"/>
                        </w:rPr>
                        <w:t xml:space="preserve"> </w:t>
                      </w:r>
                      <w:proofErr w:type="spellStart"/>
                      <w:r w:rsidRPr="00ED44F4">
                        <w:rPr>
                          <w:rFonts w:ascii="Times New Roman" w:hAnsi="Times New Roman" w:cs="Times New Roman"/>
                          <w:sz w:val="16"/>
                          <w:szCs w:val="16"/>
                        </w:rPr>
                        <w:t>of</w:t>
                      </w:r>
                      <w:proofErr w:type="spellEnd"/>
                      <w:r w:rsidRPr="00ED44F4">
                        <w:rPr>
                          <w:rFonts w:ascii="Times New Roman" w:hAnsi="Times New Roman" w:cs="Times New Roman"/>
                          <w:sz w:val="16"/>
                          <w:szCs w:val="16"/>
                        </w:rPr>
                        <w:t xml:space="preserve"> </w:t>
                      </w:r>
                      <w:proofErr w:type="spellStart"/>
                      <w:r w:rsidRPr="00ED44F4">
                        <w:rPr>
                          <w:rFonts w:ascii="Times New Roman" w:hAnsi="Times New Roman" w:cs="Times New Roman"/>
                          <w:sz w:val="16"/>
                          <w:szCs w:val="16"/>
                        </w:rPr>
                        <w:t>accounting</w:t>
                      </w:r>
                      <w:proofErr w:type="spellEnd"/>
                      <w:r w:rsidRPr="00ED44F4">
                        <w:rPr>
                          <w:rFonts w:ascii="Times New Roman" w:hAnsi="Times New Roman" w:cs="Times New Roman"/>
                          <w:sz w:val="16"/>
                          <w:szCs w:val="16"/>
                        </w:rPr>
                        <w:t xml:space="preserve"> </w:t>
                      </w:r>
                      <w:proofErr w:type="spellStart"/>
                      <w:r w:rsidRPr="00ED44F4">
                        <w:rPr>
                          <w:rFonts w:ascii="Times New Roman" w:hAnsi="Times New Roman" w:cs="Times New Roman"/>
                          <w:sz w:val="16"/>
                          <w:szCs w:val="16"/>
                        </w:rPr>
                        <w:t>policy</w:t>
                      </w:r>
                      <w:proofErr w:type="spellEnd"/>
                    </w:p>
                  </w:txbxContent>
                </v:textbox>
              </v:shape>
            </w:pict>
          </mc:Fallback>
        </mc:AlternateContent>
      </w:r>
      <w:r w:rsidRPr="00D94F85">
        <w:rPr>
          <w:lang w:val="en-US"/>
        </w:rPr>
        <w:t xml:space="preserve"> </w:t>
      </w:r>
      <w:r w:rsidRPr="00D94F85">
        <w:rPr>
          <w:rFonts w:ascii="Times New Roman" w:hAnsi="Times New Roman" w:cs="Times New Roman"/>
          <w:i/>
          <w:noProof/>
          <w:sz w:val="24"/>
          <w:szCs w:val="24"/>
          <w:lang w:val="en-US" w:eastAsia="ru-RU"/>
        </w:rPr>
        <w:t>Figure 2. Example of the stages of transition to IFRS</w:t>
      </w:r>
    </w:p>
    <w:p w14:paraId="6709BB7D" w14:textId="77777777" w:rsidR="00CD5C16" w:rsidRPr="00D94F85" w:rsidRDefault="00F15452" w:rsidP="00CD5C16">
      <w:pPr>
        <w:pStyle w:val="a4"/>
        <w:spacing w:after="0" w:line="240" w:lineRule="auto"/>
        <w:ind w:left="0" w:right="111"/>
        <w:jc w:val="center"/>
        <w:rPr>
          <w:rFonts w:ascii="Times New Roman" w:hAnsi="Times New Roman" w:cs="Times New Roman"/>
          <w:b/>
          <w:noProof/>
          <w:sz w:val="24"/>
          <w:szCs w:val="24"/>
          <w:lang w:eastAsia="ru-RU"/>
        </w:rPr>
      </w:pPr>
      <w:r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51424" behindDoc="0" locked="0" layoutInCell="1" allowOverlap="1" wp14:anchorId="62E08FDD" wp14:editId="5BFC0D24">
                <wp:simplePos x="0" y="0"/>
                <wp:positionH relativeFrom="column">
                  <wp:posOffset>1172814</wp:posOffset>
                </wp:positionH>
                <wp:positionV relativeFrom="paragraph">
                  <wp:posOffset>337864</wp:posOffset>
                </wp:positionV>
                <wp:extent cx="1339215" cy="334978"/>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1339215" cy="334978"/>
                        </a:xfrm>
                        <a:prstGeom prst="rect">
                          <a:avLst/>
                        </a:prstGeom>
                        <a:noFill/>
                        <a:ln w="6350">
                          <a:noFill/>
                        </a:ln>
                      </wps:spPr>
                      <wps:txbx>
                        <w:txbxContent>
                          <w:p w14:paraId="2BB38256" w14:textId="77777777" w:rsidR="00CD5C16" w:rsidRPr="00A939A5" w:rsidRDefault="00F15452" w:rsidP="00CD5C16">
                            <w:pPr>
                              <w:spacing w:after="0" w:line="240" w:lineRule="auto"/>
                              <w:jc w:val="center"/>
                              <w:rPr>
                                <w:rFonts w:ascii="Times New Roman" w:hAnsi="Times New Roman" w:cs="Times New Roman"/>
                                <w:sz w:val="16"/>
                                <w:szCs w:val="16"/>
                              </w:rPr>
                            </w:pPr>
                            <w:r>
                              <w:rPr>
                                <w:rFonts w:ascii="Times New Roman" w:hAnsi="Times New Roman" w:cs="Times New Roman"/>
                                <w:sz w:val="16"/>
                                <w:szCs w:val="16"/>
                                <w:lang w:val="en-US"/>
                              </w:rPr>
                              <w:t>Loss allowance</w:t>
                            </w:r>
                            <w:r w:rsidR="00ED44F4">
                              <w:rPr>
                                <w:rFonts w:ascii="Times New Roman" w:hAnsi="Times New Roman" w:cs="Times New Roman"/>
                                <w:sz w:val="16"/>
                                <w:szCs w:val="16"/>
                                <w:lang w:val="en-US"/>
                              </w:rPr>
                              <w:t xml:space="preserve"> Methodology</w:t>
                            </w:r>
                            <w:r w:rsidR="00CD5C16" w:rsidRPr="00A939A5">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8FDD" id="Надпись 17" o:spid="_x0000_s1027" type="#_x0000_t202" style="position:absolute;left:0;text-align:left;margin-left:92.35pt;margin-top:26.6pt;width:105.45pt;height:26.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" filled="f" stroked="f" strokeweight=".5pt">
                <v:textbox>
                  <w:txbxContent>
                    <w:p w14:paraId="2BB38256" w14:textId="77777777" w:rsidR="00CD5C16" w:rsidRPr="00A939A5" w:rsidRDefault="00F15452" w:rsidP="00CD5C16">
                      <w:pPr>
                        <w:spacing w:after="0" w:line="240" w:lineRule="auto"/>
                        <w:jc w:val="center"/>
                        <w:rPr>
                          <w:rFonts w:ascii="Times New Roman" w:hAnsi="Times New Roman" w:cs="Times New Roman"/>
                          <w:sz w:val="16"/>
                          <w:szCs w:val="16"/>
                        </w:rPr>
                      </w:pPr>
                      <w:r>
                        <w:rPr>
                          <w:rFonts w:ascii="Times New Roman" w:hAnsi="Times New Roman" w:cs="Times New Roman"/>
                          <w:sz w:val="16"/>
                          <w:szCs w:val="16"/>
                          <w:lang w:val="en-US"/>
                        </w:rPr>
                        <w:t>Loss allowance</w:t>
                      </w:r>
                      <w:r w:rsidR="00ED44F4">
                        <w:rPr>
                          <w:rFonts w:ascii="Times New Roman" w:hAnsi="Times New Roman" w:cs="Times New Roman"/>
                          <w:sz w:val="16"/>
                          <w:szCs w:val="16"/>
                          <w:lang w:val="en-US"/>
                        </w:rPr>
                        <w:t xml:space="preserve"> Methodology</w:t>
                      </w:r>
                      <w:r w:rsidR="00CD5C16" w:rsidRPr="00A939A5">
                        <w:rPr>
                          <w:rFonts w:ascii="Times New Roman" w:hAnsi="Times New Roman" w:cs="Times New Roman"/>
                          <w:sz w:val="16"/>
                          <w:szCs w:val="16"/>
                        </w:rPr>
                        <w:t xml:space="preserve"> </w:t>
                      </w:r>
                    </w:p>
                  </w:txbxContent>
                </v:textbox>
              </v:shape>
            </w:pict>
          </mc:Fallback>
        </mc:AlternateContent>
      </w:r>
      <w:r w:rsidR="00ED44F4"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45280" behindDoc="0" locked="0" layoutInCell="1" allowOverlap="1" wp14:anchorId="6F910195" wp14:editId="28F6935D">
                <wp:simplePos x="0" y="0"/>
                <wp:positionH relativeFrom="column">
                  <wp:posOffset>2519044</wp:posOffset>
                </wp:positionH>
                <wp:positionV relativeFrom="paragraph">
                  <wp:posOffset>1005840</wp:posOffset>
                </wp:positionV>
                <wp:extent cx="1073785" cy="257175"/>
                <wp:effectExtent l="0" t="0" r="0" b="7620"/>
                <wp:wrapNone/>
                <wp:docPr id="21" name="Надпись 21"/>
                <wp:cNvGraphicFramePr/>
                <a:graphic xmlns:a="http://schemas.openxmlformats.org/drawingml/2006/main">
                  <a:graphicData uri="http://schemas.microsoft.com/office/word/2010/wordprocessingShape">
                    <wps:wsp>
                      <wps:cNvSpPr txBox="1"/>
                      <wps:spPr>
                        <a:xfrm>
                          <a:off x="0" y="0"/>
                          <a:ext cx="1073785" cy="257175"/>
                        </a:xfrm>
                        <a:prstGeom prst="rect">
                          <a:avLst/>
                        </a:prstGeom>
                        <a:solidFill>
                          <a:srgbClr val="FFC000"/>
                        </a:solidFill>
                        <a:ln w="6350">
                          <a:noFill/>
                        </a:ln>
                      </wps:spPr>
                      <wps:txbx>
                        <w:txbxContent>
                          <w:p w14:paraId="1657E0DC" w14:textId="77777777" w:rsidR="00CD5C16" w:rsidRPr="00BB35E0" w:rsidRDefault="00ED44F4" w:rsidP="00ED44F4">
                            <w:pPr>
                              <w:rPr>
                                <w:rFonts w:ascii="Times New Roman" w:hAnsi="Times New Roman" w:cs="Times New Roman"/>
                                <w:sz w:val="16"/>
                              </w:rPr>
                            </w:pPr>
                            <w:proofErr w:type="spellStart"/>
                            <w:r w:rsidRPr="00ED44F4">
                              <w:rPr>
                                <w:rFonts w:ascii="Times New Roman" w:hAnsi="Times New Roman" w:cs="Times New Roman"/>
                                <w:sz w:val="16"/>
                              </w:rPr>
                              <w:t>application</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of</w:t>
                            </w:r>
                            <w:proofErr w:type="spellEnd"/>
                            <w:r>
                              <w:rPr>
                                <w:rFonts w:ascii="Times New Roman" w:hAnsi="Times New Roman" w:cs="Times New Roman"/>
                                <w:sz w:val="16"/>
                                <w:lang w:val="en-US"/>
                              </w:rPr>
                              <w:t xml:space="preserve"> </w:t>
                            </w:r>
                            <w:r w:rsidRPr="00ED44F4">
                              <w:rPr>
                                <w:rFonts w:ascii="Times New Roman" w:hAnsi="Times New Roman" w:cs="Times New Roman"/>
                                <w:sz w:val="16"/>
                              </w:rPr>
                              <w:t>IFRS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0195" id="Надпись 21" o:spid="_x0000_s1028" type="#_x0000_t202" style="position:absolute;left:0;text-align:left;margin-left:198.35pt;margin-top:79.2pt;width:84.55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" fillcolor="#ffc000" stroked="f" strokeweight=".5pt">
                <v:textbox>
                  <w:txbxContent>
                    <w:p w14:paraId="1657E0DC" w14:textId="77777777" w:rsidR="00CD5C16" w:rsidRPr="00BB35E0" w:rsidRDefault="00ED44F4" w:rsidP="00ED44F4">
                      <w:pPr>
                        <w:rPr>
                          <w:rFonts w:ascii="Times New Roman" w:hAnsi="Times New Roman" w:cs="Times New Roman"/>
                          <w:sz w:val="16"/>
                        </w:rPr>
                      </w:pPr>
                      <w:proofErr w:type="spellStart"/>
                      <w:r w:rsidRPr="00ED44F4">
                        <w:rPr>
                          <w:rFonts w:ascii="Times New Roman" w:hAnsi="Times New Roman" w:cs="Times New Roman"/>
                          <w:sz w:val="16"/>
                        </w:rPr>
                        <w:t>application</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of</w:t>
                      </w:r>
                      <w:proofErr w:type="spellEnd"/>
                      <w:r>
                        <w:rPr>
                          <w:rFonts w:ascii="Times New Roman" w:hAnsi="Times New Roman" w:cs="Times New Roman"/>
                          <w:sz w:val="16"/>
                          <w:lang w:val="en-US"/>
                        </w:rPr>
                        <w:t xml:space="preserve"> </w:t>
                      </w:r>
                      <w:r w:rsidRPr="00ED44F4">
                        <w:rPr>
                          <w:rFonts w:ascii="Times New Roman" w:hAnsi="Times New Roman" w:cs="Times New Roman"/>
                          <w:sz w:val="16"/>
                        </w:rPr>
                        <w:t>IFRS</w:t>
                      </w:r>
                    </w:p>
                  </w:txbxContent>
                </v:textbox>
              </v:shape>
            </w:pict>
          </mc:Fallback>
        </mc:AlternateContent>
      </w:r>
      <w:r w:rsidR="00CD5C16"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46304" behindDoc="0" locked="0" layoutInCell="1" allowOverlap="1" wp14:anchorId="16800F5C" wp14:editId="49D9F538">
                <wp:simplePos x="0" y="0"/>
                <wp:positionH relativeFrom="column">
                  <wp:posOffset>385031</wp:posOffset>
                </wp:positionH>
                <wp:positionV relativeFrom="paragraph">
                  <wp:posOffset>31916</wp:posOffset>
                </wp:positionV>
                <wp:extent cx="1010285" cy="276860"/>
                <wp:effectExtent l="0" t="0" r="0" b="8890"/>
                <wp:wrapNone/>
                <wp:docPr id="16" name="Надпись 16"/>
                <wp:cNvGraphicFramePr/>
                <a:graphic xmlns:a="http://schemas.openxmlformats.org/drawingml/2006/main">
                  <a:graphicData uri="http://schemas.microsoft.com/office/word/2010/wordprocessingShape">
                    <wps:wsp>
                      <wps:cNvSpPr txBox="1"/>
                      <wps:spPr>
                        <a:xfrm>
                          <a:off x="0" y="0"/>
                          <a:ext cx="1010285" cy="276860"/>
                        </a:xfrm>
                        <a:prstGeom prst="rect">
                          <a:avLst/>
                        </a:prstGeom>
                        <a:solidFill>
                          <a:srgbClr val="5B9BD5"/>
                        </a:solidFill>
                        <a:ln w="6350">
                          <a:noFill/>
                        </a:ln>
                      </wps:spPr>
                      <wps:txbx>
                        <w:txbxContent>
                          <w:p w14:paraId="513FAE03" w14:textId="77777777" w:rsidR="00CD5C16" w:rsidRDefault="00CD5C16" w:rsidP="00CD5C16">
                            <w:pPr>
                              <w:spacing w:after="0" w:line="240" w:lineRule="auto"/>
                              <w:jc w:val="right"/>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00F5C" id="Надпись 16" o:spid="_x0000_s1029" type="#_x0000_t202" style="position:absolute;left:0;text-align:left;margin-left:30.3pt;margin-top:2.5pt;width:79.55pt;height:2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" fillcolor="#5b9bd5" stroked="f" strokeweight=".5pt">
                <v:textbox>
                  <w:txbxContent>
                    <w:p w14:paraId="513FAE03" w14:textId="77777777" w:rsidR="00CD5C16" w:rsidRDefault="00CD5C16" w:rsidP="00CD5C16">
                      <w:pPr>
                        <w:spacing w:after="0" w:line="240" w:lineRule="auto"/>
                        <w:jc w:val="right"/>
                        <w:rPr>
                          <w:rFonts w:ascii="Times New Roman" w:hAnsi="Times New Roman" w:cs="Times New Roman"/>
                          <w:sz w:val="16"/>
                          <w:szCs w:val="16"/>
                        </w:rPr>
                      </w:pPr>
                    </w:p>
                  </w:txbxContent>
                </v:textbox>
              </v:shape>
            </w:pict>
          </mc:Fallback>
        </mc:AlternateContent>
      </w:r>
      <w:r w:rsidR="00CD5C16"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49376" behindDoc="0" locked="0" layoutInCell="1" allowOverlap="1" wp14:anchorId="49A1330B" wp14:editId="483014B2">
                <wp:simplePos x="0" y="0"/>
                <wp:positionH relativeFrom="column">
                  <wp:posOffset>1250950</wp:posOffset>
                </wp:positionH>
                <wp:positionV relativeFrom="paragraph">
                  <wp:posOffset>337820</wp:posOffset>
                </wp:positionV>
                <wp:extent cx="1247481" cy="306000"/>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1247481" cy="306000"/>
                        </a:xfrm>
                        <a:prstGeom prst="rect">
                          <a:avLst/>
                        </a:prstGeom>
                        <a:solidFill>
                          <a:srgbClr val="ED7D31"/>
                        </a:solidFill>
                        <a:ln w="6350">
                          <a:noFill/>
                        </a:ln>
                      </wps:spPr>
                      <wps:txbx>
                        <w:txbxContent>
                          <w:p w14:paraId="0CAB0921" w14:textId="77777777" w:rsidR="00CD5C16" w:rsidRPr="00A939A5" w:rsidRDefault="00CD5C16" w:rsidP="00CD5C16">
                            <w:pPr>
                              <w:spacing w:after="0" w:line="240" w:lineRule="auto"/>
                              <w:jc w:val="right"/>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1330B" id="Надпись 18" o:spid="_x0000_s1030" type="#_x0000_t202" style="position:absolute;left:0;text-align:left;margin-left:98.5pt;margin-top:26.6pt;width:98.25pt;height:24.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" fillcolor="#ed7d31" stroked="f" strokeweight=".5pt">
                <v:textbox>
                  <w:txbxContent>
                    <w:p w14:paraId="0CAB0921" w14:textId="77777777" w:rsidR="00CD5C16" w:rsidRPr="00A939A5" w:rsidRDefault="00CD5C16" w:rsidP="00CD5C16">
                      <w:pPr>
                        <w:spacing w:after="0" w:line="240" w:lineRule="auto"/>
                        <w:jc w:val="right"/>
                        <w:rPr>
                          <w:rFonts w:ascii="Times New Roman" w:hAnsi="Times New Roman" w:cs="Times New Roman"/>
                          <w:sz w:val="16"/>
                          <w:szCs w:val="16"/>
                        </w:rPr>
                      </w:pPr>
                    </w:p>
                  </w:txbxContent>
                </v:textbox>
              </v:shape>
            </w:pict>
          </mc:Fallback>
        </mc:AlternateContent>
      </w:r>
      <w:r w:rsidR="00CD5C16"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47328" behindDoc="0" locked="0" layoutInCell="1" allowOverlap="1" wp14:anchorId="7796D97C" wp14:editId="71226EAB">
                <wp:simplePos x="0" y="0"/>
                <wp:positionH relativeFrom="column">
                  <wp:posOffset>1436066</wp:posOffset>
                </wp:positionH>
                <wp:positionV relativeFrom="paragraph">
                  <wp:posOffset>668798</wp:posOffset>
                </wp:positionV>
                <wp:extent cx="2159635" cy="255458"/>
                <wp:effectExtent l="0" t="0" r="0" b="0"/>
                <wp:wrapNone/>
                <wp:docPr id="19" name="Надпись 19"/>
                <wp:cNvGraphicFramePr/>
                <a:graphic xmlns:a="http://schemas.openxmlformats.org/drawingml/2006/main">
                  <a:graphicData uri="http://schemas.microsoft.com/office/word/2010/wordprocessingShape">
                    <wps:wsp>
                      <wps:cNvSpPr txBox="1"/>
                      <wps:spPr>
                        <a:xfrm>
                          <a:off x="0" y="0"/>
                          <a:ext cx="2159635" cy="255458"/>
                        </a:xfrm>
                        <a:prstGeom prst="rect">
                          <a:avLst/>
                        </a:prstGeom>
                        <a:solidFill>
                          <a:sysClr val="window" lastClr="FFFFFF">
                            <a:lumMod val="65000"/>
                          </a:sysClr>
                        </a:solidFill>
                        <a:ln w="6350">
                          <a:noFill/>
                        </a:ln>
                      </wps:spPr>
                      <wps:txbx>
                        <w:txbxContent>
                          <w:p w14:paraId="016FC0D1" w14:textId="77777777" w:rsidR="00CD5C16" w:rsidRPr="00BB35E0" w:rsidRDefault="00ED44F4" w:rsidP="00CD5C16">
                            <w:pPr>
                              <w:spacing w:after="0" w:line="240" w:lineRule="auto"/>
                              <w:jc w:val="center"/>
                              <w:rPr>
                                <w:rFonts w:ascii="Times New Roman" w:hAnsi="Times New Roman" w:cs="Times New Roman"/>
                                <w:sz w:val="16"/>
                              </w:rPr>
                            </w:pPr>
                            <w:proofErr w:type="spellStart"/>
                            <w:r w:rsidRPr="00ED44F4">
                              <w:rPr>
                                <w:rFonts w:ascii="Times New Roman" w:hAnsi="Times New Roman" w:cs="Times New Roman"/>
                                <w:sz w:val="16"/>
                              </w:rPr>
                              <w:t>Introductory</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report</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balance</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sheet</w:t>
                            </w:r>
                            <w:proofErr w:type="spellEnd"/>
                            <w:r w:rsidRPr="00ED44F4">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6D97C" id="Надпись 19" o:spid="_x0000_s1031" type="#_x0000_t202" style="position:absolute;left:0;text-align:left;margin-left:113.1pt;margin-top:52.65pt;width:170.05pt;height:20.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" fillcolor="#a6a6a6" stroked="f" strokeweight=".5pt">
                <v:textbox>
                  <w:txbxContent>
                    <w:p w14:paraId="016FC0D1" w14:textId="77777777" w:rsidR="00CD5C16" w:rsidRPr="00BB35E0" w:rsidRDefault="00ED44F4" w:rsidP="00CD5C16">
                      <w:pPr>
                        <w:spacing w:after="0" w:line="240" w:lineRule="auto"/>
                        <w:jc w:val="center"/>
                        <w:rPr>
                          <w:rFonts w:ascii="Times New Roman" w:hAnsi="Times New Roman" w:cs="Times New Roman"/>
                          <w:sz w:val="16"/>
                        </w:rPr>
                      </w:pPr>
                      <w:proofErr w:type="spellStart"/>
                      <w:r w:rsidRPr="00ED44F4">
                        <w:rPr>
                          <w:rFonts w:ascii="Times New Roman" w:hAnsi="Times New Roman" w:cs="Times New Roman"/>
                          <w:sz w:val="16"/>
                        </w:rPr>
                        <w:t>Introductory</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report</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balance</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sheet</w:t>
                      </w:r>
                      <w:proofErr w:type="spellEnd"/>
                      <w:r w:rsidRPr="00ED44F4">
                        <w:rPr>
                          <w:rFonts w:ascii="Times New Roman" w:hAnsi="Times New Roman" w:cs="Times New Roman"/>
                          <w:sz w:val="16"/>
                        </w:rPr>
                        <w:t>)</w:t>
                      </w:r>
                    </w:p>
                  </w:txbxContent>
                </v:textbox>
              </v:shape>
            </w:pict>
          </mc:Fallback>
        </mc:AlternateContent>
      </w:r>
      <w:r w:rsidR="00CD5C16"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44256" behindDoc="0" locked="0" layoutInCell="1" allowOverlap="1" wp14:anchorId="50FC8371" wp14:editId="024B607E">
                <wp:simplePos x="0" y="0"/>
                <wp:positionH relativeFrom="column">
                  <wp:posOffset>349872</wp:posOffset>
                </wp:positionH>
                <wp:positionV relativeFrom="paragraph">
                  <wp:posOffset>1268574</wp:posOffset>
                </wp:positionV>
                <wp:extent cx="3153397" cy="242129"/>
                <wp:effectExtent l="0" t="0" r="9525" b="5715"/>
                <wp:wrapNone/>
                <wp:docPr id="20" name="Надпись 20"/>
                <wp:cNvGraphicFramePr/>
                <a:graphic xmlns:a="http://schemas.openxmlformats.org/drawingml/2006/main">
                  <a:graphicData uri="http://schemas.microsoft.com/office/word/2010/wordprocessingShape">
                    <wps:wsp>
                      <wps:cNvSpPr txBox="1"/>
                      <wps:spPr>
                        <a:xfrm>
                          <a:off x="0" y="0"/>
                          <a:ext cx="3153397" cy="242129"/>
                        </a:xfrm>
                        <a:prstGeom prst="rect">
                          <a:avLst/>
                        </a:prstGeom>
                        <a:solidFill>
                          <a:srgbClr val="FFFF00"/>
                        </a:solidFill>
                        <a:ln w="6350">
                          <a:noFill/>
                        </a:ln>
                      </wps:spPr>
                      <wps:txbx>
                        <w:txbxContent>
                          <w:p w14:paraId="6289E6C8" w14:textId="4F305892" w:rsidR="00CD5C16" w:rsidRPr="00ED44F4" w:rsidRDefault="00ED44F4" w:rsidP="00CD5C16">
                            <w:pPr>
                              <w:spacing w:after="0"/>
                              <w:jc w:val="center"/>
                              <w:rPr>
                                <w:rFonts w:ascii="Times New Roman" w:hAnsi="Times New Roman" w:cs="Times New Roman"/>
                                <w:sz w:val="16"/>
                                <w:szCs w:val="16"/>
                                <w:lang w:val="en-US"/>
                              </w:rPr>
                            </w:pPr>
                            <w:r w:rsidRPr="00ED44F4">
                              <w:rPr>
                                <w:rFonts w:ascii="Times New Roman" w:hAnsi="Times New Roman" w:cs="Times New Roman"/>
                                <w:sz w:val="16"/>
                                <w:szCs w:val="16"/>
                                <w:lang w:val="en-US"/>
                              </w:rPr>
                              <w:t xml:space="preserve">Accounting in accordance with the current </w:t>
                            </w:r>
                            <w:r w:rsidR="00214708">
                              <w:rPr>
                                <w:rFonts w:ascii="Times New Roman" w:hAnsi="Times New Roman" w:cs="Times New Roman"/>
                                <w:sz w:val="16"/>
                                <w:szCs w:val="16"/>
                                <w:lang w:val="en-US"/>
                              </w:rPr>
                              <w:t>GA</w:t>
                            </w:r>
                            <w:r>
                              <w:rPr>
                                <w:rFonts w:ascii="Times New Roman" w:hAnsi="Times New Roman" w:cs="Times New Roman"/>
                                <w:sz w:val="16"/>
                                <w:szCs w:val="16"/>
                                <w:lang w:val="en-US"/>
                              </w:rPr>
                              <w:t>AP</w:t>
                            </w:r>
                            <w:r w:rsidRPr="00ED44F4">
                              <w:rPr>
                                <w:rFonts w:ascii="Times New Roman" w:hAnsi="Times New Roman" w:cs="Times New Roman"/>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C8371" id="_x0000_t202" coordsize="21600,21600" o:spt="202" path="m,l,21600r21600,l21600,xe">
                <v:stroke joinstyle="miter"/>
                <v:path gradientshapeok="t" o:connecttype="rect"/>
              </v:shapetype>
              <v:shape id="Надпись 20" o:spid="_x0000_s1032" type="#_x0000_t202" style="position:absolute;left:0;text-align:left;margin-left:27.55pt;margin-top:99.9pt;width:248.3pt;height:19.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" fillcolor="yellow" stroked="f" strokeweight=".5pt">
                <v:textbox>
                  <w:txbxContent>
                    <w:p w14:paraId="6289E6C8" w14:textId="4F305892" w:rsidR="00CD5C16" w:rsidRPr="00ED44F4" w:rsidRDefault="00ED44F4" w:rsidP="00CD5C16">
                      <w:pPr>
                        <w:spacing w:after="0"/>
                        <w:jc w:val="center"/>
                        <w:rPr>
                          <w:rFonts w:ascii="Times New Roman" w:hAnsi="Times New Roman" w:cs="Times New Roman"/>
                          <w:sz w:val="16"/>
                          <w:szCs w:val="16"/>
                          <w:lang w:val="en-US"/>
                        </w:rPr>
                      </w:pPr>
                      <w:r w:rsidRPr="00ED44F4">
                        <w:rPr>
                          <w:rFonts w:ascii="Times New Roman" w:hAnsi="Times New Roman" w:cs="Times New Roman"/>
                          <w:sz w:val="16"/>
                          <w:szCs w:val="16"/>
                          <w:lang w:val="en-US"/>
                        </w:rPr>
                        <w:t xml:space="preserve">Accounting in accordance with the current </w:t>
                      </w:r>
                      <w:r w:rsidR="00214708">
                        <w:rPr>
                          <w:rFonts w:ascii="Times New Roman" w:hAnsi="Times New Roman" w:cs="Times New Roman"/>
                          <w:sz w:val="16"/>
                          <w:szCs w:val="16"/>
                          <w:lang w:val="en-US"/>
                        </w:rPr>
                        <w:t>GA</w:t>
                      </w:r>
                      <w:r>
                        <w:rPr>
                          <w:rFonts w:ascii="Times New Roman" w:hAnsi="Times New Roman" w:cs="Times New Roman"/>
                          <w:sz w:val="16"/>
                          <w:szCs w:val="16"/>
                          <w:lang w:val="en-US"/>
                        </w:rPr>
                        <w:t>AP</w:t>
                      </w:r>
                      <w:r w:rsidRPr="00ED44F4">
                        <w:rPr>
                          <w:rFonts w:ascii="Times New Roman" w:hAnsi="Times New Roman" w:cs="Times New Roman"/>
                          <w:sz w:val="16"/>
                          <w:szCs w:val="16"/>
                          <w:lang w:val="en-US"/>
                        </w:rPr>
                        <w:t>*</w:t>
                      </w:r>
                    </w:p>
                  </w:txbxContent>
                </v:textbox>
              </v:shape>
            </w:pict>
          </mc:Fallback>
        </mc:AlternateContent>
      </w:r>
      <w:r w:rsidR="00CD5C16" w:rsidRPr="00D94F85">
        <w:rPr>
          <w:rFonts w:ascii="Times New Roman" w:hAnsi="Times New Roman" w:cs="Times New Roman"/>
          <w:b/>
          <w:noProof/>
          <w:sz w:val="24"/>
          <w:szCs w:val="24"/>
          <w:lang w:eastAsia="ru-RU"/>
        </w:rPr>
        <mc:AlternateContent>
          <mc:Choice Requires="wps">
            <w:drawing>
              <wp:anchor distT="0" distB="0" distL="114300" distR="114300" simplePos="0" relativeHeight="251748352" behindDoc="0" locked="0" layoutInCell="1" allowOverlap="1" wp14:anchorId="20C17E78" wp14:editId="3A1D7A05">
                <wp:simplePos x="0" y="0"/>
                <wp:positionH relativeFrom="column">
                  <wp:posOffset>4704292</wp:posOffset>
                </wp:positionH>
                <wp:positionV relativeFrom="paragraph">
                  <wp:posOffset>1276138</wp:posOffset>
                </wp:positionV>
                <wp:extent cx="1004993" cy="355600"/>
                <wp:effectExtent l="0" t="0" r="0" b="6350"/>
                <wp:wrapNone/>
                <wp:docPr id="22" name="Надпись 22"/>
                <wp:cNvGraphicFramePr/>
                <a:graphic xmlns:a="http://schemas.openxmlformats.org/drawingml/2006/main">
                  <a:graphicData uri="http://schemas.microsoft.com/office/word/2010/wordprocessingShape">
                    <wps:wsp>
                      <wps:cNvSpPr txBox="1"/>
                      <wps:spPr>
                        <a:xfrm>
                          <a:off x="0" y="0"/>
                          <a:ext cx="1004993" cy="355600"/>
                        </a:xfrm>
                        <a:prstGeom prst="rect">
                          <a:avLst/>
                        </a:prstGeom>
                        <a:noFill/>
                        <a:ln w="6350">
                          <a:noFill/>
                        </a:ln>
                      </wps:spPr>
                      <wps:txbx>
                        <w:txbxContent>
                          <w:p w14:paraId="1EA83A62" w14:textId="77777777" w:rsidR="00CD5C16" w:rsidRPr="00294008" w:rsidRDefault="00ED44F4" w:rsidP="00CD5C16">
                            <w:pPr>
                              <w:jc w:val="center"/>
                              <w:rPr>
                                <w:rFonts w:ascii="Times New Roman" w:hAnsi="Times New Roman" w:cs="Times New Roman"/>
                                <w:sz w:val="16"/>
                              </w:rPr>
                            </w:pPr>
                            <w:proofErr w:type="spellStart"/>
                            <w:r w:rsidRPr="00ED44F4">
                              <w:rPr>
                                <w:rFonts w:ascii="Times New Roman" w:hAnsi="Times New Roman" w:cs="Times New Roman"/>
                                <w:sz w:val="16"/>
                              </w:rPr>
                              <w:t>Quarterly</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reporting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17E78" id="Надпись 22" o:spid="_x0000_s1033" type="#_x0000_t202" style="position:absolute;left:0;text-align:left;margin-left:370.4pt;margin-top:100.5pt;width:79.15pt;height:2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" filled="f" stroked="f" strokeweight=".5pt">
                <v:textbox>
                  <w:txbxContent>
                    <w:p w14:paraId="1EA83A62" w14:textId="77777777" w:rsidR="00CD5C16" w:rsidRPr="00294008" w:rsidRDefault="00ED44F4" w:rsidP="00CD5C16">
                      <w:pPr>
                        <w:jc w:val="center"/>
                        <w:rPr>
                          <w:rFonts w:ascii="Times New Roman" w:hAnsi="Times New Roman" w:cs="Times New Roman"/>
                          <w:sz w:val="16"/>
                        </w:rPr>
                      </w:pPr>
                      <w:proofErr w:type="spellStart"/>
                      <w:r w:rsidRPr="00ED44F4">
                        <w:rPr>
                          <w:rFonts w:ascii="Times New Roman" w:hAnsi="Times New Roman" w:cs="Times New Roman"/>
                          <w:sz w:val="16"/>
                        </w:rPr>
                        <w:t>Quarterly</w:t>
                      </w:r>
                      <w:proofErr w:type="spellEnd"/>
                      <w:r w:rsidRPr="00ED44F4">
                        <w:rPr>
                          <w:rFonts w:ascii="Times New Roman" w:hAnsi="Times New Roman" w:cs="Times New Roman"/>
                          <w:sz w:val="16"/>
                        </w:rPr>
                        <w:t xml:space="preserve"> </w:t>
                      </w:r>
                      <w:proofErr w:type="spellStart"/>
                      <w:r w:rsidRPr="00ED44F4">
                        <w:rPr>
                          <w:rFonts w:ascii="Times New Roman" w:hAnsi="Times New Roman" w:cs="Times New Roman"/>
                          <w:sz w:val="16"/>
                        </w:rPr>
                        <w:t>reporting</w:t>
                      </w:r>
                      <w:proofErr w:type="spellEnd"/>
                    </w:p>
                  </w:txbxContent>
                </v:textbox>
              </v:shape>
            </w:pict>
          </mc:Fallback>
        </mc:AlternateContent>
      </w:r>
      <w:r w:rsidR="00CD5C16" w:rsidRPr="00D94F85">
        <w:rPr>
          <w:rFonts w:ascii="Times New Roman" w:hAnsi="Times New Roman" w:cs="Times New Roman"/>
          <w:b/>
          <w:noProof/>
          <w:sz w:val="24"/>
          <w:szCs w:val="24"/>
          <w:lang w:eastAsia="ru-RU"/>
        </w:rPr>
        <w:drawing>
          <wp:inline distT="0" distB="0" distL="0" distR="0" wp14:anchorId="17DED3AE" wp14:editId="5A6B8716">
            <wp:extent cx="1641390" cy="5512182"/>
            <wp:effectExtent l="0" t="0" r="0"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664913" cy="5591177"/>
                    </a:xfrm>
                    <a:prstGeom prst="rect">
                      <a:avLst/>
                    </a:prstGeom>
                    <a:noFill/>
                  </pic:spPr>
                </pic:pic>
              </a:graphicData>
            </a:graphic>
          </wp:inline>
        </w:drawing>
      </w:r>
    </w:p>
    <w:tbl>
      <w:tblPr>
        <w:tblStyle w:val="a5"/>
        <w:tblW w:w="0" w:type="auto"/>
        <w:tblInd w:w="426" w:type="dxa"/>
        <w:tblBorders>
          <w:top w:val="none" w:sz="0" w:space="0" w:color="auto"/>
          <w:left w:val="none" w:sz="0" w:space="0" w:color="auto"/>
          <w:right w:val="none" w:sz="0" w:space="0" w:color="auto"/>
        </w:tblBorders>
        <w:tblLook w:val="04A0" w:firstRow="1" w:lastRow="0" w:firstColumn="1" w:lastColumn="0" w:noHBand="0" w:noVBand="1"/>
      </w:tblPr>
      <w:tblGrid>
        <w:gridCol w:w="1827"/>
        <w:gridCol w:w="1701"/>
        <w:gridCol w:w="1706"/>
        <w:gridCol w:w="1701"/>
        <w:gridCol w:w="1696"/>
      </w:tblGrid>
      <w:tr w:rsidR="00ED44F4" w:rsidRPr="00D94F85" w14:paraId="19781362" w14:textId="77777777" w:rsidTr="00A57F8F">
        <w:tc>
          <w:tcPr>
            <w:tcW w:w="1827" w:type="dxa"/>
          </w:tcPr>
          <w:p w14:paraId="7B6AA2BE" w14:textId="77777777" w:rsidR="00ED44F4" w:rsidRPr="00D94F85" w:rsidRDefault="00ED44F4" w:rsidP="00ED44F4">
            <w:pPr>
              <w:pStyle w:val="a4"/>
              <w:ind w:left="0" w:right="283"/>
              <w:jc w:val="center"/>
              <w:rPr>
                <w:rFonts w:ascii="Times New Roman" w:hAnsi="Times New Roman" w:cs="Times New Roman"/>
                <w:b/>
                <w:szCs w:val="24"/>
              </w:rPr>
            </w:pPr>
            <w:r w:rsidRPr="00D94F85">
              <w:rPr>
                <w:rFonts w:ascii="Times New Roman" w:hAnsi="Times New Roman" w:cs="Times New Roman"/>
                <w:b/>
                <w:szCs w:val="24"/>
              </w:rPr>
              <w:t xml:space="preserve">1st </w:t>
            </w:r>
            <w:proofErr w:type="spellStart"/>
            <w:r w:rsidRPr="00D94F85">
              <w:rPr>
                <w:rFonts w:ascii="Times New Roman" w:hAnsi="Times New Roman" w:cs="Times New Roman"/>
                <w:b/>
                <w:szCs w:val="24"/>
              </w:rPr>
              <w:t>quarter</w:t>
            </w:r>
            <w:proofErr w:type="spellEnd"/>
            <w:r w:rsidRPr="00D94F85">
              <w:rPr>
                <w:rFonts w:ascii="Times New Roman" w:hAnsi="Times New Roman" w:cs="Times New Roman"/>
                <w:b/>
                <w:szCs w:val="24"/>
              </w:rPr>
              <w:t xml:space="preserve"> </w:t>
            </w:r>
            <w:proofErr w:type="spellStart"/>
            <w:r w:rsidRPr="00D94F85">
              <w:rPr>
                <w:rFonts w:ascii="Times New Roman" w:hAnsi="Times New Roman" w:cs="Times New Roman"/>
                <w:b/>
                <w:szCs w:val="24"/>
              </w:rPr>
              <w:t>of</w:t>
            </w:r>
            <w:proofErr w:type="spellEnd"/>
            <w:r w:rsidRPr="00D94F85">
              <w:rPr>
                <w:rFonts w:ascii="Times New Roman" w:hAnsi="Times New Roman" w:cs="Times New Roman"/>
                <w:b/>
                <w:szCs w:val="24"/>
              </w:rPr>
              <w:t xml:space="preserve"> 2021</w:t>
            </w:r>
          </w:p>
        </w:tc>
        <w:tc>
          <w:tcPr>
            <w:tcW w:w="1701" w:type="dxa"/>
          </w:tcPr>
          <w:p w14:paraId="44F24849" w14:textId="77777777" w:rsidR="00ED44F4" w:rsidRPr="00D94F85" w:rsidRDefault="00ED44F4" w:rsidP="00ED44F4">
            <w:pPr>
              <w:pStyle w:val="a4"/>
              <w:ind w:left="0" w:right="283"/>
              <w:jc w:val="center"/>
              <w:rPr>
                <w:rFonts w:ascii="Times New Roman" w:hAnsi="Times New Roman" w:cs="Times New Roman"/>
                <w:b/>
                <w:szCs w:val="24"/>
              </w:rPr>
            </w:pPr>
            <w:r w:rsidRPr="00D94F85">
              <w:rPr>
                <w:rFonts w:ascii="Times New Roman" w:hAnsi="Times New Roman" w:cs="Times New Roman"/>
                <w:b/>
                <w:szCs w:val="24"/>
                <w:lang w:val="en-US"/>
              </w:rPr>
              <w:t>2</w:t>
            </w:r>
            <w:r w:rsidRPr="00D94F85">
              <w:rPr>
                <w:rFonts w:ascii="Times New Roman" w:hAnsi="Times New Roman" w:cs="Times New Roman"/>
                <w:b/>
                <w:szCs w:val="24"/>
              </w:rPr>
              <w:t xml:space="preserve"> </w:t>
            </w:r>
            <w:proofErr w:type="spellStart"/>
            <w:r w:rsidRPr="00D94F85">
              <w:rPr>
                <w:rFonts w:ascii="Times New Roman" w:hAnsi="Times New Roman" w:cs="Times New Roman"/>
                <w:b/>
                <w:szCs w:val="24"/>
              </w:rPr>
              <w:t>quarter</w:t>
            </w:r>
            <w:proofErr w:type="spellEnd"/>
            <w:r w:rsidRPr="00D94F85">
              <w:rPr>
                <w:rFonts w:ascii="Times New Roman" w:hAnsi="Times New Roman" w:cs="Times New Roman"/>
                <w:b/>
                <w:szCs w:val="24"/>
              </w:rPr>
              <w:t xml:space="preserve"> </w:t>
            </w:r>
            <w:proofErr w:type="spellStart"/>
            <w:r w:rsidRPr="00D94F85">
              <w:rPr>
                <w:rFonts w:ascii="Times New Roman" w:hAnsi="Times New Roman" w:cs="Times New Roman"/>
                <w:b/>
                <w:szCs w:val="24"/>
              </w:rPr>
              <w:t>of</w:t>
            </w:r>
            <w:proofErr w:type="spellEnd"/>
            <w:r w:rsidRPr="00D94F85">
              <w:rPr>
                <w:rFonts w:ascii="Times New Roman" w:hAnsi="Times New Roman" w:cs="Times New Roman"/>
                <w:b/>
                <w:szCs w:val="24"/>
              </w:rPr>
              <w:t xml:space="preserve"> 2021</w:t>
            </w:r>
          </w:p>
        </w:tc>
        <w:tc>
          <w:tcPr>
            <w:tcW w:w="1706" w:type="dxa"/>
          </w:tcPr>
          <w:p w14:paraId="1DCBFCB3" w14:textId="77777777" w:rsidR="00ED44F4" w:rsidRPr="00D94F85" w:rsidRDefault="00ED44F4" w:rsidP="00ED44F4">
            <w:pPr>
              <w:rPr>
                <w:rFonts w:ascii="Times New Roman" w:hAnsi="Times New Roman" w:cs="Times New Roman"/>
                <w:b/>
              </w:rPr>
            </w:pPr>
            <w:r w:rsidRPr="00D94F85">
              <w:rPr>
                <w:rFonts w:ascii="Times New Roman" w:hAnsi="Times New Roman" w:cs="Times New Roman"/>
                <w:b/>
                <w:lang w:val="en-US"/>
              </w:rPr>
              <w:t>3</w:t>
            </w:r>
            <w:r w:rsidRPr="00D94F85">
              <w:rPr>
                <w:rFonts w:ascii="Times New Roman" w:hAnsi="Times New Roman" w:cs="Times New Roman"/>
                <w:b/>
              </w:rPr>
              <w:t xml:space="preserve"> </w:t>
            </w:r>
            <w:proofErr w:type="spellStart"/>
            <w:r w:rsidRPr="00D94F85">
              <w:rPr>
                <w:rFonts w:ascii="Times New Roman" w:hAnsi="Times New Roman" w:cs="Times New Roman"/>
                <w:b/>
              </w:rPr>
              <w:t>quarter</w:t>
            </w:r>
            <w:proofErr w:type="spellEnd"/>
            <w:r w:rsidRPr="00D94F85">
              <w:rPr>
                <w:rFonts w:ascii="Times New Roman" w:hAnsi="Times New Roman" w:cs="Times New Roman"/>
                <w:b/>
              </w:rPr>
              <w:t xml:space="preserve"> </w:t>
            </w:r>
            <w:proofErr w:type="spellStart"/>
            <w:r w:rsidRPr="00D94F85">
              <w:rPr>
                <w:rFonts w:ascii="Times New Roman" w:hAnsi="Times New Roman" w:cs="Times New Roman"/>
                <w:b/>
              </w:rPr>
              <w:t>of</w:t>
            </w:r>
            <w:proofErr w:type="spellEnd"/>
            <w:r w:rsidRPr="00D94F85">
              <w:rPr>
                <w:rFonts w:ascii="Times New Roman" w:hAnsi="Times New Roman" w:cs="Times New Roman"/>
                <w:b/>
              </w:rPr>
              <w:t xml:space="preserve"> 2021</w:t>
            </w:r>
          </w:p>
        </w:tc>
        <w:tc>
          <w:tcPr>
            <w:tcW w:w="1701" w:type="dxa"/>
          </w:tcPr>
          <w:p w14:paraId="35AA333F" w14:textId="77777777" w:rsidR="00ED44F4" w:rsidRPr="00D94F85" w:rsidRDefault="00ED44F4" w:rsidP="00ED44F4">
            <w:pPr>
              <w:rPr>
                <w:rFonts w:ascii="Times New Roman" w:hAnsi="Times New Roman" w:cs="Times New Roman"/>
                <w:b/>
              </w:rPr>
            </w:pPr>
            <w:r w:rsidRPr="00D94F85">
              <w:rPr>
                <w:rFonts w:ascii="Times New Roman" w:hAnsi="Times New Roman" w:cs="Times New Roman"/>
                <w:b/>
                <w:lang w:val="en-US"/>
              </w:rPr>
              <w:t>4</w:t>
            </w:r>
            <w:r w:rsidRPr="00D94F85">
              <w:rPr>
                <w:rFonts w:ascii="Times New Roman" w:hAnsi="Times New Roman" w:cs="Times New Roman"/>
                <w:b/>
              </w:rPr>
              <w:t xml:space="preserve"> </w:t>
            </w:r>
            <w:proofErr w:type="spellStart"/>
            <w:r w:rsidRPr="00D94F85">
              <w:rPr>
                <w:rFonts w:ascii="Times New Roman" w:hAnsi="Times New Roman" w:cs="Times New Roman"/>
                <w:b/>
              </w:rPr>
              <w:t>quarter</w:t>
            </w:r>
            <w:proofErr w:type="spellEnd"/>
            <w:r w:rsidRPr="00D94F85">
              <w:rPr>
                <w:rFonts w:ascii="Times New Roman" w:hAnsi="Times New Roman" w:cs="Times New Roman"/>
                <w:b/>
              </w:rPr>
              <w:t xml:space="preserve"> </w:t>
            </w:r>
            <w:proofErr w:type="spellStart"/>
            <w:r w:rsidRPr="00D94F85">
              <w:rPr>
                <w:rFonts w:ascii="Times New Roman" w:hAnsi="Times New Roman" w:cs="Times New Roman"/>
                <w:b/>
              </w:rPr>
              <w:t>of</w:t>
            </w:r>
            <w:proofErr w:type="spellEnd"/>
            <w:r w:rsidRPr="00D94F85">
              <w:rPr>
                <w:rFonts w:ascii="Times New Roman" w:hAnsi="Times New Roman" w:cs="Times New Roman"/>
                <w:b/>
              </w:rPr>
              <w:t xml:space="preserve"> 2021</w:t>
            </w:r>
          </w:p>
        </w:tc>
        <w:tc>
          <w:tcPr>
            <w:tcW w:w="1696" w:type="dxa"/>
          </w:tcPr>
          <w:p w14:paraId="5D7CD805" w14:textId="77777777" w:rsidR="00ED44F4" w:rsidRPr="00D94F85" w:rsidRDefault="00ED44F4" w:rsidP="00ED44F4">
            <w:pPr>
              <w:rPr>
                <w:rFonts w:ascii="Times New Roman" w:hAnsi="Times New Roman" w:cs="Times New Roman"/>
                <w:b/>
                <w:lang w:val="en-US"/>
              </w:rPr>
            </w:pPr>
            <w:r w:rsidRPr="00D94F85">
              <w:rPr>
                <w:rFonts w:ascii="Times New Roman" w:hAnsi="Times New Roman" w:cs="Times New Roman"/>
                <w:b/>
              </w:rPr>
              <w:t xml:space="preserve">1st </w:t>
            </w:r>
            <w:proofErr w:type="spellStart"/>
            <w:r w:rsidRPr="00D94F85">
              <w:rPr>
                <w:rFonts w:ascii="Times New Roman" w:hAnsi="Times New Roman" w:cs="Times New Roman"/>
                <w:b/>
              </w:rPr>
              <w:t>quarter</w:t>
            </w:r>
            <w:proofErr w:type="spellEnd"/>
            <w:r w:rsidRPr="00D94F85">
              <w:rPr>
                <w:rFonts w:ascii="Times New Roman" w:hAnsi="Times New Roman" w:cs="Times New Roman"/>
                <w:b/>
              </w:rPr>
              <w:t xml:space="preserve"> </w:t>
            </w:r>
            <w:proofErr w:type="spellStart"/>
            <w:r w:rsidRPr="00D94F85">
              <w:rPr>
                <w:rFonts w:ascii="Times New Roman" w:hAnsi="Times New Roman" w:cs="Times New Roman"/>
                <w:b/>
              </w:rPr>
              <w:t>of</w:t>
            </w:r>
            <w:proofErr w:type="spellEnd"/>
            <w:r w:rsidRPr="00D94F85">
              <w:rPr>
                <w:rFonts w:ascii="Times New Roman" w:hAnsi="Times New Roman" w:cs="Times New Roman"/>
                <w:b/>
              </w:rPr>
              <w:t xml:space="preserve"> 202</w:t>
            </w:r>
            <w:r w:rsidRPr="00D94F85">
              <w:rPr>
                <w:rFonts w:ascii="Times New Roman" w:hAnsi="Times New Roman" w:cs="Times New Roman"/>
                <w:b/>
                <w:lang w:val="en-US"/>
              </w:rPr>
              <w:t>2</w:t>
            </w:r>
          </w:p>
        </w:tc>
      </w:tr>
    </w:tbl>
    <w:tbl>
      <w:tblPr>
        <w:tblStyle w:val="a5"/>
        <w:tblpPr w:leftFromText="180" w:rightFromText="180" w:vertAnchor="text" w:horzAnchor="margin" w:tblpX="284" w:tblpY="12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7597"/>
      </w:tblGrid>
      <w:tr w:rsidR="00CD5C16" w:rsidRPr="00D94F85" w14:paraId="5CA4088B" w14:textId="77777777" w:rsidTr="00A57F8F">
        <w:trPr>
          <w:trHeight w:val="397"/>
        </w:trPr>
        <w:tc>
          <w:tcPr>
            <w:tcW w:w="1759" w:type="dxa"/>
          </w:tcPr>
          <w:p w14:paraId="2E8C48BB" w14:textId="77777777" w:rsidR="00CD5C16" w:rsidRPr="00D94F85" w:rsidRDefault="00CD5C16" w:rsidP="00CD5C16">
            <w:pPr>
              <w:pStyle w:val="a4"/>
              <w:numPr>
                <w:ilvl w:val="0"/>
                <w:numId w:val="21"/>
              </w:numPr>
              <w:tabs>
                <w:tab w:val="left" w:pos="738"/>
              </w:tabs>
              <w:ind w:left="313" w:right="744" w:firstLine="0"/>
              <w:jc w:val="center"/>
              <w:rPr>
                <w:rFonts w:ascii="Times New Roman" w:hAnsi="Times New Roman" w:cs="Times New Roman"/>
                <w:b/>
                <w:sz w:val="18"/>
                <w:szCs w:val="20"/>
              </w:rPr>
            </w:pPr>
          </w:p>
        </w:tc>
        <w:tc>
          <w:tcPr>
            <w:tcW w:w="7597" w:type="dxa"/>
            <w:vAlign w:val="center"/>
          </w:tcPr>
          <w:p w14:paraId="56CEF544" w14:textId="77777777" w:rsidR="00CD5C16" w:rsidRPr="00D94F85" w:rsidRDefault="00D854B7" w:rsidP="00A57F8F">
            <w:pPr>
              <w:pStyle w:val="a4"/>
              <w:ind w:left="0" w:right="283"/>
              <w:rPr>
                <w:rFonts w:ascii="Times New Roman" w:hAnsi="Times New Roman" w:cs="Times New Roman"/>
                <w:b/>
                <w:sz w:val="18"/>
                <w:szCs w:val="20"/>
              </w:rPr>
            </w:pPr>
            <w:proofErr w:type="spellStart"/>
            <w:r w:rsidRPr="00D94F85">
              <w:rPr>
                <w:rFonts w:ascii="Times New Roman" w:hAnsi="Times New Roman" w:cs="Times New Roman"/>
                <w:sz w:val="18"/>
                <w:szCs w:val="20"/>
              </w:rPr>
              <w:t>Development</w:t>
            </w:r>
            <w:proofErr w:type="spellEnd"/>
            <w:r w:rsidRPr="00D94F85">
              <w:rPr>
                <w:rFonts w:ascii="Times New Roman" w:hAnsi="Times New Roman" w:cs="Times New Roman"/>
                <w:sz w:val="18"/>
                <w:szCs w:val="20"/>
              </w:rPr>
              <w:t xml:space="preserve"> </w:t>
            </w:r>
            <w:proofErr w:type="spellStart"/>
            <w:r w:rsidRPr="00D94F85">
              <w:rPr>
                <w:rFonts w:ascii="Times New Roman" w:hAnsi="Times New Roman" w:cs="Times New Roman"/>
                <w:sz w:val="18"/>
                <w:szCs w:val="20"/>
              </w:rPr>
              <w:t>of</w:t>
            </w:r>
            <w:proofErr w:type="spellEnd"/>
            <w:r w:rsidRPr="00D94F85">
              <w:rPr>
                <w:rFonts w:ascii="Times New Roman" w:hAnsi="Times New Roman" w:cs="Times New Roman"/>
                <w:sz w:val="18"/>
                <w:szCs w:val="20"/>
              </w:rPr>
              <w:t xml:space="preserve"> </w:t>
            </w:r>
            <w:proofErr w:type="spellStart"/>
            <w:r w:rsidRPr="00D94F85">
              <w:rPr>
                <w:rFonts w:ascii="Times New Roman" w:hAnsi="Times New Roman" w:cs="Times New Roman"/>
                <w:sz w:val="18"/>
                <w:szCs w:val="20"/>
              </w:rPr>
              <w:t>accounting</w:t>
            </w:r>
            <w:proofErr w:type="spellEnd"/>
            <w:r w:rsidRPr="00D94F85">
              <w:rPr>
                <w:rFonts w:ascii="Times New Roman" w:hAnsi="Times New Roman" w:cs="Times New Roman"/>
                <w:sz w:val="18"/>
                <w:szCs w:val="20"/>
              </w:rPr>
              <w:t xml:space="preserve"> </w:t>
            </w:r>
            <w:proofErr w:type="spellStart"/>
            <w:r w:rsidRPr="00D94F85">
              <w:rPr>
                <w:rFonts w:ascii="Times New Roman" w:hAnsi="Times New Roman" w:cs="Times New Roman"/>
                <w:sz w:val="18"/>
                <w:szCs w:val="20"/>
              </w:rPr>
              <w:t>policy</w:t>
            </w:r>
            <w:proofErr w:type="spellEnd"/>
          </w:p>
        </w:tc>
      </w:tr>
      <w:tr w:rsidR="00CD5C16" w:rsidRPr="00515608" w14:paraId="520A8534" w14:textId="77777777" w:rsidTr="00A57F8F">
        <w:trPr>
          <w:trHeight w:val="397"/>
        </w:trPr>
        <w:tc>
          <w:tcPr>
            <w:tcW w:w="1759" w:type="dxa"/>
          </w:tcPr>
          <w:p w14:paraId="1BE8AA58" w14:textId="77777777" w:rsidR="00CD5C16" w:rsidRPr="00D94F85" w:rsidRDefault="00CD5C16" w:rsidP="00CD5C16">
            <w:pPr>
              <w:pStyle w:val="a4"/>
              <w:numPr>
                <w:ilvl w:val="0"/>
                <w:numId w:val="22"/>
              </w:numPr>
              <w:tabs>
                <w:tab w:val="left" w:pos="738"/>
              </w:tabs>
              <w:ind w:left="313" w:right="744" w:firstLine="0"/>
              <w:jc w:val="center"/>
              <w:rPr>
                <w:rFonts w:ascii="Times New Roman" w:hAnsi="Times New Roman" w:cs="Times New Roman"/>
                <w:b/>
                <w:sz w:val="18"/>
                <w:szCs w:val="20"/>
              </w:rPr>
            </w:pPr>
          </w:p>
        </w:tc>
        <w:tc>
          <w:tcPr>
            <w:tcW w:w="7597" w:type="dxa"/>
            <w:vAlign w:val="center"/>
          </w:tcPr>
          <w:p w14:paraId="47DBB062" w14:textId="77777777" w:rsidR="00CD5C16" w:rsidRPr="00D94F85" w:rsidRDefault="003E25E6" w:rsidP="00F15452">
            <w:pPr>
              <w:ind w:right="283"/>
              <w:rPr>
                <w:rFonts w:ascii="Times New Roman" w:hAnsi="Times New Roman" w:cs="Times New Roman"/>
                <w:sz w:val="18"/>
                <w:szCs w:val="20"/>
                <w:lang w:val="en-US"/>
              </w:rPr>
            </w:pPr>
            <w:r w:rsidRPr="00D94F85">
              <w:rPr>
                <w:rFonts w:ascii="Times New Roman" w:hAnsi="Times New Roman" w:cs="Times New Roman"/>
                <w:sz w:val="18"/>
                <w:szCs w:val="20"/>
                <w:lang w:val="en-US"/>
              </w:rPr>
              <w:t xml:space="preserve">Developing methodology </w:t>
            </w:r>
            <w:r w:rsidR="00F15452" w:rsidRPr="00D94F85">
              <w:rPr>
                <w:rFonts w:ascii="Times New Roman" w:hAnsi="Times New Roman" w:cs="Times New Roman"/>
                <w:sz w:val="18"/>
                <w:szCs w:val="20"/>
                <w:lang w:val="en-US"/>
              </w:rPr>
              <w:t>for loss allowances</w:t>
            </w:r>
          </w:p>
        </w:tc>
      </w:tr>
      <w:tr w:rsidR="00CD5C16" w:rsidRPr="00515608" w14:paraId="093212CC" w14:textId="77777777" w:rsidTr="00A57F8F">
        <w:trPr>
          <w:trHeight w:val="397"/>
        </w:trPr>
        <w:tc>
          <w:tcPr>
            <w:tcW w:w="1759" w:type="dxa"/>
          </w:tcPr>
          <w:p w14:paraId="78A5016A" w14:textId="77777777" w:rsidR="00CD5C16" w:rsidRPr="00D94F85" w:rsidRDefault="00CD5C16" w:rsidP="00CD5C16">
            <w:pPr>
              <w:pStyle w:val="a4"/>
              <w:numPr>
                <w:ilvl w:val="0"/>
                <w:numId w:val="23"/>
              </w:numPr>
              <w:tabs>
                <w:tab w:val="left" w:pos="738"/>
              </w:tabs>
              <w:ind w:left="313" w:right="744" w:firstLine="0"/>
              <w:jc w:val="center"/>
              <w:rPr>
                <w:rFonts w:ascii="Times New Roman" w:hAnsi="Times New Roman" w:cs="Times New Roman"/>
                <w:b/>
                <w:sz w:val="18"/>
                <w:szCs w:val="20"/>
                <w:lang w:val="en-US"/>
              </w:rPr>
            </w:pPr>
          </w:p>
        </w:tc>
        <w:tc>
          <w:tcPr>
            <w:tcW w:w="7597" w:type="dxa"/>
            <w:vAlign w:val="center"/>
          </w:tcPr>
          <w:p w14:paraId="6D34446E" w14:textId="77777777" w:rsidR="00CD5C16" w:rsidRPr="00D94F85" w:rsidRDefault="00D854B7" w:rsidP="00A57F8F">
            <w:pPr>
              <w:pStyle w:val="a4"/>
              <w:ind w:left="0" w:right="283"/>
              <w:rPr>
                <w:rFonts w:ascii="Times New Roman" w:hAnsi="Times New Roman" w:cs="Times New Roman"/>
                <w:b/>
                <w:sz w:val="18"/>
                <w:szCs w:val="20"/>
                <w:lang w:val="en-US"/>
              </w:rPr>
            </w:pPr>
            <w:r w:rsidRPr="00D94F85">
              <w:rPr>
                <w:rFonts w:ascii="Times New Roman" w:hAnsi="Times New Roman" w:cs="Times New Roman"/>
                <w:sz w:val="18"/>
                <w:szCs w:val="20"/>
                <w:lang w:val="en-US"/>
              </w:rPr>
              <w:t>Preparation of the incoming balance sheet (introductory report)</w:t>
            </w:r>
          </w:p>
        </w:tc>
      </w:tr>
      <w:tr w:rsidR="00CD5C16" w:rsidRPr="00515608" w14:paraId="45D296D4" w14:textId="77777777" w:rsidTr="00A57F8F">
        <w:trPr>
          <w:trHeight w:val="397"/>
        </w:trPr>
        <w:tc>
          <w:tcPr>
            <w:tcW w:w="1759" w:type="dxa"/>
          </w:tcPr>
          <w:p w14:paraId="6107BFB3" w14:textId="77777777" w:rsidR="00CD5C16" w:rsidRPr="00D94F85" w:rsidRDefault="00CD5C16" w:rsidP="00CD5C16">
            <w:pPr>
              <w:pStyle w:val="a4"/>
              <w:numPr>
                <w:ilvl w:val="0"/>
                <w:numId w:val="25"/>
              </w:numPr>
              <w:tabs>
                <w:tab w:val="left" w:pos="738"/>
              </w:tabs>
              <w:ind w:left="313" w:right="744" w:firstLine="0"/>
              <w:jc w:val="center"/>
              <w:rPr>
                <w:rFonts w:ascii="Times New Roman" w:hAnsi="Times New Roman" w:cs="Times New Roman"/>
                <w:b/>
                <w:sz w:val="18"/>
                <w:szCs w:val="20"/>
                <w:lang w:val="en-US"/>
              </w:rPr>
            </w:pPr>
          </w:p>
        </w:tc>
        <w:tc>
          <w:tcPr>
            <w:tcW w:w="7597" w:type="dxa"/>
            <w:vAlign w:val="center"/>
          </w:tcPr>
          <w:p w14:paraId="01521A96" w14:textId="77777777" w:rsidR="00CD5C16" w:rsidRPr="00D94F85" w:rsidRDefault="00D854B7" w:rsidP="00D854B7">
            <w:pPr>
              <w:pStyle w:val="a4"/>
              <w:ind w:left="0" w:right="283"/>
              <w:rPr>
                <w:rFonts w:ascii="Times New Roman" w:hAnsi="Times New Roman" w:cs="Times New Roman"/>
                <w:b/>
                <w:sz w:val="18"/>
                <w:szCs w:val="20"/>
                <w:lang w:val="en-US"/>
              </w:rPr>
            </w:pPr>
            <w:r w:rsidRPr="00D94F85">
              <w:rPr>
                <w:rFonts w:ascii="Times New Roman" w:hAnsi="Times New Roman" w:cs="Times New Roman"/>
                <w:sz w:val="18"/>
                <w:szCs w:val="20"/>
                <w:lang w:val="en-US"/>
              </w:rPr>
              <w:t xml:space="preserve">Submission of quarterly financial statements to the territorial branch of the National Bank at its location in accordance with the forms </w:t>
            </w:r>
            <w:r w:rsidRPr="00D94F85">
              <w:rPr>
                <w:lang w:val="en-US"/>
              </w:rPr>
              <w:t xml:space="preserve"> </w:t>
            </w:r>
            <w:r w:rsidRPr="00D94F85">
              <w:rPr>
                <w:rFonts w:ascii="Times New Roman" w:hAnsi="Times New Roman" w:cs="Times New Roman"/>
                <w:sz w:val="18"/>
                <w:szCs w:val="20"/>
                <w:lang w:val="en-US"/>
              </w:rPr>
              <w:t>specified in Appendices 14 and 16 of the NBRK Act No. 41 of 28.01.2016</w:t>
            </w:r>
          </w:p>
        </w:tc>
      </w:tr>
      <w:tr w:rsidR="00CD5C16" w:rsidRPr="00515608" w14:paraId="2905AEEC" w14:textId="77777777" w:rsidTr="00A57F8F">
        <w:trPr>
          <w:trHeight w:val="397"/>
        </w:trPr>
        <w:tc>
          <w:tcPr>
            <w:tcW w:w="1759" w:type="dxa"/>
          </w:tcPr>
          <w:p w14:paraId="3AF10E8C" w14:textId="77777777" w:rsidR="00CD5C16" w:rsidRPr="00D94F85" w:rsidRDefault="00CD5C16" w:rsidP="00CD5C16">
            <w:pPr>
              <w:pStyle w:val="a4"/>
              <w:numPr>
                <w:ilvl w:val="0"/>
                <w:numId w:val="27"/>
              </w:numPr>
              <w:tabs>
                <w:tab w:val="left" w:pos="312"/>
                <w:tab w:val="left" w:pos="880"/>
                <w:tab w:val="left" w:pos="1163"/>
              </w:tabs>
              <w:ind w:left="312" w:right="743" w:firstLine="0"/>
              <w:rPr>
                <w:rFonts w:ascii="Times New Roman" w:hAnsi="Times New Roman" w:cs="Times New Roman"/>
                <w:b/>
                <w:sz w:val="18"/>
                <w:szCs w:val="20"/>
                <w:lang w:val="en-US"/>
              </w:rPr>
            </w:pPr>
          </w:p>
        </w:tc>
        <w:tc>
          <w:tcPr>
            <w:tcW w:w="7597" w:type="dxa"/>
            <w:vAlign w:val="center"/>
          </w:tcPr>
          <w:p w14:paraId="4CC7D365" w14:textId="77777777" w:rsidR="00CD5C16" w:rsidRPr="00D94F85" w:rsidRDefault="00D854B7" w:rsidP="00A57F8F">
            <w:pPr>
              <w:pStyle w:val="a4"/>
              <w:ind w:left="0" w:right="283"/>
              <w:rPr>
                <w:rFonts w:ascii="Times New Roman" w:hAnsi="Times New Roman" w:cs="Times New Roman"/>
                <w:b/>
                <w:sz w:val="18"/>
                <w:szCs w:val="20"/>
                <w:lang w:val="en-US"/>
              </w:rPr>
            </w:pPr>
            <w:r w:rsidRPr="00D94F85">
              <w:rPr>
                <w:rFonts w:ascii="Times New Roman" w:hAnsi="Times New Roman" w:cs="Times New Roman"/>
                <w:sz w:val="18"/>
                <w:szCs w:val="20"/>
                <w:lang w:val="en-US"/>
              </w:rPr>
              <w:t>Accounting and reporting of all transactions and events from 01.01.2020 and onwards in accordance with the provisions of the newly approved Accounting Policy and IFRS</w:t>
            </w:r>
          </w:p>
        </w:tc>
      </w:tr>
      <w:tr w:rsidR="00CD5C16" w:rsidRPr="00515608" w14:paraId="29734C14" w14:textId="77777777" w:rsidTr="00A57F8F">
        <w:trPr>
          <w:trHeight w:val="518"/>
        </w:trPr>
        <w:tc>
          <w:tcPr>
            <w:tcW w:w="1759" w:type="dxa"/>
          </w:tcPr>
          <w:p w14:paraId="5A14566B" w14:textId="77777777" w:rsidR="00CD5C16" w:rsidRPr="00D94F85" w:rsidRDefault="00CD5C16" w:rsidP="00A57F8F">
            <w:pPr>
              <w:pStyle w:val="a4"/>
              <w:tabs>
                <w:tab w:val="left" w:pos="312"/>
                <w:tab w:val="left" w:pos="880"/>
                <w:tab w:val="left" w:pos="1163"/>
              </w:tabs>
              <w:ind w:left="312" w:right="743"/>
              <w:rPr>
                <w:rFonts w:ascii="Times New Roman" w:hAnsi="Times New Roman" w:cs="Times New Roman"/>
                <w:sz w:val="18"/>
                <w:szCs w:val="20"/>
              </w:rPr>
            </w:pPr>
            <w:r w:rsidRPr="00D94F85">
              <w:rPr>
                <w:rFonts w:ascii="Times New Roman" w:hAnsi="Times New Roman" w:cs="Times New Roman"/>
                <w:sz w:val="18"/>
                <w:szCs w:val="20"/>
              </w:rPr>
              <w:t>*</w:t>
            </w:r>
            <w:r w:rsidRPr="00D94F85">
              <w:rPr>
                <w:rFonts w:ascii="Times New Roman" w:hAnsi="Times New Roman" w:cs="Times New Roman"/>
                <w:sz w:val="18"/>
                <w:szCs w:val="20"/>
              </w:rPr>
              <w:tab/>
            </w:r>
          </w:p>
        </w:tc>
        <w:tc>
          <w:tcPr>
            <w:tcW w:w="7597" w:type="dxa"/>
            <w:vAlign w:val="center"/>
          </w:tcPr>
          <w:p w14:paraId="59443A09" w14:textId="05B55E28" w:rsidR="00CD5C16" w:rsidRPr="00D94F85" w:rsidRDefault="00214708" w:rsidP="00D854B7">
            <w:pPr>
              <w:ind w:right="283"/>
              <w:jc w:val="both"/>
              <w:rPr>
                <w:rFonts w:ascii="Times New Roman" w:hAnsi="Times New Roman" w:cs="Times New Roman"/>
                <w:sz w:val="18"/>
                <w:szCs w:val="20"/>
                <w:lang w:val="en-US"/>
              </w:rPr>
            </w:pPr>
            <w:r w:rsidRPr="00D94F85">
              <w:rPr>
                <w:rFonts w:ascii="Times New Roman" w:hAnsi="Times New Roman" w:cs="Times New Roman"/>
                <w:sz w:val="18"/>
                <w:szCs w:val="20"/>
                <w:lang w:val="en-US"/>
              </w:rPr>
              <w:t>GA</w:t>
            </w:r>
            <w:r w:rsidR="00D854B7" w:rsidRPr="00D94F85">
              <w:rPr>
                <w:rFonts w:ascii="Times New Roman" w:hAnsi="Times New Roman" w:cs="Times New Roman"/>
                <w:sz w:val="18"/>
                <w:szCs w:val="20"/>
                <w:lang w:val="en-US"/>
              </w:rPr>
              <w:t>AP</w:t>
            </w:r>
            <w:r w:rsidR="00CD5C16" w:rsidRPr="00D94F85">
              <w:rPr>
                <w:rFonts w:ascii="Times New Roman" w:hAnsi="Times New Roman" w:cs="Times New Roman"/>
                <w:sz w:val="18"/>
                <w:szCs w:val="20"/>
                <w:lang w:val="en-US"/>
              </w:rPr>
              <w:t xml:space="preserve"> – </w:t>
            </w:r>
            <w:r w:rsidR="00D854B7" w:rsidRPr="00D94F85">
              <w:rPr>
                <w:lang w:val="en-US"/>
              </w:rPr>
              <w:t xml:space="preserve"> </w:t>
            </w:r>
            <w:r w:rsidR="00D854B7" w:rsidRPr="00D94F85">
              <w:rPr>
                <w:rFonts w:ascii="Times New Roman" w:hAnsi="Times New Roman" w:cs="Times New Roman"/>
                <w:sz w:val="18"/>
                <w:szCs w:val="20"/>
                <w:lang w:val="en-US"/>
              </w:rPr>
              <w:t>previously applied accepted accounting principles</w:t>
            </w:r>
          </w:p>
        </w:tc>
      </w:tr>
    </w:tbl>
    <w:p w14:paraId="473A68D1" w14:textId="77777777" w:rsidR="00CD5C16" w:rsidRPr="00D94F85" w:rsidRDefault="00675028" w:rsidP="00F76BAA">
      <w:pPr>
        <w:spacing w:after="0" w:line="240" w:lineRule="auto"/>
        <w:ind w:left="851"/>
        <w:jc w:val="both"/>
        <w:rPr>
          <w:rFonts w:ascii="Times New Roman" w:hAnsi="Times New Roman" w:cs="Times New Roman"/>
          <w:b/>
          <w:i/>
          <w:color w:val="000000" w:themeColor="text1"/>
          <w:sz w:val="24"/>
          <w:lang w:val="en-US"/>
        </w:rPr>
      </w:pPr>
      <w:r w:rsidRPr="00D94F85">
        <w:rPr>
          <w:rFonts w:ascii="Times New Roman" w:hAnsi="Times New Roman" w:cs="Times New Roman"/>
          <w:b/>
          <w:i/>
          <w:color w:val="000000" w:themeColor="text1"/>
          <w:sz w:val="24"/>
          <w:lang w:val="en-US"/>
        </w:rPr>
        <w:t>Accounting policy</w:t>
      </w:r>
    </w:p>
    <w:p w14:paraId="26D3F3B1" w14:textId="7B495BE6" w:rsidR="00675028" w:rsidRPr="00D94F85" w:rsidRDefault="00675028" w:rsidP="00F76BAA">
      <w:pPr>
        <w:pStyle w:val="a4"/>
        <w:numPr>
          <w:ilvl w:val="0"/>
          <w:numId w:val="39"/>
        </w:numPr>
        <w:spacing w:after="0" w:line="240" w:lineRule="auto"/>
        <w:ind w:left="0" w:firstLine="851"/>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Both in preparing the introductory statement of financial position under IFRS and for all periods presented in its first financial statements under IFRS, a microfinance organization</w:t>
      </w:r>
      <w:r w:rsidR="003D7BCD" w:rsidRPr="00D94F85">
        <w:rPr>
          <w:rFonts w:ascii="Times New Roman" w:hAnsi="Times New Roman" w:cs="Times New Roman"/>
          <w:color w:val="000000" w:themeColor="text1"/>
          <w:sz w:val="24"/>
          <w:lang w:val="en-US"/>
        </w:rPr>
        <w:t xml:space="preserve"> shall use </w:t>
      </w:r>
      <w:r w:rsidRPr="00D94F85">
        <w:rPr>
          <w:rFonts w:ascii="Times New Roman" w:hAnsi="Times New Roman" w:cs="Times New Roman"/>
          <w:color w:val="000000" w:themeColor="text1"/>
          <w:sz w:val="24"/>
          <w:lang w:val="en-US"/>
        </w:rPr>
        <w:t>the same accounting policy (paragraph 7 of IFRS 1).</w:t>
      </w:r>
    </w:p>
    <w:p w14:paraId="2C389801" w14:textId="77777777" w:rsidR="00675028" w:rsidRPr="00D94F85" w:rsidRDefault="00F76BAA" w:rsidP="00F76BAA">
      <w:pPr>
        <w:pStyle w:val="a4"/>
        <w:numPr>
          <w:ilvl w:val="0"/>
          <w:numId w:val="39"/>
        </w:numPr>
        <w:spacing w:after="0" w:line="240" w:lineRule="auto"/>
        <w:ind w:left="0" w:firstLine="851"/>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The accounting policies must comply with the requirements of each IFRS effective as of the end of its first reporting period under IFRS, except as specified in paragraphs 13-19 and Annexes B-E.</w:t>
      </w:r>
    </w:p>
    <w:p w14:paraId="122C3BE0" w14:textId="5AD3461C" w:rsidR="00F76BAA" w:rsidRPr="00D94F85" w:rsidRDefault="00F76BAA" w:rsidP="00F76BAA">
      <w:pPr>
        <w:pStyle w:val="a4"/>
        <w:numPr>
          <w:ilvl w:val="0"/>
          <w:numId w:val="39"/>
        </w:numPr>
        <w:spacing w:after="0" w:line="240" w:lineRule="auto"/>
        <w:ind w:left="0" w:firstLine="851"/>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The accounting policies applied in the preparation of the opening statement of financial position under IFRS may differ from the accounting policies under previously applied </w:t>
      </w:r>
      <w:r w:rsidR="00214708" w:rsidRPr="00D94F85">
        <w:rPr>
          <w:rFonts w:ascii="Times New Roman" w:hAnsi="Times New Roman" w:cs="Times New Roman"/>
          <w:color w:val="000000" w:themeColor="text1"/>
          <w:sz w:val="24"/>
          <w:lang w:val="en-US"/>
        </w:rPr>
        <w:t>GA</w:t>
      </w:r>
      <w:r w:rsidRPr="00D94F85">
        <w:rPr>
          <w:rFonts w:ascii="Times New Roman" w:hAnsi="Times New Roman" w:cs="Times New Roman"/>
          <w:color w:val="000000" w:themeColor="text1"/>
          <w:sz w:val="24"/>
          <w:lang w:val="en-US"/>
        </w:rPr>
        <w:t xml:space="preserve">AP at the same date. The resulting adjustments relate to events and transactions that occurred prior to the date of transition to IFRS. These adjustments </w:t>
      </w:r>
      <w:r w:rsidR="00F06CD0" w:rsidRPr="00D94F85">
        <w:rPr>
          <w:rFonts w:ascii="Times New Roman" w:hAnsi="Times New Roman" w:cs="Times New Roman"/>
          <w:color w:val="000000" w:themeColor="text1"/>
          <w:sz w:val="24"/>
          <w:lang w:val="en-US"/>
        </w:rPr>
        <w:t>shall</w:t>
      </w:r>
      <w:r w:rsidRPr="00D94F85">
        <w:rPr>
          <w:rFonts w:ascii="Times New Roman" w:hAnsi="Times New Roman" w:cs="Times New Roman"/>
          <w:color w:val="000000" w:themeColor="text1"/>
          <w:sz w:val="24"/>
          <w:lang w:val="en-US"/>
        </w:rPr>
        <w:t xml:space="preserve"> be recognized directly in retained earnings (or, if appropriate, in another category of equity) at the date of transition to IFRS.</w:t>
      </w:r>
    </w:p>
    <w:p w14:paraId="4601CE3A" w14:textId="77777777" w:rsidR="00F15452" w:rsidRPr="00D94F85" w:rsidRDefault="00F15452" w:rsidP="00D409B8">
      <w:pPr>
        <w:pStyle w:val="a4"/>
        <w:spacing w:after="0" w:line="240" w:lineRule="auto"/>
        <w:ind w:left="0" w:firstLine="709"/>
        <w:jc w:val="both"/>
        <w:rPr>
          <w:rFonts w:ascii="Times New Roman" w:hAnsi="Times New Roman" w:cs="Times New Roman"/>
          <w:b/>
          <w:i/>
          <w:color w:val="000000" w:themeColor="text1"/>
          <w:sz w:val="24"/>
          <w:szCs w:val="24"/>
          <w:lang w:val="en-US"/>
        </w:rPr>
      </w:pPr>
      <w:r w:rsidRPr="00D94F85">
        <w:rPr>
          <w:rFonts w:ascii="Times New Roman" w:hAnsi="Times New Roman" w:cs="Times New Roman"/>
          <w:b/>
          <w:i/>
          <w:sz w:val="24"/>
          <w:szCs w:val="24"/>
          <w:lang w:val="en-US"/>
        </w:rPr>
        <w:lastRenderedPageBreak/>
        <w:t>Methodology</w:t>
      </w:r>
      <w:r w:rsidRPr="00D94F85">
        <w:rPr>
          <w:rFonts w:ascii="Times New Roman" w:hAnsi="Times New Roman" w:cs="Times New Roman"/>
          <w:b/>
          <w:i/>
          <w:color w:val="000000" w:themeColor="text1"/>
          <w:sz w:val="24"/>
          <w:szCs w:val="24"/>
          <w:lang w:val="en-US"/>
        </w:rPr>
        <w:t xml:space="preserve"> for loss allowances </w:t>
      </w:r>
    </w:p>
    <w:p w14:paraId="4E515658" w14:textId="77777777" w:rsidR="00F76BAA" w:rsidRPr="00D94F85" w:rsidRDefault="00F76BAA" w:rsidP="00D409B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In accordance with the paragraph 6 of article 250 of the Tax Code of the Republic of Kazakhstan microfinance organization (with the exception of pawnshops and loan associations) have the right to refer to deduct expenses for creating provisions (reserves) against bad and doubtful assets for granted microloans, the value of which is determined by the Provisioning methodology corresponding with IFRS (IFRS) 9.</w:t>
      </w:r>
    </w:p>
    <w:p w14:paraId="216A4E8E" w14:textId="77777777" w:rsidR="00F76BAA" w:rsidRPr="00D94F85" w:rsidRDefault="00F76BAA" w:rsidP="00D409B8">
      <w:pPr>
        <w:pStyle w:val="a4"/>
        <w:spacing w:after="0" w:line="240" w:lineRule="auto"/>
        <w:ind w:left="0" w:firstLine="709"/>
        <w:jc w:val="both"/>
        <w:rPr>
          <w:rFonts w:ascii="Times New Roman" w:hAnsi="Times New Roman" w:cs="Times New Roman"/>
          <w:b/>
          <w:i/>
          <w:color w:val="000000" w:themeColor="text1"/>
          <w:sz w:val="24"/>
          <w:lang w:val="en-US"/>
        </w:rPr>
      </w:pPr>
      <w:r w:rsidRPr="00D94F85">
        <w:rPr>
          <w:rFonts w:ascii="Times New Roman" w:hAnsi="Times New Roman" w:cs="Times New Roman"/>
          <w:b/>
          <w:i/>
          <w:color w:val="000000" w:themeColor="text1"/>
          <w:sz w:val="24"/>
          <w:lang w:val="en-US"/>
        </w:rPr>
        <w:t xml:space="preserve">Preparation of the </w:t>
      </w:r>
      <w:r w:rsidR="004D0E65" w:rsidRPr="00D94F85">
        <w:rPr>
          <w:rFonts w:ascii="Times New Roman" w:hAnsi="Times New Roman" w:cs="Times New Roman"/>
          <w:b/>
          <w:i/>
          <w:color w:val="000000" w:themeColor="text1"/>
          <w:sz w:val="24"/>
          <w:lang w:val="en-US"/>
        </w:rPr>
        <w:t>opening</w:t>
      </w:r>
      <w:r w:rsidRPr="00D94F85">
        <w:rPr>
          <w:rFonts w:ascii="Times New Roman" w:hAnsi="Times New Roman" w:cs="Times New Roman"/>
          <w:b/>
          <w:i/>
          <w:color w:val="000000" w:themeColor="text1"/>
          <w:sz w:val="24"/>
          <w:lang w:val="en-US"/>
        </w:rPr>
        <w:t xml:space="preserve"> statement of financial position under IFRS</w:t>
      </w:r>
    </w:p>
    <w:p w14:paraId="0654563C" w14:textId="77777777" w:rsidR="00F76BAA" w:rsidRPr="00D94F85" w:rsidRDefault="008B4B7C" w:rsidP="00D409B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The </w:t>
      </w:r>
      <w:r w:rsidR="004D0E65" w:rsidRPr="00D94F85">
        <w:rPr>
          <w:rFonts w:ascii="Times New Roman" w:hAnsi="Times New Roman" w:cs="Times New Roman"/>
          <w:color w:val="000000" w:themeColor="text1"/>
          <w:sz w:val="24"/>
          <w:lang w:val="en-US"/>
        </w:rPr>
        <w:t xml:space="preserve">opening </w:t>
      </w:r>
      <w:r w:rsidRPr="00D94F85">
        <w:rPr>
          <w:rFonts w:ascii="Times New Roman" w:hAnsi="Times New Roman" w:cs="Times New Roman"/>
          <w:color w:val="000000" w:themeColor="text1"/>
          <w:sz w:val="24"/>
          <w:lang w:val="en-US"/>
        </w:rPr>
        <w:t>statement of financial position under IFRS is the starting point for accounting under IFRS.</w:t>
      </w:r>
    </w:p>
    <w:p w14:paraId="6C7CFB8F" w14:textId="77777777" w:rsidR="00F76BAA" w:rsidRPr="00D94F85" w:rsidRDefault="008B4B7C" w:rsidP="00D409B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When forming the </w:t>
      </w:r>
      <w:r w:rsidR="004D0E65" w:rsidRPr="00D94F85">
        <w:rPr>
          <w:rFonts w:ascii="Times New Roman" w:hAnsi="Times New Roman" w:cs="Times New Roman"/>
          <w:color w:val="000000" w:themeColor="text1"/>
          <w:sz w:val="24"/>
          <w:lang w:val="en-US"/>
        </w:rPr>
        <w:t xml:space="preserve">opening </w:t>
      </w:r>
      <w:r w:rsidRPr="00D94F85">
        <w:rPr>
          <w:rFonts w:ascii="Times New Roman" w:hAnsi="Times New Roman" w:cs="Times New Roman"/>
          <w:color w:val="000000" w:themeColor="text1"/>
          <w:sz w:val="24"/>
          <w:lang w:val="en-US"/>
        </w:rPr>
        <w:t>statement of financial position, the company is required to make the adjustments provided for in IFRS 1.</w:t>
      </w:r>
      <w:r w:rsidR="004D0E65" w:rsidRPr="00D94F85">
        <w:rPr>
          <w:rFonts w:ascii="Times New Roman" w:hAnsi="Times New Roman" w:cs="Times New Roman"/>
          <w:color w:val="000000" w:themeColor="text1"/>
          <w:sz w:val="24"/>
          <w:lang w:val="en-US"/>
        </w:rPr>
        <w:t xml:space="preserve"> </w:t>
      </w:r>
    </w:p>
    <w:p w14:paraId="11CB8CE5" w14:textId="77777777" w:rsidR="00F76BAA" w:rsidRPr="00D94F85" w:rsidRDefault="00D409B8" w:rsidP="00D409B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Thus, at the date of transition to IFRS, the inputs </w:t>
      </w:r>
      <w:r w:rsidR="00896801" w:rsidRPr="00D94F85">
        <w:rPr>
          <w:rFonts w:ascii="Times New Roman" w:hAnsi="Times New Roman" w:cs="Times New Roman"/>
          <w:color w:val="000000" w:themeColor="text1"/>
          <w:sz w:val="24"/>
          <w:lang w:val="en-US"/>
        </w:rPr>
        <w:t xml:space="preserve">to List of turnovers and transactions by accounts </w:t>
      </w:r>
      <w:r w:rsidRPr="00D94F85">
        <w:rPr>
          <w:rFonts w:ascii="Times New Roman" w:hAnsi="Times New Roman" w:cs="Times New Roman"/>
          <w:color w:val="000000" w:themeColor="text1"/>
          <w:sz w:val="24"/>
          <w:lang w:val="en-US"/>
        </w:rPr>
        <w:t>are recalculated and a transformation table is compiled.</w:t>
      </w:r>
    </w:p>
    <w:p w14:paraId="48E8EF0E" w14:textId="77777777" w:rsidR="00F76BAA" w:rsidRPr="00D94F85" w:rsidRDefault="00D409B8" w:rsidP="00D409B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In accordance with paragraph 9 of IFRS 1, the transitional provisions in other IFRSs apply organization already use IFRS when you make changes to your policy; they do not apply to changes implemented by the organization, first applying IFRS, except as described in appendices B–E.</w:t>
      </w:r>
    </w:p>
    <w:p w14:paraId="2B27B8F7" w14:textId="77777777" w:rsidR="00F76BAA" w:rsidRPr="00D94F85" w:rsidRDefault="002925B4" w:rsidP="00D409B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Below are examples of accounting for property, plant and equipment, intangible assets (FA, IA) and financial assets/liabilities under IFRS</w:t>
      </w:r>
    </w:p>
    <w:p w14:paraId="2DEF9D25" w14:textId="77777777" w:rsidR="00F76BAA" w:rsidRPr="00D94F85" w:rsidRDefault="002925B4" w:rsidP="00D409B8">
      <w:pPr>
        <w:pStyle w:val="a4"/>
        <w:spacing w:after="0" w:line="240" w:lineRule="auto"/>
        <w:ind w:left="0" w:firstLine="709"/>
        <w:jc w:val="both"/>
        <w:rPr>
          <w:rFonts w:ascii="Times New Roman" w:hAnsi="Times New Roman" w:cs="Times New Roman"/>
          <w:b/>
          <w:i/>
          <w:color w:val="000000" w:themeColor="text1"/>
          <w:sz w:val="24"/>
          <w:lang w:val="en-US"/>
        </w:rPr>
      </w:pPr>
      <w:r w:rsidRPr="00D94F85">
        <w:rPr>
          <w:rFonts w:ascii="Times New Roman" w:hAnsi="Times New Roman" w:cs="Times New Roman"/>
          <w:b/>
          <w:i/>
          <w:color w:val="000000" w:themeColor="text1"/>
          <w:sz w:val="24"/>
          <w:lang w:val="en-US"/>
        </w:rPr>
        <w:t>Accounting for fixed assets, intangible assets (FA, IA) in accordance with IFRS)</w:t>
      </w:r>
    </w:p>
    <w:p w14:paraId="5C6C5DDF" w14:textId="32065599" w:rsidR="00F76BAA" w:rsidRPr="00D94F85" w:rsidRDefault="002925B4" w:rsidP="00120D1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Microfinance organizations that have accounted for property, plant and equipment and intangible assets in accordance with IFRS for small and </w:t>
      </w:r>
      <w:r w:rsidR="00A3257F" w:rsidRPr="00D94F85">
        <w:rPr>
          <w:rFonts w:ascii="Times New Roman" w:hAnsi="Times New Roman" w:cs="Times New Roman"/>
          <w:color w:val="000000" w:themeColor="text1"/>
          <w:sz w:val="24"/>
          <w:lang w:val="en-US"/>
        </w:rPr>
        <w:t>m</w:t>
      </w:r>
      <w:r w:rsidRPr="00D94F85">
        <w:rPr>
          <w:rFonts w:ascii="Times New Roman" w:hAnsi="Times New Roman" w:cs="Times New Roman"/>
          <w:color w:val="000000" w:themeColor="text1"/>
          <w:sz w:val="24"/>
          <w:lang w:val="en-US"/>
        </w:rPr>
        <w:t xml:space="preserve">edium – sized businesses (hereinafter referred to as IFRS for SMEs) or national standards </w:t>
      </w:r>
      <w:r w:rsidR="00214708" w:rsidRPr="00D94F85">
        <w:rPr>
          <w:rFonts w:ascii="Times New Roman" w:hAnsi="Times New Roman" w:cs="Times New Roman"/>
          <w:color w:val="000000" w:themeColor="text1"/>
          <w:sz w:val="24"/>
          <w:lang w:val="en-US"/>
        </w:rPr>
        <w:t>must</w:t>
      </w:r>
      <w:r w:rsidRPr="00D94F85">
        <w:rPr>
          <w:rFonts w:ascii="Times New Roman" w:hAnsi="Times New Roman" w:cs="Times New Roman"/>
          <w:color w:val="000000" w:themeColor="text1"/>
          <w:sz w:val="24"/>
          <w:lang w:val="en-US"/>
        </w:rPr>
        <w:t xml:space="preserve"> be guided by IAS 16 </w:t>
      </w:r>
      <w:r w:rsidR="00A3257F"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Property, Plant and Equipment</w:t>
      </w:r>
      <w:r w:rsidR="00A3257F"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 xml:space="preserve"> (hereinafter referred to as IAS 16) and IAS 38 </w:t>
      </w:r>
      <w:r w:rsidR="00A3257F"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Intangible Assets</w:t>
      </w:r>
      <w:r w:rsidR="00A3257F" w:rsidRPr="00D94F85">
        <w:rPr>
          <w:rFonts w:ascii="Times New Roman" w:hAnsi="Times New Roman" w:cs="Times New Roman"/>
          <w:color w:val="000000" w:themeColor="text1"/>
          <w:sz w:val="24"/>
          <w:lang w:val="en-US"/>
        </w:rPr>
        <w:t>”</w:t>
      </w:r>
      <w:r w:rsidRPr="00D94F85">
        <w:rPr>
          <w:rFonts w:ascii="Times New Roman" w:hAnsi="Times New Roman" w:cs="Times New Roman"/>
          <w:color w:val="000000" w:themeColor="text1"/>
          <w:sz w:val="24"/>
          <w:lang w:val="en-US"/>
        </w:rPr>
        <w:t xml:space="preserve"> (hereinafter referred to as IAS 38), respectively, when switching to IFRS.</w:t>
      </w:r>
    </w:p>
    <w:p w14:paraId="445A0E27" w14:textId="7CBED4F3" w:rsidR="00120D18" w:rsidRPr="00D94F85" w:rsidRDefault="00120D18" w:rsidP="00120D1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In accordance with p</w:t>
      </w:r>
      <w:r w:rsidR="00715BAC" w:rsidRPr="00D94F85">
        <w:rPr>
          <w:rFonts w:ascii="Times New Roman" w:hAnsi="Times New Roman" w:cs="Times New Roman"/>
          <w:color w:val="000000" w:themeColor="text1"/>
          <w:sz w:val="24"/>
          <w:lang w:val="en-US"/>
        </w:rPr>
        <w:t>aragraphs D5-D7 of IFRS 1, the M</w:t>
      </w:r>
      <w:r w:rsidRPr="00D94F85">
        <w:rPr>
          <w:rFonts w:ascii="Times New Roman" w:hAnsi="Times New Roman" w:cs="Times New Roman"/>
          <w:color w:val="000000" w:themeColor="text1"/>
          <w:sz w:val="24"/>
          <w:lang w:val="en-US"/>
        </w:rPr>
        <w:t xml:space="preserve">FO reserves the right to measure an item of property, plant and equipment and intangible assets at the date of transition to IFRS at fair value and to use the fair value of this item as its notional cost at that date, or to use the revalued amount under previously used </w:t>
      </w:r>
      <w:r w:rsidR="00214708" w:rsidRPr="00D94F85">
        <w:rPr>
          <w:rFonts w:ascii="Times New Roman" w:hAnsi="Times New Roman" w:cs="Times New Roman"/>
          <w:color w:val="000000" w:themeColor="text1"/>
          <w:sz w:val="24"/>
          <w:lang w:val="en-US"/>
        </w:rPr>
        <w:t>GA</w:t>
      </w:r>
      <w:r w:rsidRPr="00D94F85">
        <w:rPr>
          <w:rFonts w:ascii="Times New Roman" w:hAnsi="Times New Roman" w:cs="Times New Roman"/>
          <w:color w:val="000000" w:themeColor="text1"/>
          <w:sz w:val="24"/>
          <w:lang w:val="en-US"/>
        </w:rPr>
        <w:t xml:space="preserve">AP determined at the date of transition to IFRS or earlier as the notional cost of this item at the date of revaluation. Provided that, at the date of the revaluation, the revalued amount was generally comparable: </w:t>
      </w:r>
    </w:p>
    <w:p w14:paraId="4DDDB559" w14:textId="77777777" w:rsidR="00120D18" w:rsidRPr="00D94F85" w:rsidRDefault="00120D18" w:rsidP="00120D1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(a) at fair value; or</w:t>
      </w:r>
    </w:p>
    <w:p w14:paraId="4D83069A" w14:textId="77777777" w:rsidR="00120D18" w:rsidRPr="00D94F85" w:rsidRDefault="00120D18" w:rsidP="00120D18">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(b) with an initial cost or </w:t>
      </w:r>
      <w:r w:rsidR="003271BE" w:rsidRPr="00D94F85">
        <w:rPr>
          <w:rFonts w:ascii="Times New Roman" w:hAnsi="Times New Roman" w:cs="Times New Roman"/>
          <w:color w:val="000000" w:themeColor="text1"/>
          <w:sz w:val="24"/>
          <w:lang w:val="en-US"/>
        </w:rPr>
        <w:t>amortized</w:t>
      </w:r>
      <w:r w:rsidRPr="00D94F85">
        <w:rPr>
          <w:rFonts w:ascii="Times New Roman" w:hAnsi="Times New Roman" w:cs="Times New Roman"/>
          <w:color w:val="000000" w:themeColor="text1"/>
          <w:sz w:val="24"/>
          <w:lang w:val="en-US"/>
        </w:rPr>
        <w:t xml:space="preserve"> cost in accordance with IFRS, adjusted to reflect, for example, changes in a general or special price index.</w:t>
      </w:r>
    </w:p>
    <w:p w14:paraId="36A111AB" w14:textId="77777777" w:rsidR="00F76BAA" w:rsidRPr="00D94F85" w:rsidRDefault="00813D7C" w:rsidP="00C00739">
      <w:pPr>
        <w:pStyle w:val="a4"/>
        <w:spacing w:after="0" w:line="240" w:lineRule="auto"/>
        <w:ind w:left="0" w:firstLine="709"/>
        <w:jc w:val="both"/>
        <w:rPr>
          <w:rFonts w:ascii="Times New Roman" w:hAnsi="Times New Roman" w:cs="Times New Roman"/>
          <w:b/>
          <w:i/>
          <w:color w:val="000000" w:themeColor="text1"/>
          <w:sz w:val="24"/>
          <w:lang w:val="en-US"/>
        </w:rPr>
      </w:pPr>
      <w:r w:rsidRPr="00D94F85">
        <w:rPr>
          <w:rFonts w:ascii="Times New Roman" w:hAnsi="Times New Roman" w:cs="Times New Roman"/>
          <w:b/>
          <w:i/>
          <w:color w:val="000000" w:themeColor="text1"/>
          <w:sz w:val="24"/>
          <w:lang w:val="en-US"/>
        </w:rPr>
        <w:t>Accounting for financial assets/liabilities under IFRS</w:t>
      </w:r>
    </w:p>
    <w:p w14:paraId="5C2FB126" w14:textId="3C8A8F7C" w:rsidR="00F76BAA" w:rsidRPr="00D94F85" w:rsidRDefault="00813D7C" w:rsidP="00C00739">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Financial assets </w:t>
      </w:r>
      <w:r w:rsidR="00F06CD0" w:rsidRPr="00D94F85">
        <w:rPr>
          <w:rFonts w:ascii="Times New Roman" w:hAnsi="Times New Roman" w:cs="Times New Roman"/>
          <w:color w:val="000000" w:themeColor="text1"/>
          <w:sz w:val="24"/>
          <w:lang w:val="en-US"/>
        </w:rPr>
        <w:t>shall</w:t>
      </w:r>
      <w:r w:rsidRPr="00D94F85">
        <w:rPr>
          <w:rFonts w:ascii="Times New Roman" w:hAnsi="Times New Roman" w:cs="Times New Roman"/>
          <w:color w:val="000000" w:themeColor="text1"/>
          <w:sz w:val="24"/>
          <w:lang w:val="en-US"/>
        </w:rPr>
        <w:t xml:space="preserve"> be measured for whether the asset meets the conditions of paragraph 4.1.2 or the conditions of paragraph 4.1.2 A of IFRS 9, based on the facts and circumstances existing at the date of transition to IFRS.</w:t>
      </w:r>
    </w:p>
    <w:p w14:paraId="2CABEB74" w14:textId="77777777" w:rsidR="00813D7C" w:rsidRPr="00D94F85" w:rsidRDefault="00813D7C" w:rsidP="00C00739">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In turn, financial liabilities are assessed for compliance with the terms of paragraph 4.2.1 of IFRS 9.</w:t>
      </w:r>
    </w:p>
    <w:p w14:paraId="5A748327" w14:textId="77777777" w:rsidR="00F76BAA" w:rsidRPr="00D94F85" w:rsidRDefault="00813D7C" w:rsidP="00C00739">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As part of the accounting for financial assets and liabilities in accordance with IFRS 1, a microfinance institution must ensure that the provisions of IFRS 9 are applied retrospectively.</w:t>
      </w:r>
    </w:p>
    <w:p w14:paraId="42D849FB" w14:textId="33091B5E" w:rsidR="00F76BAA" w:rsidRPr="00D94F85" w:rsidRDefault="00813D7C" w:rsidP="00C00739">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 xml:space="preserve">If the retrospective application of the effective interest method in IFRS 9 is impracticable for an entity (as defined in IAS 8), the fair value of a financial asset or financial liability at the date of transition to IFRS </w:t>
      </w:r>
      <w:r w:rsidR="00F06CD0" w:rsidRPr="00D94F85">
        <w:rPr>
          <w:rFonts w:ascii="Times New Roman" w:hAnsi="Times New Roman" w:cs="Times New Roman"/>
          <w:color w:val="000000" w:themeColor="text1"/>
          <w:sz w:val="24"/>
          <w:lang w:val="en-US"/>
        </w:rPr>
        <w:t>must</w:t>
      </w:r>
      <w:r w:rsidRPr="00D94F85">
        <w:rPr>
          <w:rFonts w:ascii="Times New Roman" w:hAnsi="Times New Roman" w:cs="Times New Roman"/>
          <w:color w:val="000000" w:themeColor="text1"/>
          <w:sz w:val="24"/>
          <w:lang w:val="en-US"/>
        </w:rPr>
        <w:t xml:space="preserve"> be taken as the new gross carrying amount of such financial asset or the new amortized cost of such financial liability at the date of transition to IFRS.</w:t>
      </w:r>
    </w:p>
    <w:p w14:paraId="7E9B01B7" w14:textId="77777777" w:rsidR="00813D7C" w:rsidRPr="00D94F85" w:rsidRDefault="00813D7C" w:rsidP="00C00739">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At the same time, IFRS 1 allows for the recognition of financial assets and liabilities at fair value through profit or loss, provided that these assets and liabilities meet the criteria set out in paragraphs 4.1.5 and 4.2.2 of IFRS 9 at the transition date (D19 and D19A).</w:t>
      </w:r>
    </w:p>
    <w:p w14:paraId="1B9DBA06" w14:textId="77777777" w:rsidR="00813D7C" w:rsidRPr="00D94F85" w:rsidRDefault="00813D7C" w:rsidP="00C00739">
      <w:pPr>
        <w:pStyle w:val="a4"/>
        <w:spacing w:after="0" w:line="240" w:lineRule="auto"/>
        <w:ind w:left="0" w:firstLine="709"/>
        <w:jc w:val="both"/>
        <w:rPr>
          <w:rFonts w:ascii="Times New Roman" w:hAnsi="Times New Roman" w:cs="Times New Roman"/>
          <w:b/>
          <w:i/>
          <w:color w:val="000000" w:themeColor="text1"/>
          <w:sz w:val="24"/>
          <w:lang w:val="en-US"/>
        </w:rPr>
      </w:pPr>
      <w:r w:rsidRPr="00D94F85">
        <w:rPr>
          <w:rFonts w:ascii="Times New Roman" w:hAnsi="Times New Roman" w:cs="Times New Roman"/>
          <w:b/>
          <w:i/>
          <w:color w:val="000000" w:themeColor="text1"/>
          <w:sz w:val="24"/>
          <w:lang w:val="en-US"/>
        </w:rPr>
        <w:t>Conclusion</w:t>
      </w:r>
    </w:p>
    <w:p w14:paraId="0CF64B6E" w14:textId="7F943254" w:rsidR="003271BE" w:rsidRDefault="00813D7C" w:rsidP="00C00739">
      <w:pPr>
        <w:pStyle w:val="a4"/>
        <w:spacing w:after="0" w:line="240" w:lineRule="auto"/>
        <w:ind w:left="0" w:firstLine="709"/>
        <w:jc w:val="both"/>
        <w:rPr>
          <w:rFonts w:ascii="Times New Roman" w:hAnsi="Times New Roman" w:cs="Times New Roman"/>
          <w:color w:val="000000" w:themeColor="text1"/>
          <w:sz w:val="24"/>
          <w:lang w:val="en-US"/>
        </w:rPr>
      </w:pPr>
      <w:r w:rsidRPr="00D94F85">
        <w:rPr>
          <w:rFonts w:ascii="Times New Roman" w:hAnsi="Times New Roman" w:cs="Times New Roman"/>
          <w:color w:val="000000" w:themeColor="text1"/>
          <w:sz w:val="24"/>
          <w:lang w:val="en-US"/>
        </w:rPr>
        <w:t>In view of the above, each MF</w:t>
      </w:r>
      <w:r w:rsidR="00010A0D" w:rsidRPr="00D94F85">
        <w:rPr>
          <w:rFonts w:ascii="Times New Roman" w:hAnsi="Times New Roman" w:cs="Times New Roman"/>
          <w:color w:val="000000" w:themeColor="text1"/>
          <w:sz w:val="24"/>
          <w:lang w:val="en-US"/>
        </w:rPr>
        <w:t>O</w:t>
      </w:r>
      <w:r w:rsidRPr="00D94F85">
        <w:rPr>
          <w:rFonts w:ascii="Times New Roman" w:hAnsi="Times New Roman" w:cs="Times New Roman"/>
          <w:color w:val="000000" w:themeColor="text1"/>
          <w:sz w:val="24"/>
          <w:lang w:val="en-US"/>
        </w:rPr>
        <w:t xml:space="preserve"> </w:t>
      </w:r>
      <w:r w:rsidR="00F06CD0" w:rsidRPr="00D94F85">
        <w:rPr>
          <w:rFonts w:ascii="Times New Roman" w:hAnsi="Times New Roman" w:cs="Times New Roman"/>
          <w:color w:val="000000" w:themeColor="text1"/>
          <w:sz w:val="24"/>
          <w:lang w:val="en-US"/>
        </w:rPr>
        <w:t>must</w:t>
      </w:r>
      <w:r w:rsidRPr="00D94F85">
        <w:rPr>
          <w:rFonts w:ascii="Times New Roman" w:hAnsi="Times New Roman" w:cs="Times New Roman"/>
          <w:color w:val="000000" w:themeColor="text1"/>
          <w:sz w:val="24"/>
          <w:lang w:val="en-US"/>
        </w:rPr>
        <w:t xml:space="preserve"> independently develop a plan for the transition to IFRS, including the development of accounting policies, internal documents on the application of accounting policies to reflect all events and transactions carried out by the MF</w:t>
      </w:r>
      <w:r w:rsidR="00896801" w:rsidRPr="00D94F85">
        <w:rPr>
          <w:rFonts w:ascii="Times New Roman" w:hAnsi="Times New Roman" w:cs="Times New Roman"/>
          <w:color w:val="000000" w:themeColor="text1"/>
          <w:sz w:val="24"/>
          <w:lang w:val="en-US"/>
        </w:rPr>
        <w:t>O</w:t>
      </w:r>
      <w:r w:rsidRPr="00D94F85">
        <w:rPr>
          <w:rFonts w:ascii="Times New Roman" w:hAnsi="Times New Roman" w:cs="Times New Roman"/>
          <w:color w:val="000000" w:themeColor="text1"/>
          <w:sz w:val="24"/>
          <w:lang w:val="en-US"/>
        </w:rPr>
        <w:t>. An important stage of the transition is also the preparation of information systems to meet the requirements of the Accounting Automation Rules.</w:t>
      </w:r>
    </w:p>
    <w:sectPr w:rsidR="003271BE" w:rsidSect="003E6346">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F90A" w14:textId="77777777" w:rsidR="00F75464" w:rsidRDefault="00F75464" w:rsidP="002B28E9">
      <w:pPr>
        <w:spacing w:after="0" w:line="240" w:lineRule="auto"/>
      </w:pPr>
      <w:r>
        <w:separator/>
      </w:r>
    </w:p>
  </w:endnote>
  <w:endnote w:type="continuationSeparator" w:id="0">
    <w:p w14:paraId="40493CC1" w14:textId="77777777" w:rsidR="00F75464" w:rsidRDefault="00F75464" w:rsidP="002B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20B0604020202020204"/>
    <w:charset w:val="CC"/>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49403" w14:textId="77777777" w:rsidR="00F75464" w:rsidRDefault="00F75464" w:rsidP="002B28E9">
      <w:pPr>
        <w:spacing w:after="0" w:line="240" w:lineRule="auto"/>
      </w:pPr>
      <w:r>
        <w:separator/>
      </w:r>
    </w:p>
  </w:footnote>
  <w:footnote w:type="continuationSeparator" w:id="0">
    <w:p w14:paraId="10713DB5" w14:textId="77777777" w:rsidR="00F75464" w:rsidRDefault="00F75464" w:rsidP="002B28E9">
      <w:pPr>
        <w:spacing w:after="0" w:line="240" w:lineRule="auto"/>
      </w:pPr>
      <w:r>
        <w:continuationSeparator/>
      </w:r>
    </w:p>
  </w:footnote>
  <w:footnote w:id="1">
    <w:p w14:paraId="7D591C4E" w14:textId="77777777" w:rsidR="00573951" w:rsidRPr="00062CF8" w:rsidRDefault="00573951" w:rsidP="00062CF8">
      <w:pPr>
        <w:pStyle w:val="a7"/>
        <w:jc w:val="both"/>
        <w:rPr>
          <w:rFonts w:ascii="Times New Roman" w:hAnsi="Times New Roman" w:cs="Times New Roman"/>
          <w:sz w:val="16"/>
          <w:lang w:val="en-US"/>
        </w:rPr>
      </w:pPr>
      <w:r w:rsidRPr="00062CF8">
        <w:rPr>
          <w:rStyle w:val="a9"/>
          <w:rFonts w:ascii="Times New Roman" w:hAnsi="Times New Roman" w:cs="Times New Roman"/>
          <w:sz w:val="16"/>
        </w:rPr>
        <w:footnoteRef/>
      </w:r>
      <w:r w:rsidRPr="00062CF8">
        <w:rPr>
          <w:rFonts w:ascii="Times New Roman" w:hAnsi="Times New Roman" w:cs="Times New Roman"/>
          <w:sz w:val="16"/>
          <w:lang w:val="en-US"/>
        </w:rPr>
        <w:t xml:space="preserve"> </w:t>
      </w:r>
      <w:r w:rsidR="00062CF8" w:rsidRPr="00062CF8">
        <w:rPr>
          <w:rFonts w:ascii="Times New Roman" w:hAnsi="Times New Roman" w:cs="Times New Roman"/>
          <w:sz w:val="16"/>
          <w:lang w:val="en-US"/>
        </w:rPr>
        <w:t>An entity may decide to use one or more of the following exemptions: (a) share-based payment transactions (paragraphs D2 and D3), (b) insurance contracts (paragraph D4); (c) notional cost (paragraphs D5– D8B), etc.</w:t>
      </w:r>
    </w:p>
  </w:footnote>
  <w:footnote w:id="2">
    <w:p w14:paraId="5E9FD2F2" w14:textId="77777777" w:rsidR="00573951" w:rsidRPr="00062CF8" w:rsidRDefault="00573951" w:rsidP="00062CF8">
      <w:pPr>
        <w:pStyle w:val="a7"/>
        <w:jc w:val="both"/>
        <w:rPr>
          <w:lang w:val="en-US"/>
        </w:rPr>
      </w:pPr>
      <w:r w:rsidRPr="00062CF8">
        <w:rPr>
          <w:rStyle w:val="a9"/>
          <w:rFonts w:ascii="Times New Roman" w:hAnsi="Times New Roman" w:cs="Times New Roman"/>
          <w:sz w:val="16"/>
        </w:rPr>
        <w:footnoteRef/>
      </w:r>
      <w:r w:rsidRPr="00062CF8">
        <w:rPr>
          <w:rFonts w:ascii="Times New Roman" w:hAnsi="Times New Roman" w:cs="Times New Roman"/>
          <w:sz w:val="16"/>
          <w:lang w:val="en-US"/>
        </w:rPr>
        <w:t xml:space="preserve"> </w:t>
      </w:r>
      <w:r w:rsidR="00062CF8" w:rsidRPr="00062CF8">
        <w:rPr>
          <w:rFonts w:ascii="Times New Roman" w:hAnsi="Times New Roman" w:cs="Times New Roman"/>
          <w:sz w:val="16"/>
          <w:lang w:val="en-US"/>
        </w:rPr>
        <w:t xml:space="preserve">Exceptions to the retrospective application of other IFRSs. The following exceptions are mandatory for the entity: (a) </w:t>
      </w:r>
      <w:proofErr w:type="spellStart"/>
      <w:r w:rsidR="00062CF8" w:rsidRPr="00062CF8">
        <w:rPr>
          <w:rFonts w:ascii="Times New Roman" w:hAnsi="Times New Roman" w:cs="Times New Roman"/>
          <w:sz w:val="16"/>
          <w:lang w:val="en-US"/>
        </w:rPr>
        <w:t>derecognition</w:t>
      </w:r>
      <w:proofErr w:type="spellEnd"/>
      <w:r w:rsidR="00062CF8" w:rsidRPr="00062CF8">
        <w:rPr>
          <w:rFonts w:ascii="Times New Roman" w:hAnsi="Times New Roman" w:cs="Times New Roman"/>
          <w:sz w:val="16"/>
          <w:lang w:val="en-US"/>
        </w:rPr>
        <w:t xml:space="preserve"> of financial assets and financial liabilities (paragraphs B2 and B3), (b) hedge accounting (paragraphs B4–B6); (c) non-controlling interests (paragraph B7), etc.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670"/>
    <w:multiLevelType w:val="hybridMultilevel"/>
    <w:tmpl w:val="0192AEA2"/>
    <w:lvl w:ilvl="0" w:tplc="13A861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8C178E"/>
    <w:multiLevelType w:val="hybridMultilevel"/>
    <w:tmpl w:val="955A0DB2"/>
    <w:lvl w:ilvl="0" w:tplc="F13AD6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41260A"/>
    <w:multiLevelType w:val="hybridMultilevel"/>
    <w:tmpl w:val="1B0E51A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AF212C0"/>
    <w:multiLevelType w:val="hybridMultilevel"/>
    <w:tmpl w:val="126AE8A8"/>
    <w:lvl w:ilvl="0" w:tplc="028E4AA8">
      <w:start w:val="1"/>
      <w:numFmt w:val="bullet"/>
      <w:lvlText w:val="•"/>
      <w:lvlJc w:val="left"/>
      <w:pPr>
        <w:tabs>
          <w:tab w:val="num" w:pos="720"/>
        </w:tabs>
        <w:ind w:left="720" w:hanging="360"/>
      </w:pPr>
      <w:rPr>
        <w:rFonts w:ascii="Times New Roman" w:hAnsi="Times New Roman" w:hint="default"/>
      </w:rPr>
    </w:lvl>
    <w:lvl w:ilvl="1" w:tplc="5C0EFEBC" w:tentative="1">
      <w:start w:val="1"/>
      <w:numFmt w:val="bullet"/>
      <w:lvlText w:val="•"/>
      <w:lvlJc w:val="left"/>
      <w:pPr>
        <w:tabs>
          <w:tab w:val="num" w:pos="1440"/>
        </w:tabs>
        <w:ind w:left="1440" w:hanging="360"/>
      </w:pPr>
      <w:rPr>
        <w:rFonts w:ascii="Times New Roman" w:hAnsi="Times New Roman" w:hint="default"/>
      </w:rPr>
    </w:lvl>
    <w:lvl w:ilvl="2" w:tplc="03ECB72E" w:tentative="1">
      <w:start w:val="1"/>
      <w:numFmt w:val="bullet"/>
      <w:lvlText w:val="•"/>
      <w:lvlJc w:val="left"/>
      <w:pPr>
        <w:tabs>
          <w:tab w:val="num" w:pos="2160"/>
        </w:tabs>
        <w:ind w:left="2160" w:hanging="360"/>
      </w:pPr>
      <w:rPr>
        <w:rFonts w:ascii="Times New Roman" w:hAnsi="Times New Roman" w:hint="default"/>
      </w:rPr>
    </w:lvl>
    <w:lvl w:ilvl="3" w:tplc="F4C01EC8" w:tentative="1">
      <w:start w:val="1"/>
      <w:numFmt w:val="bullet"/>
      <w:lvlText w:val="•"/>
      <w:lvlJc w:val="left"/>
      <w:pPr>
        <w:tabs>
          <w:tab w:val="num" w:pos="2880"/>
        </w:tabs>
        <w:ind w:left="2880" w:hanging="360"/>
      </w:pPr>
      <w:rPr>
        <w:rFonts w:ascii="Times New Roman" w:hAnsi="Times New Roman" w:hint="default"/>
      </w:rPr>
    </w:lvl>
    <w:lvl w:ilvl="4" w:tplc="358A38CE" w:tentative="1">
      <w:start w:val="1"/>
      <w:numFmt w:val="bullet"/>
      <w:lvlText w:val="•"/>
      <w:lvlJc w:val="left"/>
      <w:pPr>
        <w:tabs>
          <w:tab w:val="num" w:pos="3600"/>
        </w:tabs>
        <w:ind w:left="3600" w:hanging="360"/>
      </w:pPr>
      <w:rPr>
        <w:rFonts w:ascii="Times New Roman" w:hAnsi="Times New Roman" w:hint="default"/>
      </w:rPr>
    </w:lvl>
    <w:lvl w:ilvl="5" w:tplc="8B54B9C4" w:tentative="1">
      <w:start w:val="1"/>
      <w:numFmt w:val="bullet"/>
      <w:lvlText w:val="•"/>
      <w:lvlJc w:val="left"/>
      <w:pPr>
        <w:tabs>
          <w:tab w:val="num" w:pos="4320"/>
        </w:tabs>
        <w:ind w:left="4320" w:hanging="360"/>
      </w:pPr>
      <w:rPr>
        <w:rFonts w:ascii="Times New Roman" w:hAnsi="Times New Roman" w:hint="default"/>
      </w:rPr>
    </w:lvl>
    <w:lvl w:ilvl="6" w:tplc="2B361312" w:tentative="1">
      <w:start w:val="1"/>
      <w:numFmt w:val="bullet"/>
      <w:lvlText w:val="•"/>
      <w:lvlJc w:val="left"/>
      <w:pPr>
        <w:tabs>
          <w:tab w:val="num" w:pos="5040"/>
        </w:tabs>
        <w:ind w:left="5040" w:hanging="360"/>
      </w:pPr>
      <w:rPr>
        <w:rFonts w:ascii="Times New Roman" w:hAnsi="Times New Roman" w:hint="default"/>
      </w:rPr>
    </w:lvl>
    <w:lvl w:ilvl="7" w:tplc="F65000EE" w:tentative="1">
      <w:start w:val="1"/>
      <w:numFmt w:val="bullet"/>
      <w:lvlText w:val="•"/>
      <w:lvlJc w:val="left"/>
      <w:pPr>
        <w:tabs>
          <w:tab w:val="num" w:pos="5760"/>
        </w:tabs>
        <w:ind w:left="5760" w:hanging="360"/>
      </w:pPr>
      <w:rPr>
        <w:rFonts w:ascii="Times New Roman" w:hAnsi="Times New Roman" w:hint="default"/>
      </w:rPr>
    </w:lvl>
    <w:lvl w:ilvl="8" w:tplc="EDBCF6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8151B5"/>
    <w:multiLevelType w:val="hybridMultilevel"/>
    <w:tmpl w:val="88940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393E5F"/>
    <w:multiLevelType w:val="hybridMultilevel"/>
    <w:tmpl w:val="1FC08B7A"/>
    <w:lvl w:ilvl="0" w:tplc="0A42D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225EC0"/>
    <w:multiLevelType w:val="hybridMultilevel"/>
    <w:tmpl w:val="6DFCE2BC"/>
    <w:lvl w:ilvl="0" w:tplc="0CE02810">
      <w:start w:val="1"/>
      <w:numFmt w:val="bullet"/>
      <w:lvlText w:val=""/>
      <w:lvlJc w:val="left"/>
      <w:pPr>
        <w:ind w:left="720" w:hanging="360"/>
      </w:pPr>
      <w:rPr>
        <w:rFonts w:ascii="Wingdings" w:hAnsi="Wingdings" w:hint="default"/>
        <w:color w:val="A5A5A5" w:themeColor="accent3"/>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9F7CBB"/>
    <w:multiLevelType w:val="hybridMultilevel"/>
    <w:tmpl w:val="7576C992"/>
    <w:lvl w:ilvl="0" w:tplc="E362A17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E804430"/>
    <w:multiLevelType w:val="hybridMultilevel"/>
    <w:tmpl w:val="57D610EC"/>
    <w:lvl w:ilvl="0" w:tplc="87264164">
      <w:start w:val="1"/>
      <w:numFmt w:val="bullet"/>
      <w:lvlText w:val="•"/>
      <w:lvlJc w:val="left"/>
      <w:pPr>
        <w:tabs>
          <w:tab w:val="num" w:pos="720"/>
        </w:tabs>
        <w:ind w:left="720" w:hanging="360"/>
      </w:pPr>
      <w:rPr>
        <w:rFonts w:ascii="Times New Roman" w:hAnsi="Times New Roman" w:hint="default"/>
      </w:rPr>
    </w:lvl>
    <w:lvl w:ilvl="1" w:tplc="FD565734" w:tentative="1">
      <w:start w:val="1"/>
      <w:numFmt w:val="bullet"/>
      <w:lvlText w:val="•"/>
      <w:lvlJc w:val="left"/>
      <w:pPr>
        <w:tabs>
          <w:tab w:val="num" w:pos="1440"/>
        </w:tabs>
        <w:ind w:left="1440" w:hanging="360"/>
      </w:pPr>
      <w:rPr>
        <w:rFonts w:ascii="Times New Roman" w:hAnsi="Times New Roman" w:hint="default"/>
      </w:rPr>
    </w:lvl>
    <w:lvl w:ilvl="2" w:tplc="D5F0E854" w:tentative="1">
      <w:start w:val="1"/>
      <w:numFmt w:val="bullet"/>
      <w:lvlText w:val="•"/>
      <w:lvlJc w:val="left"/>
      <w:pPr>
        <w:tabs>
          <w:tab w:val="num" w:pos="2160"/>
        </w:tabs>
        <w:ind w:left="2160" w:hanging="360"/>
      </w:pPr>
      <w:rPr>
        <w:rFonts w:ascii="Times New Roman" w:hAnsi="Times New Roman" w:hint="default"/>
      </w:rPr>
    </w:lvl>
    <w:lvl w:ilvl="3" w:tplc="7E7CF1DE" w:tentative="1">
      <w:start w:val="1"/>
      <w:numFmt w:val="bullet"/>
      <w:lvlText w:val="•"/>
      <w:lvlJc w:val="left"/>
      <w:pPr>
        <w:tabs>
          <w:tab w:val="num" w:pos="2880"/>
        </w:tabs>
        <w:ind w:left="2880" w:hanging="360"/>
      </w:pPr>
      <w:rPr>
        <w:rFonts w:ascii="Times New Roman" w:hAnsi="Times New Roman" w:hint="default"/>
      </w:rPr>
    </w:lvl>
    <w:lvl w:ilvl="4" w:tplc="78E43222" w:tentative="1">
      <w:start w:val="1"/>
      <w:numFmt w:val="bullet"/>
      <w:lvlText w:val="•"/>
      <w:lvlJc w:val="left"/>
      <w:pPr>
        <w:tabs>
          <w:tab w:val="num" w:pos="3600"/>
        </w:tabs>
        <w:ind w:left="3600" w:hanging="360"/>
      </w:pPr>
      <w:rPr>
        <w:rFonts w:ascii="Times New Roman" w:hAnsi="Times New Roman" w:hint="default"/>
      </w:rPr>
    </w:lvl>
    <w:lvl w:ilvl="5" w:tplc="A5843124" w:tentative="1">
      <w:start w:val="1"/>
      <w:numFmt w:val="bullet"/>
      <w:lvlText w:val="•"/>
      <w:lvlJc w:val="left"/>
      <w:pPr>
        <w:tabs>
          <w:tab w:val="num" w:pos="4320"/>
        </w:tabs>
        <w:ind w:left="4320" w:hanging="360"/>
      </w:pPr>
      <w:rPr>
        <w:rFonts w:ascii="Times New Roman" w:hAnsi="Times New Roman" w:hint="default"/>
      </w:rPr>
    </w:lvl>
    <w:lvl w:ilvl="6" w:tplc="784EBC3E" w:tentative="1">
      <w:start w:val="1"/>
      <w:numFmt w:val="bullet"/>
      <w:lvlText w:val="•"/>
      <w:lvlJc w:val="left"/>
      <w:pPr>
        <w:tabs>
          <w:tab w:val="num" w:pos="5040"/>
        </w:tabs>
        <w:ind w:left="5040" w:hanging="360"/>
      </w:pPr>
      <w:rPr>
        <w:rFonts w:ascii="Times New Roman" w:hAnsi="Times New Roman" w:hint="default"/>
      </w:rPr>
    </w:lvl>
    <w:lvl w:ilvl="7" w:tplc="2452D094" w:tentative="1">
      <w:start w:val="1"/>
      <w:numFmt w:val="bullet"/>
      <w:lvlText w:val="•"/>
      <w:lvlJc w:val="left"/>
      <w:pPr>
        <w:tabs>
          <w:tab w:val="num" w:pos="5760"/>
        </w:tabs>
        <w:ind w:left="5760" w:hanging="360"/>
      </w:pPr>
      <w:rPr>
        <w:rFonts w:ascii="Times New Roman" w:hAnsi="Times New Roman" w:hint="default"/>
      </w:rPr>
    </w:lvl>
    <w:lvl w:ilvl="8" w:tplc="465A454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0779D5"/>
    <w:multiLevelType w:val="hybridMultilevel"/>
    <w:tmpl w:val="31F02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535A5"/>
    <w:multiLevelType w:val="hybridMultilevel"/>
    <w:tmpl w:val="C6BA44A4"/>
    <w:lvl w:ilvl="0" w:tplc="6040E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A31211"/>
    <w:multiLevelType w:val="multilevel"/>
    <w:tmpl w:val="B874DF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63E4EAC"/>
    <w:multiLevelType w:val="hybridMultilevel"/>
    <w:tmpl w:val="C5583F60"/>
    <w:lvl w:ilvl="0" w:tplc="24E4B54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914B78"/>
    <w:multiLevelType w:val="hybridMultilevel"/>
    <w:tmpl w:val="F5D471D8"/>
    <w:lvl w:ilvl="0" w:tplc="3F1A290E">
      <w:start w:val="1"/>
      <w:numFmt w:val="bullet"/>
      <w:lvlText w:val=""/>
      <w:lvlJc w:val="left"/>
      <w:pPr>
        <w:ind w:left="720" w:hanging="360"/>
      </w:pPr>
      <w:rPr>
        <w:rFonts w:ascii="Wingdings" w:hAnsi="Wingdings" w:hint="default"/>
        <w:color w:val="FFC000"/>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864D73"/>
    <w:multiLevelType w:val="hybridMultilevel"/>
    <w:tmpl w:val="DA56BE40"/>
    <w:lvl w:ilvl="0" w:tplc="2618DB28">
      <w:start w:val="1"/>
      <w:numFmt w:val="bullet"/>
      <w:lvlText w:val=""/>
      <w:lvlJc w:val="left"/>
      <w:pPr>
        <w:ind w:left="720" w:hanging="360"/>
      </w:pPr>
      <w:rPr>
        <w:rFonts w:ascii="Wingdings" w:hAnsi="Wingdings" w:hint="default"/>
        <w:color w:val="4472C4" w:themeColor="accent5"/>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A661DA"/>
    <w:multiLevelType w:val="hybridMultilevel"/>
    <w:tmpl w:val="6B1C6D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AE4E49"/>
    <w:multiLevelType w:val="hybridMultilevel"/>
    <w:tmpl w:val="7630A9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EC4516"/>
    <w:multiLevelType w:val="hybridMultilevel"/>
    <w:tmpl w:val="C08A1A78"/>
    <w:lvl w:ilvl="0" w:tplc="14B277A8">
      <w:start w:val="1"/>
      <w:numFmt w:val="bullet"/>
      <w:lvlText w:val=""/>
      <w:lvlJc w:val="left"/>
      <w:pPr>
        <w:ind w:left="720" w:hanging="360"/>
      </w:pPr>
      <w:rPr>
        <w:rFonts w:ascii="Wingdings" w:hAnsi="Wingdings" w:hint="default"/>
        <w:color w:val="ED7D31" w:themeColor="accent2"/>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003EF5"/>
    <w:multiLevelType w:val="hybridMultilevel"/>
    <w:tmpl w:val="EB5CC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B5E88"/>
    <w:multiLevelType w:val="hybridMultilevel"/>
    <w:tmpl w:val="07CCA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2A06A8"/>
    <w:multiLevelType w:val="hybridMultilevel"/>
    <w:tmpl w:val="681696C0"/>
    <w:lvl w:ilvl="0" w:tplc="3796E19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A82FBB"/>
    <w:multiLevelType w:val="hybridMultilevel"/>
    <w:tmpl w:val="AC247E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7A07A8A"/>
    <w:multiLevelType w:val="hybridMultilevel"/>
    <w:tmpl w:val="B5C2437A"/>
    <w:lvl w:ilvl="0" w:tplc="0952CBAE">
      <w:start w:val="1"/>
      <w:numFmt w:val="bullet"/>
      <w:lvlText w:val=""/>
      <w:lvlJc w:val="left"/>
      <w:pPr>
        <w:ind w:left="1080" w:hanging="360"/>
      </w:pPr>
      <w:rPr>
        <w:rFonts w:ascii="Wingdings" w:hAnsi="Wingdings" w:hint="default"/>
        <w:color w:val="4472C4" w:themeColor="accent5"/>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D0680C"/>
    <w:multiLevelType w:val="hybridMultilevel"/>
    <w:tmpl w:val="9DAA0024"/>
    <w:lvl w:ilvl="0" w:tplc="13A861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CB21BC4"/>
    <w:multiLevelType w:val="hybridMultilevel"/>
    <w:tmpl w:val="B2D2B4C2"/>
    <w:lvl w:ilvl="0" w:tplc="24E4B544">
      <w:start w:val="1"/>
      <w:numFmt w:val="bullet"/>
      <w:lvlText w:val="•"/>
      <w:lvlJc w:val="left"/>
      <w:pPr>
        <w:tabs>
          <w:tab w:val="num" w:pos="1428"/>
        </w:tabs>
        <w:ind w:left="1428" w:hanging="360"/>
      </w:pPr>
      <w:rPr>
        <w:rFonts w:ascii="Times New Roman" w:hAnsi="Times New Roman" w:hint="default"/>
      </w:rPr>
    </w:lvl>
    <w:lvl w:ilvl="1" w:tplc="8E6C3D28" w:tentative="1">
      <w:start w:val="1"/>
      <w:numFmt w:val="bullet"/>
      <w:lvlText w:val="•"/>
      <w:lvlJc w:val="left"/>
      <w:pPr>
        <w:tabs>
          <w:tab w:val="num" w:pos="2148"/>
        </w:tabs>
        <w:ind w:left="2148" w:hanging="360"/>
      </w:pPr>
      <w:rPr>
        <w:rFonts w:ascii="Times New Roman" w:hAnsi="Times New Roman" w:hint="default"/>
      </w:rPr>
    </w:lvl>
    <w:lvl w:ilvl="2" w:tplc="7EE6D1EE" w:tentative="1">
      <w:start w:val="1"/>
      <w:numFmt w:val="bullet"/>
      <w:lvlText w:val="•"/>
      <w:lvlJc w:val="left"/>
      <w:pPr>
        <w:tabs>
          <w:tab w:val="num" w:pos="2868"/>
        </w:tabs>
        <w:ind w:left="2868" w:hanging="360"/>
      </w:pPr>
      <w:rPr>
        <w:rFonts w:ascii="Times New Roman" w:hAnsi="Times New Roman" w:hint="default"/>
      </w:rPr>
    </w:lvl>
    <w:lvl w:ilvl="3" w:tplc="29EEF1A0" w:tentative="1">
      <w:start w:val="1"/>
      <w:numFmt w:val="bullet"/>
      <w:lvlText w:val="•"/>
      <w:lvlJc w:val="left"/>
      <w:pPr>
        <w:tabs>
          <w:tab w:val="num" w:pos="3588"/>
        </w:tabs>
        <w:ind w:left="3588" w:hanging="360"/>
      </w:pPr>
      <w:rPr>
        <w:rFonts w:ascii="Times New Roman" w:hAnsi="Times New Roman" w:hint="default"/>
      </w:rPr>
    </w:lvl>
    <w:lvl w:ilvl="4" w:tplc="5134BE30" w:tentative="1">
      <w:start w:val="1"/>
      <w:numFmt w:val="bullet"/>
      <w:lvlText w:val="•"/>
      <w:lvlJc w:val="left"/>
      <w:pPr>
        <w:tabs>
          <w:tab w:val="num" w:pos="4308"/>
        </w:tabs>
        <w:ind w:left="4308" w:hanging="360"/>
      </w:pPr>
      <w:rPr>
        <w:rFonts w:ascii="Times New Roman" w:hAnsi="Times New Roman" w:hint="default"/>
      </w:rPr>
    </w:lvl>
    <w:lvl w:ilvl="5" w:tplc="CC08DCDC" w:tentative="1">
      <w:start w:val="1"/>
      <w:numFmt w:val="bullet"/>
      <w:lvlText w:val="•"/>
      <w:lvlJc w:val="left"/>
      <w:pPr>
        <w:tabs>
          <w:tab w:val="num" w:pos="5028"/>
        </w:tabs>
        <w:ind w:left="5028" w:hanging="360"/>
      </w:pPr>
      <w:rPr>
        <w:rFonts w:ascii="Times New Roman" w:hAnsi="Times New Roman" w:hint="default"/>
      </w:rPr>
    </w:lvl>
    <w:lvl w:ilvl="6" w:tplc="81728606" w:tentative="1">
      <w:start w:val="1"/>
      <w:numFmt w:val="bullet"/>
      <w:lvlText w:val="•"/>
      <w:lvlJc w:val="left"/>
      <w:pPr>
        <w:tabs>
          <w:tab w:val="num" w:pos="5748"/>
        </w:tabs>
        <w:ind w:left="5748" w:hanging="360"/>
      </w:pPr>
      <w:rPr>
        <w:rFonts w:ascii="Times New Roman" w:hAnsi="Times New Roman" w:hint="default"/>
      </w:rPr>
    </w:lvl>
    <w:lvl w:ilvl="7" w:tplc="23248608" w:tentative="1">
      <w:start w:val="1"/>
      <w:numFmt w:val="bullet"/>
      <w:lvlText w:val="•"/>
      <w:lvlJc w:val="left"/>
      <w:pPr>
        <w:tabs>
          <w:tab w:val="num" w:pos="6468"/>
        </w:tabs>
        <w:ind w:left="6468" w:hanging="360"/>
      </w:pPr>
      <w:rPr>
        <w:rFonts w:ascii="Times New Roman" w:hAnsi="Times New Roman" w:hint="default"/>
      </w:rPr>
    </w:lvl>
    <w:lvl w:ilvl="8" w:tplc="6B72535C" w:tentative="1">
      <w:start w:val="1"/>
      <w:numFmt w:val="bullet"/>
      <w:lvlText w:val="•"/>
      <w:lvlJc w:val="left"/>
      <w:pPr>
        <w:tabs>
          <w:tab w:val="num" w:pos="7188"/>
        </w:tabs>
        <w:ind w:left="7188" w:hanging="360"/>
      </w:pPr>
      <w:rPr>
        <w:rFonts w:ascii="Times New Roman" w:hAnsi="Times New Roman" w:hint="default"/>
      </w:rPr>
    </w:lvl>
  </w:abstractNum>
  <w:abstractNum w:abstractNumId="25" w15:restartNumberingAfterBreak="0">
    <w:nsid w:val="4FF11415"/>
    <w:multiLevelType w:val="hybridMultilevel"/>
    <w:tmpl w:val="A96AD2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11C75A8"/>
    <w:multiLevelType w:val="hybridMultilevel"/>
    <w:tmpl w:val="EF68EB54"/>
    <w:lvl w:ilvl="0" w:tplc="8CA2846A">
      <w:start w:val="1"/>
      <w:numFmt w:val="bullet"/>
      <w:lvlText w:val="•"/>
      <w:lvlJc w:val="left"/>
      <w:pPr>
        <w:tabs>
          <w:tab w:val="num" w:pos="720"/>
        </w:tabs>
        <w:ind w:left="720" w:hanging="360"/>
      </w:pPr>
      <w:rPr>
        <w:rFonts w:ascii="Times New Roman" w:hAnsi="Times New Roman" w:hint="default"/>
      </w:rPr>
    </w:lvl>
    <w:lvl w:ilvl="1" w:tplc="4446994A" w:tentative="1">
      <w:start w:val="1"/>
      <w:numFmt w:val="bullet"/>
      <w:lvlText w:val="•"/>
      <w:lvlJc w:val="left"/>
      <w:pPr>
        <w:tabs>
          <w:tab w:val="num" w:pos="1440"/>
        </w:tabs>
        <w:ind w:left="1440" w:hanging="360"/>
      </w:pPr>
      <w:rPr>
        <w:rFonts w:ascii="Times New Roman" w:hAnsi="Times New Roman" w:hint="default"/>
      </w:rPr>
    </w:lvl>
    <w:lvl w:ilvl="2" w:tplc="4D869698" w:tentative="1">
      <w:start w:val="1"/>
      <w:numFmt w:val="bullet"/>
      <w:lvlText w:val="•"/>
      <w:lvlJc w:val="left"/>
      <w:pPr>
        <w:tabs>
          <w:tab w:val="num" w:pos="2160"/>
        </w:tabs>
        <w:ind w:left="2160" w:hanging="360"/>
      </w:pPr>
      <w:rPr>
        <w:rFonts w:ascii="Times New Roman" w:hAnsi="Times New Roman" w:hint="default"/>
      </w:rPr>
    </w:lvl>
    <w:lvl w:ilvl="3" w:tplc="B8A4FC6E" w:tentative="1">
      <w:start w:val="1"/>
      <w:numFmt w:val="bullet"/>
      <w:lvlText w:val="•"/>
      <w:lvlJc w:val="left"/>
      <w:pPr>
        <w:tabs>
          <w:tab w:val="num" w:pos="2880"/>
        </w:tabs>
        <w:ind w:left="2880" w:hanging="360"/>
      </w:pPr>
      <w:rPr>
        <w:rFonts w:ascii="Times New Roman" w:hAnsi="Times New Roman" w:hint="default"/>
      </w:rPr>
    </w:lvl>
    <w:lvl w:ilvl="4" w:tplc="A65235E8" w:tentative="1">
      <w:start w:val="1"/>
      <w:numFmt w:val="bullet"/>
      <w:lvlText w:val="•"/>
      <w:lvlJc w:val="left"/>
      <w:pPr>
        <w:tabs>
          <w:tab w:val="num" w:pos="3600"/>
        </w:tabs>
        <w:ind w:left="3600" w:hanging="360"/>
      </w:pPr>
      <w:rPr>
        <w:rFonts w:ascii="Times New Roman" w:hAnsi="Times New Roman" w:hint="default"/>
      </w:rPr>
    </w:lvl>
    <w:lvl w:ilvl="5" w:tplc="742EACC8" w:tentative="1">
      <w:start w:val="1"/>
      <w:numFmt w:val="bullet"/>
      <w:lvlText w:val="•"/>
      <w:lvlJc w:val="left"/>
      <w:pPr>
        <w:tabs>
          <w:tab w:val="num" w:pos="4320"/>
        </w:tabs>
        <w:ind w:left="4320" w:hanging="360"/>
      </w:pPr>
      <w:rPr>
        <w:rFonts w:ascii="Times New Roman" w:hAnsi="Times New Roman" w:hint="default"/>
      </w:rPr>
    </w:lvl>
    <w:lvl w:ilvl="6" w:tplc="E6721F54" w:tentative="1">
      <w:start w:val="1"/>
      <w:numFmt w:val="bullet"/>
      <w:lvlText w:val="•"/>
      <w:lvlJc w:val="left"/>
      <w:pPr>
        <w:tabs>
          <w:tab w:val="num" w:pos="5040"/>
        </w:tabs>
        <w:ind w:left="5040" w:hanging="360"/>
      </w:pPr>
      <w:rPr>
        <w:rFonts w:ascii="Times New Roman" w:hAnsi="Times New Roman" w:hint="default"/>
      </w:rPr>
    </w:lvl>
    <w:lvl w:ilvl="7" w:tplc="4DFE9CA4" w:tentative="1">
      <w:start w:val="1"/>
      <w:numFmt w:val="bullet"/>
      <w:lvlText w:val="•"/>
      <w:lvlJc w:val="left"/>
      <w:pPr>
        <w:tabs>
          <w:tab w:val="num" w:pos="5760"/>
        </w:tabs>
        <w:ind w:left="5760" w:hanging="360"/>
      </w:pPr>
      <w:rPr>
        <w:rFonts w:ascii="Times New Roman" w:hAnsi="Times New Roman" w:hint="default"/>
      </w:rPr>
    </w:lvl>
    <w:lvl w:ilvl="8" w:tplc="CF4AE2F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1C81C21"/>
    <w:multiLevelType w:val="hybridMultilevel"/>
    <w:tmpl w:val="04CC6388"/>
    <w:lvl w:ilvl="0" w:tplc="CDCE015A">
      <w:start w:val="1"/>
      <w:numFmt w:val="bullet"/>
      <w:lvlText w:val=""/>
      <w:lvlJc w:val="left"/>
      <w:pPr>
        <w:ind w:left="726" w:hanging="360"/>
      </w:pPr>
      <w:rPr>
        <w:rFonts w:ascii="Wingdings" w:hAnsi="Wingdings" w:hint="default"/>
        <w:color w:val="FFFF00"/>
        <w:sz w:val="36"/>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8" w15:restartNumberingAfterBreak="0">
    <w:nsid w:val="52AC4848"/>
    <w:multiLevelType w:val="hybridMultilevel"/>
    <w:tmpl w:val="5FE8B314"/>
    <w:lvl w:ilvl="0" w:tplc="D08E618A">
      <w:start w:val="1"/>
      <w:numFmt w:val="bullet"/>
      <w:lvlText w:val=""/>
      <w:lvlJc w:val="left"/>
      <w:pPr>
        <w:ind w:left="720" w:hanging="360"/>
      </w:pPr>
      <w:rPr>
        <w:rFonts w:ascii="Wingdings" w:hAnsi="Wingdings" w:hint="default"/>
        <w:color w:val="5B9BD5" w:themeColor="accent1"/>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6C716C"/>
    <w:multiLevelType w:val="hybridMultilevel"/>
    <w:tmpl w:val="3AEE15D6"/>
    <w:lvl w:ilvl="0" w:tplc="0CE02810">
      <w:start w:val="1"/>
      <w:numFmt w:val="bullet"/>
      <w:lvlText w:val=""/>
      <w:lvlJc w:val="left"/>
      <w:pPr>
        <w:ind w:left="720" w:hanging="360"/>
      </w:pPr>
      <w:rPr>
        <w:rFonts w:ascii="Wingdings" w:hAnsi="Wingdings" w:hint="default"/>
        <w:color w:val="A5A5A5" w:themeColor="accent3"/>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23016"/>
    <w:multiLevelType w:val="hybridMultilevel"/>
    <w:tmpl w:val="9088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4957D2"/>
    <w:multiLevelType w:val="hybridMultilevel"/>
    <w:tmpl w:val="D7E87118"/>
    <w:lvl w:ilvl="0" w:tplc="D9E0FD44">
      <w:start w:val="2021"/>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36560F1"/>
    <w:multiLevelType w:val="hybridMultilevel"/>
    <w:tmpl w:val="F828CE3E"/>
    <w:lvl w:ilvl="0" w:tplc="113C7DC8">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4B96497"/>
    <w:multiLevelType w:val="hybridMultilevel"/>
    <w:tmpl w:val="BB2AD2F0"/>
    <w:lvl w:ilvl="0" w:tplc="14B277A8">
      <w:start w:val="1"/>
      <w:numFmt w:val="bullet"/>
      <w:lvlText w:val=""/>
      <w:lvlJc w:val="left"/>
      <w:pPr>
        <w:ind w:left="720" w:hanging="360"/>
      </w:pPr>
      <w:rPr>
        <w:rFonts w:ascii="Wingdings" w:hAnsi="Wingdings" w:hint="default"/>
        <w:color w:val="ED7D31" w:themeColor="accent2"/>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C57182"/>
    <w:multiLevelType w:val="hybridMultilevel"/>
    <w:tmpl w:val="A182A2D0"/>
    <w:lvl w:ilvl="0" w:tplc="98206EDE">
      <w:start w:val="1"/>
      <w:numFmt w:val="bullet"/>
      <w:lvlText w:val="•"/>
      <w:lvlJc w:val="left"/>
      <w:pPr>
        <w:tabs>
          <w:tab w:val="num" w:pos="720"/>
        </w:tabs>
        <w:ind w:left="720" w:hanging="360"/>
      </w:pPr>
      <w:rPr>
        <w:rFonts w:ascii="Times New Roman" w:hAnsi="Times New Roman" w:hint="default"/>
      </w:rPr>
    </w:lvl>
    <w:lvl w:ilvl="1" w:tplc="A1AE0312" w:tentative="1">
      <w:start w:val="1"/>
      <w:numFmt w:val="bullet"/>
      <w:lvlText w:val="•"/>
      <w:lvlJc w:val="left"/>
      <w:pPr>
        <w:tabs>
          <w:tab w:val="num" w:pos="1440"/>
        </w:tabs>
        <w:ind w:left="1440" w:hanging="360"/>
      </w:pPr>
      <w:rPr>
        <w:rFonts w:ascii="Times New Roman" w:hAnsi="Times New Roman" w:hint="default"/>
      </w:rPr>
    </w:lvl>
    <w:lvl w:ilvl="2" w:tplc="231C6BF0" w:tentative="1">
      <w:start w:val="1"/>
      <w:numFmt w:val="bullet"/>
      <w:lvlText w:val="•"/>
      <w:lvlJc w:val="left"/>
      <w:pPr>
        <w:tabs>
          <w:tab w:val="num" w:pos="2160"/>
        </w:tabs>
        <w:ind w:left="2160" w:hanging="360"/>
      </w:pPr>
      <w:rPr>
        <w:rFonts w:ascii="Times New Roman" w:hAnsi="Times New Roman" w:hint="default"/>
      </w:rPr>
    </w:lvl>
    <w:lvl w:ilvl="3" w:tplc="4566EAC0" w:tentative="1">
      <w:start w:val="1"/>
      <w:numFmt w:val="bullet"/>
      <w:lvlText w:val="•"/>
      <w:lvlJc w:val="left"/>
      <w:pPr>
        <w:tabs>
          <w:tab w:val="num" w:pos="2880"/>
        </w:tabs>
        <w:ind w:left="2880" w:hanging="360"/>
      </w:pPr>
      <w:rPr>
        <w:rFonts w:ascii="Times New Roman" w:hAnsi="Times New Roman" w:hint="default"/>
      </w:rPr>
    </w:lvl>
    <w:lvl w:ilvl="4" w:tplc="6FE2A31C" w:tentative="1">
      <w:start w:val="1"/>
      <w:numFmt w:val="bullet"/>
      <w:lvlText w:val="•"/>
      <w:lvlJc w:val="left"/>
      <w:pPr>
        <w:tabs>
          <w:tab w:val="num" w:pos="3600"/>
        </w:tabs>
        <w:ind w:left="3600" w:hanging="360"/>
      </w:pPr>
      <w:rPr>
        <w:rFonts w:ascii="Times New Roman" w:hAnsi="Times New Roman" w:hint="default"/>
      </w:rPr>
    </w:lvl>
    <w:lvl w:ilvl="5" w:tplc="F68E5F6E" w:tentative="1">
      <w:start w:val="1"/>
      <w:numFmt w:val="bullet"/>
      <w:lvlText w:val="•"/>
      <w:lvlJc w:val="left"/>
      <w:pPr>
        <w:tabs>
          <w:tab w:val="num" w:pos="4320"/>
        </w:tabs>
        <w:ind w:left="4320" w:hanging="360"/>
      </w:pPr>
      <w:rPr>
        <w:rFonts w:ascii="Times New Roman" w:hAnsi="Times New Roman" w:hint="default"/>
      </w:rPr>
    </w:lvl>
    <w:lvl w:ilvl="6" w:tplc="57EED174" w:tentative="1">
      <w:start w:val="1"/>
      <w:numFmt w:val="bullet"/>
      <w:lvlText w:val="•"/>
      <w:lvlJc w:val="left"/>
      <w:pPr>
        <w:tabs>
          <w:tab w:val="num" w:pos="5040"/>
        </w:tabs>
        <w:ind w:left="5040" w:hanging="360"/>
      </w:pPr>
      <w:rPr>
        <w:rFonts w:ascii="Times New Roman" w:hAnsi="Times New Roman" w:hint="default"/>
      </w:rPr>
    </w:lvl>
    <w:lvl w:ilvl="7" w:tplc="105E56FC" w:tentative="1">
      <w:start w:val="1"/>
      <w:numFmt w:val="bullet"/>
      <w:lvlText w:val="•"/>
      <w:lvlJc w:val="left"/>
      <w:pPr>
        <w:tabs>
          <w:tab w:val="num" w:pos="5760"/>
        </w:tabs>
        <w:ind w:left="5760" w:hanging="360"/>
      </w:pPr>
      <w:rPr>
        <w:rFonts w:ascii="Times New Roman" w:hAnsi="Times New Roman" w:hint="default"/>
      </w:rPr>
    </w:lvl>
    <w:lvl w:ilvl="8" w:tplc="727C78C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40B12C8"/>
    <w:multiLevelType w:val="hybridMultilevel"/>
    <w:tmpl w:val="04801A28"/>
    <w:lvl w:ilvl="0" w:tplc="D08E618A">
      <w:start w:val="1"/>
      <w:numFmt w:val="bullet"/>
      <w:lvlText w:val=""/>
      <w:lvlJc w:val="left"/>
      <w:pPr>
        <w:ind w:left="720" w:hanging="360"/>
      </w:pPr>
      <w:rPr>
        <w:rFonts w:ascii="Wingdings" w:hAnsi="Wingdings" w:hint="default"/>
        <w:color w:val="5B9BD5" w:themeColor="accent1"/>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295A7E"/>
    <w:multiLevelType w:val="hybridMultilevel"/>
    <w:tmpl w:val="27809EEC"/>
    <w:lvl w:ilvl="0" w:tplc="57A4A408">
      <w:start w:val="1"/>
      <w:numFmt w:val="bullet"/>
      <w:lvlText w:val=""/>
      <w:lvlJc w:val="left"/>
      <w:pPr>
        <w:ind w:left="720" w:hanging="360"/>
      </w:pPr>
      <w:rPr>
        <w:rFonts w:ascii="Wingdings" w:hAnsi="Wingdings" w:hint="default"/>
        <w:color w:val="FFFF00"/>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2C6542"/>
    <w:multiLevelType w:val="hybridMultilevel"/>
    <w:tmpl w:val="BE8ED726"/>
    <w:lvl w:ilvl="0" w:tplc="56FC60F4">
      <w:start w:val="1"/>
      <w:numFmt w:val="bullet"/>
      <w:lvlText w:val="•"/>
      <w:lvlJc w:val="left"/>
      <w:pPr>
        <w:tabs>
          <w:tab w:val="num" w:pos="720"/>
        </w:tabs>
        <w:ind w:left="720" w:hanging="360"/>
      </w:pPr>
      <w:rPr>
        <w:rFonts w:ascii="Times New Roman" w:hAnsi="Times New Roman" w:hint="default"/>
      </w:rPr>
    </w:lvl>
    <w:lvl w:ilvl="1" w:tplc="085AB418" w:tentative="1">
      <w:start w:val="1"/>
      <w:numFmt w:val="bullet"/>
      <w:lvlText w:val="•"/>
      <w:lvlJc w:val="left"/>
      <w:pPr>
        <w:tabs>
          <w:tab w:val="num" w:pos="1440"/>
        </w:tabs>
        <w:ind w:left="1440" w:hanging="360"/>
      </w:pPr>
      <w:rPr>
        <w:rFonts w:ascii="Times New Roman" w:hAnsi="Times New Roman" w:hint="default"/>
      </w:rPr>
    </w:lvl>
    <w:lvl w:ilvl="2" w:tplc="9918D9E6" w:tentative="1">
      <w:start w:val="1"/>
      <w:numFmt w:val="bullet"/>
      <w:lvlText w:val="•"/>
      <w:lvlJc w:val="left"/>
      <w:pPr>
        <w:tabs>
          <w:tab w:val="num" w:pos="2160"/>
        </w:tabs>
        <w:ind w:left="2160" w:hanging="360"/>
      </w:pPr>
      <w:rPr>
        <w:rFonts w:ascii="Times New Roman" w:hAnsi="Times New Roman" w:hint="default"/>
      </w:rPr>
    </w:lvl>
    <w:lvl w:ilvl="3" w:tplc="FB9EA7FA" w:tentative="1">
      <w:start w:val="1"/>
      <w:numFmt w:val="bullet"/>
      <w:lvlText w:val="•"/>
      <w:lvlJc w:val="left"/>
      <w:pPr>
        <w:tabs>
          <w:tab w:val="num" w:pos="2880"/>
        </w:tabs>
        <w:ind w:left="2880" w:hanging="360"/>
      </w:pPr>
      <w:rPr>
        <w:rFonts w:ascii="Times New Roman" w:hAnsi="Times New Roman" w:hint="default"/>
      </w:rPr>
    </w:lvl>
    <w:lvl w:ilvl="4" w:tplc="A7B08246" w:tentative="1">
      <w:start w:val="1"/>
      <w:numFmt w:val="bullet"/>
      <w:lvlText w:val="•"/>
      <w:lvlJc w:val="left"/>
      <w:pPr>
        <w:tabs>
          <w:tab w:val="num" w:pos="3600"/>
        </w:tabs>
        <w:ind w:left="3600" w:hanging="360"/>
      </w:pPr>
      <w:rPr>
        <w:rFonts w:ascii="Times New Roman" w:hAnsi="Times New Roman" w:hint="default"/>
      </w:rPr>
    </w:lvl>
    <w:lvl w:ilvl="5" w:tplc="25C698F8" w:tentative="1">
      <w:start w:val="1"/>
      <w:numFmt w:val="bullet"/>
      <w:lvlText w:val="•"/>
      <w:lvlJc w:val="left"/>
      <w:pPr>
        <w:tabs>
          <w:tab w:val="num" w:pos="4320"/>
        </w:tabs>
        <w:ind w:left="4320" w:hanging="360"/>
      </w:pPr>
      <w:rPr>
        <w:rFonts w:ascii="Times New Roman" w:hAnsi="Times New Roman" w:hint="default"/>
      </w:rPr>
    </w:lvl>
    <w:lvl w:ilvl="6" w:tplc="FFB2FCA0" w:tentative="1">
      <w:start w:val="1"/>
      <w:numFmt w:val="bullet"/>
      <w:lvlText w:val="•"/>
      <w:lvlJc w:val="left"/>
      <w:pPr>
        <w:tabs>
          <w:tab w:val="num" w:pos="5040"/>
        </w:tabs>
        <w:ind w:left="5040" w:hanging="360"/>
      </w:pPr>
      <w:rPr>
        <w:rFonts w:ascii="Times New Roman" w:hAnsi="Times New Roman" w:hint="default"/>
      </w:rPr>
    </w:lvl>
    <w:lvl w:ilvl="7" w:tplc="2BB2C9BA" w:tentative="1">
      <w:start w:val="1"/>
      <w:numFmt w:val="bullet"/>
      <w:lvlText w:val="•"/>
      <w:lvlJc w:val="left"/>
      <w:pPr>
        <w:tabs>
          <w:tab w:val="num" w:pos="5760"/>
        </w:tabs>
        <w:ind w:left="5760" w:hanging="360"/>
      </w:pPr>
      <w:rPr>
        <w:rFonts w:ascii="Times New Roman" w:hAnsi="Times New Roman" w:hint="default"/>
      </w:rPr>
    </w:lvl>
    <w:lvl w:ilvl="8" w:tplc="8D36F19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99345F6"/>
    <w:multiLevelType w:val="hybridMultilevel"/>
    <w:tmpl w:val="AFFE28E0"/>
    <w:lvl w:ilvl="0" w:tplc="F616681E">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5A0B14"/>
    <w:multiLevelType w:val="hybridMultilevel"/>
    <w:tmpl w:val="5EAEA4C0"/>
    <w:lvl w:ilvl="0" w:tplc="2618DB28">
      <w:start w:val="1"/>
      <w:numFmt w:val="bullet"/>
      <w:lvlText w:val=""/>
      <w:lvlJc w:val="left"/>
      <w:pPr>
        <w:ind w:left="1080" w:hanging="360"/>
      </w:pPr>
      <w:rPr>
        <w:rFonts w:ascii="Wingdings" w:hAnsi="Wingdings" w:hint="default"/>
        <w:color w:val="4472C4" w:themeColor="accent5"/>
        <w:sz w:val="3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1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0"/>
  </w:num>
  <w:num w:numId="8">
    <w:abstractNumId w:val="34"/>
  </w:num>
  <w:num w:numId="9">
    <w:abstractNumId w:val="3"/>
  </w:num>
  <w:num w:numId="10">
    <w:abstractNumId w:val="24"/>
  </w:num>
  <w:num w:numId="11">
    <w:abstractNumId w:val="8"/>
  </w:num>
  <w:num w:numId="12">
    <w:abstractNumId w:val="37"/>
  </w:num>
  <w:num w:numId="13">
    <w:abstractNumId w:val="26"/>
  </w:num>
  <w:num w:numId="14">
    <w:abstractNumId w:val="35"/>
  </w:num>
  <w:num w:numId="15">
    <w:abstractNumId w:val="17"/>
  </w:num>
  <w:num w:numId="16">
    <w:abstractNumId w:val="6"/>
  </w:num>
  <w:num w:numId="17">
    <w:abstractNumId w:val="36"/>
  </w:num>
  <w:num w:numId="18">
    <w:abstractNumId w:val="14"/>
  </w:num>
  <w:num w:numId="19">
    <w:abstractNumId w:val="27"/>
  </w:num>
  <w:num w:numId="20">
    <w:abstractNumId w:val="10"/>
  </w:num>
  <w:num w:numId="21">
    <w:abstractNumId w:val="28"/>
  </w:num>
  <w:num w:numId="22">
    <w:abstractNumId w:val="33"/>
  </w:num>
  <w:num w:numId="23">
    <w:abstractNumId w:val="29"/>
  </w:num>
  <w:num w:numId="24">
    <w:abstractNumId w:val="15"/>
  </w:num>
  <w:num w:numId="25">
    <w:abstractNumId w:val="39"/>
  </w:num>
  <w:num w:numId="26">
    <w:abstractNumId w:val="22"/>
  </w:num>
  <w:num w:numId="27">
    <w:abstractNumId w:val="13"/>
  </w:num>
  <w:num w:numId="28">
    <w:abstractNumId w:val="30"/>
  </w:num>
  <w:num w:numId="29">
    <w:abstractNumId w:val="32"/>
  </w:num>
  <w:num w:numId="30">
    <w:abstractNumId w:val="21"/>
  </w:num>
  <w:num w:numId="31">
    <w:abstractNumId w:val="23"/>
  </w:num>
  <w:num w:numId="32">
    <w:abstractNumId w:val="31"/>
  </w:num>
  <w:num w:numId="33">
    <w:abstractNumId w:val="12"/>
  </w:num>
  <w:num w:numId="34">
    <w:abstractNumId w:val="1"/>
  </w:num>
  <w:num w:numId="35">
    <w:abstractNumId w:val="7"/>
  </w:num>
  <w:num w:numId="36">
    <w:abstractNumId w:val="2"/>
  </w:num>
  <w:num w:numId="37">
    <w:abstractNumId w:val="4"/>
  </w:num>
  <w:num w:numId="38">
    <w:abstractNumId w:val="20"/>
  </w:num>
  <w:num w:numId="39">
    <w:abstractNumId w:val="1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cumentProtection w:edit="readOnly" w:formatting="1" w:enforcement="1" w:cryptProviderType="rsaAES" w:cryptAlgorithmClass="hash" w:cryptAlgorithmType="typeAny" w:cryptAlgorithmSid="14" w:cryptSpinCount="100000" w:hash="S3wOFv8UWBU2vxOQhdLXFalUWyDxVgkIonyxe8mGmj4aInhnJ4sC9jOxsh0X7DfikmaMujZDIKL19PtW/q9p9A==" w:salt="zmZ185BvQBbRrnZunz+IpA=="/>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16"/>
    <w:rsid w:val="00001709"/>
    <w:rsid w:val="00003542"/>
    <w:rsid w:val="00010A0D"/>
    <w:rsid w:val="0001253F"/>
    <w:rsid w:val="00013A4C"/>
    <w:rsid w:val="00014FC6"/>
    <w:rsid w:val="00020B47"/>
    <w:rsid w:val="00034987"/>
    <w:rsid w:val="000449DB"/>
    <w:rsid w:val="0004579D"/>
    <w:rsid w:val="00062CF8"/>
    <w:rsid w:val="000637F2"/>
    <w:rsid w:val="0007066C"/>
    <w:rsid w:val="00075871"/>
    <w:rsid w:val="00081BE0"/>
    <w:rsid w:val="00083AAD"/>
    <w:rsid w:val="00085881"/>
    <w:rsid w:val="00087AF3"/>
    <w:rsid w:val="000908F1"/>
    <w:rsid w:val="00090D0A"/>
    <w:rsid w:val="00092996"/>
    <w:rsid w:val="00094122"/>
    <w:rsid w:val="000967CE"/>
    <w:rsid w:val="000A132E"/>
    <w:rsid w:val="000A3376"/>
    <w:rsid w:val="000B681D"/>
    <w:rsid w:val="000D1956"/>
    <w:rsid w:val="000E0302"/>
    <w:rsid w:val="000E7F31"/>
    <w:rsid w:val="000E7F39"/>
    <w:rsid w:val="000F27ED"/>
    <w:rsid w:val="000F405B"/>
    <w:rsid w:val="000F7E8E"/>
    <w:rsid w:val="00105C7B"/>
    <w:rsid w:val="001102BF"/>
    <w:rsid w:val="00120D18"/>
    <w:rsid w:val="00127E9F"/>
    <w:rsid w:val="00133FB9"/>
    <w:rsid w:val="00135342"/>
    <w:rsid w:val="00135597"/>
    <w:rsid w:val="001404FC"/>
    <w:rsid w:val="001427DD"/>
    <w:rsid w:val="001451DA"/>
    <w:rsid w:val="001475D5"/>
    <w:rsid w:val="0017383D"/>
    <w:rsid w:val="00173F83"/>
    <w:rsid w:val="0018565D"/>
    <w:rsid w:val="001A4702"/>
    <w:rsid w:val="001B367D"/>
    <w:rsid w:val="001C69F5"/>
    <w:rsid w:val="00205229"/>
    <w:rsid w:val="00212396"/>
    <w:rsid w:val="00214708"/>
    <w:rsid w:val="002148CD"/>
    <w:rsid w:val="002150B1"/>
    <w:rsid w:val="0023424A"/>
    <w:rsid w:val="00247E76"/>
    <w:rsid w:val="0025657C"/>
    <w:rsid w:val="0027715D"/>
    <w:rsid w:val="00286F81"/>
    <w:rsid w:val="00287389"/>
    <w:rsid w:val="002925B4"/>
    <w:rsid w:val="00293E3D"/>
    <w:rsid w:val="00294008"/>
    <w:rsid w:val="00295713"/>
    <w:rsid w:val="002B17C0"/>
    <w:rsid w:val="002B28E9"/>
    <w:rsid w:val="002C258D"/>
    <w:rsid w:val="002D2497"/>
    <w:rsid w:val="002D44C2"/>
    <w:rsid w:val="002D4BD9"/>
    <w:rsid w:val="002E5EBC"/>
    <w:rsid w:val="002F0536"/>
    <w:rsid w:val="003053A4"/>
    <w:rsid w:val="00310106"/>
    <w:rsid w:val="003271BE"/>
    <w:rsid w:val="0034074B"/>
    <w:rsid w:val="00342B30"/>
    <w:rsid w:val="0034367D"/>
    <w:rsid w:val="00346F1A"/>
    <w:rsid w:val="00357123"/>
    <w:rsid w:val="003776BB"/>
    <w:rsid w:val="00397F06"/>
    <w:rsid w:val="003B4208"/>
    <w:rsid w:val="003D7BCD"/>
    <w:rsid w:val="003E25E6"/>
    <w:rsid w:val="003E6346"/>
    <w:rsid w:val="003F3D5E"/>
    <w:rsid w:val="00405709"/>
    <w:rsid w:val="004065A9"/>
    <w:rsid w:val="00414957"/>
    <w:rsid w:val="00427CCF"/>
    <w:rsid w:val="00440D77"/>
    <w:rsid w:val="00441B05"/>
    <w:rsid w:val="00447BCD"/>
    <w:rsid w:val="00473033"/>
    <w:rsid w:val="00477185"/>
    <w:rsid w:val="0047776B"/>
    <w:rsid w:val="0048040B"/>
    <w:rsid w:val="004937E3"/>
    <w:rsid w:val="00493AF9"/>
    <w:rsid w:val="004A12FC"/>
    <w:rsid w:val="004A35D8"/>
    <w:rsid w:val="004A4755"/>
    <w:rsid w:val="004C3E6B"/>
    <w:rsid w:val="004D0E65"/>
    <w:rsid w:val="004D407C"/>
    <w:rsid w:val="004E0753"/>
    <w:rsid w:val="004E07FB"/>
    <w:rsid w:val="004E596D"/>
    <w:rsid w:val="004F0DAA"/>
    <w:rsid w:val="004F4AC8"/>
    <w:rsid w:val="00505868"/>
    <w:rsid w:val="00510C19"/>
    <w:rsid w:val="00515608"/>
    <w:rsid w:val="00524601"/>
    <w:rsid w:val="00530DEB"/>
    <w:rsid w:val="00543713"/>
    <w:rsid w:val="00555400"/>
    <w:rsid w:val="00555812"/>
    <w:rsid w:val="00573951"/>
    <w:rsid w:val="00574C34"/>
    <w:rsid w:val="0057588F"/>
    <w:rsid w:val="005857BB"/>
    <w:rsid w:val="00585BB2"/>
    <w:rsid w:val="00586B46"/>
    <w:rsid w:val="0059614B"/>
    <w:rsid w:val="005A03F4"/>
    <w:rsid w:val="005A236C"/>
    <w:rsid w:val="005A3117"/>
    <w:rsid w:val="005C1B08"/>
    <w:rsid w:val="005C33B9"/>
    <w:rsid w:val="005C75E0"/>
    <w:rsid w:val="005D0DBA"/>
    <w:rsid w:val="005D51EB"/>
    <w:rsid w:val="005E1C2B"/>
    <w:rsid w:val="005F62D1"/>
    <w:rsid w:val="00602F67"/>
    <w:rsid w:val="006077F3"/>
    <w:rsid w:val="00607819"/>
    <w:rsid w:val="00620AB1"/>
    <w:rsid w:val="00623076"/>
    <w:rsid w:val="00632207"/>
    <w:rsid w:val="0063690E"/>
    <w:rsid w:val="00641BEE"/>
    <w:rsid w:val="00646F9F"/>
    <w:rsid w:val="0065144B"/>
    <w:rsid w:val="0065654E"/>
    <w:rsid w:val="006565B0"/>
    <w:rsid w:val="00675028"/>
    <w:rsid w:val="00683C61"/>
    <w:rsid w:val="00687B9C"/>
    <w:rsid w:val="006B16BE"/>
    <w:rsid w:val="006B19A7"/>
    <w:rsid w:val="006C0787"/>
    <w:rsid w:val="006C2705"/>
    <w:rsid w:val="006C6671"/>
    <w:rsid w:val="006D1C80"/>
    <w:rsid w:val="006D4ED2"/>
    <w:rsid w:val="006D7A7D"/>
    <w:rsid w:val="006E0E19"/>
    <w:rsid w:val="006E32B4"/>
    <w:rsid w:val="006F2FE9"/>
    <w:rsid w:val="006F38EF"/>
    <w:rsid w:val="0070708A"/>
    <w:rsid w:val="00707143"/>
    <w:rsid w:val="00714206"/>
    <w:rsid w:val="00715BAC"/>
    <w:rsid w:val="007348B2"/>
    <w:rsid w:val="007376E4"/>
    <w:rsid w:val="00751836"/>
    <w:rsid w:val="0076648D"/>
    <w:rsid w:val="00770207"/>
    <w:rsid w:val="007A3038"/>
    <w:rsid w:val="007A5593"/>
    <w:rsid w:val="007A57F7"/>
    <w:rsid w:val="007A6010"/>
    <w:rsid w:val="007B198C"/>
    <w:rsid w:val="007D073C"/>
    <w:rsid w:val="007D7942"/>
    <w:rsid w:val="007E0C9B"/>
    <w:rsid w:val="007E2798"/>
    <w:rsid w:val="007E56BB"/>
    <w:rsid w:val="007E63EF"/>
    <w:rsid w:val="007F51E5"/>
    <w:rsid w:val="008024F3"/>
    <w:rsid w:val="00803C7C"/>
    <w:rsid w:val="00805CF6"/>
    <w:rsid w:val="008122BC"/>
    <w:rsid w:val="00813D7C"/>
    <w:rsid w:val="00822665"/>
    <w:rsid w:val="00831DA1"/>
    <w:rsid w:val="00833019"/>
    <w:rsid w:val="00834D98"/>
    <w:rsid w:val="00854FF6"/>
    <w:rsid w:val="00856181"/>
    <w:rsid w:val="00864C04"/>
    <w:rsid w:val="00871F2A"/>
    <w:rsid w:val="00891AC0"/>
    <w:rsid w:val="00896801"/>
    <w:rsid w:val="008A4DB3"/>
    <w:rsid w:val="008B4B7C"/>
    <w:rsid w:val="008C0179"/>
    <w:rsid w:val="008D4BF3"/>
    <w:rsid w:val="008F6ED1"/>
    <w:rsid w:val="00901260"/>
    <w:rsid w:val="009046E6"/>
    <w:rsid w:val="00906321"/>
    <w:rsid w:val="0091698A"/>
    <w:rsid w:val="00921AF7"/>
    <w:rsid w:val="00922700"/>
    <w:rsid w:val="009235AD"/>
    <w:rsid w:val="009242C5"/>
    <w:rsid w:val="009334CD"/>
    <w:rsid w:val="00934F26"/>
    <w:rsid w:val="00940452"/>
    <w:rsid w:val="00947CD9"/>
    <w:rsid w:val="00957E00"/>
    <w:rsid w:val="009704B2"/>
    <w:rsid w:val="00973075"/>
    <w:rsid w:val="00974592"/>
    <w:rsid w:val="0098361A"/>
    <w:rsid w:val="0098785F"/>
    <w:rsid w:val="00996A4F"/>
    <w:rsid w:val="00997816"/>
    <w:rsid w:val="009B3FEB"/>
    <w:rsid w:val="009E5791"/>
    <w:rsid w:val="009F2230"/>
    <w:rsid w:val="009F4017"/>
    <w:rsid w:val="009F438E"/>
    <w:rsid w:val="00A02D78"/>
    <w:rsid w:val="00A0370A"/>
    <w:rsid w:val="00A3257F"/>
    <w:rsid w:val="00A33540"/>
    <w:rsid w:val="00A428EA"/>
    <w:rsid w:val="00A4589B"/>
    <w:rsid w:val="00A45A0B"/>
    <w:rsid w:val="00A6386B"/>
    <w:rsid w:val="00A7079F"/>
    <w:rsid w:val="00A939A5"/>
    <w:rsid w:val="00A948CE"/>
    <w:rsid w:val="00AA1657"/>
    <w:rsid w:val="00AB2A02"/>
    <w:rsid w:val="00AE57E0"/>
    <w:rsid w:val="00AF0CD5"/>
    <w:rsid w:val="00AF5910"/>
    <w:rsid w:val="00B007DE"/>
    <w:rsid w:val="00B24993"/>
    <w:rsid w:val="00B30952"/>
    <w:rsid w:val="00B333CE"/>
    <w:rsid w:val="00B624FF"/>
    <w:rsid w:val="00B62B11"/>
    <w:rsid w:val="00B83359"/>
    <w:rsid w:val="00B85A0D"/>
    <w:rsid w:val="00B91D1A"/>
    <w:rsid w:val="00BA3A84"/>
    <w:rsid w:val="00BA4BB0"/>
    <w:rsid w:val="00BA7EE6"/>
    <w:rsid w:val="00BB35E0"/>
    <w:rsid w:val="00BB771F"/>
    <w:rsid w:val="00BD41D1"/>
    <w:rsid w:val="00BF44A7"/>
    <w:rsid w:val="00BF6974"/>
    <w:rsid w:val="00C00739"/>
    <w:rsid w:val="00C07619"/>
    <w:rsid w:val="00C07CFD"/>
    <w:rsid w:val="00C13AC0"/>
    <w:rsid w:val="00C17614"/>
    <w:rsid w:val="00C43945"/>
    <w:rsid w:val="00C466E5"/>
    <w:rsid w:val="00C57EAD"/>
    <w:rsid w:val="00C8290D"/>
    <w:rsid w:val="00C864E4"/>
    <w:rsid w:val="00C87C06"/>
    <w:rsid w:val="00C959A1"/>
    <w:rsid w:val="00CA2F8B"/>
    <w:rsid w:val="00CA795D"/>
    <w:rsid w:val="00CC1426"/>
    <w:rsid w:val="00CC44DC"/>
    <w:rsid w:val="00CD4418"/>
    <w:rsid w:val="00CD5C16"/>
    <w:rsid w:val="00CD6E2A"/>
    <w:rsid w:val="00CD6F3F"/>
    <w:rsid w:val="00CE7439"/>
    <w:rsid w:val="00CE7F16"/>
    <w:rsid w:val="00CF04C2"/>
    <w:rsid w:val="00CF0DCF"/>
    <w:rsid w:val="00CF13F7"/>
    <w:rsid w:val="00CF2FD1"/>
    <w:rsid w:val="00D0646A"/>
    <w:rsid w:val="00D1360C"/>
    <w:rsid w:val="00D21FA1"/>
    <w:rsid w:val="00D34908"/>
    <w:rsid w:val="00D36913"/>
    <w:rsid w:val="00D40230"/>
    <w:rsid w:val="00D409B8"/>
    <w:rsid w:val="00D46B6B"/>
    <w:rsid w:val="00D473EE"/>
    <w:rsid w:val="00D76794"/>
    <w:rsid w:val="00D826D5"/>
    <w:rsid w:val="00D854B7"/>
    <w:rsid w:val="00D90A17"/>
    <w:rsid w:val="00D91B9F"/>
    <w:rsid w:val="00D92BB0"/>
    <w:rsid w:val="00D93DF4"/>
    <w:rsid w:val="00D94F85"/>
    <w:rsid w:val="00DA5758"/>
    <w:rsid w:val="00DB112B"/>
    <w:rsid w:val="00DC1BD1"/>
    <w:rsid w:val="00DD0013"/>
    <w:rsid w:val="00DD2522"/>
    <w:rsid w:val="00DE7284"/>
    <w:rsid w:val="00DF4391"/>
    <w:rsid w:val="00DF5BF1"/>
    <w:rsid w:val="00E156CB"/>
    <w:rsid w:val="00E24DCF"/>
    <w:rsid w:val="00E32901"/>
    <w:rsid w:val="00E43376"/>
    <w:rsid w:val="00E4784C"/>
    <w:rsid w:val="00E52EBA"/>
    <w:rsid w:val="00E53944"/>
    <w:rsid w:val="00E561CA"/>
    <w:rsid w:val="00E619D4"/>
    <w:rsid w:val="00E7325E"/>
    <w:rsid w:val="00E76566"/>
    <w:rsid w:val="00E76FBB"/>
    <w:rsid w:val="00E91FC3"/>
    <w:rsid w:val="00E92709"/>
    <w:rsid w:val="00EB3A86"/>
    <w:rsid w:val="00EB5CA5"/>
    <w:rsid w:val="00ED3638"/>
    <w:rsid w:val="00ED44F4"/>
    <w:rsid w:val="00ED74FA"/>
    <w:rsid w:val="00EE21B8"/>
    <w:rsid w:val="00EF132C"/>
    <w:rsid w:val="00EF2A6A"/>
    <w:rsid w:val="00F06CD0"/>
    <w:rsid w:val="00F07985"/>
    <w:rsid w:val="00F1264E"/>
    <w:rsid w:val="00F12B50"/>
    <w:rsid w:val="00F15452"/>
    <w:rsid w:val="00F50023"/>
    <w:rsid w:val="00F5323B"/>
    <w:rsid w:val="00F75464"/>
    <w:rsid w:val="00F76BAA"/>
    <w:rsid w:val="00F82FFA"/>
    <w:rsid w:val="00F83C9D"/>
    <w:rsid w:val="00F8542B"/>
    <w:rsid w:val="00F859CE"/>
    <w:rsid w:val="00F87091"/>
    <w:rsid w:val="00F87398"/>
    <w:rsid w:val="00FA2552"/>
    <w:rsid w:val="00FA2623"/>
    <w:rsid w:val="00FB03B7"/>
    <w:rsid w:val="00FB05A4"/>
    <w:rsid w:val="00FB0AF7"/>
    <w:rsid w:val="00FB18AB"/>
    <w:rsid w:val="00FB7E59"/>
    <w:rsid w:val="00FD7137"/>
    <w:rsid w:val="00FE6539"/>
    <w:rsid w:val="00FF1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4322"/>
  <w15:chartTrackingRefBased/>
  <w15:docId w15:val="{7E0CF51D-E4D1-48D8-948A-F9562AAA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C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F38EF"/>
    <w:pPr>
      <w:ind w:left="720"/>
      <w:contextualSpacing/>
    </w:pPr>
  </w:style>
  <w:style w:type="table" w:styleId="a5">
    <w:name w:val="Table Grid"/>
    <w:basedOn w:val="a1"/>
    <w:uiPriority w:val="39"/>
    <w:rsid w:val="0034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
    <w:name w:val="IASB Normal"/>
    <w:rsid w:val="00B007DE"/>
    <w:pPr>
      <w:spacing w:before="100" w:after="100" w:line="240" w:lineRule="auto"/>
      <w:jc w:val="both"/>
    </w:pPr>
    <w:rPr>
      <w:rFonts w:ascii="Times New Roman" w:eastAsia="Times New Roman" w:hAnsi="Times New Roman" w:cs="Times New Roman"/>
      <w:sz w:val="19"/>
      <w:szCs w:val="20"/>
      <w:lang w:val="en-GB" w:eastAsia="en-GB"/>
    </w:rPr>
  </w:style>
  <w:style w:type="paragraph" w:customStyle="1" w:styleId="a6">
    <w:name w:val="Содержимое таблицы"/>
    <w:basedOn w:val="a"/>
    <w:rsid w:val="009235AD"/>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table" w:customStyle="1" w:styleId="1">
    <w:name w:val="Сетка таблицы1"/>
    <w:basedOn w:val="a1"/>
    <w:next w:val="a5"/>
    <w:uiPriority w:val="39"/>
    <w:rsid w:val="00F859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2B28E9"/>
    <w:pPr>
      <w:spacing w:after="0" w:line="240" w:lineRule="auto"/>
    </w:pPr>
    <w:rPr>
      <w:sz w:val="20"/>
      <w:szCs w:val="20"/>
    </w:rPr>
  </w:style>
  <w:style w:type="character" w:customStyle="1" w:styleId="a8">
    <w:name w:val="Текст сноски Знак"/>
    <w:basedOn w:val="a0"/>
    <w:link w:val="a7"/>
    <w:uiPriority w:val="99"/>
    <w:semiHidden/>
    <w:rsid w:val="002B28E9"/>
    <w:rPr>
      <w:sz w:val="20"/>
      <w:szCs w:val="20"/>
    </w:rPr>
  </w:style>
  <w:style w:type="character" w:styleId="a9">
    <w:name w:val="footnote reference"/>
    <w:basedOn w:val="a0"/>
    <w:uiPriority w:val="99"/>
    <w:semiHidden/>
    <w:unhideWhenUsed/>
    <w:rsid w:val="002B28E9"/>
    <w:rPr>
      <w:vertAlign w:val="superscript"/>
    </w:rPr>
  </w:style>
  <w:style w:type="character" w:styleId="aa">
    <w:name w:val="annotation reference"/>
    <w:basedOn w:val="a0"/>
    <w:uiPriority w:val="99"/>
    <w:semiHidden/>
    <w:unhideWhenUsed/>
    <w:rsid w:val="00A7079F"/>
    <w:rPr>
      <w:sz w:val="16"/>
      <w:szCs w:val="16"/>
    </w:rPr>
  </w:style>
  <w:style w:type="paragraph" w:styleId="ab">
    <w:name w:val="annotation text"/>
    <w:basedOn w:val="a"/>
    <w:link w:val="ac"/>
    <w:uiPriority w:val="99"/>
    <w:semiHidden/>
    <w:unhideWhenUsed/>
    <w:rsid w:val="00A7079F"/>
    <w:pPr>
      <w:spacing w:line="240" w:lineRule="auto"/>
    </w:pPr>
    <w:rPr>
      <w:sz w:val="20"/>
      <w:szCs w:val="20"/>
    </w:rPr>
  </w:style>
  <w:style w:type="character" w:customStyle="1" w:styleId="ac">
    <w:name w:val="Текст примечания Знак"/>
    <w:basedOn w:val="a0"/>
    <w:link w:val="ab"/>
    <w:uiPriority w:val="99"/>
    <w:semiHidden/>
    <w:rsid w:val="00A7079F"/>
    <w:rPr>
      <w:sz w:val="20"/>
      <w:szCs w:val="20"/>
    </w:rPr>
  </w:style>
  <w:style w:type="paragraph" w:styleId="ad">
    <w:name w:val="annotation subject"/>
    <w:basedOn w:val="ab"/>
    <w:next w:val="ab"/>
    <w:link w:val="ae"/>
    <w:uiPriority w:val="99"/>
    <w:semiHidden/>
    <w:unhideWhenUsed/>
    <w:rsid w:val="00A7079F"/>
    <w:rPr>
      <w:b/>
      <w:bCs/>
    </w:rPr>
  </w:style>
  <w:style w:type="character" w:customStyle="1" w:styleId="ae">
    <w:name w:val="Тема примечания Знак"/>
    <w:basedOn w:val="ac"/>
    <w:link w:val="ad"/>
    <w:uiPriority w:val="99"/>
    <w:semiHidden/>
    <w:rsid w:val="00A7079F"/>
    <w:rPr>
      <w:b/>
      <w:bCs/>
      <w:sz w:val="20"/>
      <w:szCs w:val="20"/>
    </w:rPr>
  </w:style>
  <w:style w:type="paragraph" w:styleId="af">
    <w:name w:val="Balloon Text"/>
    <w:basedOn w:val="a"/>
    <w:link w:val="af0"/>
    <w:uiPriority w:val="99"/>
    <w:semiHidden/>
    <w:unhideWhenUsed/>
    <w:rsid w:val="00A7079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7079F"/>
    <w:rPr>
      <w:rFonts w:ascii="Segoe UI" w:hAnsi="Segoe UI" w:cs="Segoe UI"/>
      <w:sz w:val="18"/>
      <w:szCs w:val="18"/>
    </w:rPr>
  </w:style>
  <w:style w:type="character" w:styleId="af1">
    <w:name w:val="Hyperlink"/>
    <w:basedOn w:val="a0"/>
    <w:uiPriority w:val="99"/>
    <w:unhideWhenUsed/>
    <w:rsid w:val="00A70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6336">
      <w:bodyDiv w:val="1"/>
      <w:marLeft w:val="0"/>
      <w:marRight w:val="0"/>
      <w:marTop w:val="0"/>
      <w:marBottom w:val="0"/>
      <w:divBdr>
        <w:top w:val="none" w:sz="0" w:space="0" w:color="auto"/>
        <w:left w:val="none" w:sz="0" w:space="0" w:color="auto"/>
        <w:bottom w:val="none" w:sz="0" w:space="0" w:color="auto"/>
        <w:right w:val="none" w:sz="0" w:space="0" w:color="auto"/>
      </w:divBdr>
    </w:div>
    <w:div w:id="84112666">
      <w:bodyDiv w:val="1"/>
      <w:marLeft w:val="0"/>
      <w:marRight w:val="0"/>
      <w:marTop w:val="0"/>
      <w:marBottom w:val="0"/>
      <w:divBdr>
        <w:top w:val="none" w:sz="0" w:space="0" w:color="auto"/>
        <w:left w:val="none" w:sz="0" w:space="0" w:color="auto"/>
        <w:bottom w:val="none" w:sz="0" w:space="0" w:color="auto"/>
        <w:right w:val="none" w:sz="0" w:space="0" w:color="auto"/>
      </w:divBdr>
      <w:divsChild>
        <w:div w:id="701050019">
          <w:marLeft w:val="547"/>
          <w:marRight w:val="0"/>
          <w:marTop w:val="0"/>
          <w:marBottom w:val="0"/>
          <w:divBdr>
            <w:top w:val="none" w:sz="0" w:space="0" w:color="auto"/>
            <w:left w:val="none" w:sz="0" w:space="0" w:color="auto"/>
            <w:bottom w:val="none" w:sz="0" w:space="0" w:color="auto"/>
            <w:right w:val="none" w:sz="0" w:space="0" w:color="auto"/>
          </w:divBdr>
        </w:div>
      </w:divsChild>
    </w:div>
    <w:div w:id="171385847">
      <w:bodyDiv w:val="1"/>
      <w:marLeft w:val="0"/>
      <w:marRight w:val="0"/>
      <w:marTop w:val="0"/>
      <w:marBottom w:val="0"/>
      <w:divBdr>
        <w:top w:val="none" w:sz="0" w:space="0" w:color="auto"/>
        <w:left w:val="none" w:sz="0" w:space="0" w:color="auto"/>
        <w:bottom w:val="none" w:sz="0" w:space="0" w:color="auto"/>
        <w:right w:val="none" w:sz="0" w:space="0" w:color="auto"/>
      </w:divBdr>
    </w:div>
    <w:div w:id="212349637">
      <w:bodyDiv w:val="1"/>
      <w:marLeft w:val="0"/>
      <w:marRight w:val="0"/>
      <w:marTop w:val="0"/>
      <w:marBottom w:val="0"/>
      <w:divBdr>
        <w:top w:val="none" w:sz="0" w:space="0" w:color="auto"/>
        <w:left w:val="none" w:sz="0" w:space="0" w:color="auto"/>
        <w:bottom w:val="none" w:sz="0" w:space="0" w:color="auto"/>
        <w:right w:val="none" w:sz="0" w:space="0" w:color="auto"/>
      </w:divBdr>
    </w:div>
    <w:div w:id="446588257">
      <w:bodyDiv w:val="1"/>
      <w:marLeft w:val="0"/>
      <w:marRight w:val="0"/>
      <w:marTop w:val="0"/>
      <w:marBottom w:val="0"/>
      <w:divBdr>
        <w:top w:val="none" w:sz="0" w:space="0" w:color="auto"/>
        <w:left w:val="none" w:sz="0" w:space="0" w:color="auto"/>
        <w:bottom w:val="none" w:sz="0" w:space="0" w:color="auto"/>
        <w:right w:val="none" w:sz="0" w:space="0" w:color="auto"/>
      </w:divBdr>
    </w:div>
    <w:div w:id="523056354">
      <w:bodyDiv w:val="1"/>
      <w:marLeft w:val="0"/>
      <w:marRight w:val="0"/>
      <w:marTop w:val="0"/>
      <w:marBottom w:val="0"/>
      <w:divBdr>
        <w:top w:val="none" w:sz="0" w:space="0" w:color="auto"/>
        <w:left w:val="none" w:sz="0" w:space="0" w:color="auto"/>
        <w:bottom w:val="none" w:sz="0" w:space="0" w:color="auto"/>
        <w:right w:val="none" w:sz="0" w:space="0" w:color="auto"/>
      </w:divBdr>
    </w:div>
    <w:div w:id="898592955">
      <w:bodyDiv w:val="1"/>
      <w:marLeft w:val="0"/>
      <w:marRight w:val="0"/>
      <w:marTop w:val="0"/>
      <w:marBottom w:val="0"/>
      <w:divBdr>
        <w:top w:val="none" w:sz="0" w:space="0" w:color="auto"/>
        <w:left w:val="none" w:sz="0" w:space="0" w:color="auto"/>
        <w:bottom w:val="none" w:sz="0" w:space="0" w:color="auto"/>
        <w:right w:val="none" w:sz="0" w:space="0" w:color="auto"/>
      </w:divBdr>
    </w:div>
    <w:div w:id="925958148">
      <w:bodyDiv w:val="1"/>
      <w:marLeft w:val="0"/>
      <w:marRight w:val="0"/>
      <w:marTop w:val="0"/>
      <w:marBottom w:val="0"/>
      <w:divBdr>
        <w:top w:val="none" w:sz="0" w:space="0" w:color="auto"/>
        <w:left w:val="none" w:sz="0" w:space="0" w:color="auto"/>
        <w:bottom w:val="none" w:sz="0" w:space="0" w:color="auto"/>
        <w:right w:val="none" w:sz="0" w:space="0" w:color="auto"/>
      </w:divBdr>
      <w:divsChild>
        <w:div w:id="116874665">
          <w:marLeft w:val="547"/>
          <w:marRight w:val="0"/>
          <w:marTop w:val="0"/>
          <w:marBottom w:val="0"/>
          <w:divBdr>
            <w:top w:val="none" w:sz="0" w:space="0" w:color="auto"/>
            <w:left w:val="none" w:sz="0" w:space="0" w:color="auto"/>
            <w:bottom w:val="none" w:sz="0" w:space="0" w:color="auto"/>
            <w:right w:val="none" w:sz="0" w:space="0" w:color="auto"/>
          </w:divBdr>
        </w:div>
      </w:divsChild>
    </w:div>
    <w:div w:id="1110976903">
      <w:bodyDiv w:val="1"/>
      <w:marLeft w:val="0"/>
      <w:marRight w:val="0"/>
      <w:marTop w:val="0"/>
      <w:marBottom w:val="0"/>
      <w:divBdr>
        <w:top w:val="none" w:sz="0" w:space="0" w:color="auto"/>
        <w:left w:val="none" w:sz="0" w:space="0" w:color="auto"/>
        <w:bottom w:val="none" w:sz="0" w:space="0" w:color="auto"/>
        <w:right w:val="none" w:sz="0" w:space="0" w:color="auto"/>
      </w:divBdr>
      <w:divsChild>
        <w:div w:id="1819496252">
          <w:marLeft w:val="547"/>
          <w:marRight w:val="0"/>
          <w:marTop w:val="0"/>
          <w:marBottom w:val="0"/>
          <w:divBdr>
            <w:top w:val="none" w:sz="0" w:space="0" w:color="auto"/>
            <w:left w:val="none" w:sz="0" w:space="0" w:color="auto"/>
            <w:bottom w:val="none" w:sz="0" w:space="0" w:color="auto"/>
            <w:right w:val="none" w:sz="0" w:space="0" w:color="auto"/>
          </w:divBdr>
        </w:div>
      </w:divsChild>
    </w:div>
    <w:div w:id="1112478059">
      <w:bodyDiv w:val="1"/>
      <w:marLeft w:val="0"/>
      <w:marRight w:val="0"/>
      <w:marTop w:val="0"/>
      <w:marBottom w:val="0"/>
      <w:divBdr>
        <w:top w:val="none" w:sz="0" w:space="0" w:color="auto"/>
        <w:left w:val="none" w:sz="0" w:space="0" w:color="auto"/>
        <w:bottom w:val="none" w:sz="0" w:space="0" w:color="auto"/>
        <w:right w:val="none" w:sz="0" w:space="0" w:color="auto"/>
      </w:divBdr>
      <w:divsChild>
        <w:div w:id="576522526">
          <w:marLeft w:val="547"/>
          <w:marRight w:val="0"/>
          <w:marTop w:val="0"/>
          <w:marBottom w:val="0"/>
          <w:divBdr>
            <w:top w:val="none" w:sz="0" w:space="0" w:color="auto"/>
            <w:left w:val="none" w:sz="0" w:space="0" w:color="auto"/>
            <w:bottom w:val="none" w:sz="0" w:space="0" w:color="auto"/>
            <w:right w:val="none" w:sz="0" w:space="0" w:color="auto"/>
          </w:divBdr>
        </w:div>
      </w:divsChild>
    </w:div>
    <w:div w:id="1352492102">
      <w:bodyDiv w:val="1"/>
      <w:marLeft w:val="0"/>
      <w:marRight w:val="0"/>
      <w:marTop w:val="0"/>
      <w:marBottom w:val="0"/>
      <w:divBdr>
        <w:top w:val="none" w:sz="0" w:space="0" w:color="auto"/>
        <w:left w:val="none" w:sz="0" w:space="0" w:color="auto"/>
        <w:bottom w:val="none" w:sz="0" w:space="0" w:color="auto"/>
        <w:right w:val="none" w:sz="0" w:space="0" w:color="auto"/>
      </w:divBdr>
    </w:div>
    <w:div w:id="1364138399">
      <w:bodyDiv w:val="1"/>
      <w:marLeft w:val="0"/>
      <w:marRight w:val="0"/>
      <w:marTop w:val="0"/>
      <w:marBottom w:val="0"/>
      <w:divBdr>
        <w:top w:val="none" w:sz="0" w:space="0" w:color="auto"/>
        <w:left w:val="none" w:sz="0" w:space="0" w:color="auto"/>
        <w:bottom w:val="none" w:sz="0" w:space="0" w:color="auto"/>
        <w:right w:val="none" w:sz="0" w:space="0" w:color="auto"/>
      </w:divBdr>
    </w:div>
    <w:div w:id="1371419863">
      <w:bodyDiv w:val="1"/>
      <w:marLeft w:val="0"/>
      <w:marRight w:val="0"/>
      <w:marTop w:val="0"/>
      <w:marBottom w:val="0"/>
      <w:divBdr>
        <w:top w:val="none" w:sz="0" w:space="0" w:color="auto"/>
        <w:left w:val="none" w:sz="0" w:space="0" w:color="auto"/>
        <w:bottom w:val="none" w:sz="0" w:space="0" w:color="auto"/>
        <w:right w:val="none" w:sz="0" w:space="0" w:color="auto"/>
      </w:divBdr>
      <w:divsChild>
        <w:div w:id="358899040">
          <w:marLeft w:val="547"/>
          <w:marRight w:val="0"/>
          <w:marTop w:val="0"/>
          <w:marBottom w:val="0"/>
          <w:divBdr>
            <w:top w:val="none" w:sz="0" w:space="0" w:color="auto"/>
            <w:left w:val="none" w:sz="0" w:space="0" w:color="auto"/>
            <w:bottom w:val="none" w:sz="0" w:space="0" w:color="auto"/>
            <w:right w:val="none" w:sz="0" w:space="0" w:color="auto"/>
          </w:divBdr>
        </w:div>
      </w:divsChild>
    </w:div>
    <w:div w:id="1696882896">
      <w:bodyDiv w:val="1"/>
      <w:marLeft w:val="0"/>
      <w:marRight w:val="0"/>
      <w:marTop w:val="0"/>
      <w:marBottom w:val="0"/>
      <w:divBdr>
        <w:top w:val="none" w:sz="0" w:space="0" w:color="auto"/>
        <w:left w:val="none" w:sz="0" w:space="0" w:color="auto"/>
        <w:bottom w:val="none" w:sz="0" w:space="0" w:color="auto"/>
        <w:right w:val="none" w:sz="0" w:space="0" w:color="auto"/>
      </w:divBdr>
    </w:div>
    <w:div w:id="2036419222">
      <w:bodyDiv w:val="1"/>
      <w:marLeft w:val="0"/>
      <w:marRight w:val="0"/>
      <w:marTop w:val="0"/>
      <w:marBottom w:val="0"/>
      <w:divBdr>
        <w:top w:val="none" w:sz="0" w:space="0" w:color="auto"/>
        <w:left w:val="none" w:sz="0" w:space="0" w:color="auto"/>
        <w:bottom w:val="none" w:sz="0" w:space="0" w:color="auto"/>
        <w:right w:val="none" w:sz="0" w:space="0" w:color="auto"/>
      </w:divBdr>
      <w:divsChild>
        <w:div w:id="78141456">
          <w:marLeft w:val="547"/>
          <w:marRight w:val="0"/>
          <w:marTop w:val="0"/>
          <w:marBottom w:val="0"/>
          <w:divBdr>
            <w:top w:val="none" w:sz="0" w:space="0" w:color="auto"/>
            <w:left w:val="none" w:sz="0" w:space="0" w:color="auto"/>
            <w:bottom w:val="none" w:sz="0" w:space="0" w:color="auto"/>
            <w:right w:val="none" w:sz="0" w:space="0" w:color="auto"/>
          </w:divBdr>
        </w:div>
      </w:divsChild>
    </w:div>
    <w:div w:id="2050841366">
      <w:bodyDiv w:val="1"/>
      <w:marLeft w:val="0"/>
      <w:marRight w:val="0"/>
      <w:marTop w:val="0"/>
      <w:marBottom w:val="0"/>
      <w:divBdr>
        <w:top w:val="none" w:sz="0" w:space="0" w:color="auto"/>
        <w:left w:val="none" w:sz="0" w:space="0" w:color="auto"/>
        <w:bottom w:val="none" w:sz="0" w:space="0" w:color="auto"/>
        <w:right w:val="none" w:sz="0" w:space="0" w:color="auto"/>
      </w:divBdr>
      <w:divsChild>
        <w:div w:id="944385384">
          <w:marLeft w:val="547"/>
          <w:marRight w:val="0"/>
          <w:marTop w:val="0"/>
          <w:marBottom w:val="0"/>
          <w:divBdr>
            <w:top w:val="none" w:sz="0" w:space="0" w:color="auto"/>
            <w:left w:val="none" w:sz="0" w:space="0" w:color="auto"/>
            <w:bottom w:val="none" w:sz="0" w:space="0" w:color="auto"/>
            <w:right w:val="none" w:sz="0" w:space="0" w:color="auto"/>
          </w:divBdr>
        </w:div>
      </w:divsChild>
    </w:div>
    <w:div w:id="207369739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547"/>
          <w:marRight w:val="0"/>
          <w:marTop w:val="0"/>
          <w:marBottom w:val="0"/>
          <w:divBdr>
            <w:top w:val="none" w:sz="0" w:space="0" w:color="auto"/>
            <w:left w:val="none" w:sz="0" w:space="0" w:color="auto"/>
            <w:bottom w:val="none" w:sz="0" w:space="0" w:color="auto"/>
            <w:right w:val="none" w:sz="0" w:space="0" w:color="auto"/>
          </w:divBdr>
        </w:div>
      </w:divsChild>
    </w:div>
    <w:div w:id="207522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C733C2-3A8A-4720-8DBE-ACBB4D65625F}" type="doc">
      <dgm:prSet loTypeId="urn:microsoft.com/office/officeart/2005/8/layout/process1" loCatId="process" qsTypeId="urn:microsoft.com/office/officeart/2005/8/quickstyle/simple1" qsCatId="simple" csTypeId="urn:microsoft.com/office/officeart/2005/8/colors/accent1_1" csCatId="accent1" phldr="1"/>
      <dgm:spPr/>
    </dgm:pt>
    <dgm:pt modelId="{C3246916-AEF4-4BA0-90F3-CD898AE87623}">
      <dgm:prSet phldrT="[Текст]" custT="1"/>
      <dgm:spPr>
        <a:xfrm>
          <a:off x="7730" y="0"/>
          <a:ext cx="1484839" cy="643043"/>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Opening report as of 31.12.2020</a:t>
          </a:r>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822E822-D110-4BED-BC3D-6472A6314959}" type="parTrans" cxnId="{582A8690-4F93-42D6-8B8B-F1F898599168}">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FED06854-ACED-4626-AE4D-A6CD2667C530}" type="sibTrans" cxnId="{582A8690-4F93-42D6-8B8B-F1F898599168}">
      <dgm:prSet custT="1"/>
      <dgm:spPr>
        <a:xfrm>
          <a:off x="1641053" y="137401"/>
          <a:ext cx="314785" cy="368240"/>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lgn="ctr"/>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AF61EA-85BC-4438-849C-AB81B97C44FA}">
      <dgm:prSet phldrT="[Текст]" custT="1"/>
      <dgm:spPr>
        <a:xfrm>
          <a:off x="2086505" y="0"/>
          <a:ext cx="1484839" cy="643043"/>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IFRS financial statements for the transition period 1 January-31 December 2021</a:t>
          </a:r>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014D6B4-5AEC-4DE3-A87C-0CEAB18E4974}" type="parTrans" cxnId="{39993BF0-D6F3-444F-94BB-5204DFDE62D9}">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3C493B81-2437-400B-9D63-F31F546D051D}" type="sibTrans" cxnId="{39993BF0-D6F3-444F-94BB-5204DFDE62D9}">
      <dgm:prSet custT="1"/>
      <dgm:spPr>
        <a:xfrm>
          <a:off x="3719828" y="137401"/>
          <a:ext cx="314785" cy="368240"/>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lgn="ctr"/>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C6A7153-DE9D-49A4-9146-F5B155B9AB6F}">
      <dgm:prSet phldrT="[Текст]" custT="1"/>
      <dgm:spPr>
        <a:xfrm>
          <a:off x="4165280" y="0"/>
          <a:ext cx="1484839" cy="643043"/>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First reporting period under IFRS 1 January-31 December 2022</a:t>
          </a:r>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just"/>
          <a:r>
            <a:rPr lang="ru-RU" sz="800" i="1">
              <a:solidFill>
                <a:srgbClr val="FF0000"/>
              </a:solidFill>
              <a:latin typeface="Times New Roman" panose="02020603050405020304" pitchFamily="18" charset="0"/>
              <a:ea typeface="+mn-ea"/>
              <a:cs typeface="Times New Roman" panose="02020603050405020304" pitchFamily="18" charset="0"/>
            </a:rPr>
            <a:t>(</a:t>
          </a:r>
          <a:r>
            <a:rPr lang="en-US" sz="800" i="1">
              <a:solidFill>
                <a:srgbClr val="FF0000"/>
              </a:solidFill>
              <a:latin typeface="Times New Roman" panose="02020603050405020304" pitchFamily="18" charset="0"/>
              <a:ea typeface="+mn-ea"/>
              <a:cs typeface="Times New Roman" panose="02020603050405020304" pitchFamily="18" charset="0"/>
            </a:rPr>
            <a:t>First financial statements under IFRS, with an explicit and unambiguous statement of their compliance with IFRS, with full comparative information)</a:t>
          </a:r>
          <a:endParaRPr lang="ru-RU" sz="800" i="1">
            <a:solidFill>
              <a:srgbClr val="FF0000"/>
            </a:solidFill>
            <a:latin typeface="Times New Roman" panose="02020603050405020304" pitchFamily="18" charset="0"/>
            <a:ea typeface="+mn-ea"/>
            <a:cs typeface="Times New Roman" panose="02020603050405020304" pitchFamily="18" charset="0"/>
          </a:endParaRPr>
        </a:p>
      </dgm:t>
    </dgm:pt>
    <dgm:pt modelId="{146CBF05-BCA6-4CEB-94FB-372388E375EF}" type="parTrans" cxnId="{97CDAD01-81B3-4CF5-B898-1B0C0A4C4F3A}">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501AF508-6743-4057-9B0D-11FE179CF287}" type="sibTrans" cxnId="{97CDAD01-81B3-4CF5-B898-1B0C0A4C4F3A}">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AB433855-AC43-4ACA-B6D5-344ADA01EBB3}" type="pres">
      <dgm:prSet presAssocID="{07C733C2-3A8A-4720-8DBE-ACBB4D65625F}" presName="Name0" presStyleCnt="0">
        <dgm:presLayoutVars>
          <dgm:dir/>
          <dgm:resizeHandles val="exact"/>
        </dgm:presLayoutVars>
      </dgm:prSet>
      <dgm:spPr/>
    </dgm:pt>
    <dgm:pt modelId="{B90A4D8E-C21F-4C50-BA3B-B5496D895548}" type="pres">
      <dgm:prSet presAssocID="{C3246916-AEF4-4BA0-90F3-CD898AE87623}" presName="node" presStyleLbl="node1" presStyleIdx="0" presStyleCnt="3">
        <dgm:presLayoutVars>
          <dgm:bulletEnabled val="1"/>
        </dgm:presLayoutVars>
      </dgm:prSet>
      <dgm:spPr/>
      <dgm:t>
        <a:bodyPr/>
        <a:lstStyle/>
        <a:p>
          <a:endParaRPr lang="ru-RU"/>
        </a:p>
      </dgm:t>
    </dgm:pt>
    <dgm:pt modelId="{3C9A03D7-251B-481F-A0AB-5AC57CEAA37F}" type="pres">
      <dgm:prSet presAssocID="{FED06854-ACED-4626-AE4D-A6CD2667C530}" presName="sibTrans" presStyleLbl="sibTrans2D1" presStyleIdx="0" presStyleCnt="2"/>
      <dgm:spPr/>
      <dgm:t>
        <a:bodyPr/>
        <a:lstStyle/>
        <a:p>
          <a:endParaRPr lang="ru-RU"/>
        </a:p>
      </dgm:t>
    </dgm:pt>
    <dgm:pt modelId="{B41718E7-667F-4F5E-ADFB-30E788AC7328}" type="pres">
      <dgm:prSet presAssocID="{FED06854-ACED-4626-AE4D-A6CD2667C530}" presName="connectorText" presStyleLbl="sibTrans2D1" presStyleIdx="0" presStyleCnt="2"/>
      <dgm:spPr/>
      <dgm:t>
        <a:bodyPr/>
        <a:lstStyle/>
        <a:p>
          <a:endParaRPr lang="ru-RU"/>
        </a:p>
      </dgm:t>
    </dgm:pt>
    <dgm:pt modelId="{48ACE43C-92B7-485D-9E86-C76AE53B5D65}" type="pres">
      <dgm:prSet presAssocID="{FFAF61EA-85BC-4438-849C-AB81B97C44FA}" presName="node" presStyleLbl="node1" presStyleIdx="1" presStyleCnt="3">
        <dgm:presLayoutVars>
          <dgm:bulletEnabled val="1"/>
        </dgm:presLayoutVars>
      </dgm:prSet>
      <dgm:spPr/>
      <dgm:t>
        <a:bodyPr/>
        <a:lstStyle/>
        <a:p>
          <a:endParaRPr lang="ru-RU"/>
        </a:p>
      </dgm:t>
    </dgm:pt>
    <dgm:pt modelId="{35DD3B33-CE57-4EB6-ADDC-0E0AB385334D}" type="pres">
      <dgm:prSet presAssocID="{3C493B81-2437-400B-9D63-F31F546D051D}" presName="sibTrans" presStyleLbl="sibTrans2D1" presStyleIdx="1" presStyleCnt="2"/>
      <dgm:spPr/>
      <dgm:t>
        <a:bodyPr/>
        <a:lstStyle/>
        <a:p>
          <a:endParaRPr lang="ru-RU"/>
        </a:p>
      </dgm:t>
    </dgm:pt>
    <dgm:pt modelId="{1A16ED87-FD72-42FD-A249-E11149870A6A}" type="pres">
      <dgm:prSet presAssocID="{3C493B81-2437-400B-9D63-F31F546D051D}" presName="connectorText" presStyleLbl="sibTrans2D1" presStyleIdx="1" presStyleCnt="2"/>
      <dgm:spPr/>
      <dgm:t>
        <a:bodyPr/>
        <a:lstStyle/>
        <a:p>
          <a:endParaRPr lang="ru-RU"/>
        </a:p>
      </dgm:t>
    </dgm:pt>
    <dgm:pt modelId="{498F554E-B9C7-4918-BFB1-39056F3DDF52}" type="pres">
      <dgm:prSet presAssocID="{3C6A7153-DE9D-49A4-9146-F5B155B9AB6F}" presName="node" presStyleLbl="node1" presStyleIdx="2" presStyleCnt="3">
        <dgm:presLayoutVars>
          <dgm:bulletEnabled val="1"/>
        </dgm:presLayoutVars>
      </dgm:prSet>
      <dgm:spPr/>
      <dgm:t>
        <a:bodyPr/>
        <a:lstStyle/>
        <a:p>
          <a:endParaRPr lang="ru-RU"/>
        </a:p>
      </dgm:t>
    </dgm:pt>
  </dgm:ptLst>
  <dgm:cxnLst>
    <dgm:cxn modelId="{97CDAD01-81B3-4CF5-B898-1B0C0A4C4F3A}" srcId="{07C733C2-3A8A-4720-8DBE-ACBB4D65625F}" destId="{3C6A7153-DE9D-49A4-9146-F5B155B9AB6F}" srcOrd="2" destOrd="0" parTransId="{146CBF05-BCA6-4CEB-94FB-372388E375EF}" sibTransId="{501AF508-6743-4057-9B0D-11FE179CF287}"/>
    <dgm:cxn modelId="{E34E9BAF-159A-40CD-A65D-8192F09CF4EA}" type="presOf" srcId="{3C493B81-2437-400B-9D63-F31F546D051D}" destId="{35DD3B33-CE57-4EB6-ADDC-0E0AB385334D}" srcOrd="0" destOrd="0" presId="urn:microsoft.com/office/officeart/2005/8/layout/process1"/>
    <dgm:cxn modelId="{1B8E4AE5-CFF9-4B64-8430-53211B9AD4CD}" type="presOf" srcId="{3C6A7153-DE9D-49A4-9146-F5B155B9AB6F}" destId="{498F554E-B9C7-4918-BFB1-39056F3DDF52}" srcOrd="0" destOrd="0" presId="urn:microsoft.com/office/officeart/2005/8/layout/process1"/>
    <dgm:cxn modelId="{64A5348F-37A7-44BC-A838-3BB30DE9CB19}" type="presOf" srcId="{07C733C2-3A8A-4720-8DBE-ACBB4D65625F}" destId="{AB433855-AC43-4ACA-B6D5-344ADA01EBB3}" srcOrd="0" destOrd="0" presId="urn:microsoft.com/office/officeart/2005/8/layout/process1"/>
    <dgm:cxn modelId="{759DEB89-68ED-4FD7-9332-67AA8F095F8A}" type="presOf" srcId="{FED06854-ACED-4626-AE4D-A6CD2667C530}" destId="{B41718E7-667F-4F5E-ADFB-30E788AC7328}" srcOrd="1" destOrd="0" presId="urn:microsoft.com/office/officeart/2005/8/layout/process1"/>
    <dgm:cxn modelId="{BD6AECD2-4510-4EF0-AEBC-2FAB74707737}" type="presOf" srcId="{FFAF61EA-85BC-4438-849C-AB81B97C44FA}" destId="{48ACE43C-92B7-485D-9E86-C76AE53B5D65}" srcOrd="0" destOrd="0" presId="urn:microsoft.com/office/officeart/2005/8/layout/process1"/>
    <dgm:cxn modelId="{A5F8C360-18E3-422F-98D5-F99E10CECAE3}" type="presOf" srcId="{3C493B81-2437-400B-9D63-F31F546D051D}" destId="{1A16ED87-FD72-42FD-A249-E11149870A6A}" srcOrd="1" destOrd="0" presId="urn:microsoft.com/office/officeart/2005/8/layout/process1"/>
    <dgm:cxn modelId="{39993BF0-D6F3-444F-94BB-5204DFDE62D9}" srcId="{07C733C2-3A8A-4720-8DBE-ACBB4D65625F}" destId="{FFAF61EA-85BC-4438-849C-AB81B97C44FA}" srcOrd="1" destOrd="0" parTransId="{1014D6B4-5AEC-4DE3-A87C-0CEAB18E4974}" sibTransId="{3C493B81-2437-400B-9D63-F31F546D051D}"/>
    <dgm:cxn modelId="{1DB3824C-F06B-43B3-A529-50E68C2A9ABD}" type="presOf" srcId="{FED06854-ACED-4626-AE4D-A6CD2667C530}" destId="{3C9A03D7-251B-481F-A0AB-5AC57CEAA37F}" srcOrd="0" destOrd="0" presId="urn:microsoft.com/office/officeart/2005/8/layout/process1"/>
    <dgm:cxn modelId="{582A8690-4F93-42D6-8B8B-F1F898599168}" srcId="{07C733C2-3A8A-4720-8DBE-ACBB4D65625F}" destId="{C3246916-AEF4-4BA0-90F3-CD898AE87623}" srcOrd="0" destOrd="0" parTransId="{0822E822-D110-4BED-BC3D-6472A6314959}" sibTransId="{FED06854-ACED-4626-AE4D-A6CD2667C530}"/>
    <dgm:cxn modelId="{B8BB3247-BAC8-4A99-BE4C-3C1CF78FF5D6}" type="presOf" srcId="{C3246916-AEF4-4BA0-90F3-CD898AE87623}" destId="{B90A4D8E-C21F-4C50-BA3B-B5496D895548}" srcOrd="0" destOrd="0" presId="urn:microsoft.com/office/officeart/2005/8/layout/process1"/>
    <dgm:cxn modelId="{76D43A7A-48D5-4CC9-B19A-1B73B4B962D0}" type="presParOf" srcId="{AB433855-AC43-4ACA-B6D5-344ADA01EBB3}" destId="{B90A4D8E-C21F-4C50-BA3B-B5496D895548}" srcOrd="0" destOrd="0" presId="urn:microsoft.com/office/officeart/2005/8/layout/process1"/>
    <dgm:cxn modelId="{E9818825-9B9D-4D87-84C1-619136498BF4}" type="presParOf" srcId="{AB433855-AC43-4ACA-B6D5-344ADA01EBB3}" destId="{3C9A03D7-251B-481F-A0AB-5AC57CEAA37F}" srcOrd="1" destOrd="0" presId="urn:microsoft.com/office/officeart/2005/8/layout/process1"/>
    <dgm:cxn modelId="{1D18ADBE-95CF-4B72-8D26-DA7A5C5EF79E}" type="presParOf" srcId="{3C9A03D7-251B-481F-A0AB-5AC57CEAA37F}" destId="{B41718E7-667F-4F5E-ADFB-30E788AC7328}" srcOrd="0" destOrd="0" presId="urn:microsoft.com/office/officeart/2005/8/layout/process1"/>
    <dgm:cxn modelId="{F9F15B11-EF10-4CC5-8F00-A9D6C3DE0597}" type="presParOf" srcId="{AB433855-AC43-4ACA-B6D5-344ADA01EBB3}" destId="{48ACE43C-92B7-485D-9E86-C76AE53B5D65}" srcOrd="2" destOrd="0" presId="urn:microsoft.com/office/officeart/2005/8/layout/process1"/>
    <dgm:cxn modelId="{785CA701-6693-4550-9935-CF6128A58AE3}" type="presParOf" srcId="{AB433855-AC43-4ACA-B6D5-344ADA01EBB3}" destId="{35DD3B33-CE57-4EB6-ADDC-0E0AB385334D}" srcOrd="3" destOrd="0" presId="urn:microsoft.com/office/officeart/2005/8/layout/process1"/>
    <dgm:cxn modelId="{3F7B3B62-540A-4770-9E51-86627CE015B0}" type="presParOf" srcId="{35DD3B33-CE57-4EB6-ADDC-0E0AB385334D}" destId="{1A16ED87-FD72-42FD-A249-E11149870A6A}" srcOrd="0" destOrd="0" presId="urn:microsoft.com/office/officeart/2005/8/layout/process1"/>
    <dgm:cxn modelId="{B5E5C203-ADA1-4294-930B-370041EA5C04}" type="presParOf" srcId="{AB433855-AC43-4ACA-B6D5-344ADA01EBB3}" destId="{498F554E-B9C7-4918-BFB1-39056F3DDF52}"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0A4D8E-C21F-4C50-BA3B-B5496D895548}">
      <dsp:nvSpPr>
        <dsp:cNvPr id="0" name=""/>
        <dsp:cNvSpPr/>
      </dsp:nvSpPr>
      <dsp:spPr>
        <a:xfrm>
          <a:off x="5325" y="53924"/>
          <a:ext cx="1591715" cy="113409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Opening report as of 31.12.2020</a:t>
          </a: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8542" y="87141"/>
        <a:ext cx="1525281" cy="1067663"/>
      </dsp:txXfrm>
    </dsp:sp>
    <dsp:sp modelId="{3C9A03D7-251B-481F-A0AB-5AC57CEAA37F}">
      <dsp:nvSpPr>
        <dsp:cNvPr id="0" name=""/>
        <dsp:cNvSpPr/>
      </dsp:nvSpPr>
      <dsp:spPr>
        <a:xfrm>
          <a:off x="1756212" y="423600"/>
          <a:ext cx="337443" cy="39474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56212" y="502549"/>
        <a:ext cx="236210" cy="236847"/>
      </dsp:txXfrm>
    </dsp:sp>
    <dsp:sp modelId="{48ACE43C-92B7-485D-9E86-C76AE53B5D65}">
      <dsp:nvSpPr>
        <dsp:cNvPr id="0" name=""/>
        <dsp:cNvSpPr/>
      </dsp:nvSpPr>
      <dsp:spPr>
        <a:xfrm>
          <a:off x="2233727" y="53924"/>
          <a:ext cx="1591715" cy="113409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IFRS financial statements for the transition period 1 January-31 December 2021</a:t>
          </a: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266944" y="87141"/>
        <a:ext cx="1525281" cy="1067663"/>
      </dsp:txXfrm>
    </dsp:sp>
    <dsp:sp modelId="{35DD3B33-CE57-4EB6-ADDC-0E0AB385334D}">
      <dsp:nvSpPr>
        <dsp:cNvPr id="0" name=""/>
        <dsp:cNvSpPr/>
      </dsp:nvSpPr>
      <dsp:spPr>
        <a:xfrm>
          <a:off x="3984614" y="423600"/>
          <a:ext cx="337443" cy="39474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84614" y="502549"/>
        <a:ext cx="236210" cy="236847"/>
      </dsp:txXfrm>
    </dsp:sp>
    <dsp:sp modelId="{498F554E-B9C7-4918-BFB1-39056F3DDF52}">
      <dsp:nvSpPr>
        <dsp:cNvPr id="0" name=""/>
        <dsp:cNvSpPr/>
      </dsp:nvSpPr>
      <dsp:spPr>
        <a:xfrm>
          <a:off x="4462129" y="53924"/>
          <a:ext cx="1591715" cy="113409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First reporting period under IFRS 1 January-31 December 2022</a:t>
          </a: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just" defTabSz="444500">
            <a:lnSpc>
              <a:spcPct val="90000"/>
            </a:lnSpc>
            <a:spcBef>
              <a:spcPct val="0"/>
            </a:spcBef>
            <a:spcAft>
              <a:spcPct val="35000"/>
            </a:spcAft>
          </a:pPr>
          <a:r>
            <a:rPr lang="ru-RU" sz="800" i="1" kern="1200">
              <a:solidFill>
                <a:srgbClr val="FF0000"/>
              </a:solidFill>
              <a:latin typeface="Times New Roman" panose="02020603050405020304" pitchFamily="18" charset="0"/>
              <a:ea typeface="+mn-ea"/>
              <a:cs typeface="Times New Roman" panose="02020603050405020304" pitchFamily="18" charset="0"/>
            </a:rPr>
            <a:t>(</a:t>
          </a:r>
          <a:r>
            <a:rPr lang="en-US" sz="800" i="1" kern="1200">
              <a:solidFill>
                <a:srgbClr val="FF0000"/>
              </a:solidFill>
              <a:latin typeface="Times New Roman" panose="02020603050405020304" pitchFamily="18" charset="0"/>
              <a:ea typeface="+mn-ea"/>
              <a:cs typeface="Times New Roman" panose="02020603050405020304" pitchFamily="18" charset="0"/>
            </a:rPr>
            <a:t>First financial statements under IFRS, with an explicit and unambiguous statement of their compliance with IFRS, with full comparative information)</a:t>
          </a:r>
          <a:endParaRPr lang="ru-RU" sz="800" i="1" kern="1200">
            <a:solidFill>
              <a:srgbClr val="FF0000"/>
            </a:solidFill>
            <a:latin typeface="Times New Roman" panose="02020603050405020304" pitchFamily="18" charset="0"/>
            <a:ea typeface="+mn-ea"/>
            <a:cs typeface="Times New Roman" panose="02020603050405020304" pitchFamily="18" charset="0"/>
          </a:endParaRPr>
        </a:p>
      </dsp:txBody>
      <dsp:txXfrm>
        <a:off x="4495346" y="87141"/>
        <a:ext cx="1525281" cy="106766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C18A-E5BD-42D8-A44E-3836B6E4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1491</Words>
  <Characters>8500</Characters>
  <Application>Microsoft Office Word</Application>
  <DocSecurity>8</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Алмагамбетов</dc:creator>
  <cp:keywords/>
  <dc:description/>
  <cp:lastModifiedBy>Куаныш Алмагамбетов</cp:lastModifiedBy>
  <cp:revision>18</cp:revision>
  <cp:lastPrinted>2021-02-26T10:09:00Z</cp:lastPrinted>
  <dcterms:created xsi:type="dcterms:W3CDTF">2021-03-01T09:19:00Z</dcterms:created>
  <dcterms:modified xsi:type="dcterms:W3CDTF">2021-04-06T03:41:00Z</dcterms:modified>
</cp:coreProperties>
</file>