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8CB6A" w14:textId="7F72E295" w:rsidR="000E1B32" w:rsidRPr="008E2662" w:rsidRDefault="00256950" w:rsidP="00256950">
      <w:pPr>
        <w:spacing w:after="0" w:line="288" w:lineRule="auto"/>
        <w:jc w:val="both"/>
        <w:rPr>
          <w:rFonts w:ascii="Verdana" w:eastAsia="Times New Roman" w:hAnsi="Verdana" w:cs="Times New Roman"/>
        </w:rPr>
      </w:pPr>
      <w:r>
        <w:rPr>
          <w:noProof/>
          <w:lang w:eastAsia="ru-RU"/>
        </w:rPr>
        <w:drawing>
          <wp:inline distT="0" distB="0" distL="0" distR="0" wp14:anchorId="48F1F1F5" wp14:editId="04DC1A7A">
            <wp:extent cx="4961905" cy="1142857"/>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61905" cy="1142857"/>
                    </a:xfrm>
                    <a:prstGeom prst="rect">
                      <a:avLst/>
                    </a:prstGeom>
                  </pic:spPr>
                </pic:pic>
              </a:graphicData>
            </a:graphic>
          </wp:inline>
        </w:drawing>
      </w:r>
    </w:p>
    <w:p w14:paraId="54C0999E" w14:textId="77777777" w:rsidR="000E1B32" w:rsidRPr="008E2662" w:rsidRDefault="000E1B32" w:rsidP="00256950">
      <w:pPr>
        <w:spacing w:after="0" w:line="240" w:lineRule="auto"/>
        <w:jc w:val="both"/>
        <w:rPr>
          <w:rFonts w:ascii="Verdana" w:eastAsia="Times New Roman" w:hAnsi="Verdana" w:cs="Times New Roman"/>
        </w:rPr>
      </w:pPr>
    </w:p>
    <w:p w14:paraId="478C3695" w14:textId="20224BDB" w:rsidR="000E1B32" w:rsidRPr="00606E4A" w:rsidRDefault="00606E4A" w:rsidP="00256950">
      <w:pPr>
        <w:spacing w:after="0" w:line="264" w:lineRule="auto"/>
        <w:jc w:val="center"/>
        <w:rPr>
          <w:rFonts w:ascii="Verdana" w:eastAsia="Times New Roman" w:hAnsi="Verdana" w:cs="Times New Roman"/>
          <w:b/>
          <w:sz w:val="24"/>
          <w:szCs w:val="24"/>
          <w:lang w:val="en-US"/>
        </w:rPr>
      </w:pPr>
      <w:r>
        <w:rPr>
          <w:rFonts w:ascii="Verdana" w:eastAsia="Times New Roman" w:hAnsi="Verdana" w:cs="Times New Roman"/>
          <w:b/>
          <w:sz w:val="24"/>
          <w:szCs w:val="24"/>
          <w:lang w:val="en-US"/>
        </w:rPr>
        <w:t>Press</w:t>
      </w:r>
      <w:r w:rsidR="00127BC2" w:rsidRPr="00606E4A">
        <w:rPr>
          <w:rFonts w:ascii="Verdana" w:eastAsia="Times New Roman" w:hAnsi="Verdana" w:cs="Times New Roman"/>
          <w:b/>
          <w:sz w:val="24"/>
          <w:szCs w:val="24"/>
          <w:lang w:val="en-US"/>
        </w:rPr>
        <w:t>-</w:t>
      </w:r>
      <w:r w:rsidR="0025045C">
        <w:rPr>
          <w:rFonts w:ascii="Verdana" w:eastAsia="Times New Roman" w:hAnsi="Verdana" w:cs="Times New Roman"/>
          <w:b/>
          <w:sz w:val="24"/>
          <w:szCs w:val="24"/>
          <w:lang w:val="en-US"/>
        </w:rPr>
        <w:t>Release</w:t>
      </w:r>
      <w:r w:rsidR="000E1B32" w:rsidRPr="00606E4A">
        <w:rPr>
          <w:rFonts w:ascii="Verdana" w:eastAsia="Times New Roman" w:hAnsi="Verdana" w:cs="Times New Roman"/>
          <w:b/>
          <w:sz w:val="24"/>
          <w:szCs w:val="24"/>
          <w:lang w:val="en-US"/>
        </w:rPr>
        <w:t xml:space="preserve"> № </w:t>
      </w:r>
      <w:r w:rsidR="00374316" w:rsidRPr="00606E4A">
        <w:rPr>
          <w:rFonts w:ascii="Verdana" w:eastAsia="Times New Roman" w:hAnsi="Verdana" w:cs="Times New Roman"/>
          <w:b/>
          <w:sz w:val="24"/>
          <w:szCs w:val="24"/>
          <w:lang w:val="en-US"/>
        </w:rPr>
        <w:t>__</w:t>
      </w:r>
    </w:p>
    <w:p w14:paraId="6916BE54" w14:textId="77777777" w:rsidR="000E1B32" w:rsidRPr="00606E4A" w:rsidRDefault="000E1B32" w:rsidP="00256950">
      <w:pPr>
        <w:spacing w:after="0" w:line="264" w:lineRule="auto"/>
        <w:jc w:val="center"/>
        <w:rPr>
          <w:rFonts w:ascii="Verdana" w:eastAsia="Times New Roman" w:hAnsi="Verdana" w:cs="Times New Roman"/>
          <w:sz w:val="24"/>
          <w:szCs w:val="24"/>
          <w:lang w:val="en-US"/>
        </w:rPr>
      </w:pPr>
    </w:p>
    <w:p w14:paraId="2890924E" w14:textId="1EAECD8E" w:rsidR="000E1B32" w:rsidRPr="00606E4A" w:rsidRDefault="00D40EC5" w:rsidP="00256950">
      <w:pPr>
        <w:spacing w:after="0" w:line="264" w:lineRule="auto"/>
        <w:jc w:val="center"/>
        <w:rPr>
          <w:rFonts w:cstheme="minorHAnsi"/>
          <w:b/>
          <w:bCs/>
          <w:snapToGrid w:val="0"/>
          <w:sz w:val="24"/>
          <w:szCs w:val="24"/>
          <w:lang w:val="en-US"/>
        </w:rPr>
      </w:pPr>
      <w:r>
        <w:rPr>
          <w:rFonts w:cstheme="minorHAnsi"/>
          <w:b/>
          <w:bCs/>
          <w:snapToGrid w:val="0"/>
          <w:sz w:val="24"/>
          <w:szCs w:val="24"/>
          <w:lang w:val="en-US"/>
        </w:rPr>
        <w:t xml:space="preserve">The </w:t>
      </w:r>
      <w:r w:rsidR="00606E4A">
        <w:rPr>
          <w:rFonts w:cstheme="minorHAnsi"/>
          <w:b/>
          <w:bCs/>
          <w:snapToGrid w:val="0"/>
          <w:sz w:val="24"/>
          <w:szCs w:val="24"/>
          <w:lang w:val="en-US"/>
        </w:rPr>
        <w:t>base rate</w:t>
      </w:r>
      <w:r>
        <w:rPr>
          <w:rFonts w:cstheme="minorHAnsi"/>
          <w:b/>
          <w:bCs/>
          <w:snapToGrid w:val="0"/>
          <w:sz w:val="24"/>
          <w:szCs w:val="24"/>
          <w:lang w:val="en-US"/>
        </w:rPr>
        <w:t xml:space="preserve"> reduced</w:t>
      </w:r>
      <w:r w:rsidR="00606E4A">
        <w:rPr>
          <w:rFonts w:cstheme="minorHAnsi"/>
          <w:b/>
          <w:bCs/>
          <w:snapToGrid w:val="0"/>
          <w:sz w:val="24"/>
          <w:szCs w:val="24"/>
          <w:lang w:val="en-US"/>
        </w:rPr>
        <w:t xml:space="preserve"> to</w:t>
      </w:r>
      <w:r w:rsidR="00C06E3D">
        <w:rPr>
          <w:rFonts w:cstheme="minorHAnsi"/>
          <w:b/>
          <w:bCs/>
          <w:snapToGrid w:val="0"/>
          <w:sz w:val="24"/>
          <w:szCs w:val="24"/>
          <w:lang w:val="en-US"/>
        </w:rPr>
        <w:t xml:space="preserve"> 9.</w:t>
      </w:r>
      <w:r w:rsidR="00CB7180" w:rsidRPr="00606E4A">
        <w:rPr>
          <w:rFonts w:cstheme="minorHAnsi"/>
          <w:b/>
          <w:bCs/>
          <w:snapToGrid w:val="0"/>
          <w:sz w:val="24"/>
          <w:szCs w:val="24"/>
          <w:lang w:val="en-US"/>
        </w:rPr>
        <w:t>00</w:t>
      </w:r>
      <w:r w:rsidR="00B37980" w:rsidRPr="00606E4A">
        <w:rPr>
          <w:rFonts w:cstheme="minorHAnsi"/>
          <w:b/>
          <w:bCs/>
          <w:snapToGrid w:val="0"/>
          <w:sz w:val="24"/>
          <w:szCs w:val="24"/>
          <w:lang w:val="en-US"/>
        </w:rPr>
        <w:t>%</w:t>
      </w:r>
    </w:p>
    <w:p w14:paraId="4D49827E" w14:textId="77777777" w:rsidR="000E1B32" w:rsidRPr="00606E4A" w:rsidRDefault="000E1B32" w:rsidP="00256950">
      <w:pPr>
        <w:spacing w:after="0" w:line="264" w:lineRule="auto"/>
        <w:jc w:val="both"/>
        <w:rPr>
          <w:rFonts w:eastAsia="Times New Roman" w:cs="Times New Roman"/>
          <w:sz w:val="24"/>
          <w:szCs w:val="24"/>
          <w:lang w:val="en-US"/>
        </w:rPr>
      </w:pPr>
    </w:p>
    <w:p w14:paraId="181FF28B" w14:textId="3E98E353" w:rsidR="000E1B32" w:rsidRPr="00EC6574" w:rsidRDefault="00606E4A" w:rsidP="00256950">
      <w:pPr>
        <w:tabs>
          <w:tab w:val="center" w:pos="9498"/>
        </w:tabs>
        <w:spacing w:after="0" w:line="264" w:lineRule="auto"/>
        <w:ind w:firstLine="709"/>
        <w:jc w:val="both"/>
        <w:rPr>
          <w:rFonts w:eastAsia="Times New Roman" w:cs="Times New Roman"/>
          <w:sz w:val="24"/>
          <w:szCs w:val="24"/>
          <w:lang w:val="en-US"/>
        </w:rPr>
      </w:pPr>
      <w:r>
        <w:rPr>
          <w:rFonts w:eastAsia="Times New Roman" w:cs="Times New Roman"/>
          <w:sz w:val="24"/>
          <w:szCs w:val="24"/>
          <w:lang w:val="en-US"/>
        </w:rPr>
        <w:t>J</w:t>
      </w:r>
      <w:r w:rsidR="00D40EC5">
        <w:rPr>
          <w:rFonts w:eastAsia="Times New Roman" w:cs="Times New Roman"/>
          <w:sz w:val="24"/>
          <w:szCs w:val="24"/>
          <w:lang w:val="en-US"/>
        </w:rPr>
        <w:t>uly 20,</w:t>
      </w:r>
      <w:r>
        <w:rPr>
          <w:rFonts w:eastAsia="Times New Roman" w:cs="Times New Roman"/>
          <w:sz w:val="24"/>
          <w:szCs w:val="24"/>
          <w:lang w:val="en-US"/>
        </w:rPr>
        <w:t xml:space="preserve"> </w:t>
      </w:r>
      <w:r w:rsidR="000E1B32" w:rsidRPr="00D40EC5">
        <w:rPr>
          <w:rFonts w:eastAsia="Times New Roman" w:cs="Times New Roman"/>
          <w:sz w:val="24"/>
          <w:szCs w:val="24"/>
          <w:lang w:val="en-US"/>
        </w:rPr>
        <w:t>20</w:t>
      </w:r>
      <w:r w:rsidR="00F53482" w:rsidRPr="00D40EC5">
        <w:rPr>
          <w:rFonts w:eastAsia="Times New Roman" w:cs="Times New Roman"/>
          <w:sz w:val="24"/>
          <w:szCs w:val="24"/>
          <w:lang w:val="en-US"/>
        </w:rPr>
        <w:t>20</w:t>
      </w:r>
      <w:r w:rsidR="00CF5FDE" w:rsidRPr="00D40EC5">
        <w:rPr>
          <w:rFonts w:eastAsia="Times New Roman" w:cs="Times New Roman"/>
          <w:sz w:val="24"/>
          <w:szCs w:val="24"/>
          <w:lang w:val="en-US"/>
        </w:rPr>
        <w:tab/>
      </w:r>
      <w:proofErr w:type="spellStart"/>
      <w:r w:rsidRPr="00EC6574">
        <w:rPr>
          <w:rFonts w:eastAsia="Times New Roman" w:cs="Times New Roman"/>
          <w:sz w:val="24"/>
          <w:szCs w:val="24"/>
          <w:lang w:val="en-US"/>
        </w:rPr>
        <w:t>Nur</w:t>
      </w:r>
      <w:proofErr w:type="spellEnd"/>
      <w:r w:rsidRPr="00EC6574">
        <w:rPr>
          <w:rFonts w:eastAsia="Times New Roman" w:cs="Times New Roman"/>
          <w:sz w:val="24"/>
          <w:szCs w:val="24"/>
          <w:lang w:val="en-US"/>
        </w:rPr>
        <w:t>-Sultan</w:t>
      </w:r>
    </w:p>
    <w:p w14:paraId="1CA87F03" w14:textId="77777777" w:rsidR="000E1B32" w:rsidRPr="00EC6574" w:rsidRDefault="000E1B32" w:rsidP="00256950">
      <w:pPr>
        <w:spacing w:after="0" w:line="264" w:lineRule="auto"/>
        <w:jc w:val="both"/>
        <w:rPr>
          <w:rFonts w:eastAsia="Times New Roman" w:cstheme="minorHAnsi"/>
          <w:sz w:val="24"/>
          <w:szCs w:val="24"/>
          <w:lang w:val="en-US" w:eastAsia="ru-RU"/>
        </w:rPr>
      </w:pPr>
    </w:p>
    <w:p w14:paraId="06E3639D" w14:textId="0A7E1FCE" w:rsidR="00C7732C" w:rsidRPr="00EC6574" w:rsidRDefault="00256950" w:rsidP="00256950">
      <w:pPr>
        <w:spacing w:after="0" w:line="240" w:lineRule="auto"/>
        <w:ind w:firstLine="709"/>
        <w:jc w:val="both"/>
        <w:rPr>
          <w:sz w:val="24"/>
          <w:szCs w:val="24"/>
          <w:lang w:val="en-US"/>
        </w:rPr>
      </w:pPr>
      <w:r w:rsidRPr="00EC6574">
        <w:rPr>
          <w:sz w:val="24"/>
          <w:szCs w:val="24"/>
          <w:lang w:val="en-US"/>
        </w:rPr>
        <w:t xml:space="preserve">The National Bank of Kazakhstan has made a decision to reduce the base rate to the level of </w:t>
      </w:r>
      <w:r w:rsidRPr="00EC6574">
        <w:rPr>
          <w:b/>
          <w:sz w:val="24"/>
          <w:szCs w:val="24"/>
          <w:lang w:val="en-US"/>
        </w:rPr>
        <w:t>9.0%</w:t>
      </w:r>
      <w:r w:rsidRPr="00EC6574">
        <w:rPr>
          <w:sz w:val="24"/>
          <w:szCs w:val="24"/>
          <w:lang w:val="en-US"/>
        </w:rPr>
        <w:t xml:space="preserve"> per annum with the </w:t>
      </w:r>
      <w:r w:rsidR="00EC6574" w:rsidRPr="00EC6574">
        <w:rPr>
          <w:sz w:val="24"/>
          <w:szCs w:val="24"/>
          <w:lang w:val="en-US"/>
        </w:rPr>
        <w:t>narrowing</w:t>
      </w:r>
      <w:r w:rsidRPr="00EC6574">
        <w:rPr>
          <w:sz w:val="24"/>
          <w:szCs w:val="24"/>
          <w:lang w:val="en-US"/>
        </w:rPr>
        <w:t xml:space="preserve"> of the corridor to </w:t>
      </w:r>
      <w:r w:rsidRPr="00EC6574">
        <w:rPr>
          <w:b/>
          <w:sz w:val="24"/>
          <w:szCs w:val="24"/>
          <w:lang w:val="en-US"/>
        </w:rPr>
        <w:t>+/- 1.5</w:t>
      </w:r>
      <w:r w:rsidRPr="00EC6574">
        <w:rPr>
          <w:sz w:val="24"/>
          <w:szCs w:val="24"/>
          <w:lang w:val="en-US"/>
        </w:rPr>
        <w:t xml:space="preserve"> percentage points. Consequently, the rate for the liquidity provision standing facilities is 10.5% and for the liquidity withdrawal standing facilities </w:t>
      </w:r>
      <w:r w:rsidR="00EC6574" w:rsidRPr="00EC6574">
        <w:rPr>
          <w:sz w:val="24"/>
          <w:szCs w:val="24"/>
          <w:lang w:val="en-US"/>
        </w:rPr>
        <w:t>is</w:t>
      </w:r>
      <w:r w:rsidRPr="00EC6574">
        <w:rPr>
          <w:sz w:val="24"/>
          <w:szCs w:val="24"/>
          <w:lang w:val="en-US"/>
        </w:rPr>
        <w:t xml:space="preserve"> 7.5%. </w:t>
      </w:r>
    </w:p>
    <w:p w14:paraId="1BD99024" w14:textId="22D4CA45" w:rsidR="00903DF4" w:rsidRPr="00EC6574" w:rsidRDefault="00EE0A3A" w:rsidP="00256950">
      <w:pPr>
        <w:spacing w:after="0" w:line="240" w:lineRule="auto"/>
        <w:ind w:firstLine="709"/>
        <w:jc w:val="both"/>
        <w:rPr>
          <w:sz w:val="24"/>
          <w:szCs w:val="24"/>
          <w:lang w:val="en-US"/>
        </w:rPr>
      </w:pPr>
      <w:r w:rsidRPr="00EC6574">
        <w:rPr>
          <w:sz w:val="24"/>
          <w:szCs w:val="24"/>
          <w:lang w:val="en-US"/>
        </w:rPr>
        <w:t xml:space="preserve">The decision on </w:t>
      </w:r>
      <w:r w:rsidR="00C06E3D" w:rsidRPr="00EC6574">
        <w:rPr>
          <w:sz w:val="24"/>
          <w:szCs w:val="24"/>
          <w:lang w:val="en-US"/>
        </w:rPr>
        <w:t>reducing</w:t>
      </w:r>
      <w:r w:rsidRPr="00EC6574">
        <w:rPr>
          <w:sz w:val="24"/>
          <w:szCs w:val="24"/>
          <w:lang w:val="en-US"/>
        </w:rPr>
        <w:t xml:space="preserve"> the base rate was made in </w:t>
      </w:r>
      <w:r w:rsidR="00EA7ED0" w:rsidRPr="00EC6574">
        <w:rPr>
          <w:sz w:val="24"/>
          <w:szCs w:val="24"/>
          <w:lang w:val="en-US"/>
        </w:rPr>
        <w:t xml:space="preserve">response to the weakened inflationary risks and stronger </w:t>
      </w:r>
      <w:r w:rsidR="000C70F5" w:rsidRPr="00EC6574">
        <w:rPr>
          <w:sz w:val="24"/>
          <w:szCs w:val="24"/>
          <w:lang w:val="en-US"/>
        </w:rPr>
        <w:t xml:space="preserve">economic contraction in the first half of 2020 than expected in the forecast round of May-June of this year. The measures taken </w:t>
      </w:r>
      <w:r w:rsidR="00EC6574" w:rsidRPr="00EC6574">
        <w:rPr>
          <w:sz w:val="24"/>
          <w:szCs w:val="24"/>
          <w:lang w:val="en-US"/>
        </w:rPr>
        <w:t>on</w:t>
      </w:r>
      <w:r w:rsidR="000C70F5" w:rsidRPr="00EC6574">
        <w:rPr>
          <w:sz w:val="24"/>
          <w:szCs w:val="24"/>
          <w:lang w:val="en-US"/>
        </w:rPr>
        <w:t xml:space="preserve"> tighten</w:t>
      </w:r>
      <w:r w:rsidR="00EC6574" w:rsidRPr="00EC6574">
        <w:rPr>
          <w:sz w:val="24"/>
          <w:szCs w:val="24"/>
          <w:lang w:val="en-US"/>
        </w:rPr>
        <w:t>ing</w:t>
      </w:r>
      <w:r w:rsidR="000C70F5" w:rsidRPr="00EC6574">
        <w:rPr>
          <w:sz w:val="24"/>
          <w:szCs w:val="24"/>
          <w:lang w:val="en-US"/>
        </w:rPr>
        <w:t xml:space="preserve"> quarantine will have an additional disinflationary effect.</w:t>
      </w:r>
    </w:p>
    <w:p w14:paraId="0D8633F3" w14:textId="02BF9D26" w:rsidR="00E37F1F" w:rsidRPr="00EC6574" w:rsidRDefault="000C70F5" w:rsidP="00256950">
      <w:pPr>
        <w:spacing w:after="0" w:line="240" w:lineRule="auto"/>
        <w:ind w:firstLine="709"/>
        <w:jc w:val="both"/>
        <w:rPr>
          <w:sz w:val="24"/>
          <w:szCs w:val="24"/>
          <w:lang w:val="en-US"/>
        </w:rPr>
      </w:pPr>
      <w:r w:rsidRPr="00EC6574">
        <w:rPr>
          <w:sz w:val="24"/>
          <w:szCs w:val="24"/>
          <w:lang w:val="en-US"/>
        </w:rPr>
        <w:t xml:space="preserve">At the same time, core inflation (trimmed mean) and median inflation in June 2020 demonstrate more moderate dynamics </w:t>
      </w:r>
      <w:r w:rsidR="00C06E3D" w:rsidRPr="00EC6574">
        <w:rPr>
          <w:sz w:val="24"/>
          <w:szCs w:val="24"/>
          <w:lang w:val="en-US"/>
        </w:rPr>
        <w:t>–</w:t>
      </w:r>
      <w:r w:rsidRPr="00EC6574">
        <w:rPr>
          <w:sz w:val="24"/>
          <w:szCs w:val="24"/>
          <w:lang w:val="en-US"/>
        </w:rPr>
        <w:t xml:space="preserve"> 6.1% and 4.4%, respectively. Worth noting a gradual acceleration since the beginning of the year (in December 2019 </w:t>
      </w:r>
      <w:r w:rsidR="00C06E3D" w:rsidRPr="00EC6574">
        <w:rPr>
          <w:sz w:val="24"/>
          <w:szCs w:val="24"/>
          <w:lang w:val="en-US"/>
        </w:rPr>
        <w:t>–</w:t>
      </w:r>
      <w:r w:rsidRPr="00EC6574">
        <w:rPr>
          <w:sz w:val="24"/>
          <w:szCs w:val="24"/>
          <w:lang w:val="en-US"/>
        </w:rPr>
        <w:t xml:space="preserve"> 5.2% and 4.3%, respectively), but at nonetheless, core inflation indicators </w:t>
      </w:r>
      <w:r w:rsidR="00C06E3D" w:rsidRPr="00EC6574">
        <w:rPr>
          <w:sz w:val="24"/>
          <w:szCs w:val="24"/>
          <w:lang w:val="en-US"/>
        </w:rPr>
        <w:t xml:space="preserve">have </w:t>
      </w:r>
      <w:r w:rsidRPr="00EC6574">
        <w:rPr>
          <w:sz w:val="24"/>
          <w:szCs w:val="24"/>
          <w:lang w:val="en-US"/>
        </w:rPr>
        <w:t xml:space="preserve">grown slower than </w:t>
      </w:r>
      <w:r w:rsidR="00C06E3D" w:rsidRPr="00EC6574">
        <w:rPr>
          <w:sz w:val="24"/>
          <w:szCs w:val="24"/>
          <w:lang w:val="en-US"/>
        </w:rPr>
        <w:t>overall</w:t>
      </w:r>
      <w:r w:rsidRPr="00EC6574">
        <w:rPr>
          <w:sz w:val="24"/>
          <w:szCs w:val="24"/>
          <w:lang w:val="en-US"/>
        </w:rPr>
        <w:t xml:space="preserve"> inflation, signaling a more moderate growth in the monetary component of inflation.</w:t>
      </w:r>
    </w:p>
    <w:p w14:paraId="742B25C1" w14:textId="750E79FD" w:rsidR="000C70F5" w:rsidRPr="00EC6574" w:rsidRDefault="000C70F5" w:rsidP="00256950">
      <w:pPr>
        <w:spacing w:after="0" w:line="240" w:lineRule="auto"/>
        <w:ind w:firstLine="709"/>
        <w:jc w:val="both"/>
        <w:rPr>
          <w:sz w:val="24"/>
          <w:szCs w:val="24"/>
          <w:lang w:val="en-US"/>
        </w:rPr>
      </w:pPr>
      <w:r w:rsidRPr="00EC6574">
        <w:rPr>
          <w:sz w:val="24"/>
          <w:szCs w:val="24"/>
          <w:lang w:val="en-US"/>
        </w:rPr>
        <w:t xml:space="preserve">The risks of dollarization growth have significantly </w:t>
      </w:r>
      <w:r w:rsidR="00606E4A" w:rsidRPr="00EC6574">
        <w:rPr>
          <w:sz w:val="24"/>
          <w:szCs w:val="24"/>
          <w:lang w:val="en-US"/>
        </w:rPr>
        <w:t>decreased;</w:t>
      </w:r>
      <w:r w:rsidR="007E30BC" w:rsidRPr="00EC6574">
        <w:rPr>
          <w:sz w:val="24"/>
          <w:szCs w:val="24"/>
          <w:lang w:val="en-US"/>
        </w:rPr>
        <w:t xml:space="preserve"> </w:t>
      </w:r>
      <w:r w:rsidR="00606E4A" w:rsidRPr="00EC6574">
        <w:rPr>
          <w:sz w:val="24"/>
          <w:szCs w:val="24"/>
          <w:lang w:val="en-US"/>
        </w:rPr>
        <w:t>it</w:t>
      </w:r>
      <w:r w:rsidRPr="00EC6574">
        <w:rPr>
          <w:sz w:val="24"/>
          <w:szCs w:val="24"/>
          <w:lang w:val="en-US"/>
        </w:rPr>
        <w:t xml:space="preserve"> has expanded the potential for rate cuts. As a result of prompt measures to protect tenge</w:t>
      </w:r>
      <w:r w:rsidR="007E30BC" w:rsidRPr="00EC6574">
        <w:rPr>
          <w:sz w:val="24"/>
          <w:szCs w:val="24"/>
          <w:lang w:val="en-US"/>
        </w:rPr>
        <w:t>-denominated</w:t>
      </w:r>
      <w:r w:rsidRPr="00EC6574">
        <w:rPr>
          <w:sz w:val="24"/>
          <w:szCs w:val="24"/>
          <w:lang w:val="en-US"/>
        </w:rPr>
        <w:t xml:space="preserve"> assets</w:t>
      </w:r>
      <w:r w:rsidR="007E30BC" w:rsidRPr="00EC6574">
        <w:rPr>
          <w:sz w:val="24"/>
          <w:szCs w:val="24"/>
          <w:lang w:val="en-US"/>
        </w:rPr>
        <w:t>,</w:t>
      </w:r>
      <w:r w:rsidRPr="00EC6574">
        <w:rPr>
          <w:sz w:val="24"/>
          <w:szCs w:val="24"/>
          <w:lang w:val="en-US"/>
        </w:rPr>
        <w:t xml:space="preserve"> following the results of 6 months of this year</w:t>
      </w:r>
      <w:r w:rsidR="007E30BC" w:rsidRPr="00EC6574">
        <w:rPr>
          <w:sz w:val="24"/>
          <w:szCs w:val="24"/>
          <w:lang w:val="en-US"/>
        </w:rPr>
        <w:t>,</w:t>
      </w:r>
      <w:r w:rsidRPr="00EC6574">
        <w:rPr>
          <w:sz w:val="24"/>
          <w:szCs w:val="24"/>
          <w:lang w:val="en-US"/>
        </w:rPr>
        <w:t xml:space="preserve"> dollarization of deposits fell from 43.1% to 40.0</w:t>
      </w:r>
      <w:r w:rsidR="00C06E3D" w:rsidRPr="00EC6574">
        <w:rPr>
          <w:sz w:val="24"/>
          <w:szCs w:val="24"/>
          <w:lang w:val="en-US"/>
        </w:rPr>
        <w:t>% according to preliminary data</w:t>
      </w:r>
      <w:r w:rsidRPr="00EC6574">
        <w:rPr>
          <w:sz w:val="24"/>
          <w:szCs w:val="24"/>
          <w:lang w:val="en-US"/>
        </w:rPr>
        <w:t xml:space="preserve">, </w:t>
      </w:r>
      <w:r w:rsidR="00C06E3D" w:rsidRPr="00EC6574">
        <w:rPr>
          <w:sz w:val="24"/>
          <w:szCs w:val="24"/>
          <w:lang w:val="en-US"/>
        </w:rPr>
        <w:t>which</w:t>
      </w:r>
      <w:r w:rsidRPr="00EC6574">
        <w:rPr>
          <w:sz w:val="24"/>
          <w:szCs w:val="24"/>
          <w:lang w:val="en-US"/>
        </w:rPr>
        <w:t xml:space="preserve"> also favors the possibility of lowering the base rate.</w:t>
      </w:r>
    </w:p>
    <w:p w14:paraId="36C3C0FA" w14:textId="77777777" w:rsidR="00903DF4" w:rsidRPr="00EC6574" w:rsidRDefault="007E30BC" w:rsidP="00256950">
      <w:pPr>
        <w:spacing w:after="0" w:line="240" w:lineRule="auto"/>
        <w:ind w:firstLine="709"/>
        <w:jc w:val="both"/>
        <w:rPr>
          <w:sz w:val="24"/>
          <w:szCs w:val="24"/>
          <w:lang w:val="en-US"/>
        </w:rPr>
      </w:pPr>
      <w:r w:rsidRPr="00EC6574">
        <w:rPr>
          <w:sz w:val="24"/>
          <w:szCs w:val="24"/>
          <w:lang w:val="en-US"/>
        </w:rPr>
        <w:t>The narrowing of the corridor is dictated by the stabilization of the situation in the financial markets and the gradual adaptation of the economy to new conditions. This decision will bring money market rates closer to the base rate, will reduce the volatility of money market rates and will help to create more stable expectations among market participants.</w:t>
      </w:r>
      <w:r w:rsidR="00187512" w:rsidRPr="00EC6574">
        <w:rPr>
          <w:sz w:val="24"/>
          <w:szCs w:val="24"/>
          <w:lang w:val="en-US"/>
        </w:rPr>
        <w:t xml:space="preserve"> </w:t>
      </w:r>
    </w:p>
    <w:p w14:paraId="4AA47BB0" w14:textId="61A94B89" w:rsidR="00906CF4" w:rsidRPr="00EC6574" w:rsidRDefault="007E30BC" w:rsidP="00256950">
      <w:pPr>
        <w:spacing w:after="0" w:line="240" w:lineRule="auto"/>
        <w:ind w:firstLine="709"/>
        <w:jc w:val="both"/>
        <w:rPr>
          <w:sz w:val="24"/>
          <w:szCs w:val="24"/>
          <w:lang w:val="en-US"/>
        </w:rPr>
      </w:pPr>
      <w:r w:rsidRPr="00EC6574">
        <w:rPr>
          <w:sz w:val="24"/>
          <w:szCs w:val="24"/>
          <w:lang w:val="en-US"/>
        </w:rPr>
        <w:t>The new level of the base rate will, to a certain extent, compensate for the increased credit risks by reducing the cost of loans. The current decision will mitigate the impact of the consequences of tightening quarantine measures on the economy of Kazakhstan and support the recovery of growth in the economy.</w:t>
      </w:r>
    </w:p>
    <w:p w14:paraId="2A1884CC" w14:textId="763673E2" w:rsidR="00C7732C" w:rsidRPr="00EC6574" w:rsidRDefault="00C7732C" w:rsidP="00C7732C">
      <w:pPr>
        <w:spacing w:after="0" w:line="264" w:lineRule="auto"/>
        <w:ind w:firstLine="851"/>
        <w:jc w:val="both"/>
        <w:rPr>
          <w:sz w:val="24"/>
          <w:szCs w:val="24"/>
          <w:lang w:val="en-US"/>
        </w:rPr>
      </w:pPr>
      <w:r w:rsidRPr="00EC6574">
        <w:rPr>
          <w:b/>
          <w:sz w:val="24"/>
          <w:szCs w:val="24"/>
          <w:lang w:val="en-US"/>
        </w:rPr>
        <w:t>The annual inflation gets formed in accordance with the estimates.</w:t>
      </w:r>
      <w:r w:rsidRPr="00EC6574">
        <w:rPr>
          <w:sz w:val="24"/>
          <w:szCs w:val="24"/>
          <w:lang w:val="en-US"/>
        </w:rPr>
        <w:t xml:space="preserve"> In June, 2020 it amounted to </w:t>
      </w:r>
      <w:r w:rsidRPr="00EC6574">
        <w:rPr>
          <w:b/>
          <w:sz w:val="24"/>
          <w:szCs w:val="24"/>
          <w:lang w:val="en-US"/>
        </w:rPr>
        <w:t>7.0%</w:t>
      </w:r>
      <w:r w:rsidRPr="00EC6574">
        <w:rPr>
          <w:sz w:val="24"/>
          <w:szCs w:val="24"/>
          <w:lang w:val="en-US"/>
        </w:rPr>
        <w:t xml:space="preserve">. The main contribution to the inflation was made by the increased prices of the food goods, which was </w:t>
      </w:r>
      <w:r w:rsidRPr="00EC6574">
        <w:rPr>
          <w:b/>
          <w:sz w:val="24"/>
          <w:szCs w:val="24"/>
          <w:lang w:val="en-US"/>
        </w:rPr>
        <w:t>11.1%</w:t>
      </w:r>
      <w:r w:rsidRPr="00EC6574">
        <w:rPr>
          <w:sz w:val="24"/>
          <w:szCs w:val="24"/>
          <w:lang w:val="en-US"/>
        </w:rPr>
        <w:t xml:space="preserve"> in the annual term. However, the monthly food inflation has slowed from 1.9% to 0.5% in June of the current year. The highest annual growth as of June is observed in fruits (23.0%), pasta products (15.3%), meat and meat products (14.0%), bakery products and cereal (13.5%), fish and seafood products (11.7%). </w:t>
      </w:r>
    </w:p>
    <w:p w14:paraId="5D1219A1" w14:textId="14D5B614" w:rsidR="006275BF" w:rsidRPr="00EC6574" w:rsidRDefault="007E30BC" w:rsidP="00256950">
      <w:pPr>
        <w:spacing w:after="0" w:line="240" w:lineRule="auto"/>
        <w:ind w:firstLine="709"/>
        <w:jc w:val="both"/>
        <w:rPr>
          <w:sz w:val="24"/>
          <w:szCs w:val="24"/>
          <w:lang w:val="en-US"/>
        </w:rPr>
      </w:pPr>
      <w:r w:rsidRPr="00EC6574">
        <w:rPr>
          <w:sz w:val="24"/>
          <w:szCs w:val="24"/>
          <w:lang w:val="en-US"/>
        </w:rPr>
        <w:t xml:space="preserve">The growth in prices for other components of inflation remains moderate. </w:t>
      </w:r>
      <w:r w:rsidR="006275BF" w:rsidRPr="00EC6574">
        <w:rPr>
          <w:sz w:val="24"/>
          <w:szCs w:val="24"/>
          <w:lang w:val="en-US"/>
        </w:rPr>
        <w:t xml:space="preserve">Nonfood inflation gets formed on the level below the forecasted estimates and amounted to </w:t>
      </w:r>
      <w:r w:rsidR="006275BF" w:rsidRPr="00EC6574">
        <w:rPr>
          <w:b/>
          <w:sz w:val="24"/>
          <w:szCs w:val="24"/>
          <w:lang w:val="en-US"/>
        </w:rPr>
        <w:t>5.4%.</w:t>
      </w:r>
      <w:r w:rsidR="006275BF" w:rsidRPr="00EC6574">
        <w:rPr>
          <w:sz w:val="24"/>
          <w:szCs w:val="24"/>
          <w:lang w:val="en-US"/>
        </w:rPr>
        <w:t xml:space="preserve"> The monthly dynamics of the price increase is stable and doesn’t exceed 0.5%. The restrictive impact on the nonfood inflation will be made by the suppressed consumer demand under the conditions of the </w:t>
      </w:r>
      <w:r w:rsidR="006275BF" w:rsidRPr="00EC6574">
        <w:rPr>
          <w:sz w:val="24"/>
          <w:szCs w:val="24"/>
          <w:lang w:val="en-US"/>
        </w:rPr>
        <w:lastRenderedPageBreak/>
        <w:t xml:space="preserve">quarantine measures and the decrease of the households’ purchasing power due to the fall of the real cash income. Inflation of paid services amounted to </w:t>
      </w:r>
      <w:r w:rsidR="006275BF" w:rsidRPr="00EC6574">
        <w:rPr>
          <w:b/>
          <w:sz w:val="24"/>
          <w:szCs w:val="24"/>
          <w:lang w:val="en-US"/>
        </w:rPr>
        <w:t>3.0%</w:t>
      </w:r>
      <w:r w:rsidR="006275BF" w:rsidRPr="00EC6574">
        <w:rPr>
          <w:sz w:val="24"/>
          <w:szCs w:val="24"/>
          <w:lang w:val="en-US"/>
        </w:rPr>
        <w:t xml:space="preserve"> in the annual terms in June</w:t>
      </w:r>
      <w:r w:rsidR="00895DB3" w:rsidRPr="00EC6574">
        <w:rPr>
          <w:sz w:val="24"/>
          <w:szCs w:val="24"/>
          <w:lang w:val="en-US"/>
        </w:rPr>
        <w:t>.</w:t>
      </w:r>
    </w:p>
    <w:p w14:paraId="6D1FED7C" w14:textId="000BDDC9" w:rsidR="0089583A" w:rsidRPr="00EC6574" w:rsidRDefault="0089583A" w:rsidP="00256950">
      <w:pPr>
        <w:spacing w:after="0" w:line="240" w:lineRule="auto"/>
        <w:ind w:firstLine="709"/>
        <w:jc w:val="both"/>
        <w:rPr>
          <w:sz w:val="24"/>
          <w:szCs w:val="24"/>
          <w:lang w:val="en-US"/>
        </w:rPr>
      </w:pPr>
      <w:r w:rsidRPr="00EC6574">
        <w:rPr>
          <w:b/>
          <w:sz w:val="24"/>
          <w:szCs w:val="24"/>
          <w:lang w:val="en-US"/>
        </w:rPr>
        <w:t>Inflationary expectations remain relatively stable</w:t>
      </w:r>
      <w:r w:rsidRPr="00EC6574">
        <w:rPr>
          <w:sz w:val="24"/>
          <w:szCs w:val="24"/>
          <w:lang w:val="en-US"/>
        </w:rPr>
        <w:t xml:space="preserve">. In June 2020, the quantitative estimate of inflation for the year ahead </w:t>
      </w:r>
      <w:r w:rsidRPr="00EC6574">
        <w:rPr>
          <w:b/>
          <w:sz w:val="24"/>
          <w:szCs w:val="24"/>
          <w:lang w:val="en-US"/>
        </w:rPr>
        <w:t xml:space="preserve">was 5.4%. </w:t>
      </w:r>
      <w:r w:rsidRPr="00EC6574">
        <w:rPr>
          <w:sz w:val="24"/>
          <w:szCs w:val="24"/>
          <w:lang w:val="en-US"/>
        </w:rPr>
        <w:t xml:space="preserve">The share of respondents expecting continued or accelerated price growth over the next 12 months dropped to 43% (in May </w:t>
      </w:r>
      <w:r w:rsidR="00C9223E" w:rsidRPr="00EC6574">
        <w:rPr>
          <w:sz w:val="24"/>
          <w:szCs w:val="24"/>
          <w:lang w:val="en-US"/>
        </w:rPr>
        <w:t>–</w:t>
      </w:r>
      <w:r w:rsidRPr="00EC6574">
        <w:rPr>
          <w:sz w:val="24"/>
          <w:szCs w:val="24"/>
          <w:lang w:val="en-US"/>
        </w:rPr>
        <w:t xml:space="preserve"> 54%).</w:t>
      </w:r>
    </w:p>
    <w:p w14:paraId="7CE69AFD" w14:textId="7427990A" w:rsidR="0089583A" w:rsidRPr="00EC6574" w:rsidRDefault="0089583A" w:rsidP="00256950">
      <w:pPr>
        <w:spacing w:after="0" w:line="240" w:lineRule="auto"/>
        <w:ind w:firstLine="709"/>
        <w:jc w:val="both"/>
        <w:rPr>
          <w:sz w:val="24"/>
          <w:szCs w:val="24"/>
          <w:lang w:val="en-US"/>
        </w:rPr>
      </w:pPr>
      <w:r w:rsidRPr="00EC6574">
        <w:rPr>
          <w:sz w:val="24"/>
          <w:szCs w:val="24"/>
          <w:lang w:val="en-US"/>
        </w:rPr>
        <w:t xml:space="preserve">In general, the actual dynamics of annual inflation at the end of June 2020 is in line with the forecast estimates. In the </w:t>
      </w:r>
      <w:r w:rsidR="006275BF" w:rsidRPr="00EC6574">
        <w:rPr>
          <w:sz w:val="24"/>
          <w:szCs w:val="24"/>
          <w:lang w:val="en-US"/>
        </w:rPr>
        <w:t>following</w:t>
      </w:r>
      <w:r w:rsidRPr="00EC6574">
        <w:rPr>
          <w:sz w:val="24"/>
          <w:szCs w:val="24"/>
          <w:lang w:val="en-US"/>
        </w:rPr>
        <w:t xml:space="preserve"> months, further acceleration of annual inflation is expected within the forecast path </w:t>
      </w:r>
      <w:r w:rsidRPr="00EC6574">
        <w:rPr>
          <w:b/>
          <w:sz w:val="24"/>
          <w:szCs w:val="24"/>
          <w:lang w:val="en-US"/>
        </w:rPr>
        <w:t>of 8-8.5%</w:t>
      </w:r>
      <w:r w:rsidRPr="00EC6574">
        <w:rPr>
          <w:sz w:val="24"/>
          <w:szCs w:val="24"/>
          <w:lang w:val="en-US"/>
        </w:rPr>
        <w:t xml:space="preserve"> at the end of 2020.</w:t>
      </w:r>
    </w:p>
    <w:p w14:paraId="03F40714" w14:textId="244E01CB" w:rsidR="0089583A" w:rsidRPr="00EC6574" w:rsidRDefault="0089583A" w:rsidP="00256950">
      <w:pPr>
        <w:spacing w:after="0" w:line="240" w:lineRule="auto"/>
        <w:ind w:firstLine="709"/>
        <w:jc w:val="both"/>
        <w:rPr>
          <w:sz w:val="24"/>
          <w:szCs w:val="24"/>
          <w:lang w:val="en-US"/>
        </w:rPr>
      </w:pPr>
      <w:r w:rsidRPr="00EC6574">
        <w:rPr>
          <w:sz w:val="24"/>
          <w:szCs w:val="24"/>
          <w:lang w:val="en-US"/>
        </w:rPr>
        <w:t>The increased disinflationary effect from measures to tighten quarantine, as well as a more significant decline in GDP in the 1st half of this year compared to forecasts, will ensure a gradual slowdown in inflation towards the upper limit of the target band of</w:t>
      </w:r>
      <w:r w:rsidRPr="00EC6574">
        <w:rPr>
          <w:b/>
          <w:sz w:val="24"/>
          <w:szCs w:val="24"/>
          <w:lang w:val="en-US"/>
        </w:rPr>
        <w:t xml:space="preserve"> 4-6%</w:t>
      </w:r>
      <w:r w:rsidRPr="00EC6574">
        <w:rPr>
          <w:sz w:val="24"/>
          <w:szCs w:val="24"/>
          <w:lang w:val="en-US"/>
        </w:rPr>
        <w:t xml:space="preserve"> in 2021.</w:t>
      </w:r>
    </w:p>
    <w:p w14:paraId="63E0E39D" w14:textId="11DF9AA5" w:rsidR="0089583A" w:rsidRPr="00EC6574" w:rsidRDefault="0089583A" w:rsidP="00256950">
      <w:pPr>
        <w:spacing w:after="0" w:line="240" w:lineRule="auto"/>
        <w:ind w:firstLine="709"/>
        <w:jc w:val="both"/>
        <w:rPr>
          <w:sz w:val="24"/>
          <w:szCs w:val="24"/>
          <w:lang w:val="en-US"/>
        </w:rPr>
      </w:pPr>
      <w:r w:rsidRPr="00EC6574">
        <w:rPr>
          <w:sz w:val="24"/>
          <w:szCs w:val="24"/>
          <w:lang w:val="en-US"/>
        </w:rPr>
        <w:t xml:space="preserve">The main risks to inflation growth in the current year are the impact of the fiscal and quasi-fiscal impulse on inflationary processes, the decrease in supply caused by the disruption of supply chains under quarantine conditions and an increase in import prices against the background of the </w:t>
      </w:r>
      <w:r w:rsidR="006275BF" w:rsidRPr="00EC6574">
        <w:rPr>
          <w:sz w:val="24"/>
          <w:szCs w:val="24"/>
          <w:lang w:val="en-US"/>
        </w:rPr>
        <w:t>depreciation of tenge</w:t>
      </w:r>
      <w:r w:rsidRPr="00EC6574">
        <w:rPr>
          <w:sz w:val="24"/>
          <w:szCs w:val="24"/>
          <w:lang w:val="en-US"/>
        </w:rPr>
        <w:t>.</w:t>
      </w:r>
    </w:p>
    <w:p w14:paraId="4588D88C" w14:textId="6B154378" w:rsidR="0089583A" w:rsidRPr="00EC6574" w:rsidRDefault="0089583A" w:rsidP="00256950">
      <w:pPr>
        <w:spacing w:after="0" w:line="240" w:lineRule="auto"/>
        <w:ind w:firstLine="709"/>
        <w:jc w:val="both"/>
        <w:rPr>
          <w:sz w:val="24"/>
          <w:szCs w:val="24"/>
          <w:lang w:val="en-US"/>
        </w:rPr>
      </w:pPr>
      <w:r w:rsidRPr="00EC6574">
        <w:rPr>
          <w:b/>
          <w:sz w:val="24"/>
          <w:szCs w:val="24"/>
          <w:lang w:val="en-US"/>
        </w:rPr>
        <w:t>At the end of the first half of 2020, Kazakhstan's GDP decreased by 1.8% in annual terms, while the forecast was -1.5%.</w:t>
      </w:r>
      <w:r w:rsidRPr="00EC6574">
        <w:rPr>
          <w:sz w:val="24"/>
          <w:szCs w:val="24"/>
          <w:lang w:val="en-US"/>
        </w:rPr>
        <w:t xml:space="preserve"> This is due to the downturn in the service</w:t>
      </w:r>
      <w:r w:rsidR="00C9223E" w:rsidRPr="00EC6574">
        <w:rPr>
          <w:sz w:val="24"/>
          <w:szCs w:val="24"/>
          <w:lang w:val="en-US"/>
        </w:rPr>
        <w:t>s</w:t>
      </w:r>
      <w:r w:rsidRPr="00EC6574">
        <w:rPr>
          <w:sz w:val="24"/>
          <w:szCs w:val="24"/>
          <w:lang w:val="en-US"/>
        </w:rPr>
        <w:t xml:space="preserve"> sector, </w:t>
      </w:r>
      <w:r w:rsidR="00B6315E" w:rsidRPr="00EC6574">
        <w:rPr>
          <w:sz w:val="24"/>
          <w:szCs w:val="24"/>
          <w:lang w:val="en-US"/>
        </w:rPr>
        <w:t>in spite of the easing the quarantine measures</w:t>
      </w:r>
      <w:r w:rsidRPr="00EC6574">
        <w:rPr>
          <w:sz w:val="24"/>
          <w:szCs w:val="24"/>
          <w:lang w:val="en-US"/>
        </w:rPr>
        <w:t xml:space="preserve"> and the opening of trade and catering facilities from mid-May 2020. </w:t>
      </w:r>
      <w:r w:rsidR="00B6315E" w:rsidRPr="00EC6574">
        <w:rPr>
          <w:sz w:val="24"/>
          <w:szCs w:val="24"/>
          <w:lang w:val="en-US"/>
        </w:rPr>
        <w:t>The positive contribution to the GDP dynamics was made by the information and communication (9.0%), health, education and public administration industries. The production growth of the mining (2.2%) and manufacturing (4.8%) is being observed.</w:t>
      </w:r>
      <w:r w:rsidRPr="00EC6574">
        <w:rPr>
          <w:sz w:val="24"/>
          <w:szCs w:val="24"/>
          <w:lang w:val="en-US"/>
        </w:rPr>
        <w:t xml:space="preserve"> Economic activity is also supported by the expansion of construction work (by 11.2%) and an increase in gross agricultural output (by 2.4%).</w:t>
      </w:r>
    </w:p>
    <w:p w14:paraId="2DE85CE2" w14:textId="17DF0530" w:rsidR="0089583A" w:rsidRPr="00EC6574" w:rsidRDefault="0089583A" w:rsidP="00256950">
      <w:pPr>
        <w:spacing w:after="0" w:line="240" w:lineRule="auto"/>
        <w:ind w:firstLine="709"/>
        <w:jc w:val="both"/>
        <w:rPr>
          <w:sz w:val="24"/>
          <w:szCs w:val="24"/>
          <w:lang w:val="en-US"/>
        </w:rPr>
      </w:pPr>
      <w:r w:rsidRPr="00EC6574">
        <w:rPr>
          <w:sz w:val="24"/>
          <w:szCs w:val="24"/>
          <w:lang w:val="en-US"/>
        </w:rPr>
        <w:t>The business activity index, calculated by the National Bank based on surveys of enterprises, is in the negative zone, but after falling to historic lows in April of this year (</w:t>
      </w:r>
      <w:r w:rsidRPr="00EC6574">
        <w:rPr>
          <w:b/>
          <w:sz w:val="24"/>
          <w:szCs w:val="24"/>
          <w:lang w:val="en-US"/>
        </w:rPr>
        <w:t>37.2</w:t>
      </w:r>
      <w:r w:rsidRPr="00EC6574">
        <w:rPr>
          <w:sz w:val="24"/>
          <w:szCs w:val="24"/>
          <w:lang w:val="en-US"/>
        </w:rPr>
        <w:t xml:space="preserve">) it has increased in June of this year to </w:t>
      </w:r>
      <w:r w:rsidRPr="00EC6574">
        <w:rPr>
          <w:b/>
          <w:sz w:val="24"/>
          <w:szCs w:val="24"/>
          <w:lang w:val="en-US"/>
        </w:rPr>
        <w:t>46.8</w:t>
      </w:r>
      <w:r w:rsidRPr="00EC6574">
        <w:rPr>
          <w:sz w:val="24"/>
          <w:szCs w:val="24"/>
          <w:lang w:val="en-US"/>
        </w:rPr>
        <w:t>. In the context of industries, the slowdown is mostly observed in the service</w:t>
      </w:r>
      <w:r w:rsidR="0099145B" w:rsidRPr="00EC6574">
        <w:rPr>
          <w:sz w:val="24"/>
          <w:szCs w:val="24"/>
          <w:lang w:val="en-US"/>
        </w:rPr>
        <w:t>s</w:t>
      </w:r>
      <w:r w:rsidRPr="00EC6574">
        <w:rPr>
          <w:sz w:val="24"/>
          <w:szCs w:val="24"/>
          <w:lang w:val="en-US"/>
        </w:rPr>
        <w:t xml:space="preserve"> and industrial sectors.</w:t>
      </w:r>
    </w:p>
    <w:p w14:paraId="464024C4" w14:textId="63647253" w:rsidR="0089583A" w:rsidRPr="00EC6574" w:rsidRDefault="0089583A" w:rsidP="00256950">
      <w:pPr>
        <w:spacing w:after="0" w:line="240" w:lineRule="auto"/>
        <w:ind w:firstLine="709"/>
        <w:jc w:val="both"/>
        <w:rPr>
          <w:sz w:val="24"/>
          <w:szCs w:val="24"/>
          <w:lang w:val="en-US"/>
        </w:rPr>
      </w:pPr>
      <w:r w:rsidRPr="00EC6574">
        <w:rPr>
          <w:b/>
          <w:sz w:val="24"/>
          <w:szCs w:val="24"/>
          <w:lang w:val="en-US"/>
        </w:rPr>
        <w:t>The decline in consumer and investment activity puts pressure on aggregate demand.</w:t>
      </w:r>
      <w:r w:rsidRPr="00EC6574">
        <w:rPr>
          <w:sz w:val="24"/>
          <w:szCs w:val="24"/>
          <w:lang w:val="en-US"/>
        </w:rPr>
        <w:t xml:space="preserve"> The introduced quarantine measures had a negative impact on the income of the population, affecting the decrease in consumer activity. The main factor was the slowdown in the growth of real wages of employees. In addition, the closure and suspension of activities of certain industries led to a </w:t>
      </w:r>
      <w:r w:rsidR="00B6315E" w:rsidRPr="00EC6574">
        <w:rPr>
          <w:sz w:val="24"/>
          <w:szCs w:val="24"/>
          <w:lang w:val="en-US"/>
        </w:rPr>
        <w:t>deterioration in the situation i</w:t>
      </w:r>
      <w:r w:rsidRPr="00EC6574">
        <w:rPr>
          <w:sz w:val="24"/>
          <w:szCs w:val="24"/>
          <w:lang w:val="en-US"/>
        </w:rPr>
        <w:t>n the labor market.</w:t>
      </w:r>
    </w:p>
    <w:p w14:paraId="25CF44CD" w14:textId="51525027" w:rsidR="0089583A" w:rsidRPr="00EC6574" w:rsidRDefault="0089583A" w:rsidP="00256950">
      <w:pPr>
        <w:spacing w:after="0" w:line="240" w:lineRule="auto"/>
        <w:ind w:firstLine="709"/>
        <w:jc w:val="both"/>
        <w:rPr>
          <w:sz w:val="24"/>
          <w:szCs w:val="24"/>
          <w:lang w:val="en-US"/>
        </w:rPr>
      </w:pPr>
      <w:r w:rsidRPr="00EC6574">
        <w:rPr>
          <w:b/>
          <w:sz w:val="24"/>
          <w:szCs w:val="24"/>
          <w:lang w:val="en-US"/>
        </w:rPr>
        <w:t>Fixed capital investment is declining</w:t>
      </w:r>
      <w:r w:rsidRPr="00EC6574">
        <w:rPr>
          <w:sz w:val="24"/>
          <w:szCs w:val="24"/>
          <w:lang w:val="en-US"/>
        </w:rPr>
        <w:t xml:space="preserve">, including reflecting suppressed domestic demand due to declining real incomes of the population. The volume of investments in fixed assets according to the results of the first half of this year decreased </w:t>
      </w:r>
      <w:r w:rsidRPr="00EC6574">
        <w:rPr>
          <w:b/>
          <w:sz w:val="24"/>
          <w:szCs w:val="24"/>
          <w:lang w:val="en-US"/>
        </w:rPr>
        <w:t>by 2.9%</w:t>
      </w:r>
      <w:r w:rsidRPr="00EC6574">
        <w:rPr>
          <w:sz w:val="24"/>
          <w:szCs w:val="24"/>
          <w:lang w:val="en-US"/>
        </w:rPr>
        <w:t xml:space="preserve"> in annual terms. The main impact on the dynamics of investment activity was due to the decline in investment in the mining industry by 11.6% (January-June 2020 to January-June 2019), due to the suspension of construction work at the </w:t>
      </w:r>
      <w:proofErr w:type="spellStart"/>
      <w:r w:rsidRPr="00EC6574">
        <w:rPr>
          <w:sz w:val="24"/>
          <w:szCs w:val="24"/>
          <w:lang w:val="en-US"/>
        </w:rPr>
        <w:t>Tengiz</w:t>
      </w:r>
      <w:proofErr w:type="spellEnd"/>
      <w:r w:rsidRPr="00EC6574">
        <w:rPr>
          <w:sz w:val="24"/>
          <w:szCs w:val="24"/>
          <w:lang w:val="en-US"/>
        </w:rPr>
        <w:t xml:space="preserve"> </w:t>
      </w:r>
      <w:r w:rsidR="00AB794E" w:rsidRPr="00EC6574">
        <w:rPr>
          <w:sz w:val="24"/>
          <w:szCs w:val="24"/>
          <w:lang w:val="en-US"/>
        </w:rPr>
        <w:t xml:space="preserve">oil </w:t>
      </w:r>
      <w:r w:rsidRPr="00EC6574">
        <w:rPr>
          <w:sz w:val="24"/>
          <w:szCs w:val="24"/>
          <w:lang w:val="en-US"/>
        </w:rPr>
        <w:t xml:space="preserve">field. </w:t>
      </w:r>
    </w:p>
    <w:p w14:paraId="5FA7988B" w14:textId="277A30B9" w:rsidR="0089583A" w:rsidRPr="00EC6574" w:rsidRDefault="0089583A" w:rsidP="00256950">
      <w:pPr>
        <w:spacing w:after="0" w:line="240" w:lineRule="auto"/>
        <w:ind w:firstLine="709"/>
        <w:jc w:val="both"/>
        <w:rPr>
          <w:sz w:val="24"/>
          <w:szCs w:val="24"/>
          <w:lang w:val="en-US"/>
        </w:rPr>
      </w:pPr>
      <w:r w:rsidRPr="00EC6574">
        <w:rPr>
          <w:sz w:val="24"/>
          <w:szCs w:val="24"/>
          <w:lang w:val="en-US"/>
        </w:rPr>
        <w:t xml:space="preserve">Aggregate demand is supported by an increase in government spending on social security and social assistance. The expenditures of the republican budget in this area in January-June 2020 increased </w:t>
      </w:r>
      <w:r w:rsidRPr="00EC6574">
        <w:rPr>
          <w:b/>
          <w:sz w:val="24"/>
          <w:szCs w:val="24"/>
          <w:lang w:val="en-US"/>
        </w:rPr>
        <w:t>by 19.9%.</w:t>
      </w:r>
      <w:r w:rsidRPr="00EC6574">
        <w:rPr>
          <w:sz w:val="24"/>
          <w:szCs w:val="24"/>
          <w:lang w:val="en-US"/>
        </w:rPr>
        <w:tab/>
      </w:r>
    </w:p>
    <w:p w14:paraId="2452AAE0" w14:textId="38B84FC4" w:rsidR="0089583A" w:rsidRPr="00EC6574" w:rsidRDefault="0089583A" w:rsidP="00256950">
      <w:pPr>
        <w:spacing w:after="0" w:line="240" w:lineRule="auto"/>
        <w:ind w:firstLine="709"/>
        <w:jc w:val="both"/>
        <w:rPr>
          <w:sz w:val="24"/>
          <w:szCs w:val="24"/>
          <w:lang w:val="en-US"/>
        </w:rPr>
      </w:pPr>
      <w:r w:rsidRPr="00EC6574">
        <w:rPr>
          <w:b/>
          <w:sz w:val="24"/>
          <w:szCs w:val="24"/>
          <w:lang w:val="en-US"/>
        </w:rPr>
        <w:t>The situation in the external sector remains uncertain</w:t>
      </w:r>
      <w:r w:rsidRPr="00EC6574">
        <w:rPr>
          <w:sz w:val="24"/>
          <w:szCs w:val="24"/>
          <w:lang w:val="en-US"/>
        </w:rPr>
        <w:t>. In June 2020, as a result of the partial lifting of quarantine restrictions, an improvement was noted in the global industry and service</w:t>
      </w:r>
      <w:r w:rsidR="0099145B" w:rsidRPr="00EC6574">
        <w:rPr>
          <w:sz w:val="24"/>
          <w:szCs w:val="24"/>
          <w:lang w:val="en-US"/>
        </w:rPr>
        <w:t>s</w:t>
      </w:r>
      <w:r w:rsidRPr="00EC6574">
        <w:rPr>
          <w:sz w:val="24"/>
          <w:szCs w:val="24"/>
          <w:lang w:val="en-US"/>
        </w:rPr>
        <w:t xml:space="preserve"> sector. However, the risks of a re-outbreak of the COVID-19 pandemic remain high, adding to the uncertainty of the continued recovery of business activity in the global economy in the </w:t>
      </w:r>
      <w:r w:rsidR="00F71058" w:rsidRPr="00EC6574">
        <w:rPr>
          <w:sz w:val="24"/>
          <w:szCs w:val="24"/>
          <w:lang w:val="en-US"/>
        </w:rPr>
        <w:t>following months</w:t>
      </w:r>
      <w:r w:rsidRPr="00EC6574">
        <w:rPr>
          <w:sz w:val="24"/>
          <w:szCs w:val="24"/>
          <w:lang w:val="en-US"/>
        </w:rPr>
        <w:t xml:space="preserve">. Weak external demand and a lack of stimulus measures could limit the expected growth of the global economy, despite the recovery of the Chinese economy. On the further prospects for the development of the world economy also lie a social unrest in the world, a possible deterioration in economic relations between the United States and China, low inflation persisting </w:t>
      </w:r>
      <w:r w:rsidRPr="00EC6574">
        <w:rPr>
          <w:sz w:val="24"/>
          <w:szCs w:val="24"/>
          <w:lang w:val="en-US"/>
        </w:rPr>
        <w:lastRenderedPageBreak/>
        <w:t xml:space="preserve">for a long time in developed countries, high unemployment and an increase in debt in some countries. </w:t>
      </w:r>
    </w:p>
    <w:p w14:paraId="411425CC" w14:textId="592643B3" w:rsidR="0089583A" w:rsidRPr="00EC6574" w:rsidRDefault="0089583A" w:rsidP="00256950">
      <w:pPr>
        <w:spacing w:after="0" w:line="240" w:lineRule="auto"/>
        <w:ind w:firstLine="709"/>
        <w:jc w:val="both"/>
        <w:rPr>
          <w:sz w:val="24"/>
          <w:szCs w:val="24"/>
          <w:lang w:val="en-US"/>
        </w:rPr>
      </w:pPr>
      <w:r w:rsidRPr="00EC6574">
        <w:rPr>
          <w:b/>
          <w:sz w:val="24"/>
          <w:szCs w:val="24"/>
          <w:lang w:val="en-US"/>
        </w:rPr>
        <w:t>The estimates for the gro</w:t>
      </w:r>
      <w:r w:rsidR="00606E4A" w:rsidRPr="00EC6574">
        <w:rPr>
          <w:b/>
          <w:sz w:val="24"/>
          <w:szCs w:val="24"/>
          <w:lang w:val="en-US"/>
        </w:rPr>
        <w:t>wth prospects of the</w:t>
      </w:r>
      <w:r w:rsidRPr="00EC6574">
        <w:rPr>
          <w:b/>
          <w:sz w:val="24"/>
          <w:szCs w:val="24"/>
          <w:lang w:val="en-US"/>
        </w:rPr>
        <w:t xml:space="preserve"> trading partners of Kazakhstan in 2020 are revised downward.</w:t>
      </w:r>
      <w:r w:rsidRPr="00EC6574">
        <w:rPr>
          <w:sz w:val="24"/>
          <w:szCs w:val="24"/>
          <w:lang w:val="en-US"/>
        </w:rPr>
        <w:t xml:space="preserve"> According to Consensus Economics' expectations, the Russian economy in 2020 will contract </w:t>
      </w:r>
      <w:r w:rsidRPr="00EC6574">
        <w:rPr>
          <w:b/>
          <w:sz w:val="24"/>
          <w:szCs w:val="24"/>
          <w:lang w:val="en-US"/>
        </w:rPr>
        <w:t>by 5.2%</w:t>
      </w:r>
      <w:r w:rsidRPr="00EC6574">
        <w:rPr>
          <w:sz w:val="24"/>
          <w:szCs w:val="24"/>
          <w:lang w:val="en-US"/>
        </w:rPr>
        <w:t xml:space="preserve">. Due to the deterioration of the situation with consumer demand amid the coronavirus pandemic, the forecast for the growth of the EU economy for this year has been reduced </w:t>
      </w:r>
      <w:r w:rsidRPr="00EC6574">
        <w:rPr>
          <w:b/>
          <w:sz w:val="24"/>
          <w:szCs w:val="24"/>
          <w:lang w:val="en-US"/>
        </w:rPr>
        <w:t>to 8.4%</w:t>
      </w:r>
      <w:r w:rsidRPr="00EC6574">
        <w:rPr>
          <w:sz w:val="24"/>
          <w:szCs w:val="24"/>
          <w:lang w:val="en-US"/>
        </w:rPr>
        <w:t xml:space="preserve">. Forecasts for China's economy for 2020 are unchanged. China's GDP growth in 2020 will be </w:t>
      </w:r>
      <w:r w:rsidRPr="00EC6574">
        <w:rPr>
          <w:b/>
          <w:sz w:val="24"/>
          <w:szCs w:val="24"/>
          <w:lang w:val="en-US"/>
        </w:rPr>
        <w:t>1.4%</w:t>
      </w:r>
      <w:r w:rsidRPr="00EC6574">
        <w:rPr>
          <w:sz w:val="24"/>
          <w:szCs w:val="24"/>
          <w:lang w:val="en-US"/>
        </w:rPr>
        <w:t>. In this regard, it is necessary to revise the forecasts of the main macroeconomic indicators.</w:t>
      </w:r>
    </w:p>
    <w:p w14:paraId="3CFADE86" w14:textId="5C8DE579" w:rsidR="0089583A" w:rsidRPr="00EC6574" w:rsidRDefault="00F71058" w:rsidP="00256950">
      <w:pPr>
        <w:spacing w:after="0" w:line="240" w:lineRule="auto"/>
        <w:ind w:firstLine="709"/>
        <w:jc w:val="both"/>
        <w:rPr>
          <w:sz w:val="24"/>
          <w:szCs w:val="24"/>
          <w:lang w:val="en-US"/>
        </w:rPr>
      </w:pPr>
      <w:r w:rsidRPr="00EC6574">
        <w:rPr>
          <w:b/>
          <w:sz w:val="24"/>
          <w:szCs w:val="24"/>
          <w:lang w:val="en-US"/>
        </w:rPr>
        <w:t>The current situation i</w:t>
      </w:r>
      <w:r w:rsidR="0089583A" w:rsidRPr="00EC6574">
        <w:rPr>
          <w:b/>
          <w:sz w:val="24"/>
          <w:szCs w:val="24"/>
          <w:lang w:val="en-US"/>
        </w:rPr>
        <w:t>n the worl</w:t>
      </w:r>
      <w:r w:rsidR="00903DF4" w:rsidRPr="00EC6574">
        <w:rPr>
          <w:b/>
          <w:sz w:val="24"/>
          <w:szCs w:val="24"/>
          <w:lang w:val="en-US"/>
        </w:rPr>
        <w:t>d oil market is</w:t>
      </w:r>
      <w:r w:rsidR="0089583A" w:rsidRPr="00EC6574">
        <w:rPr>
          <w:b/>
          <w:sz w:val="24"/>
          <w:szCs w:val="24"/>
          <w:lang w:val="en-US"/>
        </w:rPr>
        <w:t xml:space="preserve"> relatively positive</w:t>
      </w:r>
      <w:r w:rsidR="0089583A" w:rsidRPr="00EC6574">
        <w:rPr>
          <w:sz w:val="24"/>
          <w:szCs w:val="24"/>
          <w:lang w:val="en-US"/>
        </w:rPr>
        <w:t>. The relaxation of quarantine measures in many countries is stimulating a recovery in demand and positively affecting the price of oil. After the lockdown was lifted in the world, and, accordingly, the restart of the industrial sector, oil consumption increased significantly. According to the EIA, in June 2020, in comparison with the previous month, world oil demand increased</w:t>
      </w:r>
      <w:r w:rsidR="0089583A" w:rsidRPr="00EC6574">
        <w:rPr>
          <w:b/>
          <w:sz w:val="24"/>
          <w:szCs w:val="24"/>
          <w:lang w:val="en-US"/>
        </w:rPr>
        <w:t xml:space="preserve"> by 5.3 million</w:t>
      </w:r>
      <w:r w:rsidR="0089583A" w:rsidRPr="00EC6574">
        <w:rPr>
          <w:sz w:val="24"/>
          <w:szCs w:val="24"/>
          <w:lang w:val="en-US"/>
        </w:rPr>
        <w:t xml:space="preserve"> barrels per day. An increase in oil consumption was recorded in all major oil importing countries with the exception of China.</w:t>
      </w:r>
    </w:p>
    <w:p w14:paraId="493CF8C1" w14:textId="293545E5" w:rsidR="0089583A" w:rsidRPr="00EC6574" w:rsidRDefault="0089583A" w:rsidP="00256950">
      <w:pPr>
        <w:spacing w:after="0" w:line="240" w:lineRule="auto"/>
        <w:ind w:firstLine="709"/>
        <w:jc w:val="both"/>
        <w:rPr>
          <w:sz w:val="24"/>
          <w:szCs w:val="24"/>
          <w:lang w:val="en-US"/>
        </w:rPr>
      </w:pPr>
      <w:r w:rsidRPr="00EC6574">
        <w:rPr>
          <w:sz w:val="24"/>
          <w:szCs w:val="24"/>
          <w:lang w:val="en-US"/>
        </w:rPr>
        <w:t>At the same time, oil production continues to decline gradually, whic</w:t>
      </w:r>
      <w:r w:rsidR="00F71058" w:rsidRPr="00EC6574">
        <w:rPr>
          <w:sz w:val="24"/>
          <w:szCs w:val="24"/>
          <w:lang w:val="en-US"/>
        </w:rPr>
        <w:t>h is facilitated by the OPEC</w:t>
      </w:r>
      <w:r w:rsidRPr="00EC6574">
        <w:rPr>
          <w:sz w:val="24"/>
          <w:szCs w:val="24"/>
          <w:lang w:val="en-US"/>
        </w:rPr>
        <w:t xml:space="preserve">+ agreement and weaker oil production in the United States and Canada. As a result, world quotations for Brent crude have been holding above </w:t>
      </w:r>
      <w:r w:rsidRPr="00EC6574">
        <w:rPr>
          <w:b/>
          <w:sz w:val="24"/>
          <w:szCs w:val="24"/>
          <w:lang w:val="en-US"/>
        </w:rPr>
        <w:t>$ 42</w:t>
      </w:r>
      <w:r w:rsidRPr="00EC6574">
        <w:rPr>
          <w:sz w:val="24"/>
          <w:szCs w:val="24"/>
          <w:lang w:val="en-US"/>
        </w:rPr>
        <w:t xml:space="preserve"> per barrel since early July 2020.</w:t>
      </w:r>
    </w:p>
    <w:p w14:paraId="01636FA1" w14:textId="6B3CD9ED" w:rsidR="0089583A" w:rsidRPr="00EC6574" w:rsidRDefault="0089583A" w:rsidP="00256950">
      <w:pPr>
        <w:spacing w:after="0" w:line="240" w:lineRule="auto"/>
        <w:ind w:firstLine="709"/>
        <w:jc w:val="both"/>
        <w:rPr>
          <w:sz w:val="24"/>
          <w:szCs w:val="24"/>
          <w:lang w:val="en-US"/>
        </w:rPr>
      </w:pPr>
      <w:r w:rsidRPr="00EC6574">
        <w:rPr>
          <w:sz w:val="24"/>
          <w:szCs w:val="24"/>
          <w:lang w:val="en-US"/>
        </w:rPr>
        <w:t>In the second half of 2020 and in 2021, oil demand is expected to grow. The expected acceleration in oil consumption will help reduce the accumulated oil reserves since the beginning of 2020. Oil production this year will decline in non-OPEC countries (especially the United States, Canada, Mexico) and under the OPEC+ agreement. The acceleration in oil production is expected in 2021, which will be associated with the recovery in oil prices and the overall stabilization of the situation in the global economy.</w:t>
      </w:r>
    </w:p>
    <w:p w14:paraId="1EAED116" w14:textId="7726C372" w:rsidR="0089583A" w:rsidRPr="00EC6574" w:rsidRDefault="0089583A" w:rsidP="00256950">
      <w:pPr>
        <w:spacing w:after="0" w:line="240" w:lineRule="auto"/>
        <w:ind w:firstLine="709"/>
        <w:jc w:val="both"/>
        <w:rPr>
          <w:sz w:val="24"/>
          <w:szCs w:val="24"/>
          <w:lang w:val="en-US"/>
        </w:rPr>
      </w:pPr>
      <w:r w:rsidRPr="00EC6574">
        <w:rPr>
          <w:b/>
          <w:sz w:val="24"/>
          <w:szCs w:val="24"/>
          <w:lang w:val="en-US"/>
        </w:rPr>
        <w:t xml:space="preserve">Despite the positive current account of the balance of payments at the beginning of this year, the National Bank expects deterioration in the external sector statistics. </w:t>
      </w:r>
      <w:r w:rsidRPr="00EC6574">
        <w:rPr>
          <w:sz w:val="24"/>
          <w:szCs w:val="24"/>
          <w:lang w:val="en-US"/>
        </w:rPr>
        <w:t>Low oil prices in the second quarter of 2020, a decrease in its production rates and a decreasing demand for key export goods compared to 2019 will lead to an expansion of the current account deficit (in 2019, the deficit amounted to USD 6.5 billion). At the same time, the reduction in imports will be less significant due to the implementation of government programs and initiatives to support the real sector.</w:t>
      </w:r>
      <w:r w:rsidR="00DB543A" w:rsidRPr="00EC6574">
        <w:rPr>
          <w:sz w:val="24"/>
          <w:szCs w:val="24"/>
          <w:lang w:val="en-US"/>
        </w:rPr>
        <w:t xml:space="preserve"> The widening of the current account deficit will remain a risk factor for the weakening of tenge and, as a consequence, a factor of pro-inflationary risks.</w:t>
      </w:r>
    </w:p>
    <w:p w14:paraId="6A459C00" w14:textId="61904C3A" w:rsidR="0089583A" w:rsidRPr="00EC6574" w:rsidRDefault="0089583A" w:rsidP="00256950">
      <w:pPr>
        <w:spacing w:after="0" w:line="240" w:lineRule="auto"/>
        <w:ind w:firstLine="709"/>
        <w:jc w:val="both"/>
        <w:rPr>
          <w:sz w:val="24"/>
          <w:szCs w:val="24"/>
          <w:lang w:val="en-US"/>
        </w:rPr>
      </w:pPr>
      <w:r w:rsidRPr="00EC6574">
        <w:rPr>
          <w:b/>
          <w:sz w:val="24"/>
          <w:szCs w:val="24"/>
          <w:lang w:val="en-US"/>
        </w:rPr>
        <w:t>The external inflationary background remains low.</w:t>
      </w:r>
      <w:r w:rsidRPr="00EC6574">
        <w:rPr>
          <w:sz w:val="24"/>
          <w:szCs w:val="24"/>
          <w:lang w:val="en-US"/>
        </w:rPr>
        <w:t xml:space="preserve"> Inflation in the EU amounted to 0.5% in May. The annual price increase in China in June was 2.5%, being below the target. In Russia in June inflation was 3.2%. In the context of declining prospects for economic recovery and a significant increase in disinflationary risks, the Central Bank of Russia on the last decision lowered the key rate by 1 percentage point up to 4.5%.</w:t>
      </w:r>
    </w:p>
    <w:p w14:paraId="122040EA" w14:textId="6D4A8C1B" w:rsidR="0089583A" w:rsidRPr="00EC6574" w:rsidRDefault="0089583A" w:rsidP="00256950">
      <w:pPr>
        <w:spacing w:after="0" w:line="240" w:lineRule="auto"/>
        <w:ind w:firstLine="709"/>
        <w:jc w:val="both"/>
        <w:rPr>
          <w:rFonts w:cs="Times New Roman"/>
          <w:sz w:val="24"/>
          <w:szCs w:val="24"/>
          <w:lang w:val="en-US"/>
        </w:rPr>
      </w:pPr>
      <w:r w:rsidRPr="00EC6574">
        <w:rPr>
          <w:rFonts w:cs="Times New Roman"/>
          <w:sz w:val="24"/>
          <w:szCs w:val="24"/>
          <w:lang w:val="en-US"/>
        </w:rPr>
        <w:t>The current decision was made taking into account the risks of inflation deviating from the forecast corridor, uncertainty about the rate of recovery in the external sector and a more significant contraction of the national economy, which may affect a decrease in consumer demand and give an additional disinflationary effect.</w:t>
      </w:r>
    </w:p>
    <w:p w14:paraId="7A6717D0" w14:textId="53378D72" w:rsidR="0089583A" w:rsidRPr="00EC6574" w:rsidRDefault="0089583A" w:rsidP="00256950">
      <w:pPr>
        <w:spacing w:after="0" w:line="240" w:lineRule="auto"/>
        <w:ind w:firstLine="709"/>
        <w:jc w:val="both"/>
        <w:rPr>
          <w:sz w:val="24"/>
          <w:szCs w:val="24"/>
          <w:lang w:val="en-US"/>
        </w:rPr>
      </w:pPr>
      <w:r w:rsidRPr="00EC6574">
        <w:rPr>
          <w:sz w:val="24"/>
          <w:szCs w:val="24"/>
          <w:lang w:val="en-US"/>
        </w:rPr>
        <w:t xml:space="preserve">The National Bank will continue to monitor internal and external factors that affect the dynamics of inflation. Further decisions on the base rate will be made taking into account the compliance of the </w:t>
      </w:r>
      <w:r w:rsidR="00C6722E" w:rsidRPr="00EC6574">
        <w:rPr>
          <w:sz w:val="24"/>
          <w:szCs w:val="24"/>
          <w:lang w:val="en-US"/>
        </w:rPr>
        <w:t>actual</w:t>
      </w:r>
      <w:r w:rsidRPr="00EC6574">
        <w:rPr>
          <w:sz w:val="24"/>
          <w:szCs w:val="24"/>
          <w:lang w:val="en-US"/>
        </w:rPr>
        <w:t xml:space="preserve"> inflation dynamics with its forecast, as well as the balance of internal and external risks.</w:t>
      </w:r>
    </w:p>
    <w:p w14:paraId="6009795A" w14:textId="77777777" w:rsidR="0089583A" w:rsidRPr="00EC6574" w:rsidRDefault="0089583A" w:rsidP="00256950">
      <w:pPr>
        <w:spacing w:after="0" w:line="240" w:lineRule="auto"/>
        <w:ind w:firstLine="709"/>
        <w:jc w:val="both"/>
        <w:rPr>
          <w:sz w:val="24"/>
          <w:szCs w:val="24"/>
          <w:lang w:val="en-US"/>
        </w:rPr>
      </w:pPr>
      <w:r w:rsidRPr="00EC6574">
        <w:rPr>
          <w:sz w:val="24"/>
          <w:szCs w:val="24"/>
          <w:lang w:val="en-US"/>
        </w:rPr>
        <w:t xml:space="preserve">The next planned decision of the National Bank of the Republic of Kazakhstan at the base rate will be announced on September 7, 2020 at 15:00 </w:t>
      </w:r>
      <w:proofErr w:type="spellStart"/>
      <w:r w:rsidRPr="00EC6574">
        <w:rPr>
          <w:sz w:val="24"/>
          <w:szCs w:val="24"/>
          <w:lang w:val="en-US"/>
        </w:rPr>
        <w:t>Nur</w:t>
      </w:r>
      <w:proofErr w:type="spellEnd"/>
      <w:r w:rsidRPr="00EC6574">
        <w:rPr>
          <w:sz w:val="24"/>
          <w:szCs w:val="24"/>
          <w:lang w:val="en-US"/>
        </w:rPr>
        <w:t>-Sultan time.</w:t>
      </w:r>
    </w:p>
    <w:p w14:paraId="66815606" w14:textId="77777777" w:rsidR="0089583A" w:rsidRPr="00EC6574" w:rsidRDefault="0089583A" w:rsidP="00256950">
      <w:pPr>
        <w:spacing w:after="0" w:line="240" w:lineRule="auto"/>
        <w:ind w:firstLine="709"/>
        <w:jc w:val="both"/>
        <w:rPr>
          <w:rFonts w:ascii="Calibri" w:eastAsia="Calibri" w:hAnsi="Calibri" w:cs="Arial"/>
          <w:b/>
          <w:sz w:val="24"/>
          <w:szCs w:val="20"/>
          <w:lang w:val="en-US" w:eastAsia="ru-RU"/>
        </w:rPr>
      </w:pPr>
    </w:p>
    <w:p w14:paraId="555D99AA" w14:textId="77777777" w:rsidR="0089583A" w:rsidRPr="00EC6574" w:rsidRDefault="0089583A" w:rsidP="00637529">
      <w:pPr>
        <w:spacing w:after="0" w:line="0" w:lineRule="atLeast"/>
        <w:jc w:val="center"/>
        <w:rPr>
          <w:rFonts w:ascii="Calibri" w:eastAsia="Calibri" w:hAnsi="Calibri" w:cs="Arial"/>
          <w:b/>
          <w:sz w:val="24"/>
          <w:szCs w:val="20"/>
          <w:lang w:val="en-US" w:eastAsia="ru-RU"/>
        </w:rPr>
      </w:pPr>
      <w:r w:rsidRPr="00EC6574">
        <w:rPr>
          <w:rFonts w:ascii="Calibri" w:eastAsia="Calibri" w:hAnsi="Calibri" w:cs="Arial"/>
          <w:b/>
          <w:sz w:val="24"/>
          <w:szCs w:val="20"/>
          <w:lang w:val="en-US" w:eastAsia="ru-RU"/>
        </w:rPr>
        <w:lastRenderedPageBreak/>
        <w:t>For more information, media representatives can call:</w:t>
      </w:r>
    </w:p>
    <w:p w14:paraId="2D200143" w14:textId="77777777" w:rsidR="00637529" w:rsidRPr="00EC6574" w:rsidRDefault="00637529" w:rsidP="00637529">
      <w:pPr>
        <w:spacing w:after="0" w:line="0" w:lineRule="atLeast"/>
        <w:jc w:val="center"/>
        <w:rPr>
          <w:rFonts w:ascii="Calibri" w:eastAsia="Calibri" w:hAnsi="Calibri" w:cs="Arial"/>
          <w:sz w:val="24"/>
          <w:szCs w:val="20"/>
          <w:lang w:val="kk-KZ" w:eastAsia="ru-RU"/>
        </w:rPr>
      </w:pPr>
      <w:r w:rsidRPr="00EC6574">
        <w:rPr>
          <w:rFonts w:ascii="Calibri" w:eastAsia="Calibri" w:hAnsi="Calibri" w:cs="Arial"/>
          <w:sz w:val="24"/>
          <w:szCs w:val="20"/>
          <w:lang w:val="en-US" w:eastAsia="ru-RU"/>
        </w:rPr>
        <w:t>+7 (7</w:t>
      </w:r>
      <w:r w:rsidRPr="00EC6574">
        <w:rPr>
          <w:rFonts w:ascii="Calibri" w:eastAsia="Calibri" w:hAnsi="Calibri" w:cs="Arial"/>
          <w:sz w:val="24"/>
          <w:szCs w:val="20"/>
          <w:lang w:val="kk-KZ" w:eastAsia="ru-RU"/>
        </w:rPr>
        <w:t>1</w:t>
      </w:r>
      <w:r w:rsidRPr="00EC6574">
        <w:rPr>
          <w:rFonts w:ascii="Calibri" w:eastAsia="Calibri" w:hAnsi="Calibri" w:cs="Arial"/>
          <w:sz w:val="24"/>
          <w:szCs w:val="20"/>
          <w:lang w:val="en-US" w:eastAsia="ru-RU"/>
        </w:rPr>
        <w:t xml:space="preserve">72) </w:t>
      </w:r>
      <w:r w:rsidRPr="00EC6574">
        <w:rPr>
          <w:rFonts w:ascii="Calibri" w:eastAsia="Calibri" w:hAnsi="Calibri" w:cs="Arial"/>
          <w:sz w:val="24"/>
          <w:szCs w:val="20"/>
          <w:lang w:val="kk-KZ" w:eastAsia="ru-RU"/>
        </w:rPr>
        <w:t>775 205</w:t>
      </w:r>
    </w:p>
    <w:p w14:paraId="3FDD3591" w14:textId="77777777" w:rsidR="00637529" w:rsidRPr="00EC6574" w:rsidRDefault="00637529" w:rsidP="00637529">
      <w:pPr>
        <w:spacing w:after="0" w:line="2" w:lineRule="exact"/>
        <w:rPr>
          <w:rFonts w:ascii="Times New Roman" w:eastAsia="Times New Roman" w:hAnsi="Times New Roman" w:cs="Arial"/>
          <w:sz w:val="20"/>
          <w:szCs w:val="20"/>
          <w:lang w:val="en-US" w:eastAsia="ru-RU"/>
        </w:rPr>
      </w:pPr>
    </w:p>
    <w:p w14:paraId="245CC76E" w14:textId="77777777" w:rsidR="00637529" w:rsidRPr="00EC6574" w:rsidRDefault="00637529" w:rsidP="00637529">
      <w:pPr>
        <w:spacing w:after="0" w:line="0" w:lineRule="atLeast"/>
        <w:ind w:right="20"/>
        <w:jc w:val="center"/>
        <w:rPr>
          <w:rFonts w:ascii="Calibri" w:eastAsia="Calibri" w:hAnsi="Calibri" w:cs="Arial"/>
          <w:color w:val="0000FF"/>
          <w:sz w:val="24"/>
          <w:szCs w:val="20"/>
          <w:u w:val="single"/>
          <w:lang w:val="en-US" w:eastAsia="ru-RU"/>
        </w:rPr>
      </w:pPr>
      <w:proofErr w:type="gramStart"/>
      <w:r w:rsidRPr="00EC6574">
        <w:rPr>
          <w:rFonts w:ascii="Calibri" w:eastAsia="Calibri" w:hAnsi="Calibri" w:cs="Arial"/>
          <w:sz w:val="24"/>
          <w:szCs w:val="20"/>
          <w:lang w:val="en-US" w:eastAsia="ru-RU"/>
        </w:rPr>
        <w:t>e-mail</w:t>
      </w:r>
      <w:proofErr w:type="gramEnd"/>
      <w:r w:rsidRPr="00EC6574">
        <w:rPr>
          <w:rFonts w:ascii="Calibri" w:eastAsia="Calibri" w:hAnsi="Calibri" w:cs="Arial"/>
          <w:sz w:val="24"/>
          <w:szCs w:val="20"/>
          <w:lang w:val="en-US" w:eastAsia="ru-RU"/>
        </w:rPr>
        <w:t xml:space="preserve">: </w:t>
      </w:r>
      <w:hyperlink r:id="rId10" w:history="1">
        <w:r w:rsidRPr="00EC6574">
          <w:rPr>
            <w:rFonts w:ascii="Calibri" w:eastAsia="Calibri" w:hAnsi="Calibri" w:cs="Arial"/>
            <w:color w:val="0000FF"/>
            <w:sz w:val="24"/>
            <w:szCs w:val="20"/>
            <w:u w:val="single"/>
            <w:lang w:val="en-US" w:eastAsia="ru-RU"/>
          </w:rPr>
          <w:t>press@nationalbank.kz</w:t>
        </w:r>
      </w:hyperlink>
    </w:p>
    <w:p w14:paraId="165B92F1" w14:textId="77777777" w:rsidR="00637529" w:rsidRPr="00D77259" w:rsidRDefault="00A50FA4" w:rsidP="00637529">
      <w:pPr>
        <w:spacing w:after="0" w:line="0" w:lineRule="atLeast"/>
        <w:jc w:val="center"/>
        <w:rPr>
          <w:rFonts w:ascii="Calibri" w:eastAsia="Times New Roman" w:hAnsi="Calibri" w:cs="Times New Roman"/>
          <w:lang w:val="en-US"/>
        </w:rPr>
      </w:pPr>
      <w:hyperlink r:id="rId11" w:history="1">
        <w:r w:rsidR="00637529" w:rsidRPr="00EC6574">
          <w:rPr>
            <w:rFonts w:ascii="Calibri" w:eastAsia="Calibri" w:hAnsi="Calibri" w:cs="Arial"/>
            <w:color w:val="0000FF"/>
            <w:sz w:val="24"/>
            <w:szCs w:val="20"/>
            <w:u w:val="single"/>
            <w:lang w:val="en-US" w:eastAsia="ru-RU"/>
          </w:rPr>
          <w:t>www.nationalbank.kz</w:t>
        </w:r>
      </w:hyperlink>
      <w:bookmarkStart w:id="0" w:name="_GoBack"/>
      <w:bookmarkEnd w:id="0"/>
    </w:p>
    <w:p w14:paraId="41643D82" w14:textId="1F9ABD08" w:rsidR="0089583A" w:rsidRDefault="0089583A" w:rsidP="00256950">
      <w:pPr>
        <w:spacing w:after="0" w:line="0" w:lineRule="atLeast"/>
        <w:jc w:val="both"/>
        <w:rPr>
          <w:rFonts w:ascii="Calibri" w:eastAsia="Calibri" w:hAnsi="Calibri" w:cs="Arial"/>
          <w:color w:val="0000FF"/>
          <w:sz w:val="24"/>
          <w:szCs w:val="20"/>
          <w:u w:val="single"/>
          <w:lang w:val="en-US" w:eastAsia="ru-RU"/>
        </w:rPr>
      </w:pPr>
    </w:p>
    <w:sectPr w:rsidR="0089583A" w:rsidSect="00577B9E">
      <w:footerReference w:type="default" r:id="rId12"/>
      <w:pgSz w:w="11906" w:h="16838"/>
      <w:pgMar w:top="1134" w:right="99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545B8" w14:textId="77777777" w:rsidR="00A50FA4" w:rsidRDefault="00A50FA4" w:rsidP="001547FE">
      <w:pPr>
        <w:spacing w:after="0" w:line="240" w:lineRule="auto"/>
      </w:pPr>
      <w:r>
        <w:separator/>
      </w:r>
    </w:p>
  </w:endnote>
  <w:endnote w:type="continuationSeparator" w:id="0">
    <w:p w14:paraId="7FA55E84" w14:textId="77777777" w:rsidR="00A50FA4" w:rsidRDefault="00A50FA4" w:rsidP="0015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65793"/>
      <w:docPartObj>
        <w:docPartGallery w:val="Page Numbers (Bottom of Page)"/>
        <w:docPartUnique/>
      </w:docPartObj>
    </w:sdtPr>
    <w:sdtEndPr/>
    <w:sdtContent>
      <w:p w14:paraId="66496E63" w14:textId="3DBC893F" w:rsidR="00F53482" w:rsidRDefault="00F53482">
        <w:pPr>
          <w:pStyle w:val="af1"/>
          <w:jc w:val="center"/>
        </w:pPr>
        <w:r>
          <w:fldChar w:fldCharType="begin"/>
        </w:r>
        <w:r>
          <w:instrText>PAGE   \* MERGEFORMAT</w:instrText>
        </w:r>
        <w:r>
          <w:fldChar w:fldCharType="separate"/>
        </w:r>
        <w:r w:rsidR="00EC6574">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8A31E" w14:textId="77777777" w:rsidR="00A50FA4" w:rsidRDefault="00A50FA4" w:rsidP="001547FE">
      <w:pPr>
        <w:spacing w:after="0" w:line="240" w:lineRule="auto"/>
      </w:pPr>
      <w:r>
        <w:separator/>
      </w:r>
    </w:p>
  </w:footnote>
  <w:footnote w:type="continuationSeparator" w:id="0">
    <w:p w14:paraId="6702DF59" w14:textId="77777777" w:rsidR="00A50FA4" w:rsidRDefault="00A50FA4" w:rsidP="00154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6A71"/>
    <w:multiLevelType w:val="hybridMultilevel"/>
    <w:tmpl w:val="836EAF38"/>
    <w:lvl w:ilvl="0" w:tplc="865C0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US" w:vendorID="64" w:dllVersion="131078" w:nlCheck="1" w:checkStyle="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85"/>
    <w:rsid w:val="0000052E"/>
    <w:rsid w:val="00001707"/>
    <w:rsid w:val="00002219"/>
    <w:rsid w:val="000022E6"/>
    <w:rsid w:val="0000289E"/>
    <w:rsid w:val="00005AF3"/>
    <w:rsid w:val="00007109"/>
    <w:rsid w:val="00007BA4"/>
    <w:rsid w:val="00011592"/>
    <w:rsid w:val="000128C1"/>
    <w:rsid w:val="00012D08"/>
    <w:rsid w:val="00012F2C"/>
    <w:rsid w:val="000140C5"/>
    <w:rsid w:val="00017D02"/>
    <w:rsid w:val="0002007A"/>
    <w:rsid w:val="000221D8"/>
    <w:rsid w:val="0002265E"/>
    <w:rsid w:val="0002335E"/>
    <w:rsid w:val="000234B3"/>
    <w:rsid w:val="00027279"/>
    <w:rsid w:val="00030BAB"/>
    <w:rsid w:val="00032ECA"/>
    <w:rsid w:val="0003410D"/>
    <w:rsid w:val="0003578D"/>
    <w:rsid w:val="000358E1"/>
    <w:rsid w:val="00035F4E"/>
    <w:rsid w:val="000370C5"/>
    <w:rsid w:val="000403DE"/>
    <w:rsid w:val="00041570"/>
    <w:rsid w:val="00041628"/>
    <w:rsid w:val="00041F51"/>
    <w:rsid w:val="000425A0"/>
    <w:rsid w:val="00042E34"/>
    <w:rsid w:val="00043375"/>
    <w:rsid w:val="00044118"/>
    <w:rsid w:val="0004423D"/>
    <w:rsid w:val="000450D2"/>
    <w:rsid w:val="00045838"/>
    <w:rsid w:val="00046826"/>
    <w:rsid w:val="000476F8"/>
    <w:rsid w:val="00047DEA"/>
    <w:rsid w:val="00050C4E"/>
    <w:rsid w:val="00050E20"/>
    <w:rsid w:val="00051640"/>
    <w:rsid w:val="00053A91"/>
    <w:rsid w:val="00053CE6"/>
    <w:rsid w:val="0005427E"/>
    <w:rsid w:val="00055BEE"/>
    <w:rsid w:val="00056E7C"/>
    <w:rsid w:val="000601E0"/>
    <w:rsid w:val="0006029F"/>
    <w:rsid w:val="00060693"/>
    <w:rsid w:val="000615A9"/>
    <w:rsid w:val="000628D6"/>
    <w:rsid w:val="00064391"/>
    <w:rsid w:val="00065139"/>
    <w:rsid w:val="0006666B"/>
    <w:rsid w:val="0006706A"/>
    <w:rsid w:val="000706E9"/>
    <w:rsid w:val="000707BD"/>
    <w:rsid w:val="00071F4A"/>
    <w:rsid w:val="00073276"/>
    <w:rsid w:val="000739F5"/>
    <w:rsid w:val="00073C75"/>
    <w:rsid w:val="00074AFC"/>
    <w:rsid w:val="00074B1B"/>
    <w:rsid w:val="000757B4"/>
    <w:rsid w:val="000766B3"/>
    <w:rsid w:val="00081C3F"/>
    <w:rsid w:val="00083080"/>
    <w:rsid w:val="00083825"/>
    <w:rsid w:val="000844B9"/>
    <w:rsid w:val="00084BE0"/>
    <w:rsid w:val="00085EF0"/>
    <w:rsid w:val="000874A5"/>
    <w:rsid w:val="00087758"/>
    <w:rsid w:val="000911A8"/>
    <w:rsid w:val="0009266D"/>
    <w:rsid w:val="00092909"/>
    <w:rsid w:val="000939C0"/>
    <w:rsid w:val="0009427A"/>
    <w:rsid w:val="000962EA"/>
    <w:rsid w:val="00096C50"/>
    <w:rsid w:val="000A163A"/>
    <w:rsid w:val="000A1CC5"/>
    <w:rsid w:val="000A20A4"/>
    <w:rsid w:val="000A2C38"/>
    <w:rsid w:val="000A4111"/>
    <w:rsid w:val="000A625D"/>
    <w:rsid w:val="000A65BA"/>
    <w:rsid w:val="000B223D"/>
    <w:rsid w:val="000B2B2C"/>
    <w:rsid w:val="000B2BC1"/>
    <w:rsid w:val="000B3607"/>
    <w:rsid w:val="000B4468"/>
    <w:rsid w:val="000B46BD"/>
    <w:rsid w:val="000B650E"/>
    <w:rsid w:val="000B746F"/>
    <w:rsid w:val="000C002F"/>
    <w:rsid w:val="000C04E2"/>
    <w:rsid w:val="000C1481"/>
    <w:rsid w:val="000C1A81"/>
    <w:rsid w:val="000C394F"/>
    <w:rsid w:val="000C4049"/>
    <w:rsid w:val="000C61A8"/>
    <w:rsid w:val="000C647D"/>
    <w:rsid w:val="000C70F5"/>
    <w:rsid w:val="000C748B"/>
    <w:rsid w:val="000C74FA"/>
    <w:rsid w:val="000C7B3E"/>
    <w:rsid w:val="000C7D86"/>
    <w:rsid w:val="000D001C"/>
    <w:rsid w:val="000D0CCA"/>
    <w:rsid w:val="000D0EC3"/>
    <w:rsid w:val="000D1545"/>
    <w:rsid w:val="000D279A"/>
    <w:rsid w:val="000D2F8D"/>
    <w:rsid w:val="000D32C4"/>
    <w:rsid w:val="000D3BC0"/>
    <w:rsid w:val="000D4192"/>
    <w:rsid w:val="000D46DA"/>
    <w:rsid w:val="000D59FB"/>
    <w:rsid w:val="000D5BBA"/>
    <w:rsid w:val="000D7490"/>
    <w:rsid w:val="000D7491"/>
    <w:rsid w:val="000E0A5E"/>
    <w:rsid w:val="000E0E08"/>
    <w:rsid w:val="000E0FA1"/>
    <w:rsid w:val="000E1B32"/>
    <w:rsid w:val="000E3809"/>
    <w:rsid w:val="000E4840"/>
    <w:rsid w:val="000E4D20"/>
    <w:rsid w:val="000E5132"/>
    <w:rsid w:val="000E7313"/>
    <w:rsid w:val="000E7F00"/>
    <w:rsid w:val="000F0AB8"/>
    <w:rsid w:val="000F246C"/>
    <w:rsid w:val="000F2E2A"/>
    <w:rsid w:val="000F3AF9"/>
    <w:rsid w:val="000F5151"/>
    <w:rsid w:val="000F72BC"/>
    <w:rsid w:val="000F74B2"/>
    <w:rsid w:val="000F7855"/>
    <w:rsid w:val="001000E0"/>
    <w:rsid w:val="0010053B"/>
    <w:rsid w:val="001026BC"/>
    <w:rsid w:val="001043C6"/>
    <w:rsid w:val="001054C2"/>
    <w:rsid w:val="001067C8"/>
    <w:rsid w:val="00106DDB"/>
    <w:rsid w:val="00107236"/>
    <w:rsid w:val="001102C5"/>
    <w:rsid w:val="001107E4"/>
    <w:rsid w:val="0011111F"/>
    <w:rsid w:val="00111E6D"/>
    <w:rsid w:val="00112296"/>
    <w:rsid w:val="00112491"/>
    <w:rsid w:val="00113230"/>
    <w:rsid w:val="0011326F"/>
    <w:rsid w:val="00113C5D"/>
    <w:rsid w:val="001164E9"/>
    <w:rsid w:val="00116E67"/>
    <w:rsid w:val="00121835"/>
    <w:rsid w:val="00121DE5"/>
    <w:rsid w:val="00122EAD"/>
    <w:rsid w:val="00123098"/>
    <w:rsid w:val="001240FE"/>
    <w:rsid w:val="00124845"/>
    <w:rsid w:val="001255B4"/>
    <w:rsid w:val="0012672C"/>
    <w:rsid w:val="00126FCD"/>
    <w:rsid w:val="00127BC2"/>
    <w:rsid w:val="001301CA"/>
    <w:rsid w:val="00130D12"/>
    <w:rsid w:val="001310FB"/>
    <w:rsid w:val="001319B6"/>
    <w:rsid w:val="001329C7"/>
    <w:rsid w:val="00133ACD"/>
    <w:rsid w:val="0013616F"/>
    <w:rsid w:val="0013708A"/>
    <w:rsid w:val="001378BB"/>
    <w:rsid w:val="0014194C"/>
    <w:rsid w:val="00143DA7"/>
    <w:rsid w:val="0014490D"/>
    <w:rsid w:val="0014623E"/>
    <w:rsid w:val="001466AC"/>
    <w:rsid w:val="001472C3"/>
    <w:rsid w:val="00147F4D"/>
    <w:rsid w:val="001500CB"/>
    <w:rsid w:val="00150715"/>
    <w:rsid w:val="001512C7"/>
    <w:rsid w:val="00151643"/>
    <w:rsid w:val="00151AA9"/>
    <w:rsid w:val="001547FE"/>
    <w:rsid w:val="00155EE1"/>
    <w:rsid w:val="00161270"/>
    <w:rsid w:val="0016136B"/>
    <w:rsid w:val="001616E1"/>
    <w:rsid w:val="001621E5"/>
    <w:rsid w:val="001625DD"/>
    <w:rsid w:val="001630A8"/>
    <w:rsid w:val="00163637"/>
    <w:rsid w:val="0016564E"/>
    <w:rsid w:val="00166914"/>
    <w:rsid w:val="00167891"/>
    <w:rsid w:val="001705DF"/>
    <w:rsid w:val="001705E2"/>
    <w:rsid w:val="00170CD9"/>
    <w:rsid w:val="001754E2"/>
    <w:rsid w:val="00175579"/>
    <w:rsid w:val="001758F0"/>
    <w:rsid w:val="00176040"/>
    <w:rsid w:val="00176631"/>
    <w:rsid w:val="00176D4D"/>
    <w:rsid w:val="00176FCE"/>
    <w:rsid w:val="00177085"/>
    <w:rsid w:val="001774F8"/>
    <w:rsid w:val="00182226"/>
    <w:rsid w:val="0018269E"/>
    <w:rsid w:val="00182C08"/>
    <w:rsid w:val="00183D70"/>
    <w:rsid w:val="00184CB3"/>
    <w:rsid w:val="00184CD5"/>
    <w:rsid w:val="001868D4"/>
    <w:rsid w:val="00186967"/>
    <w:rsid w:val="00187512"/>
    <w:rsid w:val="001910D5"/>
    <w:rsid w:val="00193204"/>
    <w:rsid w:val="0019394F"/>
    <w:rsid w:val="00194984"/>
    <w:rsid w:val="0019577A"/>
    <w:rsid w:val="00196DAF"/>
    <w:rsid w:val="00197DE4"/>
    <w:rsid w:val="001A08F5"/>
    <w:rsid w:val="001A0FA2"/>
    <w:rsid w:val="001A22C4"/>
    <w:rsid w:val="001A2E45"/>
    <w:rsid w:val="001A41F1"/>
    <w:rsid w:val="001A451D"/>
    <w:rsid w:val="001A4852"/>
    <w:rsid w:val="001A5F9E"/>
    <w:rsid w:val="001A6A18"/>
    <w:rsid w:val="001A769A"/>
    <w:rsid w:val="001B1D35"/>
    <w:rsid w:val="001B2789"/>
    <w:rsid w:val="001B2E5A"/>
    <w:rsid w:val="001B3056"/>
    <w:rsid w:val="001B3265"/>
    <w:rsid w:val="001B3666"/>
    <w:rsid w:val="001B3BCE"/>
    <w:rsid w:val="001B3CA4"/>
    <w:rsid w:val="001B40D9"/>
    <w:rsid w:val="001B411C"/>
    <w:rsid w:val="001B42C0"/>
    <w:rsid w:val="001B48DD"/>
    <w:rsid w:val="001B4905"/>
    <w:rsid w:val="001B6AEC"/>
    <w:rsid w:val="001B6EE4"/>
    <w:rsid w:val="001B7803"/>
    <w:rsid w:val="001C0CA1"/>
    <w:rsid w:val="001C1107"/>
    <w:rsid w:val="001C1E9C"/>
    <w:rsid w:val="001C2821"/>
    <w:rsid w:val="001C2B70"/>
    <w:rsid w:val="001C37CD"/>
    <w:rsid w:val="001C4F94"/>
    <w:rsid w:val="001C59A0"/>
    <w:rsid w:val="001D0162"/>
    <w:rsid w:val="001D0AF3"/>
    <w:rsid w:val="001D1BD9"/>
    <w:rsid w:val="001D268D"/>
    <w:rsid w:val="001D273B"/>
    <w:rsid w:val="001D38FA"/>
    <w:rsid w:val="001D4150"/>
    <w:rsid w:val="001D54E1"/>
    <w:rsid w:val="001D5A9A"/>
    <w:rsid w:val="001D7127"/>
    <w:rsid w:val="001D72F9"/>
    <w:rsid w:val="001D7669"/>
    <w:rsid w:val="001D7EA9"/>
    <w:rsid w:val="001E147E"/>
    <w:rsid w:val="001E1C3E"/>
    <w:rsid w:val="001E2AEE"/>
    <w:rsid w:val="001E2D22"/>
    <w:rsid w:val="001E3AAC"/>
    <w:rsid w:val="001E6544"/>
    <w:rsid w:val="001E71CD"/>
    <w:rsid w:val="001E7972"/>
    <w:rsid w:val="001F0679"/>
    <w:rsid w:val="001F11DB"/>
    <w:rsid w:val="001F3422"/>
    <w:rsid w:val="001F48BE"/>
    <w:rsid w:val="001F4B49"/>
    <w:rsid w:val="001F4B6B"/>
    <w:rsid w:val="001F64B6"/>
    <w:rsid w:val="001F6943"/>
    <w:rsid w:val="001F7E1C"/>
    <w:rsid w:val="0020452C"/>
    <w:rsid w:val="002049BF"/>
    <w:rsid w:val="002119FF"/>
    <w:rsid w:val="002148F0"/>
    <w:rsid w:val="0021544E"/>
    <w:rsid w:val="0021687F"/>
    <w:rsid w:val="002211AF"/>
    <w:rsid w:val="00221979"/>
    <w:rsid w:val="0022459E"/>
    <w:rsid w:val="002249DA"/>
    <w:rsid w:val="0022556E"/>
    <w:rsid w:val="0022672E"/>
    <w:rsid w:val="00227556"/>
    <w:rsid w:val="0023164A"/>
    <w:rsid w:val="00231802"/>
    <w:rsid w:val="0023288A"/>
    <w:rsid w:val="00234905"/>
    <w:rsid w:val="0023565B"/>
    <w:rsid w:val="00237336"/>
    <w:rsid w:val="002375ED"/>
    <w:rsid w:val="00241015"/>
    <w:rsid w:val="002410D2"/>
    <w:rsid w:val="002455B5"/>
    <w:rsid w:val="00245F7A"/>
    <w:rsid w:val="00246EC2"/>
    <w:rsid w:val="00247514"/>
    <w:rsid w:val="0025045C"/>
    <w:rsid w:val="00250ADB"/>
    <w:rsid w:val="00252088"/>
    <w:rsid w:val="00252090"/>
    <w:rsid w:val="00252098"/>
    <w:rsid w:val="00253C0E"/>
    <w:rsid w:val="00255AD3"/>
    <w:rsid w:val="00256950"/>
    <w:rsid w:val="002579CB"/>
    <w:rsid w:val="00262069"/>
    <w:rsid w:val="00262263"/>
    <w:rsid w:val="00263AAE"/>
    <w:rsid w:val="002664E1"/>
    <w:rsid w:val="00267D84"/>
    <w:rsid w:val="00271858"/>
    <w:rsid w:val="00271A38"/>
    <w:rsid w:val="00271E0B"/>
    <w:rsid w:val="002736A6"/>
    <w:rsid w:val="00273AFB"/>
    <w:rsid w:val="002764AF"/>
    <w:rsid w:val="00277046"/>
    <w:rsid w:val="002779E8"/>
    <w:rsid w:val="00277CCB"/>
    <w:rsid w:val="00280B64"/>
    <w:rsid w:val="002813C8"/>
    <w:rsid w:val="0028236F"/>
    <w:rsid w:val="00283A63"/>
    <w:rsid w:val="0028403E"/>
    <w:rsid w:val="0028444C"/>
    <w:rsid w:val="0028498E"/>
    <w:rsid w:val="002853B7"/>
    <w:rsid w:val="002856E2"/>
    <w:rsid w:val="00285A3E"/>
    <w:rsid w:val="002872F9"/>
    <w:rsid w:val="0028792E"/>
    <w:rsid w:val="00287B7C"/>
    <w:rsid w:val="00287D26"/>
    <w:rsid w:val="00290CCE"/>
    <w:rsid w:val="00290CED"/>
    <w:rsid w:val="00291778"/>
    <w:rsid w:val="00291EF1"/>
    <w:rsid w:val="002920A9"/>
    <w:rsid w:val="002942F6"/>
    <w:rsid w:val="00294F46"/>
    <w:rsid w:val="0029601C"/>
    <w:rsid w:val="002977BA"/>
    <w:rsid w:val="002978A3"/>
    <w:rsid w:val="002A0568"/>
    <w:rsid w:val="002A1CD0"/>
    <w:rsid w:val="002A3605"/>
    <w:rsid w:val="002A3932"/>
    <w:rsid w:val="002A546A"/>
    <w:rsid w:val="002A5D98"/>
    <w:rsid w:val="002A5FDA"/>
    <w:rsid w:val="002A692B"/>
    <w:rsid w:val="002B04A4"/>
    <w:rsid w:val="002B0663"/>
    <w:rsid w:val="002B06FC"/>
    <w:rsid w:val="002B12AD"/>
    <w:rsid w:val="002B1C3E"/>
    <w:rsid w:val="002B4222"/>
    <w:rsid w:val="002B47E0"/>
    <w:rsid w:val="002B6131"/>
    <w:rsid w:val="002B70BD"/>
    <w:rsid w:val="002C0A2E"/>
    <w:rsid w:val="002C0C45"/>
    <w:rsid w:val="002C0D4F"/>
    <w:rsid w:val="002C0FDC"/>
    <w:rsid w:val="002C1059"/>
    <w:rsid w:val="002C3091"/>
    <w:rsid w:val="002C3815"/>
    <w:rsid w:val="002C4CD2"/>
    <w:rsid w:val="002C5C5B"/>
    <w:rsid w:val="002C6355"/>
    <w:rsid w:val="002C77F6"/>
    <w:rsid w:val="002D0290"/>
    <w:rsid w:val="002D0C91"/>
    <w:rsid w:val="002D1300"/>
    <w:rsid w:val="002D1F21"/>
    <w:rsid w:val="002D25DA"/>
    <w:rsid w:val="002D2611"/>
    <w:rsid w:val="002D2759"/>
    <w:rsid w:val="002D2A71"/>
    <w:rsid w:val="002D36CA"/>
    <w:rsid w:val="002D372D"/>
    <w:rsid w:val="002D3D7C"/>
    <w:rsid w:val="002D4228"/>
    <w:rsid w:val="002D4E46"/>
    <w:rsid w:val="002D631D"/>
    <w:rsid w:val="002D7D2F"/>
    <w:rsid w:val="002E09F1"/>
    <w:rsid w:val="002E14D6"/>
    <w:rsid w:val="002E428E"/>
    <w:rsid w:val="002E480D"/>
    <w:rsid w:val="002E68A7"/>
    <w:rsid w:val="002E714E"/>
    <w:rsid w:val="002E718F"/>
    <w:rsid w:val="002F4882"/>
    <w:rsid w:val="002F66DA"/>
    <w:rsid w:val="002F718E"/>
    <w:rsid w:val="002F7C0C"/>
    <w:rsid w:val="002F7DEE"/>
    <w:rsid w:val="0030064C"/>
    <w:rsid w:val="003009F0"/>
    <w:rsid w:val="00301881"/>
    <w:rsid w:val="00302454"/>
    <w:rsid w:val="00302A92"/>
    <w:rsid w:val="0030401A"/>
    <w:rsid w:val="00304119"/>
    <w:rsid w:val="00304762"/>
    <w:rsid w:val="00307295"/>
    <w:rsid w:val="0030729D"/>
    <w:rsid w:val="00312454"/>
    <w:rsid w:val="0031534A"/>
    <w:rsid w:val="003168D9"/>
    <w:rsid w:val="00316EFB"/>
    <w:rsid w:val="00317E29"/>
    <w:rsid w:val="0032175D"/>
    <w:rsid w:val="00322549"/>
    <w:rsid w:val="0032341D"/>
    <w:rsid w:val="00323B6C"/>
    <w:rsid w:val="00323CE7"/>
    <w:rsid w:val="003250B3"/>
    <w:rsid w:val="0032668F"/>
    <w:rsid w:val="0032679D"/>
    <w:rsid w:val="00326983"/>
    <w:rsid w:val="003271CC"/>
    <w:rsid w:val="00333FEE"/>
    <w:rsid w:val="003342FD"/>
    <w:rsid w:val="00335BE6"/>
    <w:rsid w:val="00336D4E"/>
    <w:rsid w:val="00337C19"/>
    <w:rsid w:val="00340005"/>
    <w:rsid w:val="003400F6"/>
    <w:rsid w:val="00340538"/>
    <w:rsid w:val="00341BCF"/>
    <w:rsid w:val="00342E32"/>
    <w:rsid w:val="00343277"/>
    <w:rsid w:val="00343AAB"/>
    <w:rsid w:val="00343D88"/>
    <w:rsid w:val="00344CA0"/>
    <w:rsid w:val="0035048A"/>
    <w:rsid w:val="003505F6"/>
    <w:rsid w:val="00351C7D"/>
    <w:rsid w:val="00360921"/>
    <w:rsid w:val="00361C43"/>
    <w:rsid w:val="00361E52"/>
    <w:rsid w:val="00361FBE"/>
    <w:rsid w:val="00362B52"/>
    <w:rsid w:val="003630A9"/>
    <w:rsid w:val="003630F5"/>
    <w:rsid w:val="00363436"/>
    <w:rsid w:val="00363A1F"/>
    <w:rsid w:val="00365DC4"/>
    <w:rsid w:val="003661C6"/>
    <w:rsid w:val="003670BA"/>
    <w:rsid w:val="003707AC"/>
    <w:rsid w:val="00371544"/>
    <w:rsid w:val="00371578"/>
    <w:rsid w:val="00371579"/>
    <w:rsid w:val="003717BE"/>
    <w:rsid w:val="00371D45"/>
    <w:rsid w:val="0037281B"/>
    <w:rsid w:val="00372881"/>
    <w:rsid w:val="00372936"/>
    <w:rsid w:val="003729EF"/>
    <w:rsid w:val="00372DEB"/>
    <w:rsid w:val="0037346E"/>
    <w:rsid w:val="003742C4"/>
    <w:rsid w:val="00374316"/>
    <w:rsid w:val="00374F2E"/>
    <w:rsid w:val="0037510F"/>
    <w:rsid w:val="00375903"/>
    <w:rsid w:val="00375B06"/>
    <w:rsid w:val="00376981"/>
    <w:rsid w:val="00377F57"/>
    <w:rsid w:val="0038034B"/>
    <w:rsid w:val="00380D60"/>
    <w:rsid w:val="00382186"/>
    <w:rsid w:val="003831C8"/>
    <w:rsid w:val="00384EDB"/>
    <w:rsid w:val="00386199"/>
    <w:rsid w:val="00387270"/>
    <w:rsid w:val="003908B1"/>
    <w:rsid w:val="0039172A"/>
    <w:rsid w:val="00392238"/>
    <w:rsid w:val="0039276B"/>
    <w:rsid w:val="00392784"/>
    <w:rsid w:val="0039304D"/>
    <w:rsid w:val="003945D5"/>
    <w:rsid w:val="00394900"/>
    <w:rsid w:val="00396146"/>
    <w:rsid w:val="00396BF1"/>
    <w:rsid w:val="003A06BE"/>
    <w:rsid w:val="003A087A"/>
    <w:rsid w:val="003A123A"/>
    <w:rsid w:val="003A19C7"/>
    <w:rsid w:val="003A42F1"/>
    <w:rsid w:val="003A6087"/>
    <w:rsid w:val="003A60D4"/>
    <w:rsid w:val="003A6E3D"/>
    <w:rsid w:val="003A7A8E"/>
    <w:rsid w:val="003A7CC5"/>
    <w:rsid w:val="003B1475"/>
    <w:rsid w:val="003B1A22"/>
    <w:rsid w:val="003B1F0C"/>
    <w:rsid w:val="003B32E1"/>
    <w:rsid w:val="003B703F"/>
    <w:rsid w:val="003B70D7"/>
    <w:rsid w:val="003C2047"/>
    <w:rsid w:val="003C31B4"/>
    <w:rsid w:val="003C4FFB"/>
    <w:rsid w:val="003C68E6"/>
    <w:rsid w:val="003C6C32"/>
    <w:rsid w:val="003C701C"/>
    <w:rsid w:val="003C702E"/>
    <w:rsid w:val="003C7245"/>
    <w:rsid w:val="003D032D"/>
    <w:rsid w:val="003D075F"/>
    <w:rsid w:val="003D07A1"/>
    <w:rsid w:val="003D0817"/>
    <w:rsid w:val="003D099D"/>
    <w:rsid w:val="003D2548"/>
    <w:rsid w:val="003D47C5"/>
    <w:rsid w:val="003D55D2"/>
    <w:rsid w:val="003D58DF"/>
    <w:rsid w:val="003D5D8C"/>
    <w:rsid w:val="003D69AC"/>
    <w:rsid w:val="003D69E1"/>
    <w:rsid w:val="003D7601"/>
    <w:rsid w:val="003E1A30"/>
    <w:rsid w:val="003E31D1"/>
    <w:rsid w:val="003E4171"/>
    <w:rsid w:val="003E5771"/>
    <w:rsid w:val="003E6058"/>
    <w:rsid w:val="003F076C"/>
    <w:rsid w:val="003F19D1"/>
    <w:rsid w:val="003F2BC3"/>
    <w:rsid w:val="003F331B"/>
    <w:rsid w:val="003F33FF"/>
    <w:rsid w:val="003F3784"/>
    <w:rsid w:val="003F41B1"/>
    <w:rsid w:val="003F4C8B"/>
    <w:rsid w:val="003F518F"/>
    <w:rsid w:val="003F57CF"/>
    <w:rsid w:val="003F5874"/>
    <w:rsid w:val="003F66B9"/>
    <w:rsid w:val="003F690C"/>
    <w:rsid w:val="003F6CEB"/>
    <w:rsid w:val="003F6E7F"/>
    <w:rsid w:val="00400119"/>
    <w:rsid w:val="00400B08"/>
    <w:rsid w:val="00400B4C"/>
    <w:rsid w:val="004018CE"/>
    <w:rsid w:val="00402005"/>
    <w:rsid w:val="00402B9E"/>
    <w:rsid w:val="00403CF4"/>
    <w:rsid w:val="0040449B"/>
    <w:rsid w:val="00407417"/>
    <w:rsid w:val="00411547"/>
    <w:rsid w:val="004121D2"/>
    <w:rsid w:val="00412675"/>
    <w:rsid w:val="0041463B"/>
    <w:rsid w:val="00415106"/>
    <w:rsid w:val="00415512"/>
    <w:rsid w:val="0041645A"/>
    <w:rsid w:val="0041645E"/>
    <w:rsid w:val="0042332C"/>
    <w:rsid w:val="0042375A"/>
    <w:rsid w:val="004262EB"/>
    <w:rsid w:val="004269D7"/>
    <w:rsid w:val="00426A7B"/>
    <w:rsid w:val="004302D7"/>
    <w:rsid w:val="00430F96"/>
    <w:rsid w:val="00431906"/>
    <w:rsid w:val="00432B1B"/>
    <w:rsid w:val="0043374D"/>
    <w:rsid w:val="004355C0"/>
    <w:rsid w:val="004365E6"/>
    <w:rsid w:val="004373BD"/>
    <w:rsid w:val="004379FA"/>
    <w:rsid w:val="00440563"/>
    <w:rsid w:val="0044168E"/>
    <w:rsid w:val="00442A6A"/>
    <w:rsid w:val="004441F8"/>
    <w:rsid w:val="00445788"/>
    <w:rsid w:val="00445D26"/>
    <w:rsid w:val="00446923"/>
    <w:rsid w:val="00447993"/>
    <w:rsid w:val="00450C92"/>
    <w:rsid w:val="004526A8"/>
    <w:rsid w:val="00452B54"/>
    <w:rsid w:val="004535DB"/>
    <w:rsid w:val="0045399E"/>
    <w:rsid w:val="00453AA3"/>
    <w:rsid w:val="00455F59"/>
    <w:rsid w:val="0045600D"/>
    <w:rsid w:val="00456345"/>
    <w:rsid w:val="0045681C"/>
    <w:rsid w:val="00456BB0"/>
    <w:rsid w:val="00457131"/>
    <w:rsid w:val="004575CF"/>
    <w:rsid w:val="004622E7"/>
    <w:rsid w:val="00463D67"/>
    <w:rsid w:val="0046628B"/>
    <w:rsid w:val="0046694B"/>
    <w:rsid w:val="00467DE8"/>
    <w:rsid w:val="00470EE0"/>
    <w:rsid w:val="00470F03"/>
    <w:rsid w:val="00471E42"/>
    <w:rsid w:val="004731C3"/>
    <w:rsid w:val="00473E47"/>
    <w:rsid w:val="00474E55"/>
    <w:rsid w:val="00475B93"/>
    <w:rsid w:val="00476C6B"/>
    <w:rsid w:val="00477A70"/>
    <w:rsid w:val="00482251"/>
    <w:rsid w:val="004823A8"/>
    <w:rsid w:val="00482C5D"/>
    <w:rsid w:val="00483E1A"/>
    <w:rsid w:val="00485557"/>
    <w:rsid w:val="0048712C"/>
    <w:rsid w:val="00490F90"/>
    <w:rsid w:val="00490FAD"/>
    <w:rsid w:val="00493BFF"/>
    <w:rsid w:val="00493ED1"/>
    <w:rsid w:val="00494152"/>
    <w:rsid w:val="0049565E"/>
    <w:rsid w:val="004957F2"/>
    <w:rsid w:val="00495F87"/>
    <w:rsid w:val="00496392"/>
    <w:rsid w:val="00497334"/>
    <w:rsid w:val="004977D4"/>
    <w:rsid w:val="004A0513"/>
    <w:rsid w:val="004A086D"/>
    <w:rsid w:val="004A0A1F"/>
    <w:rsid w:val="004A0A8F"/>
    <w:rsid w:val="004A132A"/>
    <w:rsid w:val="004A1591"/>
    <w:rsid w:val="004A226A"/>
    <w:rsid w:val="004A2441"/>
    <w:rsid w:val="004A501F"/>
    <w:rsid w:val="004A50A2"/>
    <w:rsid w:val="004A5DD1"/>
    <w:rsid w:val="004A67FA"/>
    <w:rsid w:val="004A73CF"/>
    <w:rsid w:val="004B05A0"/>
    <w:rsid w:val="004B089B"/>
    <w:rsid w:val="004B10C8"/>
    <w:rsid w:val="004B2861"/>
    <w:rsid w:val="004B2B47"/>
    <w:rsid w:val="004B47CA"/>
    <w:rsid w:val="004B5BED"/>
    <w:rsid w:val="004B7415"/>
    <w:rsid w:val="004C0CE6"/>
    <w:rsid w:val="004C1630"/>
    <w:rsid w:val="004C1F15"/>
    <w:rsid w:val="004C2561"/>
    <w:rsid w:val="004C28E2"/>
    <w:rsid w:val="004C3256"/>
    <w:rsid w:val="004C374D"/>
    <w:rsid w:val="004C3BCB"/>
    <w:rsid w:val="004C491C"/>
    <w:rsid w:val="004C5BEA"/>
    <w:rsid w:val="004C5E70"/>
    <w:rsid w:val="004C65A4"/>
    <w:rsid w:val="004C6941"/>
    <w:rsid w:val="004C6DB7"/>
    <w:rsid w:val="004C778B"/>
    <w:rsid w:val="004D104A"/>
    <w:rsid w:val="004D19BB"/>
    <w:rsid w:val="004D1AB9"/>
    <w:rsid w:val="004D30DF"/>
    <w:rsid w:val="004D3A34"/>
    <w:rsid w:val="004D3B11"/>
    <w:rsid w:val="004D3EF4"/>
    <w:rsid w:val="004D4A96"/>
    <w:rsid w:val="004D519E"/>
    <w:rsid w:val="004D6BC1"/>
    <w:rsid w:val="004D6C63"/>
    <w:rsid w:val="004D75F9"/>
    <w:rsid w:val="004E0E12"/>
    <w:rsid w:val="004E2E4E"/>
    <w:rsid w:val="004E34E4"/>
    <w:rsid w:val="004E36CF"/>
    <w:rsid w:val="004E402D"/>
    <w:rsid w:val="004E4197"/>
    <w:rsid w:val="004E41B4"/>
    <w:rsid w:val="004E448F"/>
    <w:rsid w:val="004E503D"/>
    <w:rsid w:val="004E5541"/>
    <w:rsid w:val="004E58FA"/>
    <w:rsid w:val="004E5D0A"/>
    <w:rsid w:val="004E67A9"/>
    <w:rsid w:val="004E6D7C"/>
    <w:rsid w:val="004E7CA1"/>
    <w:rsid w:val="004F0067"/>
    <w:rsid w:val="004F04BA"/>
    <w:rsid w:val="004F0610"/>
    <w:rsid w:val="004F5B02"/>
    <w:rsid w:val="004F697F"/>
    <w:rsid w:val="004F69E2"/>
    <w:rsid w:val="004F6E91"/>
    <w:rsid w:val="004F7A3B"/>
    <w:rsid w:val="0050006C"/>
    <w:rsid w:val="00501F31"/>
    <w:rsid w:val="005037B1"/>
    <w:rsid w:val="005045C4"/>
    <w:rsid w:val="005050D7"/>
    <w:rsid w:val="00505885"/>
    <w:rsid w:val="005064A6"/>
    <w:rsid w:val="00506F91"/>
    <w:rsid w:val="00511055"/>
    <w:rsid w:val="00511B0B"/>
    <w:rsid w:val="00512375"/>
    <w:rsid w:val="00512830"/>
    <w:rsid w:val="00513765"/>
    <w:rsid w:val="00513B48"/>
    <w:rsid w:val="00516368"/>
    <w:rsid w:val="00517697"/>
    <w:rsid w:val="0051770A"/>
    <w:rsid w:val="00517802"/>
    <w:rsid w:val="0052016C"/>
    <w:rsid w:val="00520DE2"/>
    <w:rsid w:val="00521BEF"/>
    <w:rsid w:val="00522B53"/>
    <w:rsid w:val="00523611"/>
    <w:rsid w:val="00523D0B"/>
    <w:rsid w:val="005276F4"/>
    <w:rsid w:val="00530766"/>
    <w:rsid w:val="005314BF"/>
    <w:rsid w:val="00531C8B"/>
    <w:rsid w:val="0053237B"/>
    <w:rsid w:val="00532CD3"/>
    <w:rsid w:val="0053321D"/>
    <w:rsid w:val="00534735"/>
    <w:rsid w:val="005354CB"/>
    <w:rsid w:val="00535569"/>
    <w:rsid w:val="00536DE4"/>
    <w:rsid w:val="00537D1C"/>
    <w:rsid w:val="00541683"/>
    <w:rsid w:val="0054339D"/>
    <w:rsid w:val="0054376C"/>
    <w:rsid w:val="00544584"/>
    <w:rsid w:val="00546AB8"/>
    <w:rsid w:val="00547F87"/>
    <w:rsid w:val="00550786"/>
    <w:rsid w:val="00552107"/>
    <w:rsid w:val="0055534C"/>
    <w:rsid w:val="00555A06"/>
    <w:rsid w:val="005569F2"/>
    <w:rsid w:val="00557225"/>
    <w:rsid w:val="00557DBF"/>
    <w:rsid w:val="00561038"/>
    <w:rsid w:val="00562B37"/>
    <w:rsid w:val="00563E6E"/>
    <w:rsid w:val="00564B2D"/>
    <w:rsid w:val="005662BB"/>
    <w:rsid w:val="00566947"/>
    <w:rsid w:val="0056698E"/>
    <w:rsid w:val="00570603"/>
    <w:rsid w:val="00570BCA"/>
    <w:rsid w:val="00571677"/>
    <w:rsid w:val="0057183F"/>
    <w:rsid w:val="005724C6"/>
    <w:rsid w:val="005738F6"/>
    <w:rsid w:val="0057390E"/>
    <w:rsid w:val="00574C17"/>
    <w:rsid w:val="005750B6"/>
    <w:rsid w:val="00575784"/>
    <w:rsid w:val="00575984"/>
    <w:rsid w:val="00576640"/>
    <w:rsid w:val="00576BB8"/>
    <w:rsid w:val="00577482"/>
    <w:rsid w:val="00577B9E"/>
    <w:rsid w:val="00580583"/>
    <w:rsid w:val="00581B1D"/>
    <w:rsid w:val="00582503"/>
    <w:rsid w:val="005852CF"/>
    <w:rsid w:val="00586035"/>
    <w:rsid w:val="00586CAD"/>
    <w:rsid w:val="0058737C"/>
    <w:rsid w:val="005907CB"/>
    <w:rsid w:val="00590C77"/>
    <w:rsid w:val="00590D34"/>
    <w:rsid w:val="00590E62"/>
    <w:rsid w:val="00591830"/>
    <w:rsid w:val="00591E57"/>
    <w:rsid w:val="00592A1F"/>
    <w:rsid w:val="0059601C"/>
    <w:rsid w:val="00596913"/>
    <w:rsid w:val="00596AF6"/>
    <w:rsid w:val="005970DA"/>
    <w:rsid w:val="005A04DE"/>
    <w:rsid w:val="005A08D9"/>
    <w:rsid w:val="005A0D7A"/>
    <w:rsid w:val="005A15AB"/>
    <w:rsid w:val="005A20F4"/>
    <w:rsid w:val="005A282E"/>
    <w:rsid w:val="005A4ECB"/>
    <w:rsid w:val="005B068A"/>
    <w:rsid w:val="005B2C7B"/>
    <w:rsid w:val="005B360B"/>
    <w:rsid w:val="005B4AEF"/>
    <w:rsid w:val="005B50E3"/>
    <w:rsid w:val="005B51A5"/>
    <w:rsid w:val="005B571F"/>
    <w:rsid w:val="005B5A17"/>
    <w:rsid w:val="005B6C68"/>
    <w:rsid w:val="005C03AA"/>
    <w:rsid w:val="005C0675"/>
    <w:rsid w:val="005C0857"/>
    <w:rsid w:val="005C1A3F"/>
    <w:rsid w:val="005C27F8"/>
    <w:rsid w:val="005C3FA2"/>
    <w:rsid w:val="005C4F17"/>
    <w:rsid w:val="005C58FA"/>
    <w:rsid w:val="005C5B9C"/>
    <w:rsid w:val="005C6139"/>
    <w:rsid w:val="005C7B5C"/>
    <w:rsid w:val="005D0542"/>
    <w:rsid w:val="005D0F30"/>
    <w:rsid w:val="005D1B8C"/>
    <w:rsid w:val="005D2BE2"/>
    <w:rsid w:val="005D3ACE"/>
    <w:rsid w:val="005D3C46"/>
    <w:rsid w:val="005D47F1"/>
    <w:rsid w:val="005D4CD5"/>
    <w:rsid w:val="005D5C69"/>
    <w:rsid w:val="005D6D24"/>
    <w:rsid w:val="005D73C4"/>
    <w:rsid w:val="005E1CB6"/>
    <w:rsid w:val="005E2498"/>
    <w:rsid w:val="005E2550"/>
    <w:rsid w:val="005E2674"/>
    <w:rsid w:val="005E28D0"/>
    <w:rsid w:val="005E4860"/>
    <w:rsid w:val="005E5C28"/>
    <w:rsid w:val="005E712C"/>
    <w:rsid w:val="005E725D"/>
    <w:rsid w:val="005F26AE"/>
    <w:rsid w:val="005F2750"/>
    <w:rsid w:val="005F2AAF"/>
    <w:rsid w:val="005F33D6"/>
    <w:rsid w:val="005F3547"/>
    <w:rsid w:val="005F54E0"/>
    <w:rsid w:val="005F6997"/>
    <w:rsid w:val="005F6D5D"/>
    <w:rsid w:val="00600B52"/>
    <w:rsid w:val="006010C1"/>
    <w:rsid w:val="00601137"/>
    <w:rsid w:val="00601586"/>
    <w:rsid w:val="00602503"/>
    <w:rsid w:val="00603E4E"/>
    <w:rsid w:val="00604AA2"/>
    <w:rsid w:val="00604B57"/>
    <w:rsid w:val="00605769"/>
    <w:rsid w:val="00606541"/>
    <w:rsid w:val="00606766"/>
    <w:rsid w:val="00606E4A"/>
    <w:rsid w:val="0060706B"/>
    <w:rsid w:val="00607C32"/>
    <w:rsid w:val="00607F69"/>
    <w:rsid w:val="00612665"/>
    <w:rsid w:val="00612739"/>
    <w:rsid w:val="00612A85"/>
    <w:rsid w:val="006151E4"/>
    <w:rsid w:val="006155D8"/>
    <w:rsid w:val="00615BEF"/>
    <w:rsid w:val="00615C51"/>
    <w:rsid w:val="006178D0"/>
    <w:rsid w:val="00621190"/>
    <w:rsid w:val="006221B8"/>
    <w:rsid w:val="0062334D"/>
    <w:rsid w:val="0062339E"/>
    <w:rsid w:val="006240A5"/>
    <w:rsid w:val="006247CC"/>
    <w:rsid w:val="00624B0C"/>
    <w:rsid w:val="00625439"/>
    <w:rsid w:val="006265C7"/>
    <w:rsid w:val="0062718C"/>
    <w:rsid w:val="006275BF"/>
    <w:rsid w:val="006304E2"/>
    <w:rsid w:val="00630913"/>
    <w:rsid w:val="00630D3F"/>
    <w:rsid w:val="00631812"/>
    <w:rsid w:val="00631848"/>
    <w:rsid w:val="006320C0"/>
    <w:rsid w:val="00632375"/>
    <w:rsid w:val="0063238E"/>
    <w:rsid w:val="006358D8"/>
    <w:rsid w:val="00635C4E"/>
    <w:rsid w:val="0063619F"/>
    <w:rsid w:val="006370AA"/>
    <w:rsid w:val="00637529"/>
    <w:rsid w:val="00640F4F"/>
    <w:rsid w:val="00641CA6"/>
    <w:rsid w:val="0064345F"/>
    <w:rsid w:val="006436E9"/>
    <w:rsid w:val="00645680"/>
    <w:rsid w:val="00645DBC"/>
    <w:rsid w:val="00645FCD"/>
    <w:rsid w:val="00646550"/>
    <w:rsid w:val="006468C7"/>
    <w:rsid w:val="00646D7E"/>
    <w:rsid w:val="00647000"/>
    <w:rsid w:val="006515E3"/>
    <w:rsid w:val="00651CB4"/>
    <w:rsid w:val="00652DE2"/>
    <w:rsid w:val="0065565E"/>
    <w:rsid w:val="006578D3"/>
    <w:rsid w:val="006607EC"/>
    <w:rsid w:val="00663840"/>
    <w:rsid w:val="00663EA5"/>
    <w:rsid w:val="00664FAB"/>
    <w:rsid w:val="006662E5"/>
    <w:rsid w:val="00666F87"/>
    <w:rsid w:val="00666FF2"/>
    <w:rsid w:val="00667FA2"/>
    <w:rsid w:val="00672E83"/>
    <w:rsid w:val="006737A8"/>
    <w:rsid w:val="00673A48"/>
    <w:rsid w:val="00674382"/>
    <w:rsid w:val="006747B5"/>
    <w:rsid w:val="00676256"/>
    <w:rsid w:val="00677358"/>
    <w:rsid w:val="00680BF4"/>
    <w:rsid w:val="0068119D"/>
    <w:rsid w:val="00681916"/>
    <w:rsid w:val="00682201"/>
    <w:rsid w:val="006826D8"/>
    <w:rsid w:val="0068440E"/>
    <w:rsid w:val="0068457D"/>
    <w:rsid w:val="006847B3"/>
    <w:rsid w:val="00685035"/>
    <w:rsid w:val="00685259"/>
    <w:rsid w:val="006852B1"/>
    <w:rsid w:val="006866EF"/>
    <w:rsid w:val="00686B60"/>
    <w:rsid w:val="0069061C"/>
    <w:rsid w:val="00691E23"/>
    <w:rsid w:val="006920A5"/>
    <w:rsid w:val="00693EFB"/>
    <w:rsid w:val="0069435B"/>
    <w:rsid w:val="006947DB"/>
    <w:rsid w:val="00694BEA"/>
    <w:rsid w:val="00694F37"/>
    <w:rsid w:val="00694FDC"/>
    <w:rsid w:val="00695BFE"/>
    <w:rsid w:val="00696A64"/>
    <w:rsid w:val="00697638"/>
    <w:rsid w:val="00697CF6"/>
    <w:rsid w:val="006A017A"/>
    <w:rsid w:val="006A0815"/>
    <w:rsid w:val="006A21BA"/>
    <w:rsid w:val="006A293C"/>
    <w:rsid w:val="006A2A30"/>
    <w:rsid w:val="006A3522"/>
    <w:rsid w:val="006A6FF6"/>
    <w:rsid w:val="006A7635"/>
    <w:rsid w:val="006A7F2E"/>
    <w:rsid w:val="006B01FF"/>
    <w:rsid w:val="006B104B"/>
    <w:rsid w:val="006B1477"/>
    <w:rsid w:val="006B225E"/>
    <w:rsid w:val="006B36A7"/>
    <w:rsid w:val="006B3E82"/>
    <w:rsid w:val="006B4D12"/>
    <w:rsid w:val="006B5D89"/>
    <w:rsid w:val="006B6BD3"/>
    <w:rsid w:val="006B7023"/>
    <w:rsid w:val="006B744B"/>
    <w:rsid w:val="006B7B20"/>
    <w:rsid w:val="006C114A"/>
    <w:rsid w:val="006C381C"/>
    <w:rsid w:val="006C5F62"/>
    <w:rsid w:val="006C64F7"/>
    <w:rsid w:val="006C6D29"/>
    <w:rsid w:val="006D0042"/>
    <w:rsid w:val="006D00B1"/>
    <w:rsid w:val="006D1F44"/>
    <w:rsid w:val="006D3A34"/>
    <w:rsid w:val="006D3B49"/>
    <w:rsid w:val="006D5C54"/>
    <w:rsid w:val="006D62EC"/>
    <w:rsid w:val="006D65C4"/>
    <w:rsid w:val="006D6897"/>
    <w:rsid w:val="006D7B36"/>
    <w:rsid w:val="006E01A1"/>
    <w:rsid w:val="006E0576"/>
    <w:rsid w:val="006E0BC9"/>
    <w:rsid w:val="006E0CE9"/>
    <w:rsid w:val="006E0DD8"/>
    <w:rsid w:val="006E174A"/>
    <w:rsid w:val="006E20A6"/>
    <w:rsid w:val="006E45C2"/>
    <w:rsid w:val="006E479C"/>
    <w:rsid w:val="006E548A"/>
    <w:rsid w:val="006E76AA"/>
    <w:rsid w:val="006E7CB5"/>
    <w:rsid w:val="006F0AD9"/>
    <w:rsid w:val="006F100E"/>
    <w:rsid w:val="006F1B2D"/>
    <w:rsid w:val="006F1D04"/>
    <w:rsid w:val="006F295F"/>
    <w:rsid w:val="006F3187"/>
    <w:rsid w:val="006F3ABB"/>
    <w:rsid w:val="006F627A"/>
    <w:rsid w:val="006F6F21"/>
    <w:rsid w:val="006F73F6"/>
    <w:rsid w:val="006F7F11"/>
    <w:rsid w:val="0070065C"/>
    <w:rsid w:val="00702468"/>
    <w:rsid w:val="0070291F"/>
    <w:rsid w:val="00702A9D"/>
    <w:rsid w:val="00703F3B"/>
    <w:rsid w:val="00704C32"/>
    <w:rsid w:val="00706245"/>
    <w:rsid w:val="007068D8"/>
    <w:rsid w:val="00707827"/>
    <w:rsid w:val="00707B53"/>
    <w:rsid w:val="007126D4"/>
    <w:rsid w:val="00713C30"/>
    <w:rsid w:val="00714699"/>
    <w:rsid w:val="0071691C"/>
    <w:rsid w:val="00716ABA"/>
    <w:rsid w:val="00720749"/>
    <w:rsid w:val="00723BA3"/>
    <w:rsid w:val="00723DD6"/>
    <w:rsid w:val="00725440"/>
    <w:rsid w:val="00725451"/>
    <w:rsid w:val="007261B4"/>
    <w:rsid w:val="00726883"/>
    <w:rsid w:val="00726966"/>
    <w:rsid w:val="007276C7"/>
    <w:rsid w:val="007300D3"/>
    <w:rsid w:val="0073024C"/>
    <w:rsid w:val="0073104E"/>
    <w:rsid w:val="00731FB5"/>
    <w:rsid w:val="0073201D"/>
    <w:rsid w:val="00732D16"/>
    <w:rsid w:val="007354A6"/>
    <w:rsid w:val="00735B89"/>
    <w:rsid w:val="00737B98"/>
    <w:rsid w:val="0074060B"/>
    <w:rsid w:val="0074150B"/>
    <w:rsid w:val="00741729"/>
    <w:rsid w:val="00742291"/>
    <w:rsid w:val="007429FC"/>
    <w:rsid w:val="00743382"/>
    <w:rsid w:val="0074476F"/>
    <w:rsid w:val="0074591F"/>
    <w:rsid w:val="00745B42"/>
    <w:rsid w:val="007460C7"/>
    <w:rsid w:val="007467BC"/>
    <w:rsid w:val="007473BD"/>
    <w:rsid w:val="00747984"/>
    <w:rsid w:val="00747B7D"/>
    <w:rsid w:val="00747CCC"/>
    <w:rsid w:val="0075025F"/>
    <w:rsid w:val="00751067"/>
    <w:rsid w:val="00752A2D"/>
    <w:rsid w:val="00753521"/>
    <w:rsid w:val="0075364F"/>
    <w:rsid w:val="007537F5"/>
    <w:rsid w:val="00755ECA"/>
    <w:rsid w:val="0075680A"/>
    <w:rsid w:val="00756979"/>
    <w:rsid w:val="00756E2D"/>
    <w:rsid w:val="00756F99"/>
    <w:rsid w:val="00760BC1"/>
    <w:rsid w:val="007614AC"/>
    <w:rsid w:val="0076370F"/>
    <w:rsid w:val="00765195"/>
    <w:rsid w:val="00766835"/>
    <w:rsid w:val="007700D9"/>
    <w:rsid w:val="007701A1"/>
    <w:rsid w:val="007722FE"/>
    <w:rsid w:val="00773438"/>
    <w:rsid w:val="007734C0"/>
    <w:rsid w:val="007735C8"/>
    <w:rsid w:val="00773FB3"/>
    <w:rsid w:val="00775890"/>
    <w:rsid w:val="00776599"/>
    <w:rsid w:val="007767E6"/>
    <w:rsid w:val="007774AE"/>
    <w:rsid w:val="0077757B"/>
    <w:rsid w:val="0077796E"/>
    <w:rsid w:val="00780282"/>
    <w:rsid w:val="007805E8"/>
    <w:rsid w:val="00780C28"/>
    <w:rsid w:val="00780E77"/>
    <w:rsid w:val="00782F24"/>
    <w:rsid w:val="00782F3F"/>
    <w:rsid w:val="00784F4D"/>
    <w:rsid w:val="007864E6"/>
    <w:rsid w:val="0079166C"/>
    <w:rsid w:val="007926D4"/>
    <w:rsid w:val="00792D25"/>
    <w:rsid w:val="00793DA9"/>
    <w:rsid w:val="0079461D"/>
    <w:rsid w:val="00795936"/>
    <w:rsid w:val="007972BE"/>
    <w:rsid w:val="00797758"/>
    <w:rsid w:val="007A560B"/>
    <w:rsid w:val="007A7C6D"/>
    <w:rsid w:val="007B0AA1"/>
    <w:rsid w:val="007B16FB"/>
    <w:rsid w:val="007B3CBE"/>
    <w:rsid w:val="007B43DD"/>
    <w:rsid w:val="007B5CAC"/>
    <w:rsid w:val="007B6095"/>
    <w:rsid w:val="007B6C10"/>
    <w:rsid w:val="007B7286"/>
    <w:rsid w:val="007C054E"/>
    <w:rsid w:val="007C0E1A"/>
    <w:rsid w:val="007C2D9F"/>
    <w:rsid w:val="007C2FBD"/>
    <w:rsid w:val="007C3597"/>
    <w:rsid w:val="007C4C12"/>
    <w:rsid w:val="007C4C25"/>
    <w:rsid w:val="007C5F1C"/>
    <w:rsid w:val="007C5F46"/>
    <w:rsid w:val="007C7C57"/>
    <w:rsid w:val="007D0381"/>
    <w:rsid w:val="007D16B9"/>
    <w:rsid w:val="007D170E"/>
    <w:rsid w:val="007D1BDA"/>
    <w:rsid w:val="007D264B"/>
    <w:rsid w:val="007D36BE"/>
    <w:rsid w:val="007D3C2B"/>
    <w:rsid w:val="007D464C"/>
    <w:rsid w:val="007D52E0"/>
    <w:rsid w:val="007D5889"/>
    <w:rsid w:val="007D6148"/>
    <w:rsid w:val="007E0126"/>
    <w:rsid w:val="007E12D9"/>
    <w:rsid w:val="007E1D65"/>
    <w:rsid w:val="007E30BC"/>
    <w:rsid w:val="007E4B4A"/>
    <w:rsid w:val="007E536C"/>
    <w:rsid w:val="007E74CF"/>
    <w:rsid w:val="007F0B24"/>
    <w:rsid w:val="007F14ED"/>
    <w:rsid w:val="007F1F38"/>
    <w:rsid w:val="007F3E86"/>
    <w:rsid w:val="007F459D"/>
    <w:rsid w:val="007F4C54"/>
    <w:rsid w:val="007F540F"/>
    <w:rsid w:val="00800B74"/>
    <w:rsid w:val="008014D6"/>
    <w:rsid w:val="00803FB5"/>
    <w:rsid w:val="00804180"/>
    <w:rsid w:val="008042D6"/>
    <w:rsid w:val="00805F45"/>
    <w:rsid w:val="00806EFA"/>
    <w:rsid w:val="00807C2C"/>
    <w:rsid w:val="0081044C"/>
    <w:rsid w:val="00810C80"/>
    <w:rsid w:val="008118CC"/>
    <w:rsid w:val="00812D0E"/>
    <w:rsid w:val="00816209"/>
    <w:rsid w:val="008165A7"/>
    <w:rsid w:val="0081662C"/>
    <w:rsid w:val="00816BDB"/>
    <w:rsid w:val="00820A24"/>
    <w:rsid w:val="008233A0"/>
    <w:rsid w:val="00823A4C"/>
    <w:rsid w:val="0082688A"/>
    <w:rsid w:val="008312E1"/>
    <w:rsid w:val="008317A1"/>
    <w:rsid w:val="0083219E"/>
    <w:rsid w:val="008322F3"/>
    <w:rsid w:val="00834815"/>
    <w:rsid w:val="00834995"/>
    <w:rsid w:val="00836D98"/>
    <w:rsid w:val="00840EFB"/>
    <w:rsid w:val="00841EB4"/>
    <w:rsid w:val="0084255A"/>
    <w:rsid w:val="00843546"/>
    <w:rsid w:val="00845568"/>
    <w:rsid w:val="008462FE"/>
    <w:rsid w:val="00846CAB"/>
    <w:rsid w:val="0085177C"/>
    <w:rsid w:val="00853454"/>
    <w:rsid w:val="008547AA"/>
    <w:rsid w:val="00855CC2"/>
    <w:rsid w:val="00856FE8"/>
    <w:rsid w:val="0086098A"/>
    <w:rsid w:val="00860D64"/>
    <w:rsid w:val="008627E0"/>
    <w:rsid w:val="00862943"/>
    <w:rsid w:val="008634AA"/>
    <w:rsid w:val="0086363E"/>
    <w:rsid w:val="008640F5"/>
    <w:rsid w:val="008644BD"/>
    <w:rsid w:val="008647B7"/>
    <w:rsid w:val="00865627"/>
    <w:rsid w:val="00865C1B"/>
    <w:rsid w:val="00865C73"/>
    <w:rsid w:val="00865CA2"/>
    <w:rsid w:val="00870DBC"/>
    <w:rsid w:val="00871729"/>
    <w:rsid w:val="00871945"/>
    <w:rsid w:val="00871A8D"/>
    <w:rsid w:val="00872450"/>
    <w:rsid w:val="008732EE"/>
    <w:rsid w:val="008747AB"/>
    <w:rsid w:val="008752DA"/>
    <w:rsid w:val="00876794"/>
    <w:rsid w:val="00876AD7"/>
    <w:rsid w:val="00876BB6"/>
    <w:rsid w:val="0088037E"/>
    <w:rsid w:val="00882481"/>
    <w:rsid w:val="0088270E"/>
    <w:rsid w:val="008828D8"/>
    <w:rsid w:val="00882B12"/>
    <w:rsid w:val="008839D7"/>
    <w:rsid w:val="00883BD5"/>
    <w:rsid w:val="0088494D"/>
    <w:rsid w:val="00885162"/>
    <w:rsid w:val="0088538F"/>
    <w:rsid w:val="0088600A"/>
    <w:rsid w:val="00886BEE"/>
    <w:rsid w:val="0088786C"/>
    <w:rsid w:val="00890CD0"/>
    <w:rsid w:val="0089182F"/>
    <w:rsid w:val="00891DDA"/>
    <w:rsid w:val="00891FB6"/>
    <w:rsid w:val="00892174"/>
    <w:rsid w:val="00893197"/>
    <w:rsid w:val="008931DB"/>
    <w:rsid w:val="008940AA"/>
    <w:rsid w:val="00894760"/>
    <w:rsid w:val="0089583A"/>
    <w:rsid w:val="00895B5C"/>
    <w:rsid w:val="00895DB3"/>
    <w:rsid w:val="0089605B"/>
    <w:rsid w:val="008978F8"/>
    <w:rsid w:val="008A1885"/>
    <w:rsid w:val="008A1DB7"/>
    <w:rsid w:val="008A1F9A"/>
    <w:rsid w:val="008A3E70"/>
    <w:rsid w:val="008A5423"/>
    <w:rsid w:val="008A5762"/>
    <w:rsid w:val="008A6AB5"/>
    <w:rsid w:val="008A6BC0"/>
    <w:rsid w:val="008A6DE0"/>
    <w:rsid w:val="008A7B9E"/>
    <w:rsid w:val="008A7E7D"/>
    <w:rsid w:val="008B0486"/>
    <w:rsid w:val="008B0F02"/>
    <w:rsid w:val="008B1647"/>
    <w:rsid w:val="008B26B3"/>
    <w:rsid w:val="008B5A18"/>
    <w:rsid w:val="008B7D08"/>
    <w:rsid w:val="008C2F43"/>
    <w:rsid w:val="008C3DA9"/>
    <w:rsid w:val="008C63D5"/>
    <w:rsid w:val="008C7CAF"/>
    <w:rsid w:val="008D1C8F"/>
    <w:rsid w:val="008D2B38"/>
    <w:rsid w:val="008D4D11"/>
    <w:rsid w:val="008D4E8D"/>
    <w:rsid w:val="008D5F2E"/>
    <w:rsid w:val="008D68A8"/>
    <w:rsid w:val="008D758E"/>
    <w:rsid w:val="008E08F4"/>
    <w:rsid w:val="008E1C38"/>
    <w:rsid w:val="008E2662"/>
    <w:rsid w:val="008E2D70"/>
    <w:rsid w:val="008E3256"/>
    <w:rsid w:val="008E4BCA"/>
    <w:rsid w:val="008E6E6D"/>
    <w:rsid w:val="008E6EF1"/>
    <w:rsid w:val="008F1393"/>
    <w:rsid w:val="008F4993"/>
    <w:rsid w:val="008F7047"/>
    <w:rsid w:val="008F73DF"/>
    <w:rsid w:val="008F7637"/>
    <w:rsid w:val="008F78EE"/>
    <w:rsid w:val="008F7C00"/>
    <w:rsid w:val="00900392"/>
    <w:rsid w:val="00900B0B"/>
    <w:rsid w:val="00901280"/>
    <w:rsid w:val="0090246D"/>
    <w:rsid w:val="00902C1D"/>
    <w:rsid w:val="00903A5F"/>
    <w:rsid w:val="00903C11"/>
    <w:rsid w:val="00903DF4"/>
    <w:rsid w:val="00904897"/>
    <w:rsid w:val="00904E2C"/>
    <w:rsid w:val="0090533F"/>
    <w:rsid w:val="00905CC7"/>
    <w:rsid w:val="00906CF4"/>
    <w:rsid w:val="00907068"/>
    <w:rsid w:val="00910104"/>
    <w:rsid w:val="009113C8"/>
    <w:rsid w:val="009122C7"/>
    <w:rsid w:val="009122FF"/>
    <w:rsid w:val="009126D5"/>
    <w:rsid w:val="00913A0B"/>
    <w:rsid w:val="00914FAD"/>
    <w:rsid w:val="009162C9"/>
    <w:rsid w:val="00921C98"/>
    <w:rsid w:val="00923A34"/>
    <w:rsid w:val="00923E71"/>
    <w:rsid w:val="00924C8C"/>
    <w:rsid w:val="00925889"/>
    <w:rsid w:val="009261CD"/>
    <w:rsid w:val="009276FF"/>
    <w:rsid w:val="00932D66"/>
    <w:rsid w:val="00932FE4"/>
    <w:rsid w:val="009339D5"/>
    <w:rsid w:val="0093561C"/>
    <w:rsid w:val="009404CA"/>
    <w:rsid w:val="0094060A"/>
    <w:rsid w:val="0094204E"/>
    <w:rsid w:val="00942F13"/>
    <w:rsid w:val="00943106"/>
    <w:rsid w:val="00951269"/>
    <w:rsid w:val="00951E89"/>
    <w:rsid w:val="00955195"/>
    <w:rsid w:val="00955493"/>
    <w:rsid w:val="009560F7"/>
    <w:rsid w:val="00957E50"/>
    <w:rsid w:val="00957E80"/>
    <w:rsid w:val="00957FA9"/>
    <w:rsid w:val="00960F02"/>
    <w:rsid w:val="00961331"/>
    <w:rsid w:val="00962248"/>
    <w:rsid w:val="00962B4A"/>
    <w:rsid w:val="00963CAA"/>
    <w:rsid w:val="00964265"/>
    <w:rsid w:val="009643AA"/>
    <w:rsid w:val="00964989"/>
    <w:rsid w:val="009657C4"/>
    <w:rsid w:val="0096705D"/>
    <w:rsid w:val="009670EE"/>
    <w:rsid w:val="00970216"/>
    <w:rsid w:val="00970DB3"/>
    <w:rsid w:val="00970F02"/>
    <w:rsid w:val="0097241F"/>
    <w:rsid w:val="00973460"/>
    <w:rsid w:val="00973487"/>
    <w:rsid w:val="00973F76"/>
    <w:rsid w:val="009752F5"/>
    <w:rsid w:val="00975E14"/>
    <w:rsid w:val="00977D1D"/>
    <w:rsid w:val="00977F77"/>
    <w:rsid w:val="00977FD2"/>
    <w:rsid w:val="00981A1D"/>
    <w:rsid w:val="00981F29"/>
    <w:rsid w:val="00982874"/>
    <w:rsid w:val="009835DF"/>
    <w:rsid w:val="00987270"/>
    <w:rsid w:val="009906A1"/>
    <w:rsid w:val="0099145B"/>
    <w:rsid w:val="00992141"/>
    <w:rsid w:val="0099398F"/>
    <w:rsid w:val="009941AC"/>
    <w:rsid w:val="00994FF7"/>
    <w:rsid w:val="0099551A"/>
    <w:rsid w:val="009960FC"/>
    <w:rsid w:val="00997AAE"/>
    <w:rsid w:val="009A0A6B"/>
    <w:rsid w:val="009A1C7C"/>
    <w:rsid w:val="009A2120"/>
    <w:rsid w:val="009A2C39"/>
    <w:rsid w:val="009A3CDF"/>
    <w:rsid w:val="009A4A6D"/>
    <w:rsid w:val="009A4D79"/>
    <w:rsid w:val="009B1EC7"/>
    <w:rsid w:val="009B2C44"/>
    <w:rsid w:val="009B4B2D"/>
    <w:rsid w:val="009B666D"/>
    <w:rsid w:val="009B6C96"/>
    <w:rsid w:val="009B70CD"/>
    <w:rsid w:val="009C0CC3"/>
    <w:rsid w:val="009C24D1"/>
    <w:rsid w:val="009C3F73"/>
    <w:rsid w:val="009C46CF"/>
    <w:rsid w:val="009C4B94"/>
    <w:rsid w:val="009C4BF5"/>
    <w:rsid w:val="009C5A8F"/>
    <w:rsid w:val="009C61C1"/>
    <w:rsid w:val="009C68AE"/>
    <w:rsid w:val="009C73C2"/>
    <w:rsid w:val="009C7671"/>
    <w:rsid w:val="009D1C3B"/>
    <w:rsid w:val="009D2303"/>
    <w:rsid w:val="009D2BE5"/>
    <w:rsid w:val="009D488C"/>
    <w:rsid w:val="009D5892"/>
    <w:rsid w:val="009D6FF6"/>
    <w:rsid w:val="009D70D5"/>
    <w:rsid w:val="009D7BEC"/>
    <w:rsid w:val="009E0889"/>
    <w:rsid w:val="009E172B"/>
    <w:rsid w:val="009E2563"/>
    <w:rsid w:val="009E286E"/>
    <w:rsid w:val="009E29A9"/>
    <w:rsid w:val="009E3299"/>
    <w:rsid w:val="009E3534"/>
    <w:rsid w:val="009E3BB0"/>
    <w:rsid w:val="009E4801"/>
    <w:rsid w:val="009E503F"/>
    <w:rsid w:val="009E5551"/>
    <w:rsid w:val="009E567D"/>
    <w:rsid w:val="009E7CCA"/>
    <w:rsid w:val="009F0038"/>
    <w:rsid w:val="009F0453"/>
    <w:rsid w:val="009F0517"/>
    <w:rsid w:val="009F3055"/>
    <w:rsid w:val="009F3349"/>
    <w:rsid w:val="009F452E"/>
    <w:rsid w:val="009F494C"/>
    <w:rsid w:val="009F4BFF"/>
    <w:rsid w:val="00A00361"/>
    <w:rsid w:val="00A033E0"/>
    <w:rsid w:val="00A04880"/>
    <w:rsid w:val="00A052A0"/>
    <w:rsid w:val="00A0638C"/>
    <w:rsid w:val="00A066D6"/>
    <w:rsid w:val="00A10927"/>
    <w:rsid w:val="00A111CF"/>
    <w:rsid w:val="00A11D10"/>
    <w:rsid w:val="00A130DB"/>
    <w:rsid w:val="00A15149"/>
    <w:rsid w:val="00A1526B"/>
    <w:rsid w:val="00A15923"/>
    <w:rsid w:val="00A20E44"/>
    <w:rsid w:val="00A217D4"/>
    <w:rsid w:val="00A2298F"/>
    <w:rsid w:val="00A23532"/>
    <w:rsid w:val="00A24553"/>
    <w:rsid w:val="00A2531E"/>
    <w:rsid w:val="00A305C1"/>
    <w:rsid w:val="00A3078B"/>
    <w:rsid w:val="00A3451C"/>
    <w:rsid w:val="00A3464F"/>
    <w:rsid w:val="00A35104"/>
    <w:rsid w:val="00A3523F"/>
    <w:rsid w:val="00A36B4F"/>
    <w:rsid w:val="00A373C6"/>
    <w:rsid w:val="00A41BC2"/>
    <w:rsid w:val="00A42310"/>
    <w:rsid w:val="00A427F3"/>
    <w:rsid w:val="00A42E5C"/>
    <w:rsid w:val="00A45EEA"/>
    <w:rsid w:val="00A4683B"/>
    <w:rsid w:val="00A50FA4"/>
    <w:rsid w:val="00A51B79"/>
    <w:rsid w:val="00A51C54"/>
    <w:rsid w:val="00A520A5"/>
    <w:rsid w:val="00A529EF"/>
    <w:rsid w:val="00A53C26"/>
    <w:rsid w:val="00A54466"/>
    <w:rsid w:val="00A5488D"/>
    <w:rsid w:val="00A55973"/>
    <w:rsid w:val="00A57911"/>
    <w:rsid w:val="00A6187A"/>
    <w:rsid w:val="00A6281A"/>
    <w:rsid w:val="00A6468C"/>
    <w:rsid w:val="00A65254"/>
    <w:rsid w:val="00A65643"/>
    <w:rsid w:val="00A660FE"/>
    <w:rsid w:val="00A70089"/>
    <w:rsid w:val="00A70469"/>
    <w:rsid w:val="00A71CBB"/>
    <w:rsid w:val="00A72000"/>
    <w:rsid w:val="00A72001"/>
    <w:rsid w:val="00A72521"/>
    <w:rsid w:val="00A72909"/>
    <w:rsid w:val="00A7317A"/>
    <w:rsid w:val="00A731D9"/>
    <w:rsid w:val="00A74356"/>
    <w:rsid w:val="00A76366"/>
    <w:rsid w:val="00A763B0"/>
    <w:rsid w:val="00A771B8"/>
    <w:rsid w:val="00A77735"/>
    <w:rsid w:val="00A80206"/>
    <w:rsid w:val="00A823D8"/>
    <w:rsid w:val="00A82AD0"/>
    <w:rsid w:val="00A82F91"/>
    <w:rsid w:val="00A83334"/>
    <w:rsid w:val="00A853D8"/>
    <w:rsid w:val="00A8631F"/>
    <w:rsid w:val="00A86A7F"/>
    <w:rsid w:val="00A86C13"/>
    <w:rsid w:val="00A87FC1"/>
    <w:rsid w:val="00A906C4"/>
    <w:rsid w:val="00A90AD6"/>
    <w:rsid w:val="00A90F83"/>
    <w:rsid w:val="00A91ED1"/>
    <w:rsid w:val="00A92D4F"/>
    <w:rsid w:val="00A92E97"/>
    <w:rsid w:val="00A92F54"/>
    <w:rsid w:val="00A93262"/>
    <w:rsid w:val="00A93BA8"/>
    <w:rsid w:val="00A941C9"/>
    <w:rsid w:val="00A94A95"/>
    <w:rsid w:val="00A94B10"/>
    <w:rsid w:val="00A9609C"/>
    <w:rsid w:val="00AA095D"/>
    <w:rsid w:val="00AA0FCC"/>
    <w:rsid w:val="00AA1A65"/>
    <w:rsid w:val="00AA3A2F"/>
    <w:rsid w:val="00AA7824"/>
    <w:rsid w:val="00AB25A2"/>
    <w:rsid w:val="00AB453D"/>
    <w:rsid w:val="00AB4AC0"/>
    <w:rsid w:val="00AB5305"/>
    <w:rsid w:val="00AB61E8"/>
    <w:rsid w:val="00AB697F"/>
    <w:rsid w:val="00AB71F8"/>
    <w:rsid w:val="00AB7341"/>
    <w:rsid w:val="00AB794E"/>
    <w:rsid w:val="00AC0A7B"/>
    <w:rsid w:val="00AC0F84"/>
    <w:rsid w:val="00AC1850"/>
    <w:rsid w:val="00AC35AD"/>
    <w:rsid w:val="00AC43B7"/>
    <w:rsid w:val="00AC46CD"/>
    <w:rsid w:val="00AC480B"/>
    <w:rsid w:val="00AC58EC"/>
    <w:rsid w:val="00AC6397"/>
    <w:rsid w:val="00AC7464"/>
    <w:rsid w:val="00AD2C05"/>
    <w:rsid w:val="00AD3346"/>
    <w:rsid w:val="00AD3943"/>
    <w:rsid w:val="00AD46B2"/>
    <w:rsid w:val="00AD6E34"/>
    <w:rsid w:val="00AD6F7C"/>
    <w:rsid w:val="00AD7B2E"/>
    <w:rsid w:val="00AD7D95"/>
    <w:rsid w:val="00AE2519"/>
    <w:rsid w:val="00AE26D8"/>
    <w:rsid w:val="00AE287D"/>
    <w:rsid w:val="00AE327C"/>
    <w:rsid w:val="00AE3706"/>
    <w:rsid w:val="00AE3781"/>
    <w:rsid w:val="00AE40DF"/>
    <w:rsid w:val="00AE5177"/>
    <w:rsid w:val="00AE7FB2"/>
    <w:rsid w:val="00AF1118"/>
    <w:rsid w:val="00AF2192"/>
    <w:rsid w:val="00AF2978"/>
    <w:rsid w:val="00AF78BE"/>
    <w:rsid w:val="00AF7BF7"/>
    <w:rsid w:val="00B000B4"/>
    <w:rsid w:val="00B003E5"/>
    <w:rsid w:val="00B00968"/>
    <w:rsid w:val="00B0110D"/>
    <w:rsid w:val="00B01585"/>
    <w:rsid w:val="00B017ED"/>
    <w:rsid w:val="00B0231B"/>
    <w:rsid w:val="00B0299C"/>
    <w:rsid w:val="00B0303E"/>
    <w:rsid w:val="00B04856"/>
    <w:rsid w:val="00B06829"/>
    <w:rsid w:val="00B06ADB"/>
    <w:rsid w:val="00B0730E"/>
    <w:rsid w:val="00B07D6C"/>
    <w:rsid w:val="00B109AE"/>
    <w:rsid w:val="00B11680"/>
    <w:rsid w:val="00B12160"/>
    <w:rsid w:val="00B12185"/>
    <w:rsid w:val="00B13283"/>
    <w:rsid w:val="00B13E0B"/>
    <w:rsid w:val="00B142E2"/>
    <w:rsid w:val="00B14AB6"/>
    <w:rsid w:val="00B1761B"/>
    <w:rsid w:val="00B178CB"/>
    <w:rsid w:val="00B20207"/>
    <w:rsid w:val="00B21218"/>
    <w:rsid w:val="00B21266"/>
    <w:rsid w:val="00B228A4"/>
    <w:rsid w:val="00B22EE8"/>
    <w:rsid w:val="00B23391"/>
    <w:rsid w:val="00B238C6"/>
    <w:rsid w:val="00B2448E"/>
    <w:rsid w:val="00B244DF"/>
    <w:rsid w:val="00B25E48"/>
    <w:rsid w:val="00B2649F"/>
    <w:rsid w:val="00B2798E"/>
    <w:rsid w:val="00B30F99"/>
    <w:rsid w:val="00B3188A"/>
    <w:rsid w:val="00B31B34"/>
    <w:rsid w:val="00B33FD3"/>
    <w:rsid w:val="00B34CE3"/>
    <w:rsid w:val="00B37073"/>
    <w:rsid w:val="00B375FE"/>
    <w:rsid w:val="00B37980"/>
    <w:rsid w:val="00B40137"/>
    <w:rsid w:val="00B40795"/>
    <w:rsid w:val="00B4141B"/>
    <w:rsid w:val="00B45383"/>
    <w:rsid w:val="00B51E4F"/>
    <w:rsid w:val="00B54243"/>
    <w:rsid w:val="00B547F2"/>
    <w:rsid w:val="00B56DF2"/>
    <w:rsid w:val="00B572AE"/>
    <w:rsid w:val="00B615CA"/>
    <w:rsid w:val="00B6180B"/>
    <w:rsid w:val="00B61AEF"/>
    <w:rsid w:val="00B6315E"/>
    <w:rsid w:val="00B64711"/>
    <w:rsid w:val="00B66E14"/>
    <w:rsid w:val="00B67419"/>
    <w:rsid w:val="00B72D56"/>
    <w:rsid w:val="00B7600B"/>
    <w:rsid w:val="00B77042"/>
    <w:rsid w:val="00B77115"/>
    <w:rsid w:val="00B7774D"/>
    <w:rsid w:val="00B777B6"/>
    <w:rsid w:val="00B7788E"/>
    <w:rsid w:val="00B80157"/>
    <w:rsid w:val="00B8288D"/>
    <w:rsid w:val="00B83AFD"/>
    <w:rsid w:val="00B841B2"/>
    <w:rsid w:val="00B864CE"/>
    <w:rsid w:val="00B90064"/>
    <w:rsid w:val="00B9436C"/>
    <w:rsid w:val="00B94C72"/>
    <w:rsid w:val="00B96FA8"/>
    <w:rsid w:val="00B972C3"/>
    <w:rsid w:val="00B9742A"/>
    <w:rsid w:val="00BA2816"/>
    <w:rsid w:val="00BA2887"/>
    <w:rsid w:val="00BA3731"/>
    <w:rsid w:val="00BA60F4"/>
    <w:rsid w:val="00BA63FA"/>
    <w:rsid w:val="00BB03A1"/>
    <w:rsid w:val="00BB1B09"/>
    <w:rsid w:val="00BB6146"/>
    <w:rsid w:val="00BB76FF"/>
    <w:rsid w:val="00BC08D7"/>
    <w:rsid w:val="00BC0BDA"/>
    <w:rsid w:val="00BC0CB8"/>
    <w:rsid w:val="00BC1F95"/>
    <w:rsid w:val="00BC5266"/>
    <w:rsid w:val="00BC550E"/>
    <w:rsid w:val="00BC676D"/>
    <w:rsid w:val="00BC6C71"/>
    <w:rsid w:val="00BD0C58"/>
    <w:rsid w:val="00BD1A41"/>
    <w:rsid w:val="00BD1E9B"/>
    <w:rsid w:val="00BD2C0F"/>
    <w:rsid w:val="00BD32C4"/>
    <w:rsid w:val="00BD4B79"/>
    <w:rsid w:val="00BD5CFC"/>
    <w:rsid w:val="00BD6D8A"/>
    <w:rsid w:val="00BE09E7"/>
    <w:rsid w:val="00BE0B27"/>
    <w:rsid w:val="00BE3CBE"/>
    <w:rsid w:val="00BE4655"/>
    <w:rsid w:val="00BE481D"/>
    <w:rsid w:val="00BE5543"/>
    <w:rsid w:val="00BE57DC"/>
    <w:rsid w:val="00BE6DE7"/>
    <w:rsid w:val="00BE7EF4"/>
    <w:rsid w:val="00BF0440"/>
    <w:rsid w:val="00BF1451"/>
    <w:rsid w:val="00BF1DD4"/>
    <w:rsid w:val="00BF212D"/>
    <w:rsid w:val="00BF2A40"/>
    <w:rsid w:val="00BF2B97"/>
    <w:rsid w:val="00BF34A6"/>
    <w:rsid w:val="00BF3F24"/>
    <w:rsid w:val="00BF47B2"/>
    <w:rsid w:val="00BF74D9"/>
    <w:rsid w:val="00C00022"/>
    <w:rsid w:val="00C00693"/>
    <w:rsid w:val="00C00CAD"/>
    <w:rsid w:val="00C02CA3"/>
    <w:rsid w:val="00C03029"/>
    <w:rsid w:val="00C03543"/>
    <w:rsid w:val="00C03634"/>
    <w:rsid w:val="00C06E3D"/>
    <w:rsid w:val="00C072A7"/>
    <w:rsid w:val="00C07A06"/>
    <w:rsid w:val="00C07E72"/>
    <w:rsid w:val="00C10F12"/>
    <w:rsid w:val="00C1105B"/>
    <w:rsid w:val="00C114A1"/>
    <w:rsid w:val="00C12678"/>
    <w:rsid w:val="00C1381D"/>
    <w:rsid w:val="00C142A2"/>
    <w:rsid w:val="00C15FAE"/>
    <w:rsid w:val="00C162D7"/>
    <w:rsid w:val="00C16D89"/>
    <w:rsid w:val="00C17A77"/>
    <w:rsid w:val="00C17E7F"/>
    <w:rsid w:val="00C20155"/>
    <w:rsid w:val="00C21D0E"/>
    <w:rsid w:val="00C22D3A"/>
    <w:rsid w:val="00C22FE5"/>
    <w:rsid w:val="00C231AE"/>
    <w:rsid w:val="00C23B58"/>
    <w:rsid w:val="00C24A5D"/>
    <w:rsid w:val="00C2725E"/>
    <w:rsid w:val="00C2751F"/>
    <w:rsid w:val="00C27607"/>
    <w:rsid w:val="00C27B38"/>
    <w:rsid w:val="00C27DAE"/>
    <w:rsid w:val="00C3097B"/>
    <w:rsid w:val="00C318CC"/>
    <w:rsid w:val="00C31A98"/>
    <w:rsid w:val="00C322CF"/>
    <w:rsid w:val="00C334D2"/>
    <w:rsid w:val="00C355F9"/>
    <w:rsid w:val="00C37DD1"/>
    <w:rsid w:val="00C41C4B"/>
    <w:rsid w:val="00C435B1"/>
    <w:rsid w:val="00C46226"/>
    <w:rsid w:val="00C46BB5"/>
    <w:rsid w:val="00C46FD6"/>
    <w:rsid w:val="00C52420"/>
    <w:rsid w:val="00C54B0E"/>
    <w:rsid w:val="00C553AA"/>
    <w:rsid w:val="00C55AE0"/>
    <w:rsid w:val="00C5625A"/>
    <w:rsid w:val="00C573FF"/>
    <w:rsid w:val="00C61B57"/>
    <w:rsid w:val="00C632B7"/>
    <w:rsid w:val="00C63FEB"/>
    <w:rsid w:val="00C667B7"/>
    <w:rsid w:val="00C6722E"/>
    <w:rsid w:val="00C67616"/>
    <w:rsid w:val="00C67D4C"/>
    <w:rsid w:val="00C73ADB"/>
    <w:rsid w:val="00C74577"/>
    <w:rsid w:val="00C75F54"/>
    <w:rsid w:val="00C7732C"/>
    <w:rsid w:val="00C776A4"/>
    <w:rsid w:val="00C777DB"/>
    <w:rsid w:val="00C7784F"/>
    <w:rsid w:val="00C822AC"/>
    <w:rsid w:val="00C8257D"/>
    <w:rsid w:val="00C82935"/>
    <w:rsid w:val="00C83926"/>
    <w:rsid w:val="00C85411"/>
    <w:rsid w:val="00C85FA5"/>
    <w:rsid w:val="00C8744F"/>
    <w:rsid w:val="00C874A3"/>
    <w:rsid w:val="00C90AB3"/>
    <w:rsid w:val="00C9223E"/>
    <w:rsid w:val="00C9291B"/>
    <w:rsid w:val="00C92E50"/>
    <w:rsid w:val="00C92F07"/>
    <w:rsid w:val="00C932A6"/>
    <w:rsid w:val="00C94517"/>
    <w:rsid w:val="00C946CD"/>
    <w:rsid w:val="00C94918"/>
    <w:rsid w:val="00C95AC9"/>
    <w:rsid w:val="00C970E7"/>
    <w:rsid w:val="00CA1EA9"/>
    <w:rsid w:val="00CA4582"/>
    <w:rsid w:val="00CA46E0"/>
    <w:rsid w:val="00CA5261"/>
    <w:rsid w:val="00CA7EC8"/>
    <w:rsid w:val="00CB0B37"/>
    <w:rsid w:val="00CB291E"/>
    <w:rsid w:val="00CB43A0"/>
    <w:rsid w:val="00CB43F9"/>
    <w:rsid w:val="00CB450A"/>
    <w:rsid w:val="00CB4929"/>
    <w:rsid w:val="00CB57FD"/>
    <w:rsid w:val="00CB7180"/>
    <w:rsid w:val="00CB7398"/>
    <w:rsid w:val="00CB7458"/>
    <w:rsid w:val="00CB7A69"/>
    <w:rsid w:val="00CC2547"/>
    <w:rsid w:val="00CC4CC1"/>
    <w:rsid w:val="00CC57A4"/>
    <w:rsid w:val="00CC7256"/>
    <w:rsid w:val="00CC7CE6"/>
    <w:rsid w:val="00CC7DC5"/>
    <w:rsid w:val="00CD0591"/>
    <w:rsid w:val="00CD2DC1"/>
    <w:rsid w:val="00CD39FD"/>
    <w:rsid w:val="00CD3F0A"/>
    <w:rsid w:val="00CD4AF2"/>
    <w:rsid w:val="00CD4F61"/>
    <w:rsid w:val="00CD4F89"/>
    <w:rsid w:val="00CD60A4"/>
    <w:rsid w:val="00CD68C4"/>
    <w:rsid w:val="00CE023D"/>
    <w:rsid w:val="00CE2098"/>
    <w:rsid w:val="00CE23CC"/>
    <w:rsid w:val="00CE30A4"/>
    <w:rsid w:val="00CE3E03"/>
    <w:rsid w:val="00CE43F5"/>
    <w:rsid w:val="00CE4EC6"/>
    <w:rsid w:val="00CE5B70"/>
    <w:rsid w:val="00CE7443"/>
    <w:rsid w:val="00CF077D"/>
    <w:rsid w:val="00CF0C44"/>
    <w:rsid w:val="00CF35CA"/>
    <w:rsid w:val="00CF5FDE"/>
    <w:rsid w:val="00CF7FE2"/>
    <w:rsid w:val="00D004B2"/>
    <w:rsid w:val="00D0193E"/>
    <w:rsid w:val="00D01EA1"/>
    <w:rsid w:val="00D023B2"/>
    <w:rsid w:val="00D03145"/>
    <w:rsid w:val="00D05466"/>
    <w:rsid w:val="00D06353"/>
    <w:rsid w:val="00D07419"/>
    <w:rsid w:val="00D077BD"/>
    <w:rsid w:val="00D077F4"/>
    <w:rsid w:val="00D079A1"/>
    <w:rsid w:val="00D1216A"/>
    <w:rsid w:val="00D12941"/>
    <w:rsid w:val="00D149C8"/>
    <w:rsid w:val="00D152AE"/>
    <w:rsid w:val="00D16DF4"/>
    <w:rsid w:val="00D201CB"/>
    <w:rsid w:val="00D23DDD"/>
    <w:rsid w:val="00D2636B"/>
    <w:rsid w:val="00D27D40"/>
    <w:rsid w:val="00D3029E"/>
    <w:rsid w:val="00D32221"/>
    <w:rsid w:val="00D323DA"/>
    <w:rsid w:val="00D32C97"/>
    <w:rsid w:val="00D32F0D"/>
    <w:rsid w:val="00D36A3A"/>
    <w:rsid w:val="00D36CB1"/>
    <w:rsid w:val="00D403EF"/>
    <w:rsid w:val="00D40EC5"/>
    <w:rsid w:val="00D41058"/>
    <w:rsid w:val="00D4125C"/>
    <w:rsid w:val="00D41748"/>
    <w:rsid w:val="00D42865"/>
    <w:rsid w:val="00D429BA"/>
    <w:rsid w:val="00D443C2"/>
    <w:rsid w:val="00D44C94"/>
    <w:rsid w:val="00D44D4A"/>
    <w:rsid w:val="00D459AD"/>
    <w:rsid w:val="00D46C9A"/>
    <w:rsid w:val="00D46FB9"/>
    <w:rsid w:val="00D4720C"/>
    <w:rsid w:val="00D47543"/>
    <w:rsid w:val="00D47B79"/>
    <w:rsid w:val="00D50887"/>
    <w:rsid w:val="00D50AF2"/>
    <w:rsid w:val="00D510A1"/>
    <w:rsid w:val="00D529DA"/>
    <w:rsid w:val="00D53948"/>
    <w:rsid w:val="00D55126"/>
    <w:rsid w:val="00D558F0"/>
    <w:rsid w:val="00D56F22"/>
    <w:rsid w:val="00D572C6"/>
    <w:rsid w:val="00D60F21"/>
    <w:rsid w:val="00D61AC4"/>
    <w:rsid w:val="00D62A6F"/>
    <w:rsid w:val="00D63908"/>
    <w:rsid w:val="00D6643A"/>
    <w:rsid w:val="00D672C7"/>
    <w:rsid w:val="00D70847"/>
    <w:rsid w:val="00D717CB"/>
    <w:rsid w:val="00D71BEE"/>
    <w:rsid w:val="00D71CDA"/>
    <w:rsid w:val="00D72AFB"/>
    <w:rsid w:val="00D730E4"/>
    <w:rsid w:val="00D743F4"/>
    <w:rsid w:val="00D74E98"/>
    <w:rsid w:val="00D7574F"/>
    <w:rsid w:val="00D7585B"/>
    <w:rsid w:val="00D7598C"/>
    <w:rsid w:val="00D75D6F"/>
    <w:rsid w:val="00D77259"/>
    <w:rsid w:val="00D77F10"/>
    <w:rsid w:val="00D80449"/>
    <w:rsid w:val="00D81008"/>
    <w:rsid w:val="00D8188C"/>
    <w:rsid w:val="00D82377"/>
    <w:rsid w:val="00D827D4"/>
    <w:rsid w:val="00D874FE"/>
    <w:rsid w:val="00D87926"/>
    <w:rsid w:val="00D87DE9"/>
    <w:rsid w:val="00D9139B"/>
    <w:rsid w:val="00D9273F"/>
    <w:rsid w:val="00D93043"/>
    <w:rsid w:val="00D9454E"/>
    <w:rsid w:val="00D94A40"/>
    <w:rsid w:val="00D95F02"/>
    <w:rsid w:val="00D962B0"/>
    <w:rsid w:val="00D96E40"/>
    <w:rsid w:val="00D96EC1"/>
    <w:rsid w:val="00D97894"/>
    <w:rsid w:val="00D97AF1"/>
    <w:rsid w:val="00D97DE2"/>
    <w:rsid w:val="00DA06FF"/>
    <w:rsid w:val="00DA0DB9"/>
    <w:rsid w:val="00DA2666"/>
    <w:rsid w:val="00DA29A9"/>
    <w:rsid w:val="00DA2AB5"/>
    <w:rsid w:val="00DA3812"/>
    <w:rsid w:val="00DA49C8"/>
    <w:rsid w:val="00DB013A"/>
    <w:rsid w:val="00DB02C4"/>
    <w:rsid w:val="00DB1462"/>
    <w:rsid w:val="00DB1829"/>
    <w:rsid w:val="00DB1FDC"/>
    <w:rsid w:val="00DB543A"/>
    <w:rsid w:val="00DB60FA"/>
    <w:rsid w:val="00DB621A"/>
    <w:rsid w:val="00DB72F5"/>
    <w:rsid w:val="00DB739B"/>
    <w:rsid w:val="00DC11AE"/>
    <w:rsid w:val="00DC23A8"/>
    <w:rsid w:val="00DC26DB"/>
    <w:rsid w:val="00DC294D"/>
    <w:rsid w:val="00DC2B5A"/>
    <w:rsid w:val="00DC2E14"/>
    <w:rsid w:val="00DC44F3"/>
    <w:rsid w:val="00DC52B1"/>
    <w:rsid w:val="00DC55B9"/>
    <w:rsid w:val="00DC694D"/>
    <w:rsid w:val="00DC6D25"/>
    <w:rsid w:val="00DC7074"/>
    <w:rsid w:val="00DD081B"/>
    <w:rsid w:val="00DD2F5D"/>
    <w:rsid w:val="00DD3EBD"/>
    <w:rsid w:val="00DD4A4C"/>
    <w:rsid w:val="00DD657E"/>
    <w:rsid w:val="00DD6A8D"/>
    <w:rsid w:val="00DD7281"/>
    <w:rsid w:val="00DE2D18"/>
    <w:rsid w:val="00DE3993"/>
    <w:rsid w:val="00DE55E8"/>
    <w:rsid w:val="00DE5708"/>
    <w:rsid w:val="00DE5F33"/>
    <w:rsid w:val="00DE6D72"/>
    <w:rsid w:val="00DE6E63"/>
    <w:rsid w:val="00DE73B7"/>
    <w:rsid w:val="00DE7E1D"/>
    <w:rsid w:val="00DF0BFC"/>
    <w:rsid w:val="00DF14E8"/>
    <w:rsid w:val="00DF3343"/>
    <w:rsid w:val="00DF4D61"/>
    <w:rsid w:val="00DF5566"/>
    <w:rsid w:val="00DF7ABA"/>
    <w:rsid w:val="00E003C8"/>
    <w:rsid w:val="00E00602"/>
    <w:rsid w:val="00E02321"/>
    <w:rsid w:val="00E032C1"/>
    <w:rsid w:val="00E059A1"/>
    <w:rsid w:val="00E060F7"/>
    <w:rsid w:val="00E105AD"/>
    <w:rsid w:val="00E10893"/>
    <w:rsid w:val="00E108C0"/>
    <w:rsid w:val="00E11F20"/>
    <w:rsid w:val="00E12782"/>
    <w:rsid w:val="00E154AA"/>
    <w:rsid w:val="00E1672D"/>
    <w:rsid w:val="00E17A1A"/>
    <w:rsid w:val="00E222FD"/>
    <w:rsid w:val="00E24FB8"/>
    <w:rsid w:val="00E2556F"/>
    <w:rsid w:val="00E26A02"/>
    <w:rsid w:val="00E30E15"/>
    <w:rsid w:val="00E31398"/>
    <w:rsid w:val="00E31460"/>
    <w:rsid w:val="00E316F0"/>
    <w:rsid w:val="00E33B18"/>
    <w:rsid w:val="00E36F82"/>
    <w:rsid w:val="00E37DD3"/>
    <w:rsid w:val="00E37F1F"/>
    <w:rsid w:val="00E409D3"/>
    <w:rsid w:val="00E422C0"/>
    <w:rsid w:val="00E42B88"/>
    <w:rsid w:val="00E4443C"/>
    <w:rsid w:val="00E44F3B"/>
    <w:rsid w:val="00E452B3"/>
    <w:rsid w:val="00E4552F"/>
    <w:rsid w:val="00E45727"/>
    <w:rsid w:val="00E4595C"/>
    <w:rsid w:val="00E463B9"/>
    <w:rsid w:val="00E473A9"/>
    <w:rsid w:val="00E50F34"/>
    <w:rsid w:val="00E52766"/>
    <w:rsid w:val="00E530AA"/>
    <w:rsid w:val="00E5515F"/>
    <w:rsid w:val="00E616B0"/>
    <w:rsid w:val="00E61939"/>
    <w:rsid w:val="00E65DD6"/>
    <w:rsid w:val="00E65EB3"/>
    <w:rsid w:val="00E676F2"/>
    <w:rsid w:val="00E67D1C"/>
    <w:rsid w:val="00E71166"/>
    <w:rsid w:val="00E71CEB"/>
    <w:rsid w:val="00E73C8B"/>
    <w:rsid w:val="00E75086"/>
    <w:rsid w:val="00E75137"/>
    <w:rsid w:val="00E76257"/>
    <w:rsid w:val="00E77245"/>
    <w:rsid w:val="00E80D8C"/>
    <w:rsid w:val="00E81924"/>
    <w:rsid w:val="00E82A0A"/>
    <w:rsid w:val="00E83E2E"/>
    <w:rsid w:val="00E861EE"/>
    <w:rsid w:val="00E86E65"/>
    <w:rsid w:val="00E9152D"/>
    <w:rsid w:val="00E91D90"/>
    <w:rsid w:val="00E92033"/>
    <w:rsid w:val="00E938BF"/>
    <w:rsid w:val="00E95957"/>
    <w:rsid w:val="00E966D8"/>
    <w:rsid w:val="00E973E0"/>
    <w:rsid w:val="00E97ADF"/>
    <w:rsid w:val="00EA054D"/>
    <w:rsid w:val="00EA0A47"/>
    <w:rsid w:val="00EA11A4"/>
    <w:rsid w:val="00EA139F"/>
    <w:rsid w:val="00EA13C1"/>
    <w:rsid w:val="00EA234C"/>
    <w:rsid w:val="00EA3A99"/>
    <w:rsid w:val="00EA45B3"/>
    <w:rsid w:val="00EA4CFE"/>
    <w:rsid w:val="00EA5693"/>
    <w:rsid w:val="00EA771B"/>
    <w:rsid w:val="00EA7ED0"/>
    <w:rsid w:val="00EB0F19"/>
    <w:rsid w:val="00EB13E2"/>
    <w:rsid w:val="00EB1C72"/>
    <w:rsid w:val="00EB22D3"/>
    <w:rsid w:val="00EB2916"/>
    <w:rsid w:val="00EB3468"/>
    <w:rsid w:val="00EB389B"/>
    <w:rsid w:val="00EB3AC2"/>
    <w:rsid w:val="00EB4911"/>
    <w:rsid w:val="00EB66B4"/>
    <w:rsid w:val="00EB6983"/>
    <w:rsid w:val="00EB7300"/>
    <w:rsid w:val="00EB75C5"/>
    <w:rsid w:val="00EC025B"/>
    <w:rsid w:val="00EC1E75"/>
    <w:rsid w:val="00EC5B27"/>
    <w:rsid w:val="00EC6154"/>
    <w:rsid w:val="00EC6574"/>
    <w:rsid w:val="00ED0B8A"/>
    <w:rsid w:val="00ED0E21"/>
    <w:rsid w:val="00ED1558"/>
    <w:rsid w:val="00ED1700"/>
    <w:rsid w:val="00ED232D"/>
    <w:rsid w:val="00ED45FE"/>
    <w:rsid w:val="00ED68F0"/>
    <w:rsid w:val="00ED6A77"/>
    <w:rsid w:val="00ED70FB"/>
    <w:rsid w:val="00EE0A3A"/>
    <w:rsid w:val="00EE0D12"/>
    <w:rsid w:val="00EE2C76"/>
    <w:rsid w:val="00EE5DB7"/>
    <w:rsid w:val="00EE5FD5"/>
    <w:rsid w:val="00EE663C"/>
    <w:rsid w:val="00EE689B"/>
    <w:rsid w:val="00EF2F10"/>
    <w:rsid w:val="00EF58A4"/>
    <w:rsid w:val="00EF6AB5"/>
    <w:rsid w:val="00EF7529"/>
    <w:rsid w:val="00F0354C"/>
    <w:rsid w:val="00F07B4D"/>
    <w:rsid w:val="00F13A20"/>
    <w:rsid w:val="00F13B7C"/>
    <w:rsid w:val="00F156EB"/>
    <w:rsid w:val="00F17B75"/>
    <w:rsid w:val="00F2081E"/>
    <w:rsid w:val="00F227B1"/>
    <w:rsid w:val="00F2497C"/>
    <w:rsid w:val="00F25304"/>
    <w:rsid w:val="00F25E0E"/>
    <w:rsid w:val="00F2666D"/>
    <w:rsid w:val="00F2720F"/>
    <w:rsid w:val="00F27CF9"/>
    <w:rsid w:val="00F3042E"/>
    <w:rsid w:val="00F310B4"/>
    <w:rsid w:val="00F31F6D"/>
    <w:rsid w:val="00F320E4"/>
    <w:rsid w:val="00F328BE"/>
    <w:rsid w:val="00F32DC8"/>
    <w:rsid w:val="00F33016"/>
    <w:rsid w:val="00F341E0"/>
    <w:rsid w:val="00F34B5B"/>
    <w:rsid w:val="00F37113"/>
    <w:rsid w:val="00F40623"/>
    <w:rsid w:val="00F40B0A"/>
    <w:rsid w:val="00F430DE"/>
    <w:rsid w:val="00F435E8"/>
    <w:rsid w:val="00F4481B"/>
    <w:rsid w:val="00F449F4"/>
    <w:rsid w:val="00F44DDF"/>
    <w:rsid w:val="00F47145"/>
    <w:rsid w:val="00F51184"/>
    <w:rsid w:val="00F5139C"/>
    <w:rsid w:val="00F515D2"/>
    <w:rsid w:val="00F51A55"/>
    <w:rsid w:val="00F53482"/>
    <w:rsid w:val="00F53F92"/>
    <w:rsid w:val="00F54662"/>
    <w:rsid w:val="00F55044"/>
    <w:rsid w:val="00F553D8"/>
    <w:rsid w:val="00F55EF3"/>
    <w:rsid w:val="00F5647E"/>
    <w:rsid w:val="00F5691B"/>
    <w:rsid w:val="00F6040D"/>
    <w:rsid w:val="00F605A5"/>
    <w:rsid w:val="00F60A68"/>
    <w:rsid w:val="00F621D2"/>
    <w:rsid w:val="00F63858"/>
    <w:rsid w:val="00F63B7B"/>
    <w:rsid w:val="00F70CB2"/>
    <w:rsid w:val="00F71058"/>
    <w:rsid w:val="00F719B6"/>
    <w:rsid w:val="00F71FA0"/>
    <w:rsid w:val="00F72DD1"/>
    <w:rsid w:val="00F731F4"/>
    <w:rsid w:val="00F7329B"/>
    <w:rsid w:val="00F75288"/>
    <w:rsid w:val="00F76002"/>
    <w:rsid w:val="00F760E2"/>
    <w:rsid w:val="00F7790A"/>
    <w:rsid w:val="00F81370"/>
    <w:rsid w:val="00F82F19"/>
    <w:rsid w:val="00F831A2"/>
    <w:rsid w:val="00F83CC7"/>
    <w:rsid w:val="00F862CA"/>
    <w:rsid w:val="00F86A3E"/>
    <w:rsid w:val="00F86D88"/>
    <w:rsid w:val="00F87155"/>
    <w:rsid w:val="00F87C7A"/>
    <w:rsid w:val="00F87CC6"/>
    <w:rsid w:val="00F901C5"/>
    <w:rsid w:val="00F902B0"/>
    <w:rsid w:val="00F9041E"/>
    <w:rsid w:val="00F9092B"/>
    <w:rsid w:val="00F90F8A"/>
    <w:rsid w:val="00F91A7F"/>
    <w:rsid w:val="00F9426E"/>
    <w:rsid w:val="00F94636"/>
    <w:rsid w:val="00F94897"/>
    <w:rsid w:val="00F9616C"/>
    <w:rsid w:val="00F976AF"/>
    <w:rsid w:val="00FA1A59"/>
    <w:rsid w:val="00FA1CD6"/>
    <w:rsid w:val="00FA206A"/>
    <w:rsid w:val="00FA210E"/>
    <w:rsid w:val="00FA2E78"/>
    <w:rsid w:val="00FA3D1B"/>
    <w:rsid w:val="00FA3DFA"/>
    <w:rsid w:val="00FA7205"/>
    <w:rsid w:val="00FA7309"/>
    <w:rsid w:val="00FA7803"/>
    <w:rsid w:val="00FB2937"/>
    <w:rsid w:val="00FB29E1"/>
    <w:rsid w:val="00FB3400"/>
    <w:rsid w:val="00FB3744"/>
    <w:rsid w:val="00FB41F0"/>
    <w:rsid w:val="00FB5745"/>
    <w:rsid w:val="00FC03DB"/>
    <w:rsid w:val="00FC1477"/>
    <w:rsid w:val="00FC1692"/>
    <w:rsid w:val="00FC2998"/>
    <w:rsid w:val="00FC35AE"/>
    <w:rsid w:val="00FC3FDE"/>
    <w:rsid w:val="00FC58D9"/>
    <w:rsid w:val="00FC5FBC"/>
    <w:rsid w:val="00FD08D6"/>
    <w:rsid w:val="00FD3730"/>
    <w:rsid w:val="00FD6B52"/>
    <w:rsid w:val="00FD6FB3"/>
    <w:rsid w:val="00FE0E3A"/>
    <w:rsid w:val="00FE1AD8"/>
    <w:rsid w:val="00FE3C3C"/>
    <w:rsid w:val="00FE4C06"/>
    <w:rsid w:val="00FE4E3E"/>
    <w:rsid w:val="00FE5808"/>
    <w:rsid w:val="00FE73C5"/>
    <w:rsid w:val="00FF0171"/>
    <w:rsid w:val="00FF12FF"/>
    <w:rsid w:val="00FF34FC"/>
    <w:rsid w:val="00FF6701"/>
    <w:rsid w:val="00FF68A0"/>
    <w:rsid w:val="00FF7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endnote text"/>
    <w:basedOn w:val="a"/>
    <w:link w:val="ad"/>
    <w:uiPriority w:val="99"/>
    <w:semiHidden/>
    <w:unhideWhenUsed/>
    <w:rsid w:val="001547FE"/>
    <w:pPr>
      <w:spacing w:after="0" w:line="240" w:lineRule="auto"/>
    </w:pPr>
    <w:rPr>
      <w:sz w:val="20"/>
      <w:szCs w:val="20"/>
    </w:rPr>
  </w:style>
  <w:style w:type="character" w:customStyle="1" w:styleId="ad">
    <w:name w:val="Текст концевой сноски Знак"/>
    <w:basedOn w:val="a0"/>
    <w:link w:val="ac"/>
    <w:uiPriority w:val="99"/>
    <w:semiHidden/>
    <w:rsid w:val="001547FE"/>
    <w:rPr>
      <w:sz w:val="20"/>
      <w:szCs w:val="20"/>
    </w:rPr>
  </w:style>
  <w:style w:type="character" w:styleId="ae">
    <w:name w:val="endnote reference"/>
    <w:basedOn w:val="a0"/>
    <w:uiPriority w:val="99"/>
    <w:semiHidden/>
    <w:unhideWhenUsed/>
    <w:rsid w:val="001547FE"/>
    <w:rPr>
      <w:vertAlign w:val="superscript"/>
    </w:rPr>
  </w:style>
  <w:style w:type="paragraph" w:styleId="af">
    <w:name w:val="header"/>
    <w:basedOn w:val="a"/>
    <w:link w:val="af0"/>
    <w:uiPriority w:val="99"/>
    <w:unhideWhenUsed/>
    <w:rsid w:val="008E6E6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E6E6D"/>
  </w:style>
  <w:style w:type="paragraph" w:styleId="af1">
    <w:name w:val="footer"/>
    <w:basedOn w:val="a"/>
    <w:link w:val="af2"/>
    <w:uiPriority w:val="99"/>
    <w:unhideWhenUsed/>
    <w:rsid w:val="008E6E6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E6E6D"/>
  </w:style>
  <w:style w:type="paragraph" w:styleId="af3">
    <w:name w:val="Body Text"/>
    <w:basedOn w:val="a"/>
    <w:link w:val="af4"/>
    <w:uiPriority w:val="1"/>
    <w:qFormat/>
    <w:rsid w:val="003729EF"/>
    <w:pPr>
      <w:widowControl w:val="0"/>
      <w:autoSpaceDE w:val="0"/>
      <w:autoSpaceDN w:val="0"/>
      <w:spacing w:after="0" w:line="240" w:lineRule="auto"/>
      <w:ind w:left="113" w:firstLine="708"/>
      <w:jc w:val="both"/>
    </w:pPr>
    <w:rPr>
      <w:rFonts w:ascii="Trebuchet MS" w:eastAsia="Trebuchet MS" w:hAnsi="Trebuchet MS" w:cs="Trebuchet MS"/>
      <w:sz w:val="24"/>
      <w:szCs w:val="24"/>
      <w:lang w:eastAsia="ru-RU" w:bidi="ru-RU"/>
    </w:rPr>
  </w:style>
  <w:style w:type="character" w:customStyle="1" w:styleId="af4">
    <w:name w:val="Основной текст Знак"/>
    <w:basedOn w:val="a0"/>
    <w:link w:val="af3"/>
    <w:uiPriority w:val="1"/>
    <w:rsid w:val="003729EF"/>
    <w:rPr>
      <w:rFonts w:ascii="Trebuchet MS" w:eastAsia="Trebuchet MS" w:hAnsi="Trebuchet MS" w:cs="Trebuchet MS"/>
      <w:sz w:val="24"/>
      <w:szCs w:val="24"/>
      <w:lang w:eastAsia="ru-RU" w:bidi="ru-RU"/>
    </w:rPr>
  </w:style>
  <w:style w:type="paragraph" w:styleId="af5">
    <w:name w:val="List Paragraph"/>
    <w:basedOn w:val="a"/>
    <w:uiPriority w:val="34"/>
    <w:qFormat/>
    <w:rsid w:val="007B6095"/>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B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B32"/>
    <w:rPr>
      <w:rFonts w:ascii="Tahoma" w:hAnsi="Tahoma" w:cs="Tahoma"/>
      <w:sz w:val="16"/>
      <w:szCs w:val="16"/>
    </w:rPr>
  </w:style>
  <w:style w:type="character" w:customStyle="1" w:styleId="apple-converted-space">
    <w:name w:val="apple-converted-space"/>
    <w:basedOn w:val="a0"/>
    <w:rsid w:val="00DB1829"/>
  </w:style>
  <w:style w:type="character" w:styleId="a5">
    <w:name w:val="annotation reference"/>
    <w:basedOn w:val="a0"/>
    <w:uiPriority w:val="99"/>
    <w:semiHidden/>
    <w:unhideWhenUsed/>
    <w:rsid w:val="00C27607"/>
    <w:rPr>
      <w:sz w:val="16"/>
      <w:szCs w:val="16"/>
    </w:rPr>
  </w:style>
  <w:style w:type="paragraph" w:styleId="a6">
    <w:name w:val="annotation text"/>
    <w:basedOn w:val="a"/>
    <w:link w:val="a7"/>
    <w:uiPriority w:val="99"/>
    <w:semiHidden/>
    <w:unhideWhenUsed/>
    <w:rsid w:val="00C27607"/>
    <w:pPr>
      <w:spacing w:line="240" w:lineRule="auto"/>
    </w:pPr>
    <w:rPr>
      <w:sz w:val="20"/>
      <w:szCs w:val="20"/>
    </w:rPr>
  </w:style>
  <w:style w:type="character" w:customStyle="1" w:styleId="a7">
    <w:name w:val="Текст примечания Знак"/>
    <w:basedOn w:val="a0"/>
    <w:link w:val="a6"/>
    <w:uiPriority w:val="99"/>
    <w:semiHidden/>
    <w:rsid w:val="00C27607"/>
    <w:rPr>
      <w:sz w:val="20"/>
      <w:szCs w:val="20"/>
    </w:rPr>
  </w:style>
  <w:style w:type="paragraph" w:styleId="a8">
    <w:name w:val="annotation subject"/>
    <w:basedOn w:val="a6"/>
    <w:next w:val="a6"/>
    <w:link w:val="a9"/>
    <w:uiPriority w:val="99"/>
    <w:semiHidden/>
    <w:unhideWhenUsed/>
    <w:rsid w:val="00C27607"/>
    <w:rPr>
      <w:b/>
      <w:bCs/>
    </w:rPr>
  </w:style>
  <w:style w:type="character" w:customStyle="1" w:styleId="a9">
    <w:name w:val="Тема примечания Знак"/>
    <w:basedOn w:val="a7"/>
    <w:link w:val="a8"/>
    <w:uiPriority w:val="99"/>
    <w:semiHidden/>
    <w:rsid w:val="00C27607"/>
    <w:rPr>
      <w:b/>
      <w:bCs/>
      <w:sz w:val="20"/>
      <w:szCs w:val="20"/>
    </w:rPr>
  </w:style>
  <w:style w:type="paragraph" w:styleId="aa">
    <w:name w:val="Revision"/>
    <w:hidden/>
    <w:uiPriority w:val="99"/>
    <w:semiHidden/>
    <w:rsid w:val="00C27607"/>
    <w:pPr>
      <w:spacing w:after="0" w:line="240" w:lineRule="auto"/>
    </w:pPr>
  </w:style>
  <w:style w:type="character" w:styleId="ab">
    <w:name w:val="Hyperlink"/>
    <w:basedOn w:val="a0"/>
    <w:uiPriority w:val="99"/>
    <w:unhideWhenUsed/>
    <w:rsid w:val="00121835"/>
    <w:rPr>
      <w:color w:val="0000FF" w:themeColor="hyperlink"/>
      <w:u w:val="single"/>
    </w:rPr>
  </w:style>
  <w:style w:type="paragraph" w:styleId="ac">
    <w:name w:val="endnote text"/>
    <w:basedOn w:val="a"/>
    <w:link w:val="ad"/>
    <w:uiPriority w:val="99"/>
    <w:semiHidden/>
    <w:unhideWhenUsed/>
    <w:rsid w:val="001547FE"/>
    <w:pPr>
      <w:spacing w:after="0" w:line="240" w:lineRule="auto"/>
    </w:pPr>
    <w:rPr>
      <w:sz w:val="20"/>
      <w:szCs w:val="20"/>
    </w:rPr>
  </w:style>
  <w:style w:type="character" w:customStyle="1" w:styleId="ad">
    <w:name w:val="Текст концевой сноски Знак"/>
    <w:basedOn w:val="a0"/>
    <w:link w:val="ac"/>
    <w:uiPriority w:val="99"/>
    <w:semiHidden/>
    <w:rsid w:val="001547FE"/>
    <w:rPr>
      <w:sz w:val="20"/>
      <w:szCs w:val="20"/>
    </w:rPr>
  </w:style>
  <w:style w:type="character" w:styleId="ae">
    <w:name w:val="endnote reference"/>
    <w:basedOn w:val="a0"/>
    <w:uiPriority w:val="99"/>
    <w:semiHidden/>
    <w:unhideWhenUsed/>
    <w:rsid w:val="001547FE"/>
    <w:rPr>
      <w:vertAlign w:val="superscript"/>
    </w:rPr>
  </w:style>
  <w:style w:type="paragraph" w:styleId="af">
    <w:name w:val="header"/>
    <w:basedOn w:val="a"/>
    <w:link w:val="af0"/>
    <w:uiPriority w:val="99"/>
    <w:unhideWhenUsed/>
    <w:rsid w:val="008E6E6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E6E6D"/>
  </w:style>
  <w:style w:type="paragraph" w:styleId="af1">
    <w:name w:val="footer"/>
    <w:basedOn w:val="a"/>
    <w:link w:val="af2"/>
    <w:uiPriority w:val="99"/>
    <w:unhideWhenUsed/>
    <w:rsid w:val="008E6E6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E6E6D"/>
  </w:style>
  <w:style w:type="paragraph" w:styleId="af3">
    <w:name w:val="Body Text"/>
    <w:basedOn w:val="a"/>
    <w:link w:val="af4"/>
    <w:uiPriority w:val="1"/>
    <w:qFormat/>
    <w:rsid w:val="003729EF"/>
    <w:pPr>
      <w:widowControl w:val="0"/>
      <w:autoSpaceDE w:val="0"/>
      <w:autoSpaceDN w:val="0"/>
      <w:spacing w:after="0" w:line="240" w:lineRule="auto"/>
      <w:ind w:left="113" w:firstLine="708"/>
      <w:jc w:val="both"/>
    </w:pPr>
    <w:rPr>
      <w:rFonts w:ascii="Trebuchet MS" w:eastAsia="Trebuchet MS" w:hAnsi="Trebuchet MS" w:cs="Trebuchet MS"/>
      <w:sz w:val="24"/>
      <w:szCs w:val="24"/>
      <w:lang w:eastAsia="ru-RU" w:bidi="ru-RU"/>
    </w:rPr>
  </w:style>
  <w:style w:type="character" w:customStyle="1" w:styleId="af4">
    <w:name w:val="Основной текст Знак"/>
    <w:basedOn w:val="a0"/>
    <w:link w:val="af3"/>
    <w:uiPriority w:val="1"/>
    <w:rsid w:val="003729EF"/>
    <w:rPr>
      <w:rFonts w:ascii="Trebuchet MS" w:eastAsia="Trebuchet MS" w:hAnsi="Trebuchet MS" w:cs="Trebuchet MS"/>
      <w:sz w:val="24"/>
      <w:szCs w:val="24"/>
      <w:lang w:eastAsia="ru-RU" w:bidi="ru-RU"/>
    </w:rPr>
  </w:style>
  <w:style w:type="paragraph" w:styleId="af5">
    <w:name w:val="List Paragraph"/>
    <w:basedOn w:val="a"/>
    <w:uiPriority w:val="34"/>
    <w:qFormat/>
    <w:rsid w:val="007B609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0622">
      <w:bodyDiv w:val="1"/>
      <w:marLeft w:val="0"/>
      <w:marRight w:val="0"/>
      <w:marTop w:val="0"/>
      <w:marBottom w:val="0"/>
      <w:divBdr>
        <w:top w:val="none" w:sz="0" w:space="0" w:color="auto"/>
        <w:left w:val="none" w:sz="0" w:space="0" w:color="auto"/>
        <w:bottom w:val="none" w:sz="0" w:space="0" w:color="auto"/>
        <w:right w:val="none" w:sz="0" w:space="0" w:color="auto"/>
      </w:divBdr>
    </w:div>
    <w:div w:id="502817568">
      <w:bodyDiv w:val="1"/>
      <w:marLeft w:val="0"/>
      <w:marRight w:val="0"/>
      <w:marTop w:val="0"/>
      <w:marBottom w:val="0"/>
      <w:divBdr>
        <w:top w:val="none" w:sz="0" w:space="0" w:color="auto"/>
        <w:left w:val="none" w:sz="0" w:space="0" w:color="auto"/>
        <w:bottom w:val="none" w:sz="0" w:space="0" w:color="auto"/>
        <w:right w:val="none" w:sz="0" w:space="0" w:color="auto"/>
      </w:divBdr>
      <w:divsChild>
        <w:div w:id="915286230">
          <w:marLeft w:val="446"/>
          <w:marRight w:val="0"/>
          <w:marTop w:val="120"/>
          <w:marBottom w:val="0"/>
          <w:divBdr>
            <w:top w:val="none" w:sz="0" w:space="0" w:color="auto"/>
            <w:left w:val="none" w:sz="0" w:space="0" w:color="auto"/>
            <w:bottom w:val="none" w:sz="0" w:space="0" w:color="auto"/>
            <w:right w:val="none" w:sz="0" w:space="0" w:color="auto"/>
          </w:divBdr>
        </w:div>
      </w:divsChild>
    </w:div>
    <w:div w:id="710374955">
      <w:bodyDiv w:val="1"/>
      <w:marLeft w:val="0"/>
      <w:marRight w:val="0"/>
      <w:marTop w:val="0"/>
      <w:marBottom w:val="0"/>
      <w:divBdr>
        <w:top w:val="none" w:sz="0" w:space="0" w:color="auto"/>
        <w:left w:val="none" w:sz="0" w:space="0" w:color="auto"/>
        <w:bottom w:val="none" w:sz="0" w:space="0" w:color="auto"/>
        <w:right w:val="none" w:sz="0" w:space="0" w:color="auto"/>
      </w:divBdr>
      <w:divsChild>
        <w:div w:id="52850815">
          <w:marLeft w:val="0"/>
          <w:marRight w:val="0"/>
          <w:marTop w:val="0"/>
          <w:marBottom w:val="0"/>
          <w:divBdr>
            <w:top w:val="none" w:sz="0" w:space="0" w:color="auto"/>
            <w:left w:val="none" w:sz="0" w:space="0" w:color="auto"/>
            <w:bottom w:val="none" w:sz="0" w:space="0" w:color="auto"/>
            <w:right w:val="none" w:sz="0" w:space="0" w:color="auto"/>
          </w:divBdr>
        </w:div>
        <w:div w:id="239366937">
          <w:marLeft w:val="0"/>
          <w:marRight w:val="0"/>
          <w:marTop w:val="0"/>
          <w:marBottom w:val="0"/>
          <w:divBdr>
            <w:top w:val="none" w:sz="0" w:space="0" w:color="auto"/>
            <w:left w:val="none" w:sz="0" w:space="0" w:color="auto"/>
            <w:bottom w:val="none" w:sz="0" w:space="0" w:color="auto"/>
            <w:right w:val="none" w:sz="0" w:space="0" w:color="auto"/>
          </w:divBdr>
        </w:div>
        <w:div w:id="249706375">
          <w:marLeft w:val="0"/>
          <w:marRight w:val="0"/>
          <w:marTop w:val="0"/>
          <w:marBottom w:val="0"/>
          <w:divBdr>
            <w:top w:val="none" w:sz="0" w:space="0" w:color="auto"/>
            <w:left w:val="none" w:sz="0" w:space="0" w:color="auto"/>
            <w:bottom w:val="none" w:sz="0" w:space="0" w:color="auto"/>
            <w:right w:val="none" w:sz="0" w:space="0" w:color="auto"/>
          </w:divBdr>
        </w:div>
        <w:div w:id="460614253">
          <w:marLeft w:val="0"/>
          <w:marRight w:val="0"/>
          <w:marTop w:val="0"/>
          <w:marBottom w:val="0"/>
          <w:divBdr>
            <w:top w:val="none" w:sz="0" w:space="0" w:color="auto"/>
            <w:left w:val="none" w:sz="0" w:space="0" w:color="auto"/>
            <w:bottom w:val="none" w:sz="0" w:space="0" w:color="auto"/>
            <w:right w:val="none" w:sz="0" w:space="0" w:color="auto"/>
          </w:divBdr>
        </w:div>
        <w:div w:id="485636572">
          <w:marLeft w:val="0"/>
          <w:marRight w:val="0"/>
          <w:marTop w:val="0"/>
          <w:marBottom w:val="0"/>
          <w:divBdr>
            <w:top w:val="none" w:sz="0" w:space="0" w:color="auto"/>
            <w:left w:val="none" w:sz="0" w:space="0" w:color="auto"/>
            <w:bottom w:val="none" w:sz="0" w:space="0" w:color="auto"/>
            <w:right w:val="none" w:sz="0" w:space="0" w:color="auto"/>
          </w:divBdr>
        </w:div>
        <w:div w:id="717823580">
          <w:marLeft w:val="0"/>
          <w:marRight w:val="0"/>
          <w:marTop w:val="0"/>
          <w:marBottom w:val="0"/>
          <w:divBdr>
            <w:top w:val="none" w:sz="0" w:space="0" w:color="auto"/>
            <w:left w:val="none" w:sz="0" w:space="0" w:color="auto"/>
            <w:bottom w:val="none" w:sz="0" w:space="0" w:color="auto"/>
            <w:right w:val="none" w:sz="0" w:space="0" w:color="auto"/>
          </w:divBdr>
        </w:div>
        <w:div w:id="753431362">
          <w:marLeft w:val="0"/>
          <w:marRight w:val="0"/>
          <w:marTop w:val="0"/>
          <w:marBottom w:val="0"/>
          <w:divBdr>
            <w:top w:val="none" w:sz="0" w:space="0" w:color="auto"/>
            <w:left w:val="none" w:sz="0" w:space="0" w:color="auto"/>
            <w:bottom w:val="none" w:sz="0" w:space="0" w:color="auto"/>
            <w:right w:val="none" w:sz="0" w:space="0" w:color="auto"/>
          </w:divBdr>
        </w:div>
        <w:div w:id="896816885">
          <w:marLeft w:val="0"/>
          <w:marRight w:val="0"/>
          <w:marTop w:val="0"/>
          <w:marBottom w:val="0"/>
          <w:divBdr>
            <w:top w:val="none" w:sz="0" w:space="0" w:color="auto"/>
            <w:left w:val="none" w:sz="0" w:space="0" w:color="auto"/>
            <w:bottom w:val="none" w:sz="0" w:space="0" w:color="auto"/>
            <w:right w:val="none" w:sz="0" w:space="0" w:color="auto"/>
          </w:divBdr>
        </w:div>
        <w:div w:id="947733431">
          <w:marLeft w:val="0"/>
          <w:marRight w:val="0"/>
          <w:marTop w:val="0"/>
          <w:marBottom w:val="0"/>
          <w:divBdr>
            <w:top w:val="none" w:sz="0" w:space="0" w:color="auto"/>
            <w:left w:val="none" w:sz="0" w:space="0" w:color="auto"/>
            <w:bottom w:val="none" w:sz="0" w:space="0" w:color="auto"/>
            <w:right w:val="none" w:sz="0" w:space="0" w:color="auto"/>
          </w:divBdr>
        </w:div>
        <w:div w:id="1008600687">
          <w:marLeft w:val="0"/>
          <w:marRight w:val="0"/>
          <w:marTop w:val="0"/>
          <w:marBottom w:val="0"/>
          <w:divBdr>
            <w:top w:val="none" w:sz="0" w:space="0" w:color="auto"/>
            <w:left w:val="none" w:sz="0" w:space="0" w:color="auto"/>
            <w:bottom w:val="none" w:sz="0" w:space="0" w:color="auto"/>
            <w:right w:val="none" w:sz="0" w:space="0" w:color="auto"/>
          </w:divBdr>
        </w:div>
        <w:div w:id="1344278794">
          <w:marLeft w:val="0"/>
          <w:marRight w:val="0"/>
          <w:marTop w:val="0"/>
          <w:marBottom w:val="0"/>
          <w:divBdr>
            <w:top w:val="none" w:sz="0" w:space="0" w:color="auto"/>
            <w:left w:val="none" w:sz="0" w:space="0" w:color="auto"/>
            <w:bottom w:val="none" w:sz="0" w:space="0" w:color="auto"/>
            <w:right w:val="none" w:sz="0" w:space="0" w:color="auto"/>
          </w:divBdr>
        </w:div>
        <w:div w:id="1408192551">
          <w:marLeft w:val="0"/>
          <w:marRight w:val="0"/>
          <w:marTop w:val="0"/>
          <w:marBottom w:val="0"/>
          <w:divBdr>
            <w:top w:val="none" w:sz="0" w:space="0" w:color="auto"/>
            <w:left w:val="none" w:sz="0" w:space="0" w:color="auto"/>
            <w:bottom w:val="none" w:sz="0" w:space="0" w:color="auto"/>
            <w:right w:val="none" w:sz="0" w:space="0" w:color="auto"/>
          </w:divBdr>
        </w:div>
        <w:div w:id="1428501859">
          <w:marLeft w:val="0"/>
          <w:marRight w:val="0"/>
          <w:marTop w:val="0"/>
          <w:marBottom w:val="0"/>
          <w:divBdr>
            <w:top w:val="none" w:sz="0" w:space="0" w:color="auto"/>
            <w:left w:val="none" w:sz="0" w:space="0" w:color="auto"/>
            <w:bottom w:val="none" w:sz="0" w:space="0" w:color="auto"/>
            <w:right w:val="none" w:sz="0" w:space="0" w:color="auto"/>
          </w:divBdr>
        </w:div>
        <w:div w:id="1467119840">
          <w:marLeft w:val="0"/>
          <w:marRight w:val="0"/>
          <w:marTop w:val="0"/>
          <w:marBottom w:val="0"/>
          <w:divBdr>
            <w:top w:val="none" w:sz="0" w:space="0" w:color="auto"/>
            <w:left w:val="none" w:sz="0" w:space="0" w:color="auto"/>
            <w:bottom w:val="none" w:sz="0" w:space="0" w:color="auto"/>
            <w:right w:val="none" w:sz="0" w:space="0" w:color="auto"/>
          </w:divBdr>
        </w:div>
        <w:div w:id="1499031684">
          <w:marLeft w:val="0"/>
          <w:marRight w:val="0"/>
          <w:marTop w:val="0"/>
          <w:marBottom w:val="0"/>
          <w:divBdr>
            <w:top w:val="none" w:sz="0" w:space="0" w:color="auto"/>
            <w:left w:val="none" w:sz="0" w:space="0" w:color="auto"/>
            <w:bottom w:val="none" w:sz="0" w:space="0" w:color="auto"/>
            <w:right w:val="none" w:sz="0" w:space="0" w:color="auto"/>
          </w:divBdr>
        </w:div>
        <w:div w:id="1598170312">
          <w:marLeft w:val="0"/>
          <w:marRight w:val="0"/>
          <w:marTop w:val="0"/>
          <w:marBottom w:val="0"/>
          <w:divBdr>
            <w:top w:val="none" w:sz="0" w:space="0" w:color="auto"/>
            <w:left w:val="none" w:sz="0" w:space="0" w:color="auto"/>
            <w:bottom w:val="none" w:sz="0" w:space="0" w:color="auto"/>
            <w:right w:val="none" w:sz="0" w:space="0" w:color="auto"/>
          </w:divBdr>
        </w:div>
        <w:div w:id="1624653128">
          <w:marLeft w:val="0"/>
          <w:marRight w:val="0"/>
          <w:marTop w:val="0"/>
          <w:marBottom w:val="0"/>
          <w:divBdr>
            <w:top w:val="none" w:sz="0" w:space="0" w:color="auto"/>
            <w:left w:val="none" w:sz="0" w:space="0" w:color="auto"/>
            <w:bottom w:val="none" w:sz="0" w:space="0" w:color="auto"/>
            <w:right w:val="none" w:sz="0" w:space="0" w:color="auto"/>
          </w:divBdr>
        </w:div>
        <w:div w:id="1727483160">
          <w:marLeft w:val="0"/>
          <w:marRight w:val="0"/>
          <w:marTop w:val="0"/>
          <w:marBottom w:val="0"/>
          <w:divBdr>
            <w:top w:val="none" w:sz="0" w:space="0" w:color="auto"/>
            <w:left w:val="none" w:sz="0" w:space="0" w:color="auto"/>
            <w:bottom w:val="none" w:sz="0" w:space="0" w:color="auto"/>
            <w:right w:val="none" w:sz="0" w:space="0" w:color="auto"/>
          </w:divBdr>
        </w:div>
        <w:div w:id="1845513113">
          <w:marLeft w:val="0"/>
          <w:marRight w:val="0"/>
          <w:marTop w:val="0"/>
          <w:marBottom w:val="0"/>
          <w:divBdr>
            <w:top w:val="none" w:sz="0" w:space="0" w:color="auto"/>
            <w:left w:val="none" w:sz="0" w:space="0" w:color="auto"/>
            <w:bottom w:val="none" w:sz="0" w:space="0" w:color="auto"/>
            <w:right w:val="none" w:sz="0" w:space="0" w:color="auto"/>
          </w:divBdr>
        </w:div>
        <w:div w:id="1997027291">
          <w:marLeft w:val="0"/>
          <w:marRight w:val="0"/>
          <w:marTop w:val="0"/>
          <w:marBottom w:val="0"/>
          <w:divBdr>
            <w:top w:val="none" w:sz="0" w:space="0" w:color="auto"/>
            <w:left w:val="none" w:sz="0" w:space="0" w:color="auto"/>
            <w:bottom w:val="none" w:sz="0" w:space="0" w:color="auto"/>
            <w:right w:val="none" w:sz="0" w:space="0" w:color="auto"/>
          </w:divBdr>
        </w:div>
        <w:div w:id="2029671680">
          <w:marLeft w:val="0"/>
          <w:marRight w:val="0"/>
          <w:marTop w:val="0"/>
          <w:marBottom w:val="0"/>
          <w:divBdr>
            <w:top w:val="none" w:sz="0" w:space="0" w:color="auto"/>
            <w:left w:val="none" w:sz="0" w:space="0" w:color="auto"/>
            <w:bottom w:val="none" w:sz="0" w:space="0" w:color="auto"/>
            <w:right w:val="none" w:sz="0" w:space="0" w:color="auto"/>
          </w:divBdr>
        </w:div>
      </w:divsChild>
    </w:div>
    <w:div w:id="945697438">
      <w:bodyDiv w:val="1"/>
      <w:marLeft w:val="0"/>
      <w:marRight w:val="0"/>
      <w:marTop w:val="0"/>
      <w:marBottom w:val="0"/>
      <w:divBdr>
        <w:top w:val="none" w:sz="0" w:space="0" w:color="auto"/>
        <w:left w:val="none" w:sz="0" w:space="0" w:color="auto"/>
        <w:bottom w:val="none" w:sz="0" w:space="0" w:color="auto"/>
        <w:right w:val="none" w:sz="0" w:space="0" w:color="auto"/>
      </w:divBdr>
      <w:divsChild>
        <w:div w:id="1650862821">
          <w:marLeft w:val="1166"/>
          <w:marRight w:val="0"/>
          <w:marTop w:val="120"/>
          <w:marBottom w:val="0"/>
          <w:divBdr>
            <w:top w:val="none" w:sz="0" w:space="0" w:color="auto"/>
            <w:left w:val="none" w:sz="0" w:space="0" w:color="auto"/>
            <w:bottom w:val="none" w:sz="0" w:space="0" w:color="auto"/>
            <w:right w:val="none" w:sz="0" w:space="0" w:color="auto"/>
          </w:divBdr>
        </w:div>
        <w:div w:id="1888178720">
          <w:marLeft w:val="1166"/>
          <w:marRight w:val="0"/>
          <w:marTop w:val="120"/>
          <w:marBottom w:val="0"/>
          <w:divBdr>
            <w:top w:val="none" w:sz="0" w:space="0" w:color="auto"/>
            <w:left w:val="none" w:sz="0" w:space="0" w:color="auto"/>
            <w:bottom w:val="none" w:sz="0" w:space="0" w:color="auto"/>
            <w:right w:val="none" w:sz="0" w:space="0" w:color="auto"/>
          </w:divBdr>
        </w:div>
      </w:divsChild>
    </w:div>
    <w:div w:id="1202549894">
      <w:bodyDiv w:val="1"/>
      <w:marLeft w:val="0"/>
      <w:marRight w:val="0"/>
      <w:marTop w:val="0"/>
      <w:marBottom w:val="0"/>
      <w:divBdr>
        <w:top w:val="none" w:sz="0" w:space="0" w:color="auto"/>
        <w:left w:val="none" w:sz="0" w:space="0" w:color="auto"/>
        <w:bottom w:val="none" w:sz="0" w:space="0" w:color="auto"/>
        <w:right w:val="none" w:sz="0" w:space="0" w:color="auto"/>
      </w:divBdr>
      <w:divsChild>
        <w:div w:id="2004123132">
          <w:marLeft w:val="446"/>
          <w:marRight w:val="0"/>
          <w:marTop w:val="120"/>
          <w:marBottom w:val="0"/>
          <w:divBdr>
            <w:top w:val="none" w:sz="0" w:space="0" w:color="auto"/>
            <w:left w:val="none" w:sz="0" w:space="0" w:color="auto"/>
            <w:bottom w:val="none" w:sz="0" w:space="0" w:color="auto"/>
            <w:right w:val="none" w:sz="0" w:space="0" w:color="auto"/>
          </w:divBdr>
        </w:div>
      </w:divsChild>
    </w:div>
    <w:div w:id="1336113110">
      <w:bodyDiv w:val="1"/>
      <w:marLeft w:val="0"/>
      <w:marRight w:val="0"/>
      <w:marTop w:val="0"/>
      <w:marBottom w:val="0"/>
      <w:divBdr>
        <w:top w:val="none" w:sz="0" w:space="0" w:color="auto"/>
        <w:left w:val="none" w:sz="0" w:space="0" w:color="auto"/>
        <w:bottom w:val="none" w:sz="0" w:space="0" w:color="auto"/>
        <w:right w:val="none" w:sz="0" w:space="0" w:color="auto"/>
      </w:divBdr>
      <w:divsChild>
        <w:div w:id="2058626326">
          <w:marLeft w:val="1166"/>
          <w:marRight w:val="0"/>
          <w:marTop w:val="120"/>
          <w:marBottom w:val="0"/>
          <w:divBdr>
            <w:top w:val="none" w:sz="0" w:space="0" w:color="auto"/>
            <w:left w:val="none" w:sz="0" w:space="0" w:color="auto"/>
            <w:bottom w:val="none" w:sz="0" w:space="0" w:color="auto"/>
            <w:right w:val="none" w:sz="0" w:space="0" w:color="auto"/>
          </w:divBdr>
        </w:div>
      </w:divsChild>
    </w:div>
    <w:div w:id="1344360667">
      <w:bodyDiv w:val="1"/>
      <w:marLeft w:val="0"/>
      <w:marRight w:val="0"/>
      <w:marTop w:val="0"/>
      <w:marBottom w:val="0"/>
      <w:divBdr>
        <w:top w:val="none" w:sz="0" w:space="0" w:color="auto"/>
        <w:left w:val="none" w:sz="0" w:space="0" w:color="auto"/>
        <w:bottom w:val="none" w:sz="0" w:space="0" w:color="auto"/>
        <w:right w:val="none" w:sz="0" w:space="0" w:color="auto"/>
      </w:divBdr>
    </w:div>
    <w:div w:id="1677221633">
      <w:bodyDiv w:val="1"/>
      <w:marLeft w:val="0"/>
      <w:marRight w:val="0"/>
      <w:marTop w:val="0"/>
      <w:marBottom w:val="0"/>
      <w:divBdr>
        <w:top w:val="none" w:sz="0" w:space="0" w:color="auto"/>
        <w:left w:val="none" w:sz="0" w:space="0" w:color="auto"/>
        <w:bottom w:val="none" w:sz="0" w:space="0" w:color="auto"/>
        <w:right w:val="none" w:sz="0" w:space="0" w:color="auto"/>
      </w:divBdr>
    </w:div>
    <w:div w:id="20246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bank.kz/" TargetMode="External"/><Relationship Id="rId5" Type="http://schemas.openxmlformats.org/officeDocument/2006/relationships/settings" Target="settings.xml"/><Relationship Id="rId10" Type="http://schemas.openxmlformats.org/officeDocument/2006/relationships/hyperlink" Target="mailto:press@nationalbank.k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2732-60CE-42E3-B712-763BBCC0A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1713</Words>
  <Characters>9767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Ансар Сейдахметов</dc:creator>
  <cp:lastModifiedBy>Индира Кенес</cp:lastModifiedBy>
  <cp:revision>7</cp:revision>
  <cp:lastPrinted>2020-07-17T08:41:00Z</cp:lastPrinted>
  <dcterms:created xsi:type="dcterms:W3CDTF">2020-07-20T06:47:00Z</dcterms:created>
  <dcterms:modified xsi:type="dcterms:W3CDTF">2020-07-20T08:33:00Z</dcterms:modified>
</cp:coreProperties>
</file>