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jc w:val="center"/>
        <w:rPr>
          <w:sz w:val="22"/>
          <w:szCs w:val="22"/>
          <w:lang w:val="kk-KZ"/>
        </w:rPr>
      </w:pPr>
      <w:bookmarkStart w:id="0" w:name="_GoBack"/>
      <w:bookmarkEnd w:id="0"/>
      <w:r w:rsidRPr="00A31A4B">
        <w:rPr>
          <w:sz w:val="22"/>
          <w:szCs w:val="22"/>
        </w:rPr>
        <w:t>Қ</w:t>
      </w:r>
      <w:r w:rsidRPr="00A31A4B">
        <w:rPr>
          <w:sz w:val="22"/>
          <w:szCs w:val="22"/>
          <w:lang w:val="kk-KZ"/>
        </w:rPr>
        <w:t xml:space="preserve">азақстан </w:t>
      </w:r>
      <w:r w:rsidRPr="00A31A4B">
        <w:rPr>
          <w:sz w:val="22"/>
          <w:szCs w:val="22"/>
        </w:rPr>
        <w:t>Р</w:t>
      </w:r>
      <w:r w:rsidRPr="00A31A4B">
        <w:rPr>
          <w:sz w:val="22"/>
          <w:szCs w:val="22"/>
          <w:lang w:val="kk-KZ"/>
        </w:rPr>
        <w:t>еспубликасы</w:t>
      </w:r>
      <w:r w:rsidRPr="00A31A4B">
        <w:rPr>
          <w:sz w:val="22"/>
          <w:szCs w:val="22"/>
        </w:rPr>
        <w:t xml:space="preserve"> Әділет министрлігінде 2017 жылы 26 </w:t>
      </w:r>
      <w:r w:rsidRPr="00A31A4B">
        <w:rPr>
          <w:sz w:val="22"/>
          <w:szCs w:val="22"/>
          <w:lang w:val="kk-KZ"/>
        </w:rPr>
        <w:t>қаңтарда</w:t>
      </w:r>
      <w:r w:rsidRPr="00A31A4B">
        <w:rPr>
          <w:sz w:val="22"/>
          <w:szCs w:val="22"/>
        </w:rPr>
        <w:t xml:space="preserve"> № 1</w:t>
      </w:r>
      <w:r w:rsidRPr="00A31A4B">
        <w:rPr>
          <w:sz w:val="22"/>
          <w:szCs w:val="22"/>
          <w:lang w:val="kk-KZ"/>
        </w:rPr>
        <w:t xml:space="preserve">4738 </w:t>
      </w:r>
      <w:r w:rsidRPr="00A31A4B">
        <w:rPr>
          <w:sz w:val="22"/>
          <w:szCs w:val="22"/>
        </w:rPr>
        <w:t xml:space="preserve">тіркелген. </w:t>
      </w:r>
    </w:p>
    <w:p w:rsidR="0026607B" w:rsidRPr="00A31A4B" w:rsidRDefault="0026607B" w:rsidP="0026607B">
      <w:pPr>
        <w:widowControl w:val="0"/>
        <w:jc w:val="center"/>
        <w:rPr>
          <w:b/>
          <w:sz w:val="22"/>
          <w:szCs w:val="22"/>
          <w:lang w:val="kk-KZ"/>
        </w:rPr>
      </w:pPr>
      <w:r w:rsidRPr="00A31A4B">
        <w:rPr>
          <w:sz w:val="22"/>
          <w:szCs w:val="22"/>
          <w:lang w:val="kk-KZ"/>
        </w:rPr>
        <w:t>«Қазақстан Республикасы электрондық нысандағы нормативтік-құқықтық актілердің эталонды бақылау банкі» ақпараттық жүйесінде 2016 жылғы 7 ақпанда ресми жарияланды.</w:t>
      </w:r>
    </w:p>
    <w:tbl>
      <w:tblPr>
        <w:tblpPr w:leftFromText="180" w:rightFromText="180" w:vertAnchor="page" w:horzAnchor="margin" w:tblpY="237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26607B" w:rsidRPr="0095196F" w:rsidTr="0026607B">
        <w:trPr>
          <w:trHeight w:val="1582"/>
        </w:trPr>
        <w:tc>
          <w:tcPr>
            <w:tcW w:w="4356" w:type="dxa"/>
            <w:tcBorders>
              <w:top w:val="nil"/>
              <w:left w:val="nil"/>
              <w:bottom w:val="nil"/>
              <w:right w:val="nil"/>
            </w:tcBorders>
            <w:shd w:val="clear" w:color="auto" w:fill="auto"/>
            <w:vAlign w:val="center"/>
          </w:tcPr>
          <w:p w:rsidR="0026607B" w:rsidRPr="0095196F" w:rsidRDefault="0026607B" w:rsidP="0026607B">
            <w:pPr>
              <w:widowControl w:val="0"/>
              <w:jc w:val="center"/>
              <w:rPr>
                <w:b/>
                <w:sz w:val="22"/>
                <w:szCs w:val="22"/>
              </w:rPr>
            </w:pPr>
            <w:r w:rsidRPr="0095196F">
              <w:rPr>
                <w:b/>
                <w:sz w:val="22"/>
                <w:szCs w:val="22"/>
              </w:rPr>
              <w:t>«ҚАЗАҚСТАН РЕСПУБЛИКАСЫНЫҢ ҰЛТТЫҚ БАНКІ»</w:t>
            </w:r>
          </w:p>
          <w:p w:rsidR="0026607B" w:rsidRPr="0095196F" w:rsidRDefault="0026607B" w:rsidP="0026607B">
            <w:pPr>
              <w:widowControl w:val="0"/>
              <w:jc w:val="center"/>
              <w:rPr>
                <w:sz w:val="22"/>
                <w:szCs w:val="22"/>
              </w:rPr>
            </w:pPr>
          </w:p>
          <w:p w:rsidR="0026607B" w:rsidRPr="0095196F" w:rsidRDefault="0026607B" w:rsidP="0026607B">
            <w:pPr>
              <w:widowControl w:val="0"/>
              <w:jc w:val="center"/>
              <w:rPr>
                <w:sz w:val="22"/>
                <w:szCs w:val="22"/>
              </w:rPr>
            </w:pPr>
            <w:r w:rsidRPr="0095196F">
              <w:rPr>
                <w:sz w:val="22"/>
                <w:szCs w:val="22"/>
              </w:rPr>
              <w:t xml:space="preserve">РЕСПУБЛИКАЛЫҚ </w:t>
            </w:r>
          </w:p>
          <w:p w:rsidR="0026607B" w:rsidRPr="0095196F" w:rsidRDefault="0026607B" w:rsidP="0026607B">
            <w:pPr>
              <w:widowControl w:val="0"/>
              <w:jc w:val="center"/>
              <w:rPr>
                <w:sz w:val="22"/>
                <w:szCs w:val="22"/>
              </w:rPr>
            </w:pPr>
            <w:r w:rsidRPr="0095196F">
              <w:rPr>
                <w:sz w:val="22"/>
                <w:szCs w:val="22"/>
              </w:rPr>
              <w:t xml:space="preserve">МЕМЛЕКЕТТІК </w:t>
            </w:r>
          </w:p>
          <w:p w:rsidR="0026607B" w:rsidRPr="0095196F" w:rsidRDefault="0026607B" w:rsidP="0026607B">
            <w:pPr>
              <w:widowControl w:val="0"/>
              <w:jc w:val="center"/>
              <w:rPr>
                <w:sz w:val="28"/>
                <w:szCs w:val="20"/>
              </w:rPr>
            </w:pPr>
            <w:r w:rsidRPr="0095196F">
              <w:rPr>
                <w:sz w:val="22"/>
                <w:szCs w:val="22"/>
              </w:rPr>
              <w:t>МЕКЕМЕСІ</w:t>
            </w:r>
          </w:p>
        </w:tc>
        <w:tc>
          <w:tcPr>
            <w:tcW w:w="1472" w:type="dxa"/>
            <w:tcBorders>
              <w:top w:val="nil"/>
              <w:left w:val="nil"/>
              <w:bottom w:val="nil"/>
              <w:right w:val="nil"/>
            </w:tcBorders>
            <w:shd w:val="clear" w:color="auto" w:fill="auto"/>
          </w:tcPr>
          <w:p w:rsidR="0026607B" w:rsidRPr="0095196F" w:rsidRDefault="0026607B" w:rsidP="0026607B">
            <w:pPr>
              <w:widowControl w:val="0"/>
              <w:jc w:val="center"/>
              <w:rPr>
                <w:b/>
              </w:rPr>
            </w:pPr>
            <w:r w:rsidRPr="0095196F">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Kazak_gerb_4" style="width:57.05pt;height:56.1pt;visibility:visible">
                  <v:imagedata r:id="rId8" o:title="Kazak_gerb_4"/>
                </v:shape>
              </w:pict>
            </w:r>
          </w:p>
        </w:tc>
        <w:tc>
          <w:tcPr>
            <w:tcW w:w="3811" w:type="dxa"/>
            <w:tcBorders>
              <w:top w:val="nil"/>
              <w:left w:val="nil"/>
              <w:bottom w:val="nil"/>
              <w:right w:val="nil"/>
            </w:tcBorders>
            <w:shd w:val="clear" w:color="auto" w:fill="auto"/>
            <w:vAlign w:val="center"/>
          </w:tcPr>
          <w:p w:rsidR="0026607B" w:rsidRPr="0095196F" w:rsidRDefault="0026607B" w:rsidP="0026607B">
            <w:pPr>
              <w:widowControl w:val="0"/>
              <w:jc w:val="center"/>
              <w:rPr>
                <w:sz w:val="22"/>
                <w:szCs w:val="22"/>
              </w:rPr>
            </w:pPr>
            <w:r w:rsidRPr="0095196F">
              <w:rPr>
                <w:sz w:val="22"/>
                <w:szCs w:val="22"/>
              </w:rPr>
              <w:t>РЕСПУБЛИКАНСКОЕ ГОСУДАРСТВЕННОЕ УЧРЕЖДЕНИЕ</w:t>
            </w:r>
          </w:p>
          <w:p w:rsidR="0026607B" w:rsidRPr="0095196F" w:rsidRDefault="0026607B" w:rsidP="0026607B">
            <w:pPr>
              <w:widowControl w:val="0"/>
              <w:jc w:val="center"/>
              <w:rPr>
                <w:b/>
                <w:sz w:val="22"/>
                <w:szCs w:val="22"/>
              </w:rPr>
            </w:pPr>
          </w:p>
          <w:p w:rsidR="0026607B" w:rsidRPr="0095196F" w:rsidRDefault="0026607B" w:rsidP="0026607B">
            <w:pPr>
              <w:widowControl w:val="0"/>
              <w:jc w:val="center"/>
              <w:rPr>
                <w:sz w:val="28"/>
                <w:szCs w:val="20"/>
              </w:rPr>
            </w:pPr>
            <w:r w:rsidRPr="0095196F">
              <w:rPr>
                <w:b/>
                <w:sz w:val="22"/>
                <w:szCs w:val="22"/>
              </w:rPr>
              <w:t>«НАЦИОНАЛЬНЫЙ БАНК РЕСПУБЛИКИ КАЗАХСТАН»</w:t>
            </w:r>
          </w:p>
        </w:tc>
      </w:tr>
      <w:tr w:rsidR="0026607B" w:rsidRPr="0095196F" w:rsidTr="0026607B">
        <w:tc>
          <w:tcPr>
            <w:tcW w:w="9639" w:type="dxa"/>
            <w:gridSpan w:val="3"/>
            <w:tcBorders>
              <w:top w:val="nil"/>
              <w:left w:val="nil"/>
              <w:bottom w:val="nil"/>
              <w:right w:val="nil"/>
            </w:tcBorders>
            <w:shd w:val="clear" w:color="auto" w:fill="auto"/>
          </w:tcPr>
          <w:p w:rsidR="0026607B" w:rsidRPr="0095196F" w:rsidRDefault="0026607B" w:rsidP="0026607B">
            <w:pPr>
              <w:widowControl w:val="0"/>
              <w:jc w:val="center"/>
              <w:rPr>
                <w:sz w:val="16"/>
                <w:szCs w:val="16"/>
              </w:rPr>
            </w:pPr>
            <w:r w:rsidRPr="0095196F">
              <w:rPr>
                <w:sz w:val="16"/>
                <w:szCs w:val="16"/>
              </w:rPr>
              <w:t>_________________________________________________________________________________________________________________</w:t>
            </w:r>
          </w:p>
          <w:p w:rsidR="0026607B" w:rsidRPr="0095196F" w:rsidRDefault="0026607B" w:rsidP="0026607B">
            <w:pPr>
              <w:widowControl w:val="0"/>
              <w:jc w:val="center"/>
              <w:rPr>
                <w:sz w:val="16"/>
                <w:szCs w:val="16"/>
              </w:rPr>
            </w:pPr>
          </w:p>
        </w:tc>
      </w:tr>
      <w:tr w:rsidR="0026607B" w:rsidRPr="0095196F" w:rsidTr="0026607B">
        <w:tc>
          <w:tcPr>
            <w:tcW w:w="4356" w:type="dxa"/>
            <w:tcBorders>
              <w:top w:val="nil"/>
              <w:left w:val="nil"/>
              <w:bottom w:val="nil"/>
              <w:right w:val="nil"/>
            </w:tcBorders>
            <w:shd w:val="clear" w:color="auto" w:fill="auto"/>
            <w:vAlign w:val="center"/>
          </w:tcPr>
          <w:p w:rsidR="0026607B" w:rsidRPr="0095196F" w:rsidRDefault="0026607B" w:rsidP="0026607B">
            <w:pPr>
              <w:widowControl w:val="0"/>
              <w:jc w:val="center"/>
              <w:rPr>
                <w:b/>
              </w:rPr>
            </w:pPr>
            <w:r w:rsidRPr="0095196F">
              <w:rPr>
                <w:b/>
              </w:rPr>
              <w:t xml:space="preserve">БАСҚАРМА </w:t>
            </w:r>
          </w:p>
          <w:p w:rsidR="0026607B" w:rsidRPr="0095196F" w:rsidRDefault="0026607B" w:rsidP="0026607B">
            <w:pPr>
              <w:widowControl w:val="0"/>
              <w:jc w:val="center"/>
            </w:pPr>
            <w:r w:rsidRPr="0095196F">
              <w:rPr>
                <w:b/>
              </w:rPr>
              <w:t>ҚАУЛЫСЫ</w:t>
            </w:r>
          </w:p>
        </w:tc>
        <w:tc>
          <w:tcPr>
            <w:tcW w:w="1472" w:type="dxa"/>
            <w:vMerge w:val="restart"/>
            <w:tcBorders>
              <w:top w:val="nil"/>
              <w:left w:val="nil"/>
              <w:bottom w:val="nil"/>
              <w:right w:val="nil"/>
            </w:tcBorders>
            <w:shd w:val="clear" w:color="auto" w:fill="auto"/>
          </w:tcPr>
          <w:p w:rsidR="0026607B" w:rsidRPr="0095196F" w:rsidRDefault="0026607B" w:rsidP="0026607B">
            <w:pPr>
              <w:widowControl w:val="0"/>
              <w:jc w:val="both"/>
            </w:pPr>
          </w:p>
        </w:tc>
        <w:tc>
          <w:tcPr>
            <w:tcW w:w="3811" w:type="dxa"/>
            <w:tcBorders>
              <w:top w:val="nil"/>
              <w:left w:val="nil"/>
              <w:bottom w:val="nil"/>
              <w:right w:val="nil"/>
            </w:tcBorders>
            <w:shd w:val="clear" w:color="auto" w:fill="auto"/>
            <w:vAlign w:val="center"/>
          </w:tcPr>
          <w:p w:rsidR="0026607B" w:rsidRPr="0095196F" w:rsidRDefault="0026607B" w:rsidP="0026607B">
            <w:pPr>
              <w:widowControl w:val="0"/>
              <w:jc w:val="center"/>
              <w:rPr>
                <w:b/>
              </w:rPr>
            </w:pPr>
            <w:r w:rsidRPr="0095196F">
              <w:rPr>
                <w:b/>
              </w:rPr>
              <w:t xml:space="preserve">ПОСТАНОВЛЕНИЕ </w:t>
            </w:r>
          </w:p>
          <w:p w:rsidR="0026607B" w:rsidRPr="0095196F" w:rsidRDefault="0026607B" w:rsidP="0026607B">
            <w:pPr>
              <w:widowControl w:val="0"/>
              <w:jc w:val="center"/>
            </w:pPr>
            <w:r w:rsidRPr="0095196F">
              <w:rPr>
                <w:b/>
              </w:rPr>
              <w:t>ПРАВЛЕНИЯ</w:t>
            </w:r>
          </w:p>
        </w:tc>
      </w:tr>
      <w:tr w:rsidR="0026607B" w:rsidRPr="0095196F" w:rsidTr="0026607B">
        <w:tc>
          <w:tcPr>
            <w:tcW w:w="4356" w:type="dxa"/>
            <w:tcBorders>
              <w:top w:val="nil"/>
              <w:left w:val="nil"/>
              <w:bottom w:val="nil"/>
              <w:right w:val="nil"/>
            </w:tcBorders>
            <w:shd w:val="clear" w:color="auto" w:fill="auto"/>
            <w:vAlign w:val="center"/>
          </w:tcPr>
          <w:p w:rsidR="0026607B" w:rsidRPr="0095196F" w:rsidRDefault="0026607B" w:rsidP="0026607B">
            <w:pPr>
              <w:widowControl w:val="0"/>
              <w:jc w:val="center"/>
            </w:pPr>
          </w:p>
          <w:p w:rsidR="0026607B" w:rsidRPr="0095196F" w:rsidRDefault="0026607B" w:rsidP="0026607B">
            <w:pPr>
              <w:widowControl w:val="0"/>
              <w:jc w:val="center"/>
              <w:rPr>
                <w:b/>
                <w:lang w:val="kk-KZ"/>
              </w:rPr>
            </w:pPr>
            <w:r w:rsidRPr="0095196F">
              <w:t xml:space="preserve">2016 </w:t>
            </w:r>
            <w:r w:rsidRPr="0095196F">
              <w:rPr>
                <w:lang w:val="kk-KZ"/>
              </w:rPr>
              <w:t>жылғы 28 қараша</w:t>
            </w:r>
          </w:p>
        </w:tc>
        <w:tc>
          <w:tcPr>
            <w:tcW w:w="1472" w:type="dxa"/>
            <w:vMerge/>
            <w:tcBorders>
              <w:top w:val="nil"/>
              <w:left w:val="nil"/>
              <w:right w:val="nil"/>
            </w:tcBorders>
            <w:shd w:val="clear" w:color="auto" w:fill="auto"/>
          </w:tcPr>
          <w:p w:rsidR="0026607B" w:rsidRPr="0095196F" w:rsidRDefault="0026607B" w:rsidP="0026607B">
            <w:pPr>
              <w:widowControl w:val="0"/>
              <w:jc w:val="both"/>
            </w:pPr>
          </w:p>
        </w:tc>
        <w:tc>
          <w:tcPr>
            <w:tcW w:w="3811" w:type="dxa"/>
            <w:tcBorders>
              <w:top w:val="nil"/>
              <w:left w:val="nil"/>
              <w:bottom w:val="nil"/>
              <w:right w:val="nil"/>
            </w:tcBorders>
            <w:shd w:val="clear" w:color="auto" w:fill="auto"/>
            <w:vAlign w:val="center"/>
          </w:tcPr>
          <w:p w:rsidR="0026607B" w:rsidRPr="0095196F" w:rsidRDefault="0026607B" w:rsidP="0026607B">
            <w:pPr>
              <w:widowControl w:val="0"/>
              <w:jc w:val="center"/>
            </w:pPr>
          </w:p>
          <w:p w:rsidR="0026607B" w:rsidRPr="0095196F" w:rsidRDefault="0026607B" w:rsidP="0026607B">
            <w:pPr>
              <w:widowControl w:val="0"/>
              <w:jc w:val="center"/>
              <w:rPr>
                <w:b/>
                <w:lang w:val="kk-KZ"/>
              </w:rPr>
            </w:pPr>
            <w:r w:rsidRPr="0095196F">
              <w:t>№</w:t>
            </w:r>
            <w:r w:rsidRPr="0095196F">
              <w:rPr>
                <w:lang w:val="kk-KZ"/>
              </w:rPr>
              <w:t xml:space="preserve"> 279</w:t>
            </w:r>
          </w:p>
        </w:tc>
      </w:tr>
      <w:tr w:rsidR="0026607B" w:rsidRPr="0095196F" w:rsidTr="0026607B">
        <w:tc>
          <w:tcPr>
            <w:tcW w:w="4356" w:type="dxa"/>
            <w:tcBorders>
              <w:top w:val="nil"/>
              <w:left w:val="nil"/>
              <w:bottom w:val="nil"/>
              <w:right w:val="nil"/>
            </w:tcBorders>
            <w:shd w:val="clear" w:color="auto" w:fill="auto"/>
            <w:vAlign w:val="center"/>
          </w:tcPr>
          <w:p w:rsidR="0026607B" w:rsidRPr="0095196F" w:rsidRDefault="0026607B" w:rsidP="0026607B">
            <w:pPr>
              <w:widowControl w:val="0"/>
              <w:jc w:val="center"/>
            </w:pPr>
          </w:p>
          <w:p w:rsidR="0026607B" w:rsidRPr="0095196F" w:rsidRDefault="0026607B" w:rsidP="0026607B">
            <w:pPr>
              <w:widowControl w:val="0"/>
              <w:jc w:val="center"/>
              <w:rPr>
                <w:b/>
              </w:rPr>
            </w:pPr>
            <w:r w:rsidRPr="0095196F">
              <w:t>Алматы қ.</w:t>
            </w:r>
          </w:p>
        </w:tc>
        <w:tc>
          <w:tcPr>
            <w:tcW w:w="1472" w:type="dxa"/>
            <w:vMerge/>
            <w:tcBorders>
              <w:left w:val="nil"/>
              <w:bottom w:val="nil"/>
              <w:right w:val="nil"/>
            </w:tcBorders>
            <w:shd w:val="clear" w:color="auto" w:fill="auto"/>
          </w:tcPr>
          <w:p w:rsidR="0026607B" w:rsidRPr="0095196F" w:rsidRDefault="0026607B" w:rsidP="0026607B">
            <w:pPr>
              <w:widowControl w:val="0"/>
              <w:jc w:val="both"/>
            </w:pPr>
          </w:p>
        </w:tc>
        <w:tc>
          <w:tcPr>
            <w:tcW w:w="3811" w:type="dxa"/>
            <w:tcBorders>
              <w:top w:val="nil"/>
              <w:left w:val="nil"/>
              <w:bottom w:val="nil"/>
              <w:right w:val="nil"/>
            </w:tcBorders>
            <w:shd w:val="clear" w:color="auto" w:fill="auto"/>
            <w:vAlign w:val="center"/>
          </w:tcPr>
          <w:p w:rsidR="0026607B" w:rsidRPr="0095196F" w:rsidRDefault="0026607B" w:rsidP="0026607B">
            <w:pPr>
              <w:widowControl w:val="0"/>
              <w:jc w:val="center"/>
            </w:pPr>
          </w:p>
          <w:p w:rsidR="0026607B" w:rsidRPr="0095196F" w:rsidRDefault="0026607B" w:rsidP="0026607B">
            <w:pPr>
              <w:widowControl w:val="0"/>
              <w:jc w:val="center"/>
              <w:rPr>
                <w:b/>
              </w:rPr>
            </w:pPr>
            <w:r w:rsidRPr="0095196F">
              <w:t>г. Алматы</w:t>
            </w:r>
          </w:p>
        </w:tc>
      </w:tr>
    </w:tbl>
    <w:p w:rsidR="008F1CC4" w:rsidRPr="0026607B" w:rsidRDefault="008F1CC4" w:rsidP="004F2753">
      <w:pPr>
        <w:widowControl w:val="0"/>
        <w:ind w:firstLine="709"/>
        <w:jc w:val="both"/>
        <w:rPr>
          <w:sz w:val="28"/>
          <w:szCs w:val="28"/>
          <w:lang w:val="kk-KZ"/>
        </w:rPr>
      </w:pPr>
    </w:p>
    <w:p w:rsidR="00CE1C98" w:rsidRPr="0026607B" w:rsidRDefault="00CE1C98" w:rsidP="004F2753">
      <w:pPr>
        <w:widowControl w:val="0"/>
        <w:ind w:firstLine="709"/>
        <w:jc w:val="both"/>
        <w:rPr>
          <w:sz w:val="28"/>
          <w:szCs w:val="28"/>
          <w:lang w:val="kk-KZ"/>
        </w:rPr>
      </w:pPr>
    </w:p>
    <w:p w:rsidR="00CE1C98" w:rsidRPr="0026607B" w:rsidRDefault="00CE1C98"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lastRenderedPageBreak/>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1" w:name="SUB2"/>
      <w:bookmarkEnd w:id="1"/>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2"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3" w:name="SUB3"/>
      <w:bookmarkEnd w:id="3"/>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2"/>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4" w:name="SUB4"/>
      <w:bookmarkEnd w:id="4"/>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23" w:rsidRDefault="00C56023" w:rsidP="004B2DC4">
      <w:r>
        <w:separator/>
      </w:r>
    </w:p>
  </w:endnote>
  <w:endnote w:type="continuationSeparator" w:id="0">
    <w:p w:rsidR="00C56023" w:rsidRDefault="00C56023"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23" w:rsidRDefault="00C56023" w:rsidP="004B2DC4">
      <w:r>
        <w:separator/>
      </w:r>
    </w:p>
  </w:footnote>
  <w:footnote w:type="continuationSeparator" w:id="0">
    <w:p w:rsidR="00C56023" w:rsidRDefault="00C56023"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75434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E80A8E">
    <w:pPr>
      <w:pStyle w:val="a3"/>
      <w:ind w:firstLine="0"/>
      <w:jc w:val="center"/>
    </w:pPr>
  </w:p>
  <w:p w:rsidR="00506CBF" w:rsidRDefault="00506C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62E25"/>
    <w:rsid w:val="0016322E"/>
    <w:rsid w:val="00163C5C"/>
    <w:rsid w:val="00163DC1"/>
    <w:rsid w:val="0016490F"/>
    <w:rsid w:val="001668B9"/>
    <w:rsid w:val="001670C7"/>
    <w:rsid w:val="0016792F"/>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4347"/>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6023"/>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1694-D47B-4E61-9F81-D23AD26A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17962</Words>
  <Characters>102387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2</cp:revision>
  <cp:lastPrinted>2016-12-05T09:17:00Z</cp:lastPrinted>
  <dcterms:created xsi:type="dcterms:W3CDTF">2020-07-14T05:49:00Z</dcterms:created>
  <dcterms:modified xsi:type="dcterms:W3CDTF">2020-07-14T05:49:00Z</dcterms:modified>
</cp:coreProperties>
</file>