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 xml:space="preserve">осы қаулыны ресми жарияланғаннан кейін Қазақстан Республикасы </w:t>
      </w:r>
      <w:r w:rsidR="00BC3221" w:rsidRPr="00842E10">
        <w:rPr>
          <w:szCs w:val="28"/>
          <w:lang w:val="kk-KZ"/>
        </w:rPr>
        <w:lastRenderedPageBreak/>
        <w:t>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9"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10"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1"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2"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3"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4"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Ind w:w="347" w:type="dxa"/>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Ind w:w="243" w:type="dxa"/>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Ind w:w="243" w:type="dxa"/>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5"/>
      <w:headerReference w:type="default" r:id="rId16"/>
      <w:headerReference w:type="first" r:id="rId17"/>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F0E" w:rsidRDefault="00D61F0E">
      <w:r>
        <w:separator/>
      </w:r>
    </w:p>
  </w:endnote>
  <w:endnote w:type="continuationSeparator" w:id="0">
    <w:p w:rsidR="00D61F0E" w:rsidRDefault="00D6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F0E" w:rsidRDefault="00D61F0E">
      <w:r>
        <w:separator/>
      </w:r>
    </w:p>
  </w:footnote>
  <w:footnote w:type="continuationSeparator" w:id="0">
    <w:p w:rsidR="00D61F0E" w:rsidRDefault="00D61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85634E">
      <w:rPr>
        <w:rStyle w:val="a5"/>
        <w:noProof/>
        <w:szCs w:val="28"/>
      </w:rPr>
      <w:t>22</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511"/>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34E"/>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1F0E"/>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5606676.0%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4904763.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606676.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l:34904763.1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0092072.0%20" TargetMode="External"/><Relationship Id="rId14" Type="http://schemas.openxmlformats.org/officeDocument/2006/relationships/hyperlink" Target="jl: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585CB-3234-494C-938C-6E77DDCD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Айдана</cp:lastModifiedBy>
  <cp:revision>1</cp:revision>
  <cp:lastPrinted>2018-08-07T05:24:00Z</cp:lastPrinted>
  <dcterms:created xsi:type="dcterms:W3CDTF">2020-07-10T10:58:00Z</dcterms:created>
  <dcterms:modified xsi:type="dcterms:W3CDTF">2020-07-10T10:58:00Z</dcterms:modified>
</cp:coreProperties>
</file>