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25B35" w14:textId="77777777" w:rsidR="00B252FD" w:rsidRPr="00C37701" w:rsidRDefault="00B252FD" w:rsidP="0097449D">
      <w:pPr>
        <w:pStyle w:val="a4"/>
        <w:spacing w:before="0" w:beforeAutospacing="0" w:after="0" w:afterAutospacing="0"/>
        <w:contextualSpacing/>
        <w:jc w:val="right"/>
        <w:rPr>
          <w:rStyle w:val="apple-converted-space"/>
          <w:i/>
          <w:color w:val="000000"/>
        </w:rPr>
      </w:pPr>
      <w:r w:rsidRPr="00C37701">
        <w:rPr>
          <w:i/>
          <w:color w:val="000000"/>
        </w:rPr>
        <w:t>Приложение 3</w:t>
      </w:r>
    </w:p>
    <w:p w14:paraId="2DE1CF88" w14:textId="77777777" w:rsidR="00E53E32" w:rsidRPr="00C37701" w:rsidRDefault="00B252FD" w:rsidP="0097449D">
      <w:pPr>
        <w:pStyle w:val="a4"/>
        <w:spacing w:before="0" w:beforeAutospacing="0" w:after="0" w:afterAutospacing="0"/>
        <w:contextualSpacing/>
        <w:jc w:val="right"/>
        <w:rPr>
          <w:i/>
          <w:color w:val="000000"/>
        </w:rPr>
      </w:pPr>
      <w:r w:rsidRPr="00C37701">
        <w:rPr>
          <w:i/>
          <w:color w:val="000000"/>
        </w:rPr>
        <w:t>к Методике по проведению мониторинга</w:t>
      </w:r>
    </w:p>
    <w:p w14:paraId="4AE34EA0" w14:textId="77777777" w:rsidR="00E53E32" w:rsidRPr="00C37701" w:rsidRDefault="00B252FD" w:rsidP="0097449D">
      <w:pPr>
        <w:pStyle w:val="a4"/>
        <w:spacing w:before="0" w:beforeAutospacing="0" w:after="0" w:afterAutospacing="0"/>
        <w:contextualSpacing/>
        <w:jc w:val="right"/>
        <w:rPr>
          <w:i/>
          <w:color w:val="000000"/>
        </w:rPr>
      </w:pPr>
      <w:r w:rsidRPr="00C37701">
        <w:rPr>
          <w:i/>
          <w:color w:val="000000"/>
        </w:rPr>
        <w:t>Стратегического плана развития Республики Казахстан,</w:t>
      </w:r>
    </w:p>
    <w:p w14:paraId="0D4C2F23" w14:textId="45698E05" w:rsidR="006346A7" w:rsidRPr="00C37701" w:rsidRDefault="00B252FD" w:rsidP="0097449D">
      <w:pPr>
        <w:pStyle w:val="a4"/>
        <w:spacing w:before="0" w:beforeAutospacing="0" w:after="0" w:afterAutospacing="0"/>
        <w:contextualSpacing/>
        <w:jc w:val="right"/>
        <w:rPr>
          <w:i/>
          <w:color w:val="000000"/>
        </w:rPr>
      </w:pPr>
      <w:r w:rsidRPr="00C37701">
        <w:rPr>
          <w:i/>
          <w:color w:val="000000"/>
        </w:rPr>
        <w:t>государственных программ,</w:t>
      </w:r>
    </w:p>
    <w:p w14:paraId="3EB9117B" w14:textId="77777777" w:rsidR="006346A7" w:rsidRPr="00C37701" w:rsidRDefault="00B252FD" w:rsidP="0097449D">
      <w:pPr>
        <w:pStyle w:val="a4"/>
        <w:spacing w:before="0" w:beforeAutospacing="0" w:after="0" w:afterAutospacing="0"/>
        <w:contextualSpacing/>
        <w:jc w:val="right"/>
        <w:rPr>
          <w:i/>
          <w:color w:val="000000"/>
        </w:rPr>
      </w:pPr>
      <w:r w:rsidRPr="00C37701">
        <w:rPr>
          <w:i/>
          <w:color w:val="000000"/>
        </w:rPr>
        <w:t>стратегических планов государственных органов</w:t>
      </w:r>
    </w:p>
    <w:p w14:paraId="5CE06543" w14:textId="77777777" w:rsidR="00B252FD" w:rsidRPr="00C37701" w:rsidRDefault="00B252FD" w:rsidP="0097449D">
      <w:pPr>
        <w:pStyle w:val="a4"/>
        <w:spacing w:before="0" w:beforeAutospacing="0" w:after="0" w:afterAutospacing="0"/>
        <w:contextualSpacing/>
        <w:jc w:val="right"/>
        <w:rPr>
          <w:i/>
          <w:color w:val="000000"/>
        </w:rPr>
      </w:pPr>
      <w:r w:rsidRPr="00C37701">
        <w:rPr>
          <w:i/>
          <w:color w:val="000000"/>
        </w:rPr>
        <w:t>и программ развития территорий</w:t>
      </w:r>
    </w:p>
    <w:p w14:paraId="2799A36B" w14:textId="77777777" w:rsidR="00B252FD" w:rsidRPr="00C37701" w:rsidRDefault="00B252FD" w:rsidP="0097449D">
      <w:pPr>
        <w:pStyle w:val="a4"/>
        <w:spacing w:before="0" w:beforeAutospacing="0" w:after="0" w:afterAutospacing="0"/>
        <w:contextualSpacing/>
        <w:jc w:val="center"/>
        <w:rPr>
          <w:i/>
          <w:color w:val="000000"/>
        </w:rPr>
      </w:pPr>
    </w:p>
    <w:p w14:paraId="4C1EFECF" w14:textId="77777777" w:rsidR="00B252FD" w:rsidRPr="00C37701" w:rsidRDefault="00B252FD" w:rsidP="0097449D">
      <w:pPr>
        <w:keepNext/>
        <w:keepLines/>
        <w:tabs>
          <w:tab w:val="left" w:pos="900"/>
          <w:tab w:val="left" w:pos="1080"/>
        </w:tabs>
        <w:spacing w:after="0" w:line="240" w:lineRule="auto"/>
        <w:contextualSpacing/>
        <w:jc w:val="center"/>
        <w:rPr>
          <w:rFonts w:ascii="Times New Roman" w:hAnsi="Times New Roman" w:cs="Times New Roman"/>
          <w:b/>
          <w:bCs/>
          <w:color w:val="000000"/>
          <w:sz w:val="24"/>
          <w:szCs w:val="24"/>
        </w:rPr>
      </w:pPr>
    </w:p>
    <w:p w14:paraId="5C223B37" w14:textId="77777777" w:rsidR="00B252FD" w:rsidRPr="00C37701" w:rsidRDefault="00B252FD" w:rsidP="0097449D">
      <w:pPr>
        <w:keepNext/>
        <w:keepLines/>
        <w:tabs>
          <w:tab w:val="left" w:pos="900"/>
          <w:tab w:val="left" w:pos="1080"/>
        </w:tabs>
        <w:spacing w:after="0" w:line="240" w:lineRule="auto"/>
        <w:contextualSpacing/>
        <w:jc w:val="center"/>
        <w:rPr>
          <w:rFonts w:ascii="Times New Roman" w:hAnsi="Times New Roman" w:cs="Times New Roman"/>
          <w:b/>
          <w:bCs/>
          <w:color w:val="000000"/>
          <w:sz w:val="24"/>
          <w:szCs w:val="24"/>
        </w:rPr>
      </w:pPr>
      <w:r w:rsidRPr="00C37701">
        <w:rPr>
          <w:rFonts w:ascii="Times New Roman" w:hAnsi="Times New Roman" w:cs="Times New Roman"/>
          <w:b/>
          <w:bCs/>
          <w:color w:val="000000"/>
          <w:sz w:val="24"/>
          <w:szCs w:val="24"/>
        </w:rPr>
        <w:t>Отчет о реализации стратегического плана</w:t>
      </w:r>
    </w:p>
    <w:p w14:paraId="28469C07" w14:textId="77777777" w:rsidR="00B252FD" w:rsidRPr="00C37701" w:rsidRDefault="00B252FD" w:rsidP="0097449D">
      <w:pPr>
        <w:keepNext/>
        <w:keepLines/>
        <w:tabs>
          <w:tab w:val="left" w:pos="900"/>
          <w:tab w:val="left" w:pos="1080"/>
        </w:tabs>
        <w:spacing w:after="0" w:line="240" w:lineRule="auto"/>
        <w:contextualSpacing/>
        <w:jc w:val="center"/>
        <w:rPr>
          <w:rFonts w:ascii="Times New Roman" w:hAnsi="Times New Roman" w:cs="Times New Roman"/>
          <w:b/>
          <w:bCs/>
          <w:color w:val="000000"/>
          <w:sz w:val="24"/>
          <w:szCs w:val="24"/>
        </w:rPr>
      </w:pPr>
      <w:r w:rsidRPr="00C37701">
        <w:rPr>
          <w:rFonts w:ascii="Times New Roman" w:hAnsi="Times New Roman" w:cs="Times New Roman"/>
          <w:b/>
          <w:bCs/>
          <w:color w:val="000000"/>
          <w:sz w:val="24"/>
          <w:szCs w:val="24"/>
        </w:rPr>
        <w:t>Национального Банка Республики Казахстан</w:t>
      </w:r>
    </w:p>
    <w:p w14:paraId="37DC735D" w14:textId="77777777" w:rsidR="00B252FD" w:rsidRPr="00C37701" w:rsidRDefault="00B252FD" w:rsidP="0097449D">
      <w:pPr>
        <w:keepNext/>
        <w:keepLines/>
        <w:tabs>
          <w:tab w:val="left" w:pos="900"/>
          <w:tab w:val="left" w:pos="1080"/>
        </w:tabs>
        <w:spacing w:after="0" w:line="240" w:lineRule="auto"/>
        <w:contextualSpacing/>
        <w:jc w:val="center"/>
        <w:rPr>
          <w:rFonts w:ascii="Times New Roman" w:hAnsi="Times New Roman" w:cs="Times New Roman"/>
          <w:i/>
          <w:color w:val="000000"/>
          <w:sz w:val="24"/>
          <w:szCs w:val="24"/>
        </w:rPr>
      </w:pPr>
      <w:r w:rsidRPr="00C37701">
        <w:rPr>
          <w:rFonts w:ascii="Times New Roman" w:hAnsi="Times New Roman" w:cs="Times New Roman"/>
          <w:b/>
          <w:sz w:val="24"/>
          <w:szCs w:val="24"/>
        </w:rPr>
        <w:t>на 201</w:t>
      </w:r>
      <w:r w:rsidR="00B962C5" w:rsidRPr="00C37701">
        <w:rPr>
          <w:rFonts w:ascii="Times New Roman" w:hAnsi="Times New Roman" w:cs="Times New Roman"/>
          <w:b/>
          <w:sz w:val="24"/>
          <w:szCs w:val="24"/>
        </w:rPr>
        <w:t>7-2021</w:t>
      </w:r>
      <w:r w:rsidRPr="00C37701">
        <w:rPr>
          <w:rFonts w:ascii="Times New Roman" w:hAnsi="Times New Roman" w:cs="Times New Roman"/>
          <w:b/>
          <w:sz w:val="24"/>
          <w:szCs w:val="24"/>
        </w:rPr>
        <w:t xml:space="preserve"> годы,</w:t>
      </w:r>
    </w:p>
    <w:p w14:paraId="1F4280D1" w14:textId="77777777" w:rsidR="00B252FD" w:rsidRPr="00C37701" w:rsidRDefault="00B252FD" w:rsidP="0097449D">
      <w:pPr>
        <w:keepNext/>
        <w:keepLines/>
        <w:tabs>
          <w:tab w:val="left" w:pos="900"/>
          <w:tab w:val="left" w:pos="1080"/>
        </w:tabs>
        <w:spacing w:after="0" w:line="240" w:lineRule="auto"/>
        <w:contextualSpacing/>
        <w:jc w:val="center"/>
        <w:rPr>
          <w:rFonts w:ascii="Times New Roman" w:hAnsi="Times New Roman" w:cs="Times New Roman"/>
          <w:b/>
          <w:sz w:val="24"/>
          <w:szCs w:val="24"/>
        </w:rPr>
      </w:pPr>
      <w:r w:rsidRPr="00C37701">
        <w:rPr>
          <w:rFonts w:ascii="Times New Roman" w:hAnsi="Times New Roman" w:cs="Times New Roman"/>
          <w:b/>
          <w:sz w:val="24"/>
          <w:szCs w:val="24"/>
        </w:rPr>
        <w:t>утвержденного приказом Председателя Национального Банка</w:t>
      </w:r>
    </w:p>
    <w:p w14:paraId="55549715" w14:textId="77777777" w:rsidR="00B252FD" w:rsidRPr="00C37701" w:rsidRDefault="00B252FD" w:rsidP="0097449D">
      <w:pPr>
        <w:keepNext/>
        <w:keepLines/>
        <w:tabs>
          <w:tab w:val="left" w:pos="900"/>
          <w:tab w:val="left" w:pos="1080"/>
        </w:tabs>
        <w:spacing w:after="0" w:line="240" w:lineRule="auto"/>
        <w:contextualSpacing/>
        <w:jc w:val="center"/>
        <w:rPr>
          <w:rFonts w:ascii="Times New Roman" w:hAnsi="Times New Roman" w:cs="Times New Roman"/>
          <w:b/>
          <w:sz w:val="24"/>
          <w:szCs w:val="24"/>
        </w:rPr>
      </w:pPr>
      <w:r w:rsidRPr="00C37701">
        <w:rPr>
          <w:rFonts w:ascii="Times New Roman" w:hAnsi="Times New Roman" w:cs="Times New Roman"/>
          <w:b/>
          <w:sz w:val="24"/>
          <w:szCs w:val="24"/>
        </w:rPr>
        <w:t>Республики Казахстан</w:t>
      </w:r>
    </w:p>
    <w:p w14:paraId="2934F392" w14:textId="77777777" w:rsidR="00B252FD" w:rsidRPr="00C37701" w:rsidRDefault="00B252FD" w:rsidP="0097449D">
      <w:pPr>
        <w:keepNext/>
        <w:keepLines/>
        <w:tabs>
          <w:tab w:val="left" w:pos="900"/>
          <w:tab w:val="left" w:pos="1080"/>
        </w:tabs>
        <w:spacing w:after="0" w:line="240" w:lineRule="auto"/>
        <w:contextualSpacing/>
        <w:jc w:val="center"/>
        <w:rPr>
          <w:rFonts w:ascii="Times New Roman" w:hAnsi="Times New Roman" w:cs="Times New Roman"/>
          <w:i/>
          <w:sz w:val="24"/>
          <w:szCs w:val="24"/>
        </w:rPr>
      </w:pPr>
    </w:p>
    <w:p w14:paraId="6F70F3F0" w14:textId="77777777" w:rsidR="00B252FD" w:rsidRPr="00C37701" w:rsidRDefault="00B252FD" w:rsidP="0097449D">
      <w:pPr>
        <w:keepNext/>
        <w:keepLines/>
        <w:tabs>
          <w:tab w:val="left" w:pos="900"/>
          <w:tab w:val="left" w:pos="1080"/>
        </w:tabs>
        <w:spacing w:after="0" w:line="240" w:lineRule="auto"/>
        <w:contextualSpacing/>
        <w:jc w:val="center"/>
        <w:rPr>
          <w:rFonts w:ascii="Times New Roman" w:hAnsi="Times New Roman" w:cs="Times New Roman"/>
          <w:b/>
          <w:i/>
          <w:sz w:val="24"/>
          <w:szCs w:val="24"/>
        </w:rPr>
      </w:pPr>
      <w:r w:rsidRPr="00C37701">
        <w:rPr>
          <w:rFonts w:ascii="Times New Roman" w:hAnsi="Times New Roman" w:cs="Times New Roman"/>
          <w:b/>
          <w:i/>
          <w:sz w:val="24"/>
          <w:szCs w:val="24"/>
        </w:rPr>
        <w:t xml:space="preserve">от </w:t>
      </w:r>
      <w:r w:rsidR="00E446A1" w:rsidRPr="00C37701">
        <w:rPr>
          <w:rFonts w:ascii="Times New Roman" w:hAnsi="Times New Roman" w:cs="Times New Roman"/>
          <w:b/>
          <w:i/>
          <w:sz w:val="24"/>
          <w:szCs w:val="24"/>
        </w:rPr>
        <w:t>6 ноября</w:t>
      </w:r>
      <w:r w:rsidRPr="00C37701">
        <w:rPr>
          <w:rFonts w:ascii="Times New Roman" w:hAnsi="Times New Roman" w:cs="Times New Roman"/>
          <w:b/>
          <w:i/>
          <w:sz w:val="24"/>
          <w:szCs w:val="24"/>
        </w:rPr>
        <w:t xml:space="preserve"> 20</w:t>
      </w:r>
      <w:r w:rsidR="00B962C5" w:rsidRPr="00C37701">
        <w:rPr>
          <w:rFonts w:ascii="Times New Roman" w:hAnsi="Times New Roman" w:cs="Times New Roman"/>
          <w:b/>
          <w:i/>
          <w:sz w:val="24"/>
          <w:szCs w:val="24"/>
        </w:rPr>
        <w:t>1</w:t>
      </w:r>
      <w:r w:rsidR="00E446A1" w:rsidRPr="00C37701">
        <w:rPr>
          <w:rFonts w:ascii="Times New Roman" w:hAnsi="Times New Roman" w:cs="Times New Roman"/>
          <w:b/>
          <w:i/>
          <w:sz w:val="24"/>
          <w:szCs w:val="24"/>
        </w:rPr>
        <w:t>8</w:t>
      </w:r>
      <w:r w:rsidR="00B962C5" w:rsidRPr="00C37701">
        <w:rPr>
          <w:rFonts w:ascii="Times New Roman" w:hAnsi="Times New Roman" w:cs="Times New Roman"/>
          <w:b/>
          <w:i/>
          <w:sz w:val="24"/>
          <w:szCs w:val="24"/>
        </w:rPr>
        <w:t xml:space="preserve"> года № 4</w:t>
      </w:r>
      <w:r w:rsidR="00E446A1" w:rsidRPr="00C37701">
        <w:rPr>
          <w:rFonts w:ascii="Times New Roman" w:hAnsi="Times New Roman" w:cs="Times New Roman"/>
          <w:b/>
          <w:i/>
          <w:sz w:val="24"/>
          <w:szCs w:val="24"/>
        </w:rPr>
        <w:t>38</w:t>
      </w:r>
    </w:p>
    <w:p w14:paraId="5B4B3E77" w14:textId="77777777" w:rsidR="00B252FD" w:rsidRPr="00C37701" w:rsidRDefault="00B252FD" w:rsidP="0097449D">
      <w:pPr>
        <w:keepNext/>
        <w:keepLines/>
        <w:tabs>
          <w:tab w:val="left" w:pos="900"/>
          <w:tab w:val="left" w:pos="1080"/>
        </w:tabs>
        <w:spacing w:after="0" w:line="240" w:lineRule="auto"/>
        <w:contextualSpacing/>
        <w:jc w:val="center"/>
        <w:rPr>
          <w:rFonts w:ascii="Times New Roman" w:hAnsi="Times New Roman" w:cs="Times New Roman"/>
          <w:i/>
          <w:sz w:val="24"/>
          <w:szCs w:val="24"/>
        </w:rPr>
      </w:pPr>
    </w:p>
    <w:p w14:paraId="70A833DE" w14:textId="77777777" w:rsidR="00B252FD" w:rsidRPr="00C37701" w:rsidRDefault="00B252FD" w:rsidP="0097449D">
      <w:pPr>
        <w:keepNext/>
        <w:keepLines/>
        <w:tabs>
          <w:tab w:val="left" w:pos="900"/>
          <w:tab w:val="left" w:pos="1080"/>
        </w:tabs>
        <w:spacing w:after="0" w:line="240" w:lineRule="auto"/>
        <w:contextualSpacing/>
        <w:jc w:val="center"/>
        <w:rPr>
          <w:rFonts w:ascii="Times New Roman" w:hAnsi="Times New Roman" w:cs="Times New Roman"/>
          <w:b/>
          <w:i/>
          <w:sz w:val="24"/>
          <w:szCs w:val="24"/>
        </w:rPr>
      </w:pPr>
      <w:r w:rsidRPr="00C37701">
        <w:rPr>
          <w:rFonts w:ascii="Times New Roman" w:hAnsi="Times New Roman" w:cs="Times New Roman"/>
          <w:i/>
          <w:sz w:val="24"/>
          <w:szCs w:val="24"/>
        </w:rPr>
        <w:t xml:space="preserve">Период отчета: </w:t>
      </w:r>
      <w:r w:rsidR="00B962C5" w:rsidRPr="00C37701">
        <w:rPr>
          <w:rFonts w:ascii="Times New Roman" w:hAnsi="Times New Roman" w:cs="Times New Roman"/>
          <w:b/>
          <w:i/>
          <w:sz w:val="24"/>
          <w:szCs w:val="24"/>
        </w:rPr>
        <w:t>201</w:t>
      </w:r>
      <w:r w:rsidR="00581AD1" w:rsidRPr="00C37701">
        <w:rPr>
          <w:rFonts w:ascii="Times New Roman" w:hAnsi="Times New Roman" w:cs="Times New Roman"/>
          <w:b/>
          <w:i/>
          <w:sz w:val="24"/>
          <w:szCs w:val="24"/>
        </w:rPr>
        <w:t>9</w:t>
      </w:r>
      <w:r w:rsidRPr="00C37701">
        <w:rPr>
          <w:rFonts w:ascii="Times New Roman" w:hAnsi="Times New Roman" w:cs="Times New Roman"/>
          <w:b/>
          <w:i/>
          <w:sz w:val="24"/>
          <w:szCs w:val="24"/>
        </w:rPr>
        <w:t xml:space="preserve"> год</w:t>
      </w:r>
    </w:p>
    <w:p w14:paraId="7FDAC747" w14:textId="77777777" w:rsidR="00B252FD" w:rsidRPr="00C37701" w:rsidRDefault="00B252FD" w:rsidP="0097449D">
      <w:pPr>
        <w:keepNext/>
        <w:keepLines/>
        <w:tabs>
          <w:tab w:val="left" w:pos="900"/>
          <w:tab w:val="left" w:pos="1080"/>
        </w:tabs>
        <w:spacing w:after="0" w:line="240" w:lineRule="auto"/>
        <w:contextualSpacing/>
        <w:jc w:val="center"/>
        <w:rPr>
          <w:rFonts w:ascii="Times New Roman" w:hAnsi="Times New Roman" w:cs="Times New Roman"/>
          <w:b/>
          <w:sz w:val="24"/>
          <w:szCs w:val="24"/>
        </w:rPr>
      </w:pPr>
    </w:p>
    <w:p w14:paraId="071BE3E9" w14:textId="77777777" w:rsidR="00B252FD" w:rsidRPr="00C37701" w:rsidRDefault="00B252FD" w:rsidP="0097449D">
      <w:pPr>
        <w:keepNext/>
        <w:keepLines/>
        <w:tabs>
          <w:tab w:val="left" w:pos="900"/>
          <w:tab w:val="left" w:pos="1080"/>
        </w:tabs>
        <w:spacing w:after="0" w:line="240" w:lineRule="auto"/>
        <w:contextualSpacing/>
        <w:jc w:val="center"/>
        <w:rPr>
          <w:rFonts w:ascii="Times New Roman" w:hAnsi="Times New Roman" w:cs="Times New Roman"/>
          <w:b/>
          <w:sz w:val="24"/>
          <w:szCs w:val="24"/>
        </w:rPr>
      </w:pPr>
      <w:r w:rsidRPr="00C37701">
        <w:rPr>
          <w:rFonts w:ascii="Times New Roman" w:hAnsi="Times New Roman" w:cs="Times New Roman"/>
          <w:b/>
          <w:sz w:val="24"/>
          <w:szCs w:val="24"/>
        </w:rPr>
        <w:t>1. Анализ управления рисками</w:t>
      </w:r>
    </w:p>
    <w:p w14:paraId="54031186" w14:textId="77777777" w:rsidR="00C63385" w:rsidRPr="00C37701" w:rsidRDefault="00C63385" w:rsidP="0097449D">
      <w:pPr>
        <w:spacing w:after="0" w:line="240" w:lineRule="auto"/>
        <w:contextualSpacing/>
        <w:jc w:val="both"/>
        <w:rPr>
          <w:rFonts w:ascii="Times New Roman" w:hAnsi="Times New Roman" w:cs="Times New Roman"/>
          <w:sz w:val="24"/>
          <w:szCs w:val="24"/>
        </w:rPr>
      </w:pPr>
    </w:p>
    <w:tbl>
      <w:tblPr>
        <w:tblStyle w:val="a8"/>
        <w:tblW w:w="10340" w:type="dxa"/>
        <w:tblInd w:w="-147" w:type="dxa"/>
        <w:tblLook w:val="04A0" w:firstRow="1" w:lastRow="0" w:firstColumn="1" w:lastColumn="0" w:noHBand="0" w:noVBand="1"/>
      </w:tblPr>
      <w:tblGrid>
        <w:gridCol w:w="2759"/>
        <w:gridCol w:w="2744"/>
        <w:gridCol w:w="2572"/>
        <w:gridCol w:w="2265"/>
      </w:tblGrid>
      <w:tr w:rsidR="00D56804" w:rsidRPr="00C37701" w14:paraId="18BAB142" w14:textId="77777777" w:rsidTr="00530BDE">
        <w:trPr>
          <w:tblHeader/>
        </w:trPr>
        <w:tc>
          <w:tcPr>
            <w:tcW w:w="2759" w:type="dxa"/>
          </w:tcPr>
          <w:p w14:paraId="14C41E25" w14:textId="77777777" w:rsidR="00D56804" w:rsidRPr="00C37701" w:rsidRDefault="00D56804" w:rsidP="0097449D">
            <w:pPr>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Наименование возможного риска</w:t>
            </w:r>
          </w:p>
        </w:tc>
        <w:tc>
          <w:tcPr>
            <w:tcW w:w="2744" w:type="dxa"/>
          </w:tcPr>
          <w:p w14:paraId="42C52A76" w14:textId="77777777" w:rsidR="00D56804" w:rsidRPr="00C37701" w:rsidRDefault="00D56804" w:rsidP="0097449D">
            <w:pPr>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Запланированные</w:t>
            </w:r>
          </w:p>
          <w:p w14:paraId="20FAD37A" w14:textId="77777777" w:rsidR="00D56804" w:rsidRPr="00C37701" w:rsidRDefault="00D56804" w:rsidP="0097449D">
            <w:pPr>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мероприятия по управлению рисками</w:t>
            </w:r>
          </w:p>
        </w:tc>
        <w:tc>
          <w:tcPr>
            <w:tcW w:w="2572" w:type="dxa"/>
          </w:tcPr>
          <w:p w14:paraId="518FA44B" w14:textId="77777777" w:rsidR="00D56804" w:rsidRPr="00C37701" w:rsidRDefault="00D56804" w:rsidP="0097449D">
            <w:pPr>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Фактическое</w:t>
            </w:r>
          </w:p>
          <w:p w14:paraId="0E9EBB33" w14:textId="77777777" w:rsidR="00D56804" w:rsidRPr="00C37701" w:rsidRDefault="00D56804" w:rsidP="0097449D">
            <w:pPr>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исполнение</w:t>
            </w:r>
          </w:p>
          <w:p w14:paraId="7A8040DB" w14:textId="77777777" w:rsidR="00D56804" w:rsidRPr="00C37701" w:rsidRDefault="00D56804" w:rsidP="0097449D">
            <w:pPr>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мероприятий по управлению рисками</w:t>
            </w:r>
          </w:p>
        </w:tc>
        <w:tc>
          <w:tcPr>
            <w:tcW w:w="2265" w:type="dxa"/>
          </w:tcPr>
          <w:p w14:paraId="25450DA4" w14:textId="77777777" w:rsidR="00D56804" w:rsidRPr="00C37701" w:rsidRDefault="00D56804" w:rsidP="0097449D">
            <w:pPr>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Примечание</w:t>
            </w:r>
          </w:p>
          <w:p w14:paraId="65291E9F" w14:textId="77777777" w:rsidR="00D56804" w:rsidRPr="00C37701" w:rsidRDefault="00D56804" w:rsidP="0097449D">
            <w:pPr>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(информация об исполнении/</w:t>
            </w:r>
          </w:p>
          <w:p w14:paraId="7588B5FD" w14:textId="77777777" w:rsidR="00D56804" w:rsidRPr="00C37701" w:rsidRDefault="00D56804" w:rsidP="0097449D">
            <w:pPr>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неисполнении)</w:t>
            </w:r>
          </w:p>
        </w:tc>
      </w:tr>
      <w:tr w:rsidR="00D56804" w:rsidRPr="00C37701" w14:paraId="39EDF08D" w14:textId="77777777" w:rsidTr="00530BDE">
        <w:tc>
          <w:tcPr>
            <w:tcW w:w="2759" w:type="dxa"/>
          </w:tcPr>
          <w:p w14:paraId="4D2EFEAD" w14:textId="77777777" w:rsidR="00D56804" w:rsidRPr="00C37701" w:rsidRDefault="00D56804"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1</w:t>
            </w:r>
          </w:p>
        </w:tc>
        <w:tc>
          <w:tcPr>
            <w:tcW w:w="2744" w:type="dxa"/>
          </w:tcPr>
          <w:p w14:paraId="1EED1A8D" w14:textId="77777777" w:rsidR="00D56804" w:rsidRPr="00C37701" w:rsidRDefault="00D56804"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2</w:t>
            </w:r>
          </w:p>
        </w:tc>
        <w:tc>
          <w:tcPr>
            <w:tcW w:w="2572" w:type="dxa"/>
          </w:tcPr>
          <w:p w14:paraId="092055B0" w14:textId="77777777" w:rsidR="00D56804" w:rsidRPr="00C37701" w:rsidRDefault="00D56804"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3</w:t>
            </w:r>
          </w:p>
        </w:tc>
        <w:tc>
          <w:tcPr>
            <w:tcW w:w="2265" w:type="dxa"/>
          </w:tcPr>
          <w:p w14:paraId="3883F8D6" w14:textId="77777777" w:rsidR="00D56804" w:rsidRPr="00C37701" w:rsidRDefault="00D56804"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4</w:t>
            </w:r>
          </w:p>
        </w:tc>
      </w:tr>
      <w:tr w:rsidR="00D56804" w:rsidRPr="00C37701" w14:paraId="35A84DA2" w14:textId="77777777" w:rsidTr="00530BDE">
        <w:tc>
          <w:tcPr>
            <w:tcW w:w="10340" w:type="dxa"/>
            <w:gridSpan w:val="4"/>
          </w:tcPr>
          <w:p w14:paraId="78321DA5" w14:textId="77777777" w:rsidR="00D56804" w:rsidRPr="00C37701" w:rsidRDefault="00D56804" w:rsidP="00C37701">
            <w:pPr>
              <w:contextualSpacing/>
              <w:jc w:val="center"/>
              <w:rPr>
                <w:rFonts w:ascii="Times New Roman" w:hAnsi="Times New Roman" w:cs="Times New Roman"/>
                <w:sz w:val="24"/>
                <w:szCs w:val="24"/>
              </w:rPr>
            </w:pPr>
            <w:r w:rsidRPr="00C37701">
              <w:rPr>
                <w:rFonts w:ascii="Times New Roman" w:hAnsi="Times New Roman" w:cs="Times New Roman"/>
                <w:b/>
                <w:sz w:val="24"/>
                <w:szCs w:val="24"/>
              </w:rPr>
              <w:t xml:space="preserve">Стратегическое направление 1. </w:t>
            </w:r>
            <w:r w:rsidRPr="00C37701">
              <w:rPr>
                <w:rFonts w:ascii="Times New Roman" w:hAnsi="Times New Roman" w:cs="Times New Roman"/>
                <w:sz w:val="24"/>
                <w:szCs w:val="24"/>
              </w:rPr>
              <w:t>Обеспечение стабильности цен</w:t>
            </w:r>
          </w:p>
        </w:tc>
      </w:tr>
      <w:tr w:rsidR="00D56804" w:rsidRPr="00C37701" w14:paraId="50A35E7D" w14:textId="77777777" w:rsidTr="00530BDE">
        <w:tc>
          <w:tcPr>
            <w:tcW w:w="10340" w:type="dxa"/>
            <w:gridSpan w:val="4"/>
          </w:tcPr>
          <w:p w14:paraId="14B72216" w14:textId="77777777" w:rsidR="00D56804" w:rsidRPr="00C37701" w:rsidRDefault="00D56804" w:rsidP="00114B15">
            <w:pPr>
              <w:contextualSpacing/>
              <w:rPr>
                <w:rFonts w:ascii="Times New Roman" w:hAnsi="Times New Roman" w:cs="Times New Roman"/>
                <w:sz w:val="24"/>
                <w:szCs w:val="24"/>
              </w:rPr>
            </w:pPr>
            <w:r w:rsidRPr="00C37701">
              <w:rPr>
                <w:rFonts w:ascii="Times New Roman" w:hAnsi="Times New Roman" w:cs="Times New Roman"/>
                <w:b/>
                <w:sz w:val="24"/>
                <w:szCs w:val="24"/>
              </w:rPr>
              <w:t xml:space="preserve">Цель 1.1. </w:t>
            </w:r>
            <w:r w:rsidR="00694493" w:rsidRPr="00C37701">
              <w:rPr>
                <w:rFonts w:ascii="Times New Roman" w:hAnsi="Times New Roman" w:cs="Times New Roman"/>
                <w:sz w:val="24"/>
                <w:szCs w:val="24"/>
              </w:rPr>
              <w:t>Разработка и проведение денежно-кредитной политики государства. Удержание инфляции в целевом коридоре</w:t>
            </w:r>
          </w:p>
        </w:tc>
      </w:tr>
      <w:tr w:rsidR="002534C2" w:rsidRPr="00C37701" w14:paraId="790CCE18" w14:textId="77777777" w:rsidTr="00530BDE">
        <w:tc>
          <w:tcPr>
            <w:tcW w:w="2759" w:type="dxa"/>
          </w:tcPr>
          <w:p w14:paraId="266CB99A"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Снижение цены на нефть на протяжении всего среднесрочного периода может привести к ослаблению тенге и росту инфляции в краткосрочном периоде.</w:t>
            </w:r>
          </w:p>
        </w:tc>
        <w:tc>
          <w:tcPr>
            <w:tcW w:w="2744" w:type="dxa"/>
          </w:tcPr>
          <w:p w14:paraId="34191AC5"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Проведение сдерживающей денежно-кредитной политики.</w:t>
            </w:r>
          </w:p>
        </w:tc>
        <w:tc>
          <w:tcPr>
            <w:tcW w:w="2572" w:type="dxa"/>
          </w:tcPr>
          <w:p w14:paraId="4224B888" w14:textId="77777777" w:rsidR="00581AD1" w:rsidRPr="00C37701" w:rsidRDefault="00581AD1" w:rsidP="0097449D">
            <w:pPr>
              <w:jc w:val="both"/>
              <w:rPr>
                <w:rFonts w:ascii="Times New Roman" w:hAnsi="Times New Roman" w:cs="Times New Roman"/>
                <w:sz w:val="24"/>
                <w:szCs w:val="24"/>
              </w:rPr>
            </w:pPr>
            <w:r w:rsidRPr="00C37701">
              <w:rPr>
                <w:rFonts w:ascii="Times New Roman" w:hAnsi="Times New Roman" w:cs="Times New Roman"/>
                <w:sz w:val="24"/>
                <w:szCs w:val="24"/>
              </w:rPr>
              <w:t xml:space="preserve">Цена на нефть марки </w:t>
            </w:r>
            <w:r w:rsidRPr="00C37701">
              <w:rPr>
                <w:rFonts w:ascii="Times New Roman" w:hAnsi="Times New Roman" w:cs="Times New Roman"/>
                <w:sz w:val="24"/>
                <w:szCs w:val="24"/>
                <w:lang w:val="en-US"/>
              </w:rPr>
              <w:t>Brent</w:t>
            </w:r>
            <w:r w:rsidRPr="00C37701">
              <w:rPr>
                <w:rFonts w:ascii="Times New Roman" w:hAnsi="Times New Roman" w:cs="Times New Roman"/>
                <w:sz w:val="24"/>
                <w:szCs w:val="24"/>
              </w:rPr>
              <w:t xml:space="preserve"> в 2019 году в среднем сформировалась на уровне 64,2 доллара США за баррель, что соответствует базовому сценарию Национального Банка.</w:t>
            </w:r>
          </w:p>
          <w:p w14:paraId="15C7FF64" w14:textId="77777777" w:rsidR="00581AD1" w:rsidRPr="00C37701" w:rsidRDefault="00581AD1" w:rsidP="0097449D">
            <w:pPr>
              <w:jc w:val="both"/>
              <w:rPr>
                <w:rFonts w:ascii="Times New Roman" w:hAnsi="Times New Roman" w:cs="Times New Roman"/>
                <w:sz w:val="24"/>
                <w:szCs w:val="24"/>
              </w:rPr>
            </w:pPr>
            <w:r w:rsidRPr="00C37701">
              <w:rPr>
                <w:rFonts w:ascii="Times New Roman" w:hAnsi="Times New Roman" w:cs="Times New Roman"/>
                <w:sz w:val="24"/>
                <w:szCs w:val="24"/>
              </w:rPr>
              <w:t>Цены стали опускаться ниже уровня 60 долларов США за баррель в августе 2019 года.</w:t>
            </w:r>
            <w:r w:rsidR="001C1940" w:rsidRPr="00C37701">
              <w:rPr>
                <w:rFonts w:ascii="Times New Roman" w:hAnsi="Times New Roman" w:cs="Times New Roman"/>
                <w:sz w:val="24"/>
                <w:szCs w:val="24"/>
              </w:rPr>
              <w:t xml:space="preserve"> В этой связи </w:t>
            </w:r>
            <w:r w:rsidRPr="00C37701">
              <w:rPr>
                <w:rFonts w:ascii="Times New Roman" w:hAnsi="Times New Roman" w:cs="Times New Roman"/>
                <w:sz w:val="24"/>
                <w:szCs w:val="24"/>
              </w:rPr>
              <w:t>на фоне влияния ряда вышеописанных факторов, оказывающих повышательное давление на инфляцию, базовая</w:t>
            </w:r>
            <w:r w:rsidR="001C1940" w:rsidRPr="00C37701">
              <w:rPr>
                <w:rFonts w:ascii="Times New Roman" w:hAnsi="Times New Roman" w:cs="Times New Roman"/>
                <w:sz w:val="24"/>
                <w:szCs w:val="24"/>
              </w:rPr>
              <w:t xml:space="preserve"> ставка была повышена до 9,25%, и</w:t>
            </w:r>
            <w:r w:rsidRPr="00C37701">
              <w:rPr>
                <w:rFonts w:ascii="Times New Roman" w:hAnsi="Times New Roman" w:cs="Times New Roman"/>
                <w:sz w:val="24"/>
                <w:szCs w:val="24"/>
              </w:rPr>
              <w:t xml:space="preserve"> сохранена на этом уровне до конца года.</w:t>
            </w:r>
          </w:p>
          <w:p w14:paraId="349D6BD5" w14:textId="77777777" w:rsidR="002534C2" w:rsidRPr="00C37701" w:rsidRDefault="00581AD1" w:rsidP="0097449D">
            <w:pPr>
              <w:jc w:val="both"/>
              <w:rPr>
                <w:rFonts w:ascii="Times New Roman" w:hAnsi="Times New Roman" w:cs="Times New Roman"/>
                <w:sz w:val="24"/>
                <w:szCs w:val="24"/>
              </w:rPr>
            </w:pPr>
            <w:r w:rsidRPr="00C37701">
              <w:rPr>
                <w:rFonts w:ascii="Times New Roman" w:hAnsi="Times New Roman" w:cs="Times New Roman"/>
                <w:sz w:val="24"/>
                <w:szCs w:val="24"/>
              </w:rPr>
              <w:t xml:space="preserve">Денежно-кредитные условия по итогам 2019 года оцениваются </w:t>
            </w:r>
            <w:r w:rsidRPr="00C37701">
              <w:rPr>
                <w:rFonts w:ascii="Times New Roman" w:hAnsi="Times New Roman" w:cs="Times New Roman"/>
                <w:sz w:val="24"/>
                <w:szCs w:val="24"/>
              </w:rPr>
              <w:lastRenderedPageBreak/>
              <w:t>как слабо сдерживающие, что обусловлено необходимостью принятия упреждающих мер по ограничению влияния на инфляционные и курсовые ожидания расширяющегося дефицита текущего счета платежного баланса.</w:t>
            </w:r>
          </w:p>
        </w:tc>
        <w:tc>
          <w:tcPr>
            <w:tcW w:w="2265" w:type="dxa"/>
          </w:tcPr>
          <w:p w14:paraId="163E8F51" w14:textId="77777777" w:rsidR="002534C2" w:rsidRPr="00C37701" w:rsidRDefault="002534C2" w:rsidP="0097449D">
            <w:pPr>
              <w:contextualSpacing/>
              <w:jc w:val="both"/>
              <w:rPr>
                <w:rFonts w:ascii="Times New Roman" w:hAnsi="Times New Roman" w:cs="Times New Roman"/>
                <w:sz w:val="24"/>
                <w:szCs w:val="24"/>
              </w:rPr>
            </w:pPr>
          </w:p>
        </w:tc>
      </w:tr>
      <w:tr w:rsidR="002534C2" w:rsidRPr="00C37701" w14:paraId="58397765" w14:textId="77777777" w:rsidTr="00530BDE">
        <w:tc>
          <w:tcPr>
            <w:tcW w:w="2759" w:type="dxa"/>
          </w:tcPr>
          <w:p w14:paraId="7B4B6D58"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lastRenderedPageBreak/>
              <w:t>Более медленное восстановление казахстанской экономики, в том числе за счет медленного восстановления внутреннего спроса при условии стабилизации цен на нефть, может привести к снижению инфляции.</w:t>
            </w:r>
          </w:p>
        </w:tc>
        <w:tc>
          <w:tcPr>
            <w:tcW w:w="2744" w:type="dxa"/>
          </w:tcPr>
          <w:p w14:paraId="17AEC846"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Проведение стимулирующей денежно-кредитной политики.</w:t>
            </w:r>
          </w:p>
        </w:tc>
        <w:tc>
          <w:tcPr>
            <w:tcW w:w="2572" w:type="dxa"/>
          </w:tcPr>
          <w:p w14:paraId="2745F049" w14:textId="77777777" w:rsidR="002534C2" w:rsidRPr="00C37701" w:rsidRDefault="002534C2" w:rsidP="006301B1">
            <w:pPr>
              <w:contextualSpacing/>
              <w:jc w:val="both"/>
              <w:rPr>
                <w:rFonts w:ascii="Times New Roman" w:hAnsi="Times New Roman" w:cs="Times New Roman"/>
                <w:sz w:val="24"/>
                <w:szCs w:val="24"/>
              </w:rPr>
            </w:pPr>
            <w:r w:rsidRPr="00C37701">
              <w:rPr>
                <w:rFonts w:ascii="Times New Roman" w:hAnsi="Times New Roman" w:cs="Times New Roman"/>
                <w:sz w:val="24"/>
                <w:szCs w:val="24"/>
              </w:rPr>
              <w:t>Уровень базовой ставки соответствовал сложившимся тенденциям в экономике и ситуации в финансовом секторе, в том числе наблюдаемым инфляционным процессам.</w:t>
            </w:r>
          </w:p>
          <w:p w14:paraId="411FE59B" w14:textId="77777777" w:rsidR="001D338B" w:rsidRPr="00C37701" w:rsidRDefault="001D338B" w:rsidP="0097449D">
            <w:pPr>
              <w:contextualSpacing/>
              <w:jc w:val="both"/>
              <w:rPr>
                <w:rFonts w:ascii="Times New Roman" w:hAnsi="Times New Roman" w:cs="Times New Roman"/>
                <w:sz w:val="24"/>
                <w:szCs w:val="24"/>
              </w:rPr>
            </w:pPr>
          </w:p>
        </w:tc>
        <w:tc>
          <w:tcPr>
            <w:tcW w:w="2265" w:type="dxa"/>
          </w:tcPr>
          <w:p w14:paraId="7FB830EA" w14:textId="77777777" w:rsidR="002534C2" w:rsidRPr="00C37701" w:rsidRDefault="002534C2" w:rsidP="0097449D">
            <w:pPr>
              <w:contextualSpacing/>
              <w:jc w:val="both"/>
              <w:rPr>
                <w:rFonts w:ascii="Times New Roman" w:hAnsi="Times New Roman" w:cs="Times New Roman"/>
                <w:sz w:val="24"/>
                <w:szCs w:val="24"/>
              </w:rPr>
            </w:pPr>
          </w:p>
        </w:tc>
      </w:tr>
      <w:tr w:rsidR="002534C2" w:rsidRPr="00C37701" w14:paraId="16A1AE99" w14:textId="77777777" w:rsidTr="00530BDE">
        <w:tc>
          <w:tcPr>
            <w:tcW w:w="10340" w:type="dxa"/>
            <w:gridSpan w:val="4"/>
          </w:tcPr>
          <w:p w14:paraId="2FA6373B" w14:textId="77777777" w:rsidR="002534C2" w:rsidRPr="00C37701" w:rsidRDefault="002534C2" w:rsidP="00C37701">
            <w:pPr>
              <w:contextualSpacing/>
              <w:jc w:val="center"/>
              <w:rPr>
                <w:rFonts w:ascii="Times New Roman" w:hAnsi="Times New Roman" w:cs="Times New Roman"/>
                <w:sz w:val="24"/>
                <w:szCs w:val="24"/>
              </w:rPr>
            </w:pPr>
            <w:r w:rsidRPr="00C37701">
              <w:rPr>
                <w:rFonts w:ascii="Times New Roman" w:hAnsi="Times New Roman" w:cs="Times New Roman"/>
                <w:b/>
                <w:sz w:val="24"/>
                <w:szCs w:val="24"/>
              </w:rPr>
              <w:t xml:space="preserve">Стратегическое направление 2. </w:t>
            </w:r>
            <w:r w:rsidRPr="00C37701">
              <w:rPr>
                <w:rFonts w:ascii="Times New Roman" w:hAnsi="Times New Roman" w:cs="Times New Roman"/>
                <w:sz w:val="24"/>
                <w:szCs w:val="24"/>
              </w:rPr>
              <w:t>Обеспечение финансовой стабильности</w:t>
            </w:r>
          </w:p>
        </w:tc>
      </w:tr>
      <w:tr w:rsidR="002534C2" w:rsidRPr="00C37701" w14:paraId="37B55072" w14:textId="77777777" w:rsidTr="00530BDE">
        <w:tc>
          <w:tcPr>
            <w:tcW w:w="10340" w:type="dxa"/>
            <w:gridSpan w:val="4"/>
          </w:tcPr>
          <w:p w14:paraId="53B3E717" w14:textId="77777777" w:rsidR="002534C2" w:rsidRPr="00C37701" w:rsidRDefault="002534C2" w:rsidP="003D3E25">
            <w:pPr>
              <w:contextualSpacing/>
              <w:rPr>
                <w:rFonts w:ascii="Times New Roman" w:hAnsi="Times New Roman" w:cs="Times New Roman"/>
                <w:sz w:val="24"/>
                <w:szCs w:val="24"/>
              </w:rPr>
            </w:pPr>
            <w:r w:rsidRPr="00C37701">
              <w:rPr>
                <w:rFonts w:ascii="Times New Roman" w:hAnsi="Times New Roman" w:cs="Times New Roman"/>
                <w:b/>
                <w:sz w:val="24"/>
                <w:szCs w:val="24"/>
              </w:rPr>
              <w:t xml:space="preserve">Цель 2.1. </w:t>
            </w:r>
            <w:r w:rsidRPr="00C37701">
              <w:rPr>
                <w:rFonts w:ascii="Times New Roman" w:hAnsi="Times New Roman" w:cs="Times New Roman"/>
                <w:sz w:val="24"/>
                <w:szCs w:val="24"/>
              </w:rPr>
              <w:t>Повышение финансовой устойчивости и конкурентоспособности банковского сектора</w:t>
            </w:r>
          </w:p>
        </w:tc>
      </w:tr>
      <w:tr w:rsidR="00721550" w:rsidRPr="00C37701" w14:paraId="0942D9C5" w14:textId="77777777" w:rsidTr="00530BDE">
        <w:tc>
          <w:tcPr>
            <w:tcW w:w="2759" w:type="dxa"/>
            <w:vMerge w:val="restart"/>
          </w:tcPr>
          <w:p w14:paraId="41DBFF41"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Нестабильная ценовая ситуация на мировых товарных рынках.</w:t>
            </w:r>
          </w:p>
        </w:tc>
        <w:tc>
          <w:tcPr>
            <w:tcW w:w="2744" w:type="dxa"/>
          </w:tcPr>
          <w:p w14:paraId="2FDC3249" w14:textId="49CEA600" w:rsidR="00721550" w:rsidRPr="00C37701" w:rsidRDefault="002E2AAA" w:rsidP="002E2AAA">
            <w:pPr>
              <w:pStyle w:val="a4"/>
              <w:keepNext/>
              <w:keepLines/>
              <w:tabs>
                <w:tab w:val="left" w:pos="0"/>
              </w:tabs>
              <w:spacing w:before="0" w:beforeAutospacing="0" w:after="0" w:afterAutospacing="0"/>
              <w:contextualSpacing/>
              <w:jc w:val="both"/>
            </w:pPr>
            <w:r>
              <w:t>Диагностика посредством</w:t>
            </w:r>
            <w:r w:rsidR="00A27105">
              <w:rPr>
                <w:lang w:val="kk-KZ"/>
              </w:rPr>
              <w:t xml:space="preserve"> </w:t>
            </w:r>
            <w:r w:rsidR="00721550" w:rsidRPr="00C37701">
              <w:t xml:space="preserve">стресс-тестирования субъектов банковского сектора в целях выявления и оценки рисков банковского сектора </w:t>
            </w:r>
          </w:p>
        </w:tc>
        <w:tc>
          <w:tcPr>
            <w:tcW w:w="2572" w:type="dxa"/>
          </w:tcPr>
          <w:p w14:paraId="2D81F3E9" w14:textId="77777777" w:rsidR="00721550" w:rsidRPr="00C37701" w:rsidRDefault="00721550" w:rsidP="0097449D">
            <w:pPr>
              <w:contextualSpacing/>
              <w:jc w:val="both"/>
              <w:rPr>
                <w:rFonts w:ascii="Times New Roman" w:hAnsi="Times New Roman" w:cs="Times New Roman"/>
                <w:i/>
                <w:sz w:val="24"/>
                <w:szCs w:val="24"/>
              </w:rPr>
            </w:pPr>
            <w:r w:rsidRPr="00C37701">
              <w:rPr>
                <w:rFonts w:ascii="Times New Roman" w:hAnsi="Times New Roman" w:cs="Times New Roman"/>
                <w:sz w:val="24"/>
                <w:szCs w:val="24"/>
              </w:rPr>
              <w:t>См. аналитическую записку</w:t>
            </w:r>
          </w:p>
        </w:tc>
        <w:tc>
          <w:tcPr>
            <w:tcW w:w="2265" w:type="dxa"/>
          </w:tcPr>
          <w:p w14:paraId="6D76FFDE"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5E4466C8" w14:textId="77777777" w:rsidTr="00530BDE">
        <w:tc>
          <w:tcPr>
            <w:tcW w:w="2759" w:type="dxa"/>
            <w:vMerge/>
          </w:tcPr>
          <w:p w14:paraId="64A90041" w14:textId="77777777" w:rsidR="00721550" w:rsidRPr="00C37701" w:rsidRDefault="00721550" w:rsidP="0097449D">
            <w:pPr>
              <w:contextualSpacing/>
              <w:jc w:val="both"/>
              <w:rPr>
                <w:rFonts w:ascii="Times New Roman" w:hAnsi="Times New Roman" w:cs="Times New Roman"/>
                <w:sz w:val="24"/>
                <w:szCs w:val="24"/>
              </w:rPr>
            </w:pPr>
          </w:p>
        </w:tc>
        <w:tc>
          <w:tcPr>
            <w:tcW w:w="2744" w:type="dxa"/>
          </w:tcPr>
          <w:p w14:paraId="427BA577" w14:textId="77777777" w:rsidR="00721550" w:rsidRPr="00C37701" w:rsidRDefault="00721550" w:rsidP="0097449D">
            <w:pPr>
              <w:pStyle w:val="a4"/>
              <w:keepNext/>
              <w:keepLines/>
              <w:tabs>
                <w:tab w:val="left" w:pos="0"/>
              </w:tabs>
              <w:spacing w:before="0" w:beforeAutospacing="0" w:after="0" w:afterAutospacing="0"/>
              <w:contextualSpacing/>
              <w:jc w:val="both"/>
            </w:pPr>
            <w:r w:rsidRPr="00C37701">
              <w:t xml:space="preserve">Совершенствование риск-ориентированного надзора и </w:t>
            </w:r>
            <w:proofErr w:type="spellStart"/>
            <w:r w:rsidRPr="00C37701">
              <w:t>пруденциального</w:t>
            </w:r>
            <w:proofErr w:type="spellEnd"/>
            <w:r w:rsidRPr="00C37701">
              <w:t xml:space="preserve"> регулирования банков в целях минимизации рисков банковского сектора и повышения устойчивости  банков.</w:t>
            </w:r>
          </w:p>
        </w:tc>
        <w:tc>
          <w:tcPr>
            <w:tcW w:w="2572" w:type="dxa"/>
          </w:tcPr>
          <w:p w14:paraId="1C8796A2" w14:textId="77777777" w:rsidR="00721550" w:rsidRPr="00C37701" w:rsidRDefault="000C2504"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tc>
        <w:tc>
          <w:tcPr>
            <w:tcW w:w="2265" w:type="dxa"/>
          </w:tcPr>
          <w:p w14:paraId="18AA7482"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06796CA9" w14:textId="77777777" w:rsidTr="00530BDE">
        <w:tc>
          <w:tcPr>
            <w:tcW w:w="2759" w:type="dxa"/>
          </w:tcPr>
          <w:p w14:paraId="0127F268"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Вытеснение казахстанских участников с отечественного финансового рынка иностранными финансовыми </w:t>
            </w:r>
            <w:r w:rsidRPr="00C37701">
              <w:rPr>
                <w:rFonts w:ascii="Times New Roman" w:hAnsi="Times New Roman" w:cs="Times New Roman"/>
                <w:sz w:val="24"/>
                <w:szCs w:val="24"/>
              </w:rPr>
              <w:lastRenderedPageBreak/>
              <w:t>институтами в связи со вступлением в ВТО.</w:t>
            </w:r>
          </w:p>
        </w:tc>
        <w:tc>
          <w:tcPr>
            <w:tcW w:w="2744" w:type="dxa"/>
          </w:tcPr>
          <w:p w14:paraId="748B3AE6" w14:textId="77777777" w:rsidR="00721550" w:rsidRPr="00C37701" w:rsidRDefault="00721550" w:rsidP="0097449D">
            <w:pPr>
              <w:pStyle w:val="a4"/>
              <w:keepNext/>
              <w:keepLines/>
              <w:tabs>
                <w:tab w:val="left" w:pos="0"/>
              </w:tabs>
              <w:spacing w:before="0" w:beforeAutospacing="0" w:after="0" w:afterAutospacing="0"/>
              <w:contextualSpacing/>
              <w:jc w:val="both"/>
            </w:pPr>
            <w:r w:rsidRPr="00C37701">
              <w:lastRenderedPageBreak/>
              <w:t>Создание симметричной и адекватной рискам регуляторной среды в рамках либерализации доступа на финансовый рынок.</w:t>
            </w:r>
          </w:p>
        </w:tc>
        <w:tc>
          <w:tcPr>
            <w:tcW w:w="2572" w:type="dxa"/>
          </w:tcPr>
          <w:p w14:paraId="1C5F6F76" w14:textId="77777777" w:rsidR="00721550" w:rsidRPr="00C37701" w:rsidRDefault="00D83FDB" w:rsidP="0097449D">
            <w:pPr>
              <w:pStyle w:val="a4"/>
              <w:keepNext/>
              <w:keepLines/>
              <w:tabs>
                <w:tab w:val="left" w:pos="0"/>
              </w:tabs>
              <w:spacing w:before="0" w:beforeAutospacing="0" w:after="0" w:afterAutospacing="0"/>
              <w:contextualSpacing/>
              <w:jc w:val="both"/>
              <w:rPr>
                <w:rFonts w:eastAsiaTheme="minorHAnsi"/>
                <w:lang w:eastAsia="en-US"/>
              </w:rPr>
            </w:pPr>
            <w:r w:rsidRPr="001F20D3">
              <w:t>Меры оперативного реагирования не были востребованы. Риск не реализован.</w:t>
            </w:r>
          </w:p>
        </w:tc>
        <w:tc>
          <w:tcPr>
            <w:tcW w:w="2265" w:type="dxa"/>
          </w:tcPr>
          <w:p w14:paraId="1443C215"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18D3ABE2" w14:textId="77777777" w:rsidTr="00530BDE">
        <w:tc>
          <w:tcPr>
            <w:tcW w:w="2759" w:type="dxa"/>
          </w:tcPr>
          <w:p w14:paraId="7B4A3861"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lastRenderedPageBreak/>
              <w:t>Кредитный риск. Влияние активов номинированных в иностранной валюте на уровень неработающих кредитов.</w:t>
            </w:r>
          </w:p>
        </w:tc>
        <w:tc>
          <w:tcPr>
            <w:tcW w:w="2744" w:type="dxa"/>
          </w:tcPr>
          <w:p w14:paraId="6961C8C9" w14:textId="77777777" w:rsidR="00721550" w:rsidRPr="00C37701" w:rsidRDefault="007656B7" w:rsidP="0097449D">
            <w:pPr>
              <w:pStyle w:val="a4"/>
              <w:keepNext/>
              <w:keepLines/>
              <w:tabs>
                <w:tab w:val="left" w:pos="0"/>
              </w:tabs>
              <w:spacing w:before="0" w:beforeAutospacing="0" w:after="0" w:afterAutospacing="0"/>
              <w:contextualSpacing/>
              <w:jc w:val="both"/>
            </w:pPr>
            <w:r w:rsidRPr="00C37701">
              <w:t>В целях повышения эффектив</w:t>
            </w:r>
            <w:r w:rsidR="00721550" w:rsidRPr="00C37701">
              <w:t xml:space="preserve">ности </w:t>
            </w:r>
            <w:proofErr w:type="spellStart"/>
            <w:r w:rsidR="00721550" w:rsidRPr="00C37701">
              <w:t>пруденциального</w:t>
            </w:r>
            <w:proofErr w:type="spellEnd"/>
            <w:r w:rsidR="00721550" w:rsidRPr="00C37701">
              <w:t xml:space="preserve"> регулирования установление повышенных требований к собственному капиталу по займам в иностранной валюте заемщикам, не имеющим соответствующей валютной выручки.</w:t>
            </w:r>
          </w:p>
        </w:tc>
        <w:tc>
          <w:tcPr>
            <w:tcW w:w="2572" w:type="dxa"/>
          </w:tcPr>
          <w:p w14:paraId="6760C86B" w14:textId="77777777" w:rsidR="00721550" w:rsidRPr="00C37701" w:rsidRDefault="00D83FDB" w:rsidP="0097449D">
            <w:pPr>
              <w:pStyle w:val="a4"/>
              <w:keepNext/>
              <w:keepLines/>
              <w:tabs>
                <w:tab w:val="left" w:pos="0"/>
              </w:tabs>
              <w:spacing w:before="0" w:beforeAutospacing="0" w:after="0" w:afterAutospacing="0"/>
              <w:contextualSpacing/>
              <w:jc w:val="both"/>
            </w:pPr>
            <w:r w:rsidRPr="00C37701">
              <w:t>Меры оперативного реагирования не были востребованы. Риск не реализован.</w:t>
            </w:r>
          </w:p>
        </w:tc>
        <w:tc>
          <w:tcPr>
            <w:tcW w:w="2265" w:type="dxa"/>
          </w:tcPr>
          <w:p w14:paraId="06F5A550"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20D5EADA" w14:textId="77777777" w:rsidTr="00530BDE">
        <w:tc>
          <w:tcPr>
            <w:tcW w:w="2759" w:type="dxa"/>
          </w:tcPr>
          <w:p w14:paraId="0B75AAF6"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Риск фондирования. Рост вкладов клиентов в иностранной валюте</w:t>
            </w:r>
          </w:p>
        </w:tc>
        <w:tc>
          <w:tcPr>
            <w:tcW w:w="2744" w:type="dxa"/>
          </w:tcPr>
          <w:p w14:paraId="3C2C5923" w14:textId="77777777" w:rsidR="00721550" w:rsidRPr="00C37701" w:rsidRDefault="00721550" w:rsidP="0097449D">
            <w:pPr>
              <w:pStyle w:val="a4"/>
              <w:keepNext/>
              <w:keepLines/>
              <w:tabs>
                <w:tab w:val="left" w:pos="0"/>
              </w:tabs>
              <w:spacing w:before="0" w:beforeAutospacing="0" w:after="0" w:afterAutospacing="0"/>
              <w:contextualSpacing/>
              <w:jc w:val="both"/>
            </w:pPr>
            <w:r w:rsidRPr="00C37701">
              <w:t xml:space="preserve">Принятие мер по повышению привлекательности </w:t>
            </w:r>
            <w:proofErr w:type="spellStart"/>
            <w:r w:rsidRPr="00C37701">
              <w:t>тенговых</w:t>
            </w:r>
            <w:proofErr w:type="spellEnd"/>
            <w:r w:rsidRPr="00C37701">
              <w:t xml:space="preserve"> инструментов: развитие рынка корпоративных ценных бумаг, расширение возможностей институциональных инвесторов, стимулирование биржевой торговли финансовыми инструментами в тенге.</w:t>
            </w:r>
          </w:p>
        </w:tc>
        <w:tc>
          <w:tcPr>
            <w:tcW w:w="2572" w:type="dxa"/>
          </w:tcPr>
          <w:p w14:paraId="0C646F48" w14:textId="77777777" w:rsidR="00721550" w:rsidRPr="00C37701" w:rsidRDefault="00E72186" w:rsidP="0097449D">
            <w:pPr>
              <w:contextualSpacing/>
              <w:jc w:val="both"/>
              <w:rPr>
                <w:rFonts w:ascii="Times New Roman" w:hAnsi="Times New Roman" w:cs="Times New Roman"/>
                <w:sz w:val="24"/>
                <w:szCs w:val="24"/>
              </w:rPr>
            </w:pPr>
            <w:r w:rsidRPr="00C37701">
              <w:rPr>
                <w:rFonts w:ascii="Times New Roman" w:eastAsia="Calibri" w:hAnsi="Times New Roman" w:cs="Times New Roman"/>
                <w:sz w:val="24"/>
                <w:szCs w:val="24"/>
                <w:lang w:eastAsia="ru-RU"/>
              </w:rPr>
              <w:t>Меры оперативного реагирования не были востребованы. Риск не реализован.</w:t>
            </w:r>
          </w:p>
        </w:tc>
        <w:tc>
          <w:tcPr>
            <w:tcW w:w="2265" w:type="dxa"/>
          </w:tcPr>
          <w:p w14:paraId="040DCF4A"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1F64854A" w14:textId="77777777" w:rsidTr="00530BDE">
        <w:tc>
          <w:tcPr>
            <w:tcW w:w="2759" w:type="dxa"/>
            <w:vMerge w:val="restart"/>
          </w:tcPr>
          <w:p w14:paraId="499F8409"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Ухудшение финансовой устойчивости банков.</w:t>
            </w:r>
          </w:p>
        </w:tc>
        <w:tc>
          <w:tcPr>
            <w:tcW w:w="2744" w:type="dxa"/>
          </w:tcPr>
          <w:p w14:paraId="07993B1E" w14:textId="77777777" w:rsidR="00721550" w:rsidRPr="00C37701" w:rsidRDefault="00721550" w:rsidP="0097449D">
            <w:pPr>
              <w:pStyle w:val="a4"/>
              <w:keepNext/>
              <w:keepLines/>
              <w:tabs>
                <w:tab w:val="left" w:pos="0"/>
              </w:tabs>
              <w:spacing w:before="0" w:beforeAutospacing="0" w:after="0" w:afterAutospacing="0"/>
              <w:contextualSpacing/>
              <w:jc w:val="both"/>
            </w:pPr>
            <w:r w:rsidRPr="00C37701">
              <w:t xml:space="preserve">Совершенствование </w:t>
            </w:r>
            <w:proofErr w:type="spellStart"/>
            <w:r w:rsidRPr="00C37701">
              <w:t>пруденциального</w:t>
            </w:r>
            <w:proofErr w:type="spellEnd"/>
            <w:r w:rsidRPr="00C37701">
              <w:t xml:space="preserve"> регулирования банков второго уровня.</w:t>
            </w:r>
          </w:p>
        </w:tc>
        <w:tc>
          <w:tcPr>
            <w:tcW w:w="2572" w:type="dxa"/>
          </w:tcPr>
          <w:p w14:paraId="1C7DAC51" w14:textId="77777777" w:rsidR="00721550" w:rsidRPr="00C37701" w:rsidRDefault="00D83FDB"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tc>
        <w:tc>
          <w:tcPr>
            <w:tcW w:w="2265" w:type="dxa"/>
          </w:tcPr>
          <w:p w14:paraId="1C485EAB"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424212F2" w14:textId="77777777" w:rsidTr="00530BDE">
        <w:tc>
          <w:tcPr>
            <w:tcW w:w="2759" w:type="dxa"/>
            <w:vMerge/>
          </w:tcPr>
          <w:p w14:paraId="6E5A2014" w14:textId="77777777" w:rsidR="00721550" w:rsidRPr="00C37701" w:rsidRDefault="00721550" w:rsidP="0097449D">
            <w:pPr>
              <w:contextualSpacing/>
              <w:jc w:val="both"/>
              <w:rPr>
                <w:rFonts w:ascii="Times New Roman" w:hAnsi="Times New Roman" w:cs="Times New Roman"/>
                <w:sz w:val="24"/>
                <w:szCs w:val="24"/>
              </w:rPr>
            </w:pPr>
          </w:p>
        </w:tc>
        <w:tc>
          <w:tcPr>
            <w:tcW w:w="2744" w:type="dxa"/>
          </w:tcPr>
          <w:p w14:paraId="128D81F3" w14:textId="77777777" w:rsidR="00721550" w:rsidRPr="00C37701" w:rsidRDefault="00721550" w:rsidP="0097449D">
            <w:pPr>
              <w:pStyle w:val="a4"/>
              <w:keepNext/>
              <w:keepLines/>
              <w:tabs>
                <w:tab w:val="left" w:pos="0"/>
              </w:tabs>
              <w:spacing w:before="0" w:beforeAutospacing="0" w:after="0" w:afterAutospacing="0"/>
              <w:contextualSpacing/>
              <w:jc w:val="both"/>
            </w:pPr>
            <w:r w:rsidRPr="00C37701">
              <w:t>Реализация процедур надзора в целях обеспечения банками требований законодательства.</w:t>
            </w:r>
          </w:p>
        </w:tc>
        <w:tc>
          <w:tcPr>
            <w:tcW w:w="2572" w:type="dxa"/>
          </w:tcPr>
          <w:p w14:paraId="59BF034B" w14:textId="77777777" w:rsidR="00721550" w:rsidRPr="00C37701" w:rsidRDefault="000C2504"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tc>
        <w:tc>
          <w:tcPr>
            <w:tcW w:w="2265" w:type="dxa"/>
          </w:tcPr>
          <w:p w14:paraId="0FEE410C"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4ABDC7C0" w14:textId="77777777" w:rsidTr="00530BDE">
        <w:tc>
          <w:tcPr>
            <w:tcW w:w="2759" w:type="dxa"/>
            <w:vMerge/>
          </w:tcPr>
          <w:p w14:paraId="7BDDA07B" w14:textId="77777777" w:rsidR="00721550" w:rsidRPr="00C37701" w:rsidRDefault="00721550" w:rsidP="0097449D">
            <w:pPr>
              <w:contextualSpacing/>
              <w:jc w:val="both"/>
              <w:rPr>
                <w:rFonts w:ascii="Times New Roman" w:hAnsi="Times New Roman" w:cs="Times New Roman"/>
                <w:sz w:val="24"/>
                <w:szCs w:val="24"/>
              </w:rPr>
            </w:pPr>
          </w:p>
        </w:tc>
        <w:tc>
          <w:tcPr>
            <w:tcW w:w="2744" w:type="dxa"/>
          </w:tcPr>
          <w:p w14:paraId="00629555" w14:textId="77777777" w:rsidR="00721550" w:rsidRPr="00C37701" w:rsidRDefault="00721550" w:rsidP="0097449D">
            <w:pPr>
              <w:pStyle w:val="a4"/>
              <w:keepNext/>
              <w:keepLines/>
              <w:tabs>
                <w:tab w:val="left" w:pos="0"/>
              </w:tabs>
              <w:spacing w:before="0" w:beforeAutospacing="0" w:after="0" w:afterAutospacing="0"/>
              <w:contextualSpacing/>
              <w:jc w:val="both"/>
            </w:pPr>
            <w:r w:rsidRPr="00C37701">
              <w:t>Реализация мер по стимулированию снижения неработающих займов.</w:t>
            </w:r>
          </w:p>
        </w:tc>
        <w:tc>
          <w:tcPr>
            <w:tcW w:w="2572" w:type="dxa"/>
          </w:tcPr>
          <w:p w14:paraId="6107A117" w14:textId="77777777" w:rsidR="00721550" w:rsidRPr="00C37701" w:rsidRDefault="000C2504"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tc>
        <w:tc>
          <w:tcPr>
            <w:tcW w:w="2265" w:type="dxa"/>
          </w:tcPr>
          <w:p w14:paraId="7CBBC692"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68A08D5B" w14:textId="77777777" w:rsidTr="00530BDE">
        <w:tc>
          <w:tcPr>
            <w:tcW w:w="10340" w:type="dxa"/>
            <w:gridSpan w:val="4"/>
          </w:tcPr>
          <w:p w14:paraId="6DA4DC33" w14:textId="77777777" w:rsidR="00721550" w:rsidRPr="00C37701" w:rsidRDefault="00721550" w:rsidP="003D3E25">
            <w:pPr>
              <w:contextualSpacing/>
              <w:rPr>
                <w:rFonts w:ascii="Times New Roman" w:hAnsi="Times New Roman" w:cs="Times New Roman"/>
                <w:sz w:val="24"/>
                <w:szCs w:val="24"/>
              </w:rPr>
            </w:pPr>
            <w:r w:rsidRPr="00C37701">
              <w:rPr>
                <w:rFonts w:ascii="Times New Roman" w:hAnsi="Times New Roman" w:cs="Times New Roman"/>
                <w:b/>
                <w:sz w:val="24"/>
                <w:szCs w:val="24"/>
              </w:rPr>
              <w:t xml:space="preserve">Цель 2.2. </w:t>
            </w:r>
            <w:r w:rsidRPr="00C37701">
              <w:rPr>
                <w:rFonts w:ascii="Times New Roman" w:hAnsi="Times New Roman" w:cs="Times New Roman"/>
                <w:sz w:val="24"/>
                <w:szCs w:val="24"/>
              </w:rPr>
              <w:t>Повышение финансовой устойчивости и создание необходимых условий для дальнейшего развития страхового рынка</w:t>
            </w:r>
          </w:p>
        </w:tc>
      </w:tr>
      <w:tr w:rsidR="00721550" w:rsidRPr="00C37701" w14:paraId="1DF26B20" w14:textId="77777777" w:rsidTr="00530BDE">
        <w:tc>
          <w:tcPr>
            <w:tcW w:w="2759" w:type="dxa"/>
          </w:tcPr>
          <w:p w14:paraId="725BCD92"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Ухудшение финансовой платежеспособности перестраховщиков-нерезидентов РК.</w:t>
            </w:r>
          </w:p>
        </w:tc>
        <w:tc>
          <w:tcPr>
            <w:tcW w:w="2744" w:type="dxa"/>
          </w:tcPr>
          <w:p w14:paraId="46EA615C"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1.Усиление контроля и надзора за страховыми организациями РК;</w:t>
            </w:r>
          </w:p>
          <w:p w14:paraId="28A5E210"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2.Пересмотр подхода по формированию доли </w:t>
            </w:r>
            <w:r w:rsidRPr="00C37701">
              <w:rPr>
                <w:rFonts w:ascii="Times New Roman" w:hAnsi="Times New Roman" w:cs="Times New Roman"/>
                <w:sz w:val="24"/>
                <w:szCs w:val="24"/>
              </w:rPr>
              <w:lastRenderedPageBreak/>
              <w:t>перестраховщика в страховых резервах;</w:t>
            </w:r>
          </w:p>
          <w:p w14:paraId="7EDE38E8"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3.Введение реестра перестраховочных организаций-нерезидентов РК, которым будет запрещено передавать страховые риски в перестрахование.</w:t>
            </w:r>
          </w:p>
        </w:tc>
        <w:tc>
          <w:tcPr>
            <w:tcW w:w="2572" w:type="dxa"/>
          </w:tcPr>
          <w:p w14:paraId="2E3A05DB" w14:textId="77777777" w:rsidR="00721550" w:rsidRPr="00C37701" w:rsidRDefault="00042958"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lastRenderedPageBreak/>
              <w:t>См. аналитическую записку</w:t>
            </w:r>
          </w:p>
        </w:tc>
        <w:tc>
          <w:tcPr>
            <w:tcW w:w="2265" w:type="dxa"/>
          </w:tcPr>
          <w:p w14:paraId="02FF79DB"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7EE02117" w14:textId="77777777" w:rsidTr="00530BDE">
        <w:tc>
          <w:tcPr>
            <w:tcW w:w="2759" w:type="dxa"/>
          </w:tcPr>
          <w:p w14:paraId="780476AD"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lastRenderedPageBreak/>
              <w:t>Увеличение расходов страховых организаций.</w:t>
            </w:r>
          </w:p>
        </w:tc>
        <w:tc>
          <w:tcPr>
            <w:tcW w:w="2744" w:type="dxa"/>
          </w:tcPr>
          <w:p w14:paraId="5E49C9B3"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Пересмотр способов заключения договоров страхования (заключение договоров страхования в электронной форме) что, в дальнейшем, позволит упростить процедуру заключения договоров страхования страхователями без обращения к страховым посредникам, а также снизить расходы страховых организаций (расходы на хранение изготовление бумажных страховых полисов).</w:t>
            </w:r>
          </w:p>
        </w:tc>
        <w:tc>
          <w:tcPr>
            <w:tcW w:w="2572" w:type="dxa"/>
          </w:tcPr>
          <w:p w14:paraId="4FCBC5CC" w14:textId="77777777" w:rsidR="00721550" w:rsidRPr="00C37701" w:rsidRDefault="00042958"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tc>
        <w:tc>
          <w:tcPr>
            <w:tcW w:w="2265" w:type="dxa"/>
          </w:tcPr>
          <w:p w14:paraId="577000EB"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31B1FE76" w14:textId="77777777" w:rsidTr="00530BDE">
        <w:tc>
          <w:tcPr>
            <w:tcW w:w="2759" w:type="dxa"/>
          </w:tcPr>
          <w:p w14:paraId="77627ADE"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Ухудшение инвестиционной позиции страховых организаций вследствие изменения ситуации на отечественном и международном финансовом рынках.</w:t>
            </w:r>
          </w:p>
        </w:tc>
        <w:tc>
          <w:tcPr>
            <w:tcW w:w="2744" w:type="dxa"/>
          </w:tcPr>
          <w:p w14:paraId="18109F3F"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Пересмотр требований к инвестированию и диверсификации активов страховых организаций.</w:t>
            </w:r>
          </w:p>
        </w:tc>
        <w:tc>
          <w:tcPr>
            <w:tcW w:w="2572" w:type="dxa"/>
          </w:tcPr>
          <w:p w14:paraId="50B9EC75" w14:textId="77777777" w:rsidR="00721550" w:rsidRPr="00C37701" w:rsidRDefault="00042958"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tc>
        <w:tc>
          <w:tcPr>
            <w:tcW w:w="2265" w:type="dxa"/>
          </w:tcPr>
          <w:p w14:paraId="07B123AB"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6909D1B7" w14:textId="77777777" w:rsidTr="00530BDE">
        <w:tc>
          <w:tcPr>
            <w:tcW w:w="10340" w:type="dxa"/>
            <w:gridSpan w:val="4"/>
          </w:tcPr>
          <w:p w14:paraId="147BB635" w14:textId="77777777" w:rsidR="00721550" w:rsidRPr="00C37701" w:rsidRDefault="00721550" w:rsidP="003D3E25">
            <w:pPr>
              <w:contextualSpacing/>
              <w:rPr>
                <w:rFonts w:ascii="Times New Roman" w:hAnsi="Times New Roman" w:cs="Times New Roman"/>
                <w:sz w:val="24"/>
                <w:szCs w:val="24"/>
              </w:rPr>
            </w:pPr>
            <w:r w:rsidRPr="00C37701">
              <w:rPr>
                <w:rFonts w:ascii="Times New Roman" w:hAnsi="Times New Roman" w:cs="Times New Roman"/>
                <w:b/>
                <w:sz w:val="24"/>
                <w:szCs w:val="24"/>
              </w:rPr>
              <w:t>Цель 2.3.</w:t>
            </w:r>
            <w:r w:rsidRPr="00C37701">
              <w:rPr>
                <w:rFonts w:ascii="Times New Roman" w:hAnsi="Times New Roman" w:cs="Times New Roman"/>
                <w:sz w:val="24"/>
                <w:szCs w:val="24"/>
              </w:rPr>
              <w:t xml:space="preserve"> Создание необходимых условий для дальнейшего развития рынка ценных бумаг</w:t>
            </w:r>
          </w:p>
        </w:tc>
      </w:tr>
      <w:tr w:rsidR="00721550" w:rsidRPr="00C37701" w14:paraId="2C64D56A" w14:textId="77777777" w:rsidTr="00530BDE">
        <w:tc>
          <w:tcPr>
            <w:tcW w:w="2759" w:type="dxa"/>
          </w:tcPr>
          <w:p w14:paraId="38BF37BE"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Рост проникновения финансовых услуг, оказываемых филиалами финансовых организаций нерезидентов после проведения гармонизации законодательства и снятия ограничений, предусмотренных Договором об Евразийском </w:t>
            </w:r>
            <w:r w:rsidRPr="00C37701">
              <w:rPr>
                <w:rFonts w:ascii="Times New Roman" w:hAnsi="Times New Roman" w:cs="Times New Roman"/>
                <w:sz w:val="24"/>
                <w:szCs w:val="24"/>
              </w:rPr>
              <w:lastRenderedPageBreak/>
              <w:t>экономическом союзе (далее – ЕАЭС) и вступлением Казахстана в ВТО.</w:t>
            </w:r>
          </w:p>
        </w:tc>
        <w:tc>
          <w:tcPr>
            <w:tcW w:w="2744" w:type="dxa"/>
          </w:tcPr>
          <w:p w14:paraId="1ACA3AD5"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lastRenderedPageBreak/>
              <w:t>Создание равноправных условий для участников финансового рынка путем введения регулирования для прямых филиалов иностранных банков, страховых (перестраховочных) организаций и страховых брокеров – нерезидентов Республики Казахстан.</w:t>
            </w:r>
          </w:p>
        </w:tc>
        <w:tc>
          <w:tcPr>
            <w:tcW w:w="2572" w:type="dxa"/>
          </w:tcPr>
          <w:p w14:paraId="5B3FC9CE" w14:textId="48309E08" w:rsidR="00721550" w:rsidRPr="00C37701" w:rsidRDefault="00067F4F" w:rsidP="00067F4F">
            <w:pPr>
              <w:contextualSpacing/>
              <w:jc w:val="both"/>
              <w:rPr>
                <w:rFonts w:ascii="Times New Roman" w:hAnsi="Times New Roman" w:cs="Times New Roman"/>
                <w:sz w:val="24"/>
                <w:szCs w:val="24"/>
              </w:rPr>
            </w:pPr>
            <w:r>
              <w:rPr>
                <w:rFonts w:ascii="Times New Roman" w:hAnsi="Times New Roman" w:cs="Times New Roman"/>
                <w:sz w:val="24"/>
                <w:szCs w:val="24"/>
              </w:rPr>
              <w:t>Гармонизация законодательства находится еще в процессе. Филиалы финансовых организаций нерезидентов на рынке РК не функционируют.</w:t>
            </w:r>
            <w:r w:rsidR="00BE1AA6">
              <w:rPr>
                <w:rFonts w:ascii="Times New Roman" w:hAnsi="Times New Roman" w:cs="Times New Roman"/>
                <w:sz w:val="24"/>
                <w:szCs w:val="24"/>
              </w:rPr>
              <w:t xml:space="preserve"> </w:t>
            </w:r>
            <w:r w:rsidR="00D83FDB" w:rsidRPr="00C37701">
              <w:rPr>
                <w:rFonts w:ascii="Times New Roman" w:hAnsi="Times New Roman" w:cs="Times New Roman"/>
                <w:sz w:val="24"/>
                <w:szCs w:val="24"/>
              </w:rPr>
              <w:t>Меры оперативного реагирования не были востребованы.</w:t>
            </w:r>
          </w:p>
        </w:tc>
        <w:tc>
          <w:tcPr>
            <w:tcW w:w="2265" w:type="dxa"/>
          </w:tcPr>
          <w:p w14:paraId="392DC82A"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21A413A3" w14:textId="77777777" w:rsidTr="00530BDE">
        <w:tc>
          <w:tcPr>
            <w:tcW w:w="2759" w:type="dxa"/>
          </w:tcPr>
          <w:p w14:paraId="335C1B66"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lastRenderedPageBreak/>
              <w:t>Отток отечественных эмитентов на международные торговые площадки, в том числе стран - участниц ЕАЭС.</w:t>
            </w:r>
          </w:p>
        </w:tc>
        <w:tc>
          <w:tcPr>
            <w:tcW w:w="2744" w:type="dxa"/>
          </w:tcPr>
          <w:p w14:paraId="6F93F45D"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Принятие мер по повышению привлекательности отечественного фондового рынка, расширению инвесторской базы и повышению конкурентоспособности отечественных участников рынка.</w:t>
            </w:r>
          </w:p>
        </w:tc>
        <w:tc>
          <w:tcPr>
            <w:tcW w:w="2572" w:type="dxa"/>
          </w:tcPr>
          <w:p w14:paraId="1A128B99" w14:textId="77777777" w:rsidR="00721550" w:rsidRPr="00C37701" w:rsidRDefault="00042958"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tc>
        <w:tc>
          <w:tcPr>
            <w:tcW w:w="2265" w:type="dxa"/>
          </w:tcPr>
          <w:p w14:paraId="54823124"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60DA7CED" w14:textId="77777777" w:rsidTr="00530BDE">
        <w:tc>
          <w:tcPr>
            <w:tcW w:w="2759" w:type="dxa"/>
          </w:tcPr>
          <w:p w14:paraId="2E921AB9"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Регуляторный арбитраж между юрисдикциями Международного финансового центра «Астана» (МФЦА) и Республики Казахстан.</w:t>
            </w:r>
          </w:p>
        </w:tc>
        <w:tc>
          <w:tcPr>
            <w:tcW w:w="2744" w:type="dxa"/>
          </w:tcPr>
          <w:p w14:paraId="36180220"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Принятие превентивных мер по снижению рисков регуляторного арбитража.</w:t>
            </w:r>
          </w:p>
        </w:tc>
        <w:tc>
          <w:tcPr>
            <w:tcW w:w="2572" w:type="dxa"/>
          </w:tcPr>
          <w:p w14:paraId="52165413" w14:textId="77777777" w:rsidR="00721550" w:rsidRPr="00C37701" w:rsidRDefault="00042958"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tc>
        <w:tc>
          <w:tcPr>
            <w:tcW w:w="2265" w:type="dxa"/>
          </w:tcPr>
          <w:p w14:paraId="3DA43D8F"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366D0EDB" w14:textId="77777777" w:rsidTr="00530BDE">
        <w:tc>
          <w:tcPr>
            <w:tcW w:w="2759" w:type="dxa"/>
          </w:tcPr>
          <w:p w14:paraId="38F7721B" w14:textId="77777777" w:rsidR="00721550" w:rsidRPr="00C37701" w:rsidRDefault="00721550" w:rsidP="0097449D">
            <w:pPr>
              <w:pStyle w:val="a4"/>
              <w:keepNext/>
              <w:keepLines/>
              <w:tabs>
                <w:tab w:val="left" w:pos="0"/>
              </w:tabs>
              <w:spacing w:before="0" w:beforeAutospacing="0" w:after="0" w:afterAutospacing="0"/>
              <w:contextualSpacing/>
              <w:jc w:val="both"/>
            </w:pPr>
            <w:r w:rsidRPr="00C37701">
              <w:t>Недостаточный интерес эмитентов к привлечению средств посредством размещения ценных бумаг на организованном рынке ценных бумаг.</w:t>
            </w:r>
          </w:p>
        </w:tc>
        <w:tc>
          <w:tcPr>
            <w:tcW w:w="2744" w:type="dxa"/>
          </w:tcPr>
          <w:p w14:paraId="07E13FC4" w14:textId="77777777" w:rsidR="00721550" w:rsidRPr="00C37701" w:rsidRDefault="00721550" w:rsidP="0097449D">
            <w:pPr>
              <w:pStyle w:val="a4"/>
              <w:keepNext/>
              <w:keepLines/>
              <w:tabs>
                <w:tab w:val="left" w:pos="0"/>
              </w:tabs>
              <w:spacing w:before="0" w:beforeAutospacing="0" w:after="0" w:afterAutospacing="0"/>
              <w:contextualSpacing/>
              <w:jc w:val="both"/>
            </w:pPr>
            <w:r w:rsidRPr="00C37701">
              <w:t>Создание механизмов стимулирования выхода на рынок новых эмитентов и внедрение программ их поддержки.</w:t>
            </w:r>
          </w:p>
        </w:tc>
        <w:tc>
          <w:tcPr>
            <w:tcW w:w="2572" w:type="dxa"/>
          </w:tcPr>
          <w:p w14:paraId="67580064" w14:textId="77777777" w:rsidR="00721550" w:rsidRPr="00C37701" w:rsidRDefault="00042958" w:rsidP="0097449D">
            <w:pPr>
              <w:pStyle w:val="a4"/>
              <w:keepNext/>
              <w:keepLines/>
              <w:tabs>
                <w:tab w:val="left" w:pos="0"/>
              </w:tabs>
              <w:spacing w:before="0" w:beforeAutospacing="0" w:after="0" w:afterAutospacing="0"/>
              <w:contextualSpacing/>
              <w:jc w:val="both"/>
            </w:pPr>
            <w:r w:rsidRPr="00C37701">
              <w:t>См. аналитическую записку</w:t>
            </w:r>
          </w:p>
        </w:tc>
        <w:tc>
          <w:tcPr>
            <w:tcW w:w="2265" w:type="dxa"/>
          </w:tcPr>
          <w:p w14:paraId="3613F364"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1BBC7E8E" w14:textId="77777777" w:rsidTr="00530BDE">
        <w:tc>
          <w:tcPr>
            <w:tcW w:w="2759" w:type="dxa"/>
          </w:tcPr>
          <w:p w14:paraId="10DFC4FF" w14:textId="77777777" w:rsidR="00721550" w:rsidRPr="00C37701" w:rsidRDefault="00721550" w:rsidP="0097449D">
            <w:pPr>
              <w:pStyle w:val="a4"/>
              <w:keepNext/>
              <w:keepLines/>
              <w:tabs>
                <w:tab w:val="left" w:pos="0"/>
              </w:tabs>
              <w:spacing w:before="0" w:beforeAutospacing="0" w:after="0" w:afterAutospacing="0"/>
              <w:contextualSpacing/>
              <w:jc w:val="both"/>
            </w:pPr>
            <w:r w:rsidRPr="00C37701">
              <w:t>Жесткость регуляторных требований к профессиональным участникам рынка ценных бумаг.</w:t>
            </w:r>
          </w:p>
        </w:tc>
        <w:tc>
          <w:tcPr>
            <w:tcW w:w="2744" w:type="dxa"/>
          </w:tcPr>
          <w:p w14:paraId="73953184" w14:textId="77777777" w:rsidR="00721550" w:rsidRPr="00C37701" w:rsidRDefault="00721550" w:rsidP="0097449D">
            <w:pPr>
              <w:pStyle w:val="a4"/>
              <w:keepNext/>
              <w:keepLines/>
              <w:tabs>
                <w:tab w:val="left" w:pos="0"/>
              </w:tabs>
              <w:spacing w:before="0" w:beforeAutospacing="0" w:after="0" w:afterAutospacing="0"/>
              <w:contextualSpacing/>
              <w:jc w:val="both"/>
            </w:pPr>
            <w:r w:rsidRPr="00C37701">
              <w:t>Либерализация регулирования профессиональных участников рынка ценных бумаг.</w:t>
            </w:r>
          </w:p>
        </w:tc>
        <w:tc>
          <w:tcPr>
            <w:tcW w:w="2572" w:type="dxa"/>
          </w:tcPr>
          <w:p w14:paraId="3D998EB6" w14:textId="77777777" w:rsidR="00721550" w:rsidRPr="00C37701" w:rsidRDefault="00701994" w:rsidP="0097449D">
            <w:pPr>
              <w:pStyle w:val="a4"/>
              <w:keepNext/>
              <w:keepLines/>
              <w:tabs>
                <w:tab w:val="left" w:pos="0"/>
              </w:tabs>
              <w:spacing w:before="0" w:beforeAutospacing="0" w:after="0" w:afterAutospacing="0"/>
              <w:contextualSpacing/>
              <w:jc w:val="both"/>
            </w:pPr>
            <w:r w:rsidRPr="00C37701">
              <w:t>См. аналитическую записку</w:t>
            </w:r>
          </w:p>
        </w:tc>
        <w:tc>
          <w:tcPr>
            <w:tcW w:w="2265" w:type="dxa"/>
          </w:tcPr>
          <w:p w14:paraId="4704BC66"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0C644A67" w14:textId="77777777" w:rsidTr="00530BDE">
        <w:tc>
          <w:tcPr>
            <w:tcW w:w="2759" w:type="dxa"/>
          </w:tcPr>
          <w:p w14:paraId="294FDDD6"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Ограниченность инвесторской базы и низкая степень вовлеченности населения в фондовый рынок.</w:t>
            </w:r>
          </w:p>
        </w:tc>
        <w:tc>
          <w:tcPr>
            <w:tcW w:w="2744" w:type="dxa"/>
          </w:tcPr>
          <w:p w14:paraId="77FE22D2"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Расширение инвесторской базы посредством внедрения возможности предоставления брокерами электронных услуг, упрощения правил торговли ценными бумагами, либерализации процессов создания и функционирования коллективных форм инвестирования и построения системы, </w:t>
            </w:r>
            <w:r w:rsidRPr="00C37701">
              <w:rPr>
                <w:rFonts w:ascii="Times New Roman" w:hAnsi="Times New Roman" w:cs="Times New Roman"/>
                <w:sz w:val="24"/>
                <w:szCs w:val="24"/>
              </w:rPr>
              <w:lastRenderedPageBreak/>
              <w:t>гарантирующей безопасную среду для инвестиций.</w:t>
            </w:r>
          </w:p>
        </w:tc>
        <w:tc>
          <w:tcPr>
            <w:tcW w:w="2572" w:type="dxa"/>
          </w:tcPr>
          <w:p w14:paraId="6B8AC873" w14:textId="77777777" w:rsidR="00721550" w:rsidRPr="00C37701" w:rsidRDefault="00042958"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lastRenderedPageBreak/>
              <w:t>См. аналитическую записку</w:t>
            </w:r>
          </w:p>
        </w:tc>
        <w:tc>
          <w:tcPr>
            <w:tcW w:w="2265" w:type="dxa"/>
          </w:tcPr>
          <w:p w14:paraId="4638CEDA"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57D53CFF" w14:textId="77777777" w:rsidTr="00530BDE">
        <w:tc>
          <w:tcPr>
            <w:tcW w:w="2759" w:type="dxa"/>
          </w:tcPr>
          <w:p w14:paraId="7E8716A6"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lastRenderedPageBreak/>
              <w:t>Ограничения инвестиционной политики банковских и страховых (финансовых) холдингов.</w:t>
            </w:r>
          </w:p>
        </w:tc>
        <w:tc>
          <w:tcPr>
            <w:tcW w:w="2744" w:type="dxa"/>
          </w:tcPr>
          <w:p w14:paraId="1F7CD837"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Расширение перечня разрешенных к приобретению финансовых инструментов.</w:t>
            </w:r>
          </w:p>
        </w:tc>
        <w:tc>
          <w:tcPr>
            <w:tcW w:w="2572" w:type="dxa"/>
          </w:tcPr>
          <w:p w14:paraId="137F7DD7" w14:textId="77777777" w:rsidR="00721550" w:rsidRPr="00C37701" w:rsidRDefault="00D83FDB"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Меры оперативного реагирования не были востребованы. Риск не реализован.</w:t>
            </w:r>
          </w:p>
        </w:tc>
        <w:tc>
          <w:tcPr>
            <w:tcW w:w="2265" w:type="dxa"/>
          </w:tcPr>
          <w:p w14:paraId="1D0B5C00"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6987F803" w14:textId="77777777" w:rsidTr="00530BDE">
        <w:tc>
          <w:tcPr>
            <w:tcW w:w="2759" w:type="dxa"/>
          </w:tcPr>
          <w:p w14:paraId="2A91EA0A"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Неполное выполнение запанированных целей и задач по стимулированию развития рынка ценных бумаг, установленных Концепцией по развитию финансового сектора Республики </w:t>
            </w:r>
          </w:p>
          <w:p w14:paraId="3ACC4E96"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Казахстан до 2030 года.</w:t>
            </w:r>
          </w:p>
        </w:tc>
        <w:tc>
          <w:tcPr>
            <w:tcW w:w="2744" w:type="dxa"/>
          </w:tcPr>
          <w:p w14:paraId="4AEF98DF"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Усиление межведомственной координации при проработке вопросов стимулирования развития рынка ценных бумаг, установленных Концепцией по развитию финансового сектора РК до 2030 года.</w:t>
            </w:r>
          </w:p>
        </w:tc>
        <w:tc>
          <w:tcPr>
            <w:tcW w:w="2572" w:type="dxa"/>
          </w:tcPr>
          <w:p w14:paraId="64C88EAF" w14:textId="77777777" w:rsidR="00721550" w:rsidRPr="00C37701" w:rsidRDefault="00042958"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tc>
        <w:tc>
          <w:tcPr>
            <w:tcW w:w="2265" w:type="dxa"/>
          </w:tcPr>
          <w:p w14:paraId="7D16AA16"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34090C5E" w14:textId="77777777" w:rsidTr="00530BDE">
        <w:tc>
          <w:tcPr>
            <w:tcW w:w="10340" w:type="dxa"/>
            <w:gridSpan w:val="4"/>
          </w:tcPr>
          <w:p w14:paraId="20428C32" w14:textId="77777777" w:rsidR="00721550" w:rsidRPr="00C37701" w:rsidRDefault="00721550" w:rsidP="00C37701">
            <w:pPr>
              <w:contextualSpacing/>
              <w:jc w:val="center"/>
              <w:rPr>
                <w:rFonts w:ascii="Times New Roman" w:hAnsi="Times New Roman" w:cs="Times New Roman"/>
                <w:sz w:val="24"/>
                <w:szCs w:val="24"/>
              </w:rPr>
            </w:pPr>
            <w:r w:rsidRPr="00C37701">
              <w:rPr>
                <w:rFonts w:ascii="Times New Roman" w:hAnsi="Times New Roman" w:cs="Times New Roman"/>
                <w:b/>
                <w:sz w:val="24"/>
                <w:szCs w:val="24"/>
              </w:rPr>
              <w:t>Цель 2.4.</w:t>
            </w:r>
            <w:r w:rsidRPr="00C37701">
              <w:rPr>
                <w:rFonts w:ascii="Times New Roman" w:hAnsi="Times New Roman" w:cs="Times New Roman"/>
                <w:sz w:val="24"/>
                <w:szCs w:val="24"/>
              </w:rPr>
              <w:t xml:space="preserve"> Создание условий по дальнейшему развитию накопительной пенсионной системы</w:t>
            </w:r>
          </w:p>
        </w:tc>
      </w:tr>
      <w:tr w:rsidR="00F0095D" w:rsidRPr="00C37701" w14:paraId="6BC340DB" w14:textId="77777777" w:rsidTr="00530BDE">
        <w:tc>
          <w:tcPr>
            <w:tcW w:w="2759" w:type="dxa"/>
          </w:tcPr>
          <w:p w14:paraId="23E44487" w14:textId="77777777" w:rsidR="00F0095D" w:rsidRPr="00C37701" w:rsidRDefault="00F0095D"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Доходность пенсионных активов ЕНПФ</w:t>
            </w:r>
          </w:p>
        </w:tc>
        <w:tc>
          <w:tcPr>
            <w:tcW w:w="2744" w:type="dxa"/>
          </w:tcPr>
          <w:p w14:paraId="0725BC5F" w14:textId="77777777" w:rsidR="00F0095D" w:rsidRPr="00C37701" w:rsidRDefault="00F0095D"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Не менее 4% </w:t>
            </w:r>
          </w:p>
          <w:p w14:paraId="4DB84D5F" w14:textId="77777777" w:rsidR="00F0095D" w:rsidRPr="00C37701" w:rsidRDefault="00F0095D" w:rsidP="0097449D">
            <w:pPr>
              <w:contextualSpacing/>
              <w:jc w:val="both"/>
              <w:rPr>
                <w:rFonts w:ascii="Times New Roman" w:hAnsi="Times New Roman" w:cs="Times New Roman"/>
                <w:sz w:val="24"/>
                <w:szCs w:val="24"/>
              </w:rPr>
            </w:pPr>
          </w:p>
        </w:tc>
        <w:tc>
          <w:tcPr>
            <w:tcW w:w="2572" w:type="dxa"/>
          </w:tcPr>
          <w:p w14:paraId="327D0C94" w14:textId="77777777" w:rsidR="00F0095D" w:rsidRPr="00C37701" w:rsidRDefault="003523B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По итогам 2019 года (за период с 01 января по 31 декабря 2019 года)</w:t>
            </w:r>
            <w:r w:rsidR="00705801" w:rsidRPr="00C37701">
              <w:rPr>
                <w:rFonts w:ascii="Times New Roman" w:hAnsi="Times New Roman" w:cs="Times New Roman"/>
                <w:sz w:val="24"/>
                <w:szCs w:val="24"/>
              </w:rPr>
              <w:t xml:space="preserve"> доходность пенсионных активов ЕНПФ, распределенная на счета вкладчиков ЕНПФ, составила 6,57% при годовом уровне инфляции в размере 5,4%. Реальная доходность по пенсионным активам за 2019 год составила 1,17%.</w:t>
            </w:r>
          </w:p>
          <w:p w14:paraId="02586628" w14:textId="77777777" w:rsidR="00705801" w:rsidRPr="00C37701" w:rsidRDefault="00705801"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Таким образом, фактическая доходность по пенсионным активам ЕНПФ в 2019 году превысила </w:t>
            </w:r>
            <w:r w:rsidR="00906D40" w:rsidRPr="00C37701">
              <w:rPr>
                <w:rFonts w:ascii="Times New Roman" w:hAnsi="Times New Roman" w:cs="Times New Roman"/>
                <w:sz w:val="24"/>
                <w:szCs w:val="24"/>
              </w:rPr>
              <w:t xml:space="preserve">установленное целевое значение </w:t>
            </w:r>
            <w:r w:rsidRPr="00C37701">
              <w:rPr>
                <w:rFonts w:ascii="Times New Roman" w:hAnsi="Times New Roman" w:cs="Times New Roman"/>
                <w:sz w:val="24"/>
                <w:szCs w:val="24"/>
              </w:rPr>
              <w:t>на 2,57</w:t>
            </w:r>
            <w:r w:rsidR="00906D40" w:rsidRPr="00C37701">
              <w:rPr>
                <w:rFonts w:ascii="Times New Roman" w:hAnsi="Times New Roman" w:cs="Times New Roman"/>
                <w:sz w:val="24"/>
                <w:szCs w:val="24"/>
              </w:rPr>
              <w:t>%.</w:t>
            </w:r>
          </w:p>
        </w:tc>
        <w:tc>
          <w:tcPr>
            <w:tcW w:w="2265" w:type="dxa"/>
          </w:tcPr>
          <w:p w14:paraId="1453BE96" w14:textId="77777777" w:rsidR="00F0095D" w:rsidRPr="00C37701" w:rsidRDefault="00F0095D" w:rsidP="0097449D">
            <w:pPr>
              <w:contextualSpacing/>
              <w:jc w:val="both"/>
              <w:rPr>
                <w:rFonts w:ascii="Times New Roman" w:hAnsi="Times New Roman" w:cs="Times New Roman"/>
                <w:sz w:val="24"/>
                <w:szCs w:val="24"/>
              </w:rPr>
            </w:pPr>
          </w:p>
        </w:tc>
      </w:tr>
      <w:tr w:rsidR="00B404F5" w:rsidRPr="00C37701" w14:paraId="60B0BBFD" w14:textId="77777777" w:rsidTr="00530BDE">
        <w:tc>
          <w:tcPr>
            <w:tcW w:w="2759" w:type="dxa"/>
          </w:tcPr>
          <w:p w14:paraId="3C9C0386" w14:textId="77777777" w:rsidR="00B404F5" w:rsidRPr="00C37701" w:rsidRDefault="00B404F5"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Недоверие населения накопительной пенсионной системе.</w:t>
            </w:r>
          </w:p>
        </w:tc>
        <w:tc>
          <w:tcPr>
            <w:tcW w:w="2744" w:type="dxa"/>
          </w:tcPr>
          <w:p w14:paraId="48401029" w14:textId="77777777" w:rsidR="00B404F5" w:rsidRPr="00C37701" w:rsidRDefault="00B404F5"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Тщательная информационно-разъяснительная работа среди населения по актуальным вопросам </w:t>
            </w:r>
            <w:r w:rsidRPr="00C37701">
              <w:rPr>
                <w:rFonts w:ascii="Times New Roman" w:hAnsi="Times New Roman" w:cs="Times New Roman"/>
                <w:sz w:val="24"/>
                <w:szCs w:val="24"/>
              </w:rPr>
              <w:lastRenderedPageBreak/>
              <w:t>накопительной пенсионной системы.</w:t>
            </w:r>
          </w:p>
        </w:tc>
        <w:tc>
          <w:tcPr>
            <w:tcW w:w="2572" w:type="dxa"/>
          </w:tcPr>
          <w:p w14:paraId="5CB8BE9F" w14:textId="77777777" w:rsidR="00B404F5" w:rsidRPr="00C37701" w:rsidRDefault="00B404F5"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lastRenderedPageBreak/>
              <w:t>См. аналитическую записку</w:t>
            </w:r>
          </w:p>
        </w:tc>
        <w:tc>
          <w:tcPr>
            <w:tcW w:w="2265" w:type="dxa"/>
          </w:tcPr>
          <w:p w14:paraId="3675CFC6" w14:textId="77777777" w:rsidR="00B404F5" w:rsidRPr="00C37701" w:rsidRDefault="00B404F5" w:rsidP="0097449D">
            <w:pPr>
              <w:contextualSpacing/>
              <w:jc w:val="both"/>
              <w:rPr>
                <w:rFonts w:ascii="Times New Roman" w:hAnsi="Times New Roman" w:cs="Times New Roman"/>
                <w:sz w:val="24"/>
                <w:szCs w:val="24"/>
              </w:rPr>
            </w:pPr>
          </w:p>
        </w:tc>
      </w:tr>
      <w:tr w:rsidR="00721550" w:rsidRPr="00C37701" w14:paraId="4850D404" w14:textId="77777777" w:rsidTr="00530BDE">
        <w:tc>
          <w:tcPr>
            <w:tcW w:w="2759" w:type="dxa"/>
          </w:tcPr>
          <w:p w14:paraId="7728C9AD"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lastRenderedPageBreak/>
              <w:t>Низкая ликвидность отечественного фондового рынка как основной площадки для инвестирования пенсионных активов.</w:t>
            </w:r>
          </w:p>
        </w:tc>
        <w:tc>
          <w:tcPr>
            <w:tcW w:w="2744" w:type="dxa"/>
          </w:tcPr>
          <w:p w14:paraId="72CDD9D8"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Принятие мер, направленных на создание стимулов для выхода эмитентов на фондовый рынок, упрощение доступа инвесторов, в том числе иностранных, на отечественный фондовый рынок.</w:t>
            </w:r>
          </w:p>
          <w:p w14:paraId="5E2B382A"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Возобновление программы «Народное </w:t>
            </w:r>
            <w:r w:rsidRPr="00C37701">
              <w:rPr>
                <w:rFonts w:ascii="Times New Roman" w:hAnsi="Times New Roman" w:cs="Times New Roman"/>
                <w:sz w:val="24"/>
                <w:szCs w:val="24"/>
                <w:lang w:val="en-US"/>
              </w:rPr>
              <w:t>IPO</w:t>
            </w:r>
            <w:r w:rsidRPr="00C37701">
              <w:rPr>
                <w:rFonts w:ascii="Times New Roman" w:hAnsi="Times New Roman" w:cs="Times New Roman"/>
                <w:sz w:val="24"/>
                <w:szCs w:val="24"/>
              </w:rPr>
              <w:t xml:space="preserve">» по выводу компаний </w:t>
            </w:r>
            <w:proofErr w:type="spellStart"/>
            <w:r w:rsidRPr="00C37701">
              <w:rPr>
                <w:rFonts w:ascii="Times New Roman" w:hAnsi="Times New Roman" w:cs="Times New Roman"/>
                <w:sz w:val="24"/>
                <w:szCs w:val="24"/>
              </w:rPr>
              <w:t>квазигосударственного</w:t>
            </w:r>
            <w:proofErr w:type="spellEnd"/>
            <w:r w:rsidRPr="00C37701">
              <w:rPr>
                <w:rFonts w:ascii="Times New Roman" w:hAnsi="Times New Roman" w:cs="Times New Roman"/>
                <w:sz w:val="24"/>
                <w:szCs w:val="24"/>
              </w:rPr>
              <w:t xml:space="preserve"> сектора на </w:t>
            </w:r>
            <w:r w:rsidR="007656B7" w:rsidRPr="00C37701">
              <w:rPr>
                <w:rFonts w:ascii="Times New Roman" w:hAnsi="Times New Roman" w:cs="Times New Roman"/>
                <w:sz w:val="24"/>
                <w:szCs w:val="24"/>
              </w:rPr>
              <w:t>т</w:t>
            </w:r>
            <w:r w:rsidRPr="00C37701">
              <w:rPr>
                <w:rFonts w:ascii="Times New Roman" w:hAnsi="Times New Roman" w:cs="Times New Roman"/>
                <w:sz w:val="24"/>
                <w:szCs w:val="24"/>
              </w:rPr>
              <w:t>орговую площадку АО «Казахстанская фондовая биржа».</w:t>
            </w:r>
          </w:p>
        </w:tc>
        <w:tc>
          <w:tcPr>
            <w:tcW w:w="2572" w:type="dxa"/>
          </w:tcPr>
          <w:p w14:paraId="3B169779" w14:textId="77777777" w:rsidR="00721550" w:rsidRPr="00C37701" w:rsidRDefault="00042958"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tc>
        <w:tc>
          <w:tcPr>
            <w:tcW w:w="2265" w:type="dxa"/>
          </w:tcPr>
          <w:p w14:paraId="6CBDCC3B"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0ED080DE" w14:textId="77777777" w:rsidTr="00530BDE">
        <w:tc>
          <w:tcPr>
            <w:tcW w:w="10340" w:type="dxa"/>
            <w:gridSpan w:val="4"/>
          </w:tcPr>
          <w:p w14:paraId="5FE27C89" w14:textId="77777777" w:rsidR="00721550" w:rsidRPr="00C37701" w:rsidRDefault="00721550" w:rsidP="003D3E25">
            <w:pPr>
              <w:contextualSpacing/>
              <w:rPr>
                <w:rFonts w:ascii="Times New Roman" w:hAnsi="Times New Roman" w:cs="Times New Roman"/>
                <w:sz w:val="24"/>
                <w:szCs w:val="24"/>
              </w:rPr>
            </w:pPr>
            <w:r w:rsidRPr="00C37701">
              <w:rPr>
                <w:rFonts w:ascii="Times New Roman" w:hAnsi="Times New Roman" w:cs="Times New Roman"/>
                <w:b/>
                <w:sz w:val="24"/>
                <w:szCs w:val="24"/>
              </w:rPr>
              <w:t>Цель 2.5.</w:t>
            </w:r>
            <w:r w:rsidRPr="00C37701">
              <w:rPr>
                <w:rFonts w:ascii="Times New Roman" w:hAnsi="Times New Roman" w:cs="Times New Roman"/>
                <w:sz w:val="24"/>
                <w:szCs w:val="24"/>
              </w:rPr>
              <w:t xml:space="preserve"> Обеспечение эффективного валютного регулирования и валютного контроля</w:t>
            </w:r>
          </w:p>
        </w:tc>
      </w:tr>
      <w:tr w:rsidR="00721550" w:rsidRPr="00C37701" w14:paraId="4C0DFD50" w14:textId="77777777" w:rsidTr="00530BDE">
        <w:tc>
          <w:tcPr>
            <w:tcW w:w="2759" w:type="dxa"/>
          </w:tcPr>
          <w:p w14:paraId="6FEC8A1B"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Ухудшение внешних факторов, создающих угрозы экономической безопасности страны (дестабилизация валютного рынка, риск истощения золотовалютных резервов).</w:t>
            </w:r>
          </w:p>
        </w:tc>
        <w:tc>
          <w:tcPr>
            <w:tcW w:w="2744" w:type="dxa"/>
            <w:shd w:val="clear" w:color="auto" w:fill="auto"/>
          </w:tcPr>
          <w:p w14:paraId="607B1642"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Меры оперативного реагирования, предусмотренны</w:t>
            </w:r>
            <w:r w:rsidR="007656B7" w:rsidRPr="00C37701">
              <w:rPr>
                <w:rFonts w:ascii="Times New Roman" w:hAnsi="Times New Roman" w:cs="Times New Roman"/>
                <w:sz w:val="24"/>
                <w:szCs w:val="24"/>
              </w:rPr>
              <w:t>е</w:t>
            </w:r>
            <w:r w:rsidR="00F7586B" w:rsidRPr="00C37701">
              <w:rPr>
                <w:rFonts w:ascii="Times New Roman" w:hAnsi="Times New Roman" w:cs="Times New Roman"/>
                <w:sz w:val="24"/>
                <w:szCs w:val="24"/>
              </w:rPr>
              <w:t xml:space="preserve"> статьей 24</w:t>
            </w:r>
            <w:r w:rsidRPr="00C37701">
              <w:rPr>
                <w:rFonts w:ascii="Times New Roman" w:hAnsi="Times New Roman" w:cs="Times New Roman"/>
                <w:sz w:val="24"/>
                <w:szCs w:val="24"/>
              </w:rPr>
              <w:t xml:space="preserve"> Закона Республики Казахстан «О валютном регулировании и валютном контроле».</w:t>
            </w:r>
          </w:p>
        </w:tc>
        <w:tc>
          <w:tcPr>
            <w:tcW w:w="2572" w:type="dxa"/>
          </w:tcPr>
          <w:p w14:paraId="6D11C3E8" w14:textId="0C2B7166" w:rsidR="00721550" w:rsidRPr="00DD090A" w:rsidRDefault="00BE1AA6" w:rsidP="00F94299">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 xml:space="preserve">Ситуация на валютном рынке находится под контролем. Объем золотовалютных резервов находится на достаточном уровне.  </w:t>
            </w:r>
            <w:r w:rsidR="00721550" w:rsidRPr="00BE1AA6">
              <w:rPr>
                <w:rFonts w:ascii="Times New Roman" w:hAnsi="Times New Roman" w:cs="Times New Roman"/>
                <w:sz w:val="24"/>
                <w:szCs w:val="24"/>
              </w:rPr>
              <w:t xml:space="preserve">Меры оперативного реагирования не были востребованы. </w:t>
            </w:r>
          </w:p>
        </w:tc>
        <w:tc>
          <w:tcPr>
            <w:tcW w:w="2265" w:type="dxa"/>
          </w:tcPr>
          <w:p w14:paraId="5D9584A1"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25DFBEEB" w14:textId="77777777" w:rsidTr="00530BDE">
        <w:tc>
          <w:tcPr>
            <w:tcW w:w="2759" w:type="dxa"/>
          </w:tcPr>
          <w:p w14:paraId="4FBBC452"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Макроэкономическая и политическая нестабильность в государствах – участниках ЕАЭС. Риск регуляторного арбитража, создающего условия для </w:t>
            </w:r>
            <w:proofErr w:type="spellStart"/>
            <w:r w:rsidRPr="00C37701">
              <w:rPr>
                <w:rFonts w:ascii="Times New Roman" w:hAnsi="Times New Roman" w:cs="Times New Roman"/>
                <w:sz w:val="24"/>
                <w:szCs w:val="24"/>
              </w:rPr>
              <w:t>перетоков</w:t>
            </w:r>
            <w:proofErr w:type="spellEnd"/>
            <w:r w:rsidRPr="00C37701">
              <w:rPr>
                <w:rFonts w:ascii="Times New Roman" w:hAnsi="Times New Roman" w:cs="Times New Roman"/>
                <w:sz w:val="24"/>
                <w:szCs w:val="24"/>
              </w:rPr>
              <w:t xml:space="preserve"> капитала в случае нескоординированного принятия мер валютного регулирования государствами – участниками ЕАЭС.</w:t>
            </w:r>
          </w:p>
        </w:tc>
        <w:tc>
          <w:tcPr>
            <w:tcW w:w="2744" w:type="dxa"/>
          </w:tcPr>
          <w:p w14:paraId="71676AF5" w14:textId="77777777" w:rsidR="00721550" w:rsidRPr="00C37701" w:rsidRDefault="00721550" w:rsidP="0097449D">
            <w:pPr>
              <w:pStyle w:val="a4"/>
              <w:keepNext/>
              <w:keepLines/>
              <w:tabs>
                <w:tab w:val="left" w:pos="0"/>
              </w:tabs>
              <w:spacing w:before="0" w:beforeAutospacing="0" w:after="0" w:afterAutospacing="0"/>
              <w:contextualSpacing/>
              <w:jc w:val="both"/>
            </w:pPr>
            <w:r w:rsidRPr="00C37701">
              <w:t>Реализация принципов согласования подходов в сфере валютного регулирования путем участия в разработке нормативно-правовой базы ЕАЭС.</w:t>
            </w:r>
          </w:p>
          <w:p w14:paraId="277F2BCC"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Меры оперативно</w:t>
            </w:r>
            <w:r w:rsidR="007656B7" w:rsidRPr="00C37701">
              <w:rPr>
                <w:rFonts w:ascii="Times New Roman" w:hAnsi="Times New Roman" w:cs="Times New Roman"/>
                <w:sz w:val="24"/>
                <w:szCs w:val="24"/>
              </w:rPr>
              <w:t>го реагирования, предусмотренные</w:t>
            </w:r>
            <w:r w:rsidR="00F7586B" w:rsidRPr="00C37701">
              <w:rPr>
                <w:rFonts w:ascii="Times New Roman" w:hAnsi="Times New Roman" w:cs="Times New Roman"/>
                <w:sz w:val="24"/>
                <w:szCs w:val="24"/>
              </w:rPr>
              <w:t xml:space="preserve"> статьей 24</w:t>
            </w:r>
            <w:r w:rsidRPr="00C37701">
              <w:rPr>
                <w:rFonts w:ascii="Times New Roman" w:hAnsi="Times New Roman" w:cs="Times New Roman"/>
                <w:sz w:val="24"/>
                <w:szCs w:val="24"/>
              </w:rPr>
              <w:t xml:space="preserve"> Закона Республики Казахстан «О валютном регулировании и валютном контроле».</w:t>
            </w:r>
          </w:p>
        </w:tc>
        <w:tc>
          <w:tcPr>
            <w:tcW w:w="2572" w:type="dxa"/>
          </w:tcPr>
          <w:p w14:paraId="62438E0E" w14:textId="79AA1D62" w:rsidR="00721550" w:rsidRPr="0072453D" w:rsidRDefault="007B43AA" w:rsidP="007B43AA">
            <w:pPr>
              <w:contextualSpacing/>
              <w:jc w:val="both"/>
              <w:rPr>
                <w:rFonts w:ascii="Times New Roman" w:hAnsi="Times New Roman" w:cs="Times New Roman"/>
                <w:sz w:val="24"/>
                <w:szCs w:val="24"/>
              </w:rPr>
            </w:pPr>
            <w:r>
              <w:rPr>
                <w:rFonts w:ascii="Times New Roman" w:hAnsi="Times New Roman" w:cs="Times New Roman"/>
                <w:sz w:val="24"/>
                <w:szCs w:val="24"/>
              </w:rPr>
              <w:t>Отсутствуют предпосылки для создания у</w:t>
            </w:r>
            <w:r w:rsidR="00BE1AA6">
              <w:rPr>
                <w:rFonts w:ascii="Times New Roman" w:hAnsi="Times New Roman" w:cs="Times New Roman"/>
                <w:sz w:val="24"/>
                <w:szCs w:val="24"/>
              </w:rPr>
              <w:t>слови</w:t>
            </w:r>
            <w:r>
              <w:rPr>
                <w:rFonts w:ascii="Times New Roman" w:hAnsi="Times New Roman" w:cs="Times New Roman"/>
                <w:sz w:val="24"/>
                <w:szCs w:val="24"/>
              </w:rPr>
              <w:t>й</w:t>
            </w:r>
            <w:r w:rsidR="00BE1AA6">
              <w:rPr>
                <w:rFonts w:ascii="Times New Roman" w:hAnsi="Times New Roman" w:cs="Times New Roman"/>
                <w:sz w:val="24"/>
                <w:szCs w:val="24"/>
              </w:rPr>
              <w:t xml:space="preserve"> для </w:t>
            </w:r>
            <w:proofErr w:type="spellStart"/>
            <w:r w:rsidR="00BE1AA6">
              <w:rPr>
                <w:rFonts w:ascii="Times New Roman" w:hAnsi="Times New Roman" w:cs="Times New Roman"/>
                <w:sz w:val="24"/>
                <w:szCs w:val="24"/>
              </w:rPr>
              <w:t>переток</w:t>
            </w:r>
            <w:r>
              <w:rPr>
                <w:rFonts w:ascii="Times New Roman" w:hAnsi="Times New Roman" w:cs="Times New Roman"/>
                <w:sz w:val="24"/>
                <w:szCs w:val="24"/>
              </w:rPr>
              <w:t>а</w:t>
            </w:r>
            <w:proofErr w:type="spellEnd"/>
            <w:r w:rsidR="00BE1AA6">
              <w:rPr>
                <w:rFonts w:ascii="Times New Roman" w:hAnsi="Times New Roman" w:cs="Times New Roman"/>
                <w:sz w:val="24"/>
                <w:szCs w:val="24"/>
              </w:rPr>
              <w:t xml:space="preserve"> капитала</w:t>
            </w:r>
            <w:r>
              <w:rPr>
                <w:rFonts w:ascii="Times New Roman" w:hAnsi="Times New Roman" w:cs="Times New Roman"/>
                <w:sz w:val="24"/>
                <w:szCs w:val="24"/>
              </w:rPr>
              <w:t>.</w:t>
            </w:r>
            <w:r w:rsidR="00BE1AA6">
              <w:rPr>
                <w:rFonts w:ascii="Times New Roman" w:hAnsi="Times New Roman" w:cs="Times New Roman"/>
                <w:sz w:val="24"/>
                <w:szCs w:val="24"/>
              </w:rPr>
              <w:t xml:space="preserve"> </w:t>
            </w:r>
            <w:r w:rsidR="00721550" w:rsidRPr="00BE1AA6">
              <w:rPr>
                <w:rFonts w:ascii="Times New Roman" w:hAnsi="Times New Roman" w:cs="Times New Roman"/>
                <w:sz w:val="24"/>
                <w:szCs w:val="24"/>
              </w:rPr>
              <w:t xml:space="preserve">Меры оперативного реагирования не были востребованы. </w:t>
            </w:r>
          </w:p>
        </w:tc>
        <w:tc>
          <w:tcPr>
            <w:tcW w:w="2265" w:type="dxa"/>
          </w:tcPr>
          <w:p w14:paraId="54ADAD57" w14:textId="77777777" w:rsidR="00721550" w:rsidRPr="00C37701" w:rsidRDefault="00721550" w:rsidP="0097449D">
            <w:pPr>
              <w:contextualSpacing/>
              <w:jc w:val="both"/>
              <w:rPr>
                <w:rFonts w:ascii="Times New Roman" w:hAnsi="Times New Roman" w:cs="Times New Roman"/>
                <w:sz w:val="24"/>
                <w:szCs w:val="24"/>
              </w:rPr>
            </w:pPr>
          </w:p>
        </w:tc>
      </w:tr>
      <w:tr w:rsidR="00721550" w:rsidRPr="00C37701" w14:paraId="44AFD47A" w14:textId="77777777" w:rsidTr="00530BDE">
        <w:tc>
          <w:tcPr>
            <w:tcW w:w="2759" w:type="dxa"/>
          </w:tcPr>
          <w:p w14:paraId="13AC0ED2" w14:textId="77777777" w:rsidR="00721550" w:rsidRPr="00C37701" w:rsidRDefault="00721550" w:rsidP="0097449D">
            <w:pPr>
              <w:contextualSpacing/>
              <w:jc w:val="both"/>
              <w:rPr>
                <w:rFonts w:ascii="Times New Roman" w:hAnsi="Times New Roman" w:cs="Times New Roman"/>
                <w:sz w:val="24"/>
                <w:szCs w:val="24"/>
              </w:rPr>
            </w:pPr>
            <w:proofErr w:type="spellStart"/>
            <w:r w:rsidRPr="00C37701">
              <w:rPr>
                <w:rFonts w:ascii="Times New Roman" w:hAnsi="Times New Roman" w:cs="Times New Roman"/>
                <w:sz w:val="24"/>
                <w:szCs w:val="24"/>
              </w:rPr>
              <w:t>Нескоординированность</w:t>
            </w:r>
            <w:proofErr w:type="spellEnd"/>
            <w:r w:rsidRPr="00C37701">
              <w:rPr>
                <w:rFonts w:ascii="Times New Roman" w:hAnsi="Times New Roman" w:cs="Times New Roman"/>
                <w:sz w:val="24"/>
                <w:szCs w:val="24"/>
              </w:rPr>
              <w:t xml:space="preserve"> действий государственных органов в части мер, </w:t>
            </w:r>
            <w:r w:rsidRPr="00C37701">
              <w:rPr>
                <w:rFonts w:ascii="Times New Roman" w:hAnsi="Times New Roman" w:cs="Times New Roman"/>
                <w:sz w:val="24"/>
                <w:szCs w:val="24"/>
              </w:rPr>
              <w:lastRenderedPageBreak/>
              <w:t>влияющих на мобильность капитала.</w:t>
            </w:r>
          </w:p>
        </w:tc>
        <w:tc>
          <w:tcPr>
            <w:tcW w:w="2744" w:type="dxa"/>
          </w:tcPr>
          <w:p w14:paraId="4AC152C6"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lastRenderedPageBreak/>
              <w:t xml:space="preserve">Усиление межведомственной координации при разработке нормативной </w:t>
            </w:r>
            <w:r w:rsidRPr="00C37701">
              <w:rPr>
                <w:rFonts w:ascii="Times New Roman" w:hAnsi="Times New Roman" w:cs="Times New Roman"/>
                <w:sz w:val="24"/>
                <w:szCs w:val="24"/>
              </w:rPr>
              <w:lastRenderedPageBreak/>
              <w:t>базы, принятие согласованных решений по мерам, влияющим на мобильность капитала.</w:t>
            </w:r>
          </w:p>
        </w:tc>
        <w:tc>
          <w:tcPr>
            <w:tcW w:w="2572" w:type="dxa"/>
          </w:tcPr>
          <w:p w14:paraId="75915084" w14:textId="77777777" w:rsidR="00721550" w:rsidRPr="00C37701" w:rsidRDefault="0044469B"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lastRenderedPageBreak/>
              <w:t>Специальные м</w:t>
            </w:r>
            <w:r w:rsidR="00721550" w:rsidRPr="00C37701">
              <w:rPr>
                <w:rFonts w:ascii="Times New Roman" w:hAnsi="Times New Roman" w:cs="Times New Roman"/>
                <w:sz w:val="24"/>
                <w:szCs w:val="24"/>
              </w:rPr>
              <w:t xml:space="preserve">еры </w:t>
            </w:r>
            <w:r w:rsidRPr="00C37701">
              <w:rPr>
                <w:rFonts w:ascii="Times New Roman" w:hAnsi="Times New Roman" w:cs="Times New Roman"/>
                <w:sz w:val="24"/>
                <w:szCs w:val="24"/>
              </w:rPr>
              <w:t>не были востребованы.</w:t>
            </w:r>
          </w:p>
          <w:p w14:paraId="62CAC8F1" w14:textId="77777777" w:rsidR="0044469B" w:rsidRPr="00C37701" w:rsidRDefault="0044469B" w:rsidP="0097449D">
            <w:pPr>
              <w:contextualSpacing/>
              <w:jc w:val="both"/>
              <w:rPr>
                <w:rFonts w:ascii="Times New Roman" w:hAnsi="Times New Roman" w:cs="Times New Roman"/>
                <w:i/>
                <w:sz w:val="24"/>
                <w:szCs w:val="24"/>
              </w:rPr>
            </w:pPr>
          </w:p>
        </w:tc>
        <w:tc>
          <w:tcPr>
            <w:tcW w:w="2265" w:type="dxa"/>
          </w:tcPr>
          <w:p w14:paraId="188BC275" w14:textId="77777777" w:rsidR="00721550"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tc>
      </w:tr>
      <w:tr w:rsidR="00721550" w:rsidRPr="00C37701" w14:paraId="7C5C1772" w14:textId="77777777" w:rsidTr="00530BDE">
        <w:tc>
          <w:tcPr>
            <w:tcW w:w="10340" w:type="dxa"/>
            <w:gridSpan w:val="4"/>
          </w:tcPr>
          <w:p w14:paraId="28771B39" w14:textId="77777777" w:rsidR="00721550" w:rsidRPr="00C37701" w:rsidRDefault="00721550" w:rsidP="003D3E25">
            <w:pPr>
              <w:contextualSpacing/>
              <w:rPr>
                <w:rFonts w:ascii="Times New Roman" w:hAnsi="Times New Roman" w:cs="Times New Roman"/>
                <w:sz w:val="24"/>
                <w:szCs w:val="24"/>
              </w:rPr>
            </w:pPr>
            <w:r w:rsidRPr="00C37701">
              <w:rPr>
                <w:rFonts w:ascii="Times New Roman" w:hAnsi="Times New Roman" w:cs="Times New Roman"/>
                <w:b/>
                <w:sz w:val="24"/>
                <w:szCs w:val="24"/>
              </w:rPr>
              <w:lastRenderedPageBreak/>
              <w:t xml:space="preserve">Цель 2.6. </w:t>
            </w:r>
            <w:r w:rsidRPr="00C37701">
              <w:rPr>
                <w:rFonts w:ascii="Times New Roman" w:hAnsi="Times New Roman" w:cs="Times New Roman"/>
                <w:sz w:val="24"/>
                <w:szCs w:val="24"/>
              </w:rPr>
              <w:t>Обеспечение надлежащего уровня защиты прав и законных интересов потребителей финансовых услуг</w:t>
            </w:r>
          </w:p>
        </w:tc>
      </w:tr>
      <w:tr w:rsidR="002E10EA" w:rsidRPr="00C37701" w14:paraId="50F97E91" w14:textId="77777777" w:rsidTr="00530BDE">
        <w:tc>
          <w:tcPr>
            <w:tcW w:w="2759" w:type="dxa"/>
          </w:tcPr>
          <w:p w14:paraId="73FC6407" w14:textId="77777777" w:rsidR="002E10EA" w:rsidRPr="00C37701" w:rsidRDefault="002E10EA"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Нестабильная ценовая ситуация на мировых рынках нефти,  обесценение национальной валюты, снижение темпов развития экономики, рост безработицы могут привести к дальнейшему  усугублению положения заемщиков, в том числе валютных, снижению  их возможности обслуживать и погашать займы.</w:t>
            </w:r>
          </w:p>
        </w:tc>
        <w:tc>
          <w:tcPr>
            <w:tcW w:w="2744" w:type="dxa"/>
          </w:tcPr>
          <w:p w14:paraId="349644DF" w14:textId="77777777" w:rsidR="002E10EA" w:rsidRPr="00C37701" w:rsidRDefault="002E10EA" w:rsidP="0097449D">
            <w:pPr>
              <w:contextualSpacing/>
              <w:jc w:val="both"/>
              <w:rPr>
                <w:rFonts w:ascii="Times New Roman" w:hAnsi="Times New Roman" w:cs="Times New Roman"/>
                <w:sz w:val="24"/>
                <w:szCs w:val="24"/>
              </w:rPr>
            </w:pPr>
            <w:r w:rsidRPr="00C37701">
              <w:rPr>
                <w:rFonts w:ascii="Times New Roman" w:eastAsia="Calibri" w:hAnsi="Times New Roman" w:cs="Times New Roman"/>
                <w:sz w:val="24"/>
                <w:szCs w:val="24"/>
                <w:lang w:eastAsia="ru-RU"/>
              </w:rPr>
              <w:t>Осуществление комплекса мероприятий по решению проблем заемщиков, в том числе путем дальнейшей реализации Программы рефинансирования ипотечных жилищных займов (ипотечных займов).</w:t>
            </w:r>
          </w:p>
        </w:tc>
        <w:tc>
          <w:tcPr>
            <w:tcW w:w="2572" w:type="dxa"/>
          </w:tcPr>
          <w:p w14:paraId="03DD013F" w14:textId="77777777" w:rsidR="002E10EA" w:rsidRPr="00C37701" w:rsidRDefault="00701994"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p w14:paraId="50858662" w14:textId="77777777" w:rsidR="00701994" w:rsidRPr="00C37701" w:rsidRDefault="00701994" w:rsidP="0097449D">
            <w:pPr>
              <w:contextualSpacing/>
              <w:jc w:val="both"/>
              <w:rPr>
                <w:rFonts w:ascii="Times New Roman" w:hAnsi="Times New Roman" w:cs="Times New Roman"/>
                <w:sz w:val="24"/>
                <w:szCs w:val="24"/>
              </w:rPr>
            </w:pPr>
          </w:p>
        </w:tc>
        <w:tc>
          <w:tcPr>
            <w:tcW w:w="2265" w:type="dxa"/>
          </w:tcPr>
          <w:p w14:paraId="2D8135CB" w14:textId="77777777" w:rsidR="002E10EA" w:rsidRPr="00C37701" w:rsidRDefault="002E10EA" w:rsidP="0097449D">
            <w:pPr>
              <w:contextualSpacing/>
              <w:jc w:val="both"/>
              <w:rPr>
                <w:rFonts w:ascii="Times New Roman" w:hAnsi="Times New Roman" w:cs="Times New Roman"/>
                <w:sz w:val="24"/>
                <w:szCs w:val="24"/>
              </w:rPr>
            </w:pPr>
          </w:p>
        </w:tc>
      </w:tr>
      <w:tr w:rsidR="002E10EA" w:rsidRPr="00C37701" w14:paraId="6297B458" w14:textId="77777777" w:rsidTr="00530BDE">
        <w:tc>
          <w:tcPr>
            <w:tcW w:w="10340" w:type="dxa"/>
            <w:gridSpan w:val="4"/>
          </w:tcPr>
          <w:p w14:paraId="0E796801" w14:textId="77777777" w:rsidR="002E10EA" w:rsidRPr="00C37701" w:rsidRDefault="002E10EA" w:rsidP="003D3E25">
            <w:pPr>
              <w:contextualSpacing/>
              <w:rPr>
                <w:rFonts w:ascii="Times New Roman" w:hAnsi="Times New Roman" w:cs="Times New Roman"/>
                <w:sz w:val="24"/>
                <w:szCs w:val="24"/>
              </w:rPr>
            </w:pPr>
            <w:r w:rsidRPr="00C37701">
              <w:rPr>
                <w:rFonts w:ascii="Times New Roman" w:hAnsi="Times New Roman" w:cs="Times New Roman"/>
                <w:b/>
                <w:sz w:val="24"/>
                <w:szCs w:val="24"/>
              </w:rPr>
              <w:t xml:space="preserve">Цель 2.7. </w:t>
            </w:r>
            <w:r w:rsidRPr="00C37701">
              <w:rPr>
                <w:rFonts w:ascii="Times New Roman" w:hAnsi="Times New Roman" w:cs="Times New Roman"/>
                <w:sz w:val="24"/>
                <w:szCs w:val="24"/>
              </w:rPr>
              <w:t>Обеспечение функционирования платежных систем</w:t>
            </w:r>
          </w:p>
        </w:tc>
      </w:tr>
      <w:tr w:rsidR="002E10EA" w:rsidRPr="00C37701" w14:paraId="2E55ACB4" w14:textId="77777777" w:rsidTr="00530BDE">
        <w:tc>
          <w:tcPr>
            <w:tcW w:w="2759" w:type="dxa"/>
          </w:tcPr>
          <w:p w14:paraId="70EE86D5" w14:textId="77777777" w:rsidR="002E10EA" w:rsidRPr="00C37701" w:rsidRDefault="002E10EA"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Возникновение чрезвычайных ситуаций, в том числе, природные катаклизмы, нарушение работоспособности третьих лиц, оказывающих услуги для функционирования платежной системы (к примеру, услуги энергоснабжения и связи).</w:t>
            </w:r>
          </w:p>
        </w:tc>
        <w:tc>
          <w:tcPr>
            <w:tcW w:w="2744" w:type="dxa"/>
          </w:tcPr>
          <w:p w14:paraId="09B784AE" w14:textId="77777777" w:rsidR="002E10EA" w:rsidRPr="00C37701" w:rsidRDefault="002E10EA"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Поддержание работы резервного центра платежных систем, на серверы которого может быть переведена работа систем в случае возникновения чрезвычайных ситуаций в целях управления данными рисками в «горячем» режиме.</w:t>
            </w:r>
          </w:p>
          <w:p w14:paraId="6069BEE2" w14:textId="77777777" w:rsidR="002E10EA" w:rsidRPr="00C37701" w:rsidRDefault="002E10EA"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Программно-технический комплекс платежных систем имеет двойную систему гарантированного энергоснабжения, а также резервные каналы связи.</w:t>
            </w:r>
          </w:p>
        </w:tc>
        <w:tc>
          <w:tcPr>
            <w:tcW w:w="2572" w:type="dxa"/>
          </w:tcPr>
          <w:p w14:paraId="53CCBC5E" w14:textId="77777777" w:rsidR="002E10EA" w:rsidRPr="00C37701" w:rsidRDefault="002E10EA"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Чрезвычайных ситуаций, в том числе катаклизмов природного характера не наблюдалось. В связи с чем, в плановом порядке был осуществлен перевод работы платежных систем на программно-техниче</w:t>
            </w:r>
            <w:r w:rsidR="00AE7525" w:rsidRPr="00C37701">
              <w:rPr>
                <w:rFonts w:ascii="Times New Roman" w:hAnsi="Times New Roman" w:cs="Times New Roman"/>
                <w:sz w:val="24"/>
                <w:szCs w:val="24"/>
              </w:rPr>
              <w:t>ский комплекс резервного центра:</w:t>
            </w:r>
          </w:p>
          <w:p w14:paraId="70633AF0" w14:textId="77777777" w:rsidR="00AE7525" w:rsidRPr="00C37701" w:rsidRDefault="00AE7525"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01.06.2019г. и 13.12.2019г.</w:t>
            </w:r>
          </w:p>
          <w:p w14:paraId="29D8EC65" w14:textId="77777777" w:rsidR="00AE7525" w:rsidRPr="00C37701" w:rsidRDefault="00AE7525"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Обратный перевод на сервера основного центра были проведены 18.10.2019г. и 20.12.2019г. соответственно.</w:t>
            </w:r>
          </w:p>
        </w:tc>
        <w:tc>
          <w:tcPr>
            <w:tcW w:w="2265" w:type="dxa"/>
          </w:tcPr>
          <w:p w14:paraId="01F1A50E" w14:textId="77777777" w:rsidR="002E10EA" w:rsidRPr="00C37701" w:rsidRDefault="002E10EA"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В течение 201</w:t>
            </w:r>
            <w:r w:rsidR="00AE7525" w:rsidRPr="00C37701">
              <w:rPr>
                <w:rFonts w:ascii="Times New Roman" w:hAnsi="Times New Roman" w:cs="Times New Roman"/>
                <w:sz w:val="24"/>
                <w:szCs w:val="24"/>
              </w:rPr>
              <w:t>9</w:t>
            </w:r>
            <w:r w:rsidRPr="00C37701">
              <w:rPr>
                <w:rFonts w:ascii="Times New Roman" w:hAnsi="Times New Roman" w:cs="Times New Roman"/>
                <w:sz w:val="24"/>
                <w:szCs w:val="24"/>
              </w:rPr>
              <w:t xml:space="preserve"> года проводился мониторинг программно-технического комплекса платежных систем, оборудования и каналов связи в основном и резервных серверах.</w:t>
            </w:r>
          </w:p>
        </w:tc>
      </w:tr>
      <w:tr w:rsidR="002E10EA" w:rsidRPr="00C37701" w14:paraId="4E536ADF" w14:textId="77777777" w:rsidTr="00530BDE">
        <w:tc>
          <w:tcPr>
            <w:tcW w:w="2759" w:type="dxa"/>
          </w:tcPr>
          <w:p w14:paraId="27CF4C16" w14:textId="77777777" w:rsidR="002E10EA" w:rsidRPr="00C37701" w:rsidRDefault="002E10EA"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lastRenderedPageBreak/>
              <w:t>Операционные риски (сбой оборудования, отказ (сбой) информационных систем, моральное устаревание оборудования и информационных систем, ошибки персонала, нарушение физической и информационной безопасности).</w:t>
            </w:r>
          </w:p>
        </w:tc>
        <w:tc>
          <w:tcPr>
            <w:tcW w:w="2744" w:type="dxa"/>
          </w:tcPr>
          <w:p w14:paraId="56A6B88A" w14:textId="77777777" w:rsidR="002E10EA" w:rsidRPr="00C37701" w:rsidRDefault="002E10EA" w:rsidP="0097449D">
            <w:pPr>
              <w:pStyle w:val="a4"/>
              <w:keepNext/>
              <w:keepLines/>
              <w:tabs>
                <w:tab w:val="left" w:pos="0"/>
              </w:tabs>
              <w:spacing w:before="0" w:beforeAutospacing="0" w:after="0" w:afterAutospacing="0"/>
              <w:contextualSpacing/>
              <w:jc w:val="both"/>
              <w:rPr>
                <w:i/>
              </w:rPr>
            </w:pPr>
            <w:r w:rsidRPr="00C37701">
              <w:t>Применение комплекса мер (в том числе, действуют внутренние документы по управлению рисками), предусматривающих проведение плановых (тестовых) мероприятий по переводу платежных систем на программно-технический комплекс резервного центра; постоянный мониторинг работоспособности оборудования; обеспечение необходимого уровня квалификации персонала, его обучение; защита от несанкционированного доступа; обеспечение информационной безопасности посредством ряда установленных мероприятий; управление физическим доступом посредства ряда мер и иные меры.</w:t>
            </w:r>
            <w:r w:rsidRPr="00C37701">
              <w:rPr>
                <w:i/>
              </w:rPr>
              <w:t> </w:t>
            </w:r>
          </w:p>
        </w:tc>
        <w:tc>
          <w:tcPr>
            <w:tcW w:w="2572" w:type="dxa"/>
          </w:tcPr>
          <w:p w14:paraId="55026A16" w14:textId="77777777" w:rsidR="00AE7525" w:rsidRPr="00C37701" w:rsidRDefault="002E10EA" w:rsidP="0097449D">
            <w:pPr>
              <w:pStyle w:val="a4"/>
              <w:keepNext/>
              <w:keepLines/>
              <w:tabs>
                <w:tab w:val="left" w:pos="0"/>
              </w:tabs>
              <w:spacing w:before="0" w:beforeAutospacing="0" w:after="0" w:afterAutospacing="0"/>
              <w:contextualSpacing/>
              <w:jc w:val="both"/>
            </w:pPr>
            <w:r w:rsidRPr="00C37701">
              <w:t>В целях обеспечения беспрерывного функционирования платежных систем и поддержания резервного центра в по</w:t>
            </w:r>
            <w:r w:rsidR="00AE7525" w:rsidRPr="00C37701">
              <w:t>стоянной готовности КЦМР за 2019</w:t>
            </w:r>
            <w:r w:rsidRPr="00C37701">
              <w:t xml:space="preserve"> год </w:t>
            </w:r>
            <w:r w:rsidR="00AE7525" w:rsidRPr="00C37701">
              <w:t xml:space="preserve">дважды </w:t>
            </w:r>
            <w:r w:rsidRPr="00C37701">
              <w:t>был осуществлен плановый перевод работы платежных систем на программно-технический комплекс</w:t>
            </w:r>
            <w:r w:rsidR="00AE7525" w:rsidRPr="00C37701">
              <w:t xml:space="preserve"> резервного центра: 01.06.2019г. и 13.12.2019г. </w:t>
            </w:r>
          </w:p>
          <w:p w14:paraId="58ACB3AB" w14:textId="77777777" w:rsidR="00AE7525" w:rsidRPr="00C37701" w:rsidRDefault="00AE7525" w:rsidP="0097449D">
            <w:pPr>
              <w:pStyle w:val="a4"/>
              <w:keepNext/>
              <w:keepLines/>
              <w:tabs>
                <w:tab w:val="left" w:pos="0"/>
              </w:tabs>
              <w:spacing w:before="0" w:beforeAutospacing="0" w:after="0" w:afterAutospacing="0"/>
              <w:contextualSpacing/>
              <w:jc w:val="both"/>
            </w:pPr>
            <w:r w:rsidRPr="00C37701">
              <w:t>Обратный перевод на сервера основного центра были проведены 18.10.2019г. и 20.12.2019г. соответственно.</w:t>
            </w:r>
          </w:p>
          <w:p w14:paraId="7475939D" w14:textId="77777777" w:rsidR="002E10EA" w:rsidRPr="00C37701" w:rsidRDefault="002E10EA" w:rsidP="0097449D">
            <w:pPr>
              <w:pStyle w:val="a4"/>
              <w:keepNext/>
              <w:keepLines/>
              <w:tabs>
                <w:tab w:val="left" w:pos="0"/>
              </w:tabs>
              <w:spacing w:before="0" w:beforeAutospacing="0" w:after="0" w:afterAutospacing="0"/>
              <w:contextualSpacing/>
              <w:jc w:val="both"/>
            </w:pPr>
            <w:r w:rsidRPr="00C37701">
              <w:rPr>
                <w:i/>
              </w:rPr>
              <w:t> </w:t>
            </w:r>
          </w:p>
        </w:tc>
        <w:tc>
          <w:tcPr>
            <w:tcW w:w="2265" w:type="dxa"/>
          </w:tcPr>
          <w:p w14:paraId="5DACEED6" w14:textId="77777777" w:rsidR="002E10EA" w:rsidRPr="00C37701" w:rsidRDefault="00AE7525"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В течение 2019</w:t>
            </w:r>
            <w:r w:rsidR="002E10EA" w:rsidRPr="00C37701">
              <w:rPr>
                <w:rFonts w:ascii="Times New Roman" w:hAnsi="Times New Roman" w:cs="Times New Roman"/>
                <w:sz w:val="24"/>
                <w:szCs w:val="24"/>
              </w:rPr>
              <w:t xml:space="preserve"> года проводился постоянный мониторинг оборудования, профилактические работы и администрирование систем, в том числе, систем безопасности. Ошибки персонала, нарушения физической и информационной безопасности отсутствовали.</w:t>
            </w:r>
          </w:p>
        </w:tc>
      </w:tr>
    </w:tbl>
    <w:p w14:paraId="7137D2C3" w14:textId="77777777" w:rsidR="00D954F6" w:rsidRPr="00C37701" w:rsidRDefault="00D954F6" w:rsidP="0097449D">
      <w:pPr>
        <w:spacing w:after="0" w:line="240" w:lineRule="auto"/>
        <w:contextualSpacing/>
        <w:jc w:val="both"/>
        <w:rPr>
          <w:rFonts w:ascii="Times New Roman" w:hAnsi="Times New Roman" w:cs="Times New Roman"/>
          <w:b/>
          <w:sz w:val="24"/>
          <w:szCs w:val="24"/>
        </w:rPr>
      </w:pPr>
    </w:p>
    <w:p w14:paraId="059D764F" w14:textId="77777777" w:rsidR="00250274" w:rsidRPr="00C37701" w:rsidRDefault="00250274" w:rsidP="00C37701">
      <w:pPr>
        <w:spacing w:after="0" w:line="240" w:lineRule="auto"/>
        <w:contextualSpacing/>
        <w:jc w:val="center"/>
        <w:rPr>
          <w:rFonts w:ascii="Times New Roman" w:hAnsi="Times New Roman" w:cs="Times New Roman"/>
          <w:b/>
          <w:bCs/>
          <w:sz w:val="24"/>
          <w:szCs w:val="24"/>
        </w:rPr>
      </w:pPr>
      <w:r w:rsidRPr="00C37701">
        <w:rPr>
          <w:rFonts w:ascii="Times New Roman" w:hAnsi="Times New Roman" w:cs="Times New Roman"/>
          <w:b/>
          <w:sz w:val="24"/>
          <w:szCs w:val="24"/>
        </w:rPr>
        <w:t>2.</w:t>
      </w:r>
      <w:r w:rsidRPr="00C37701">
        <w:rPr>
          <w:rFonts w:ascii="Times New Roman" w:hAnsi="Times New Roman" w:cs="Times New Roman"/>
          <w:b/>
          <w:bCs/>
          <w:sz w:val="24"/>
          <w:szCs w:val="24"/>
        </w:rPr>
        <w:t xml:space="preserve"> Достижение целей и целевых индикаторов</w:t>
      </w:r>
    </w:p>
    <w:p w14:paraId="04D064BB" w14:textId="77777777" w:rsidR="00250274" w:rsidRPr="00C37701" w:rsidRDefault="00250274" w:rsidP="0097449D">
      <w:pPr>
        <w:spacing w:after="0" w:line="240" w:lineRule="auto"/>
        <w:contextualSpacing/>
        <w:jc w:val="both"/>
        <w:rPr>
          <w:rFonts w:ascii="Times New Roman" w:hAnsi="Times New Roman" w:cs="Times New Roman"/>
          <w:b/>
          <w:sz w:val="24"/>
          <w:szCs w:val="24"/>
        </w:rPr>
      </w:pPr>
    </w:p>
    <w:tbl>
      <w:tblPr>
        <w:tblStyle w:val="a8"/>
        <w:tblW w:w="0" w:type="auto"/>
        <w:tblLook w:val="04A0" w:firstRow="1" w:lastRow="0" w:firstColumn="1" w:lastColumn="0" w:noHBand="0" w:noVBand="1"/>
      </w:tblPr>
      <w:tblGrid>
        <w:gridCol w:w="2369"/>
        <w:gridCol w:w="1610"/>
        <w:gridCol w:w="1592"/>
        <w:gridCol w:w="952"/>
        <w:gridCol w:w="1551"/>
        <w:gridCol w:w="2008"/>
      </w:tblGrid>
      <w:tr w:rsidR="008D71F9" w:rsidRPr="00C37701" w14:paraId="16F5F607" w14:textId="77777777" w:rsidTr="00530BDE">
        <w:trPr>
          <w:tblHeader/>
        </w:trPr>
        <w:tc>
          <w:tcPr>
            <w:tcW w:w="2370" w:type="dxa"/>
            <w:vMerge w:val="restart"/>
          </w:tcPr>
          <w:p w14:paraId="49B51DF8" w14:textId="77777777" w:rsidR="008D71F9" w:rsidRPr="00C37701" w:rsidRDefault="008D71F9" w:rsidP="0097449D">
            <w:pPr>
              <w:contextualSpacing/>
              <w:jc w:val="both"/>
              <w:rPr>
                <w:rFonts w:ascii="Times New Roman" w:hAnsi="Times New Roman" w:cs="Times New Roman"/>
                <w:b/>
                <w:sz w:val="24"/>
                <w:szCs w:val="24"/>
              </w:rPr>
            </w:pPr>
            <w:r w:rsidRPr="00C37701">
              <w:rPr>
                <w:rFonts w:ascii="Times New Roman" w:hAnsi="Times New Roman" w:cs="Times New Roman"/>
                <w:b/>
                <w:i/>
                <w:sz w:val="24"/>
                <w:szCs w:val="24"/>
              </w:rPr>
              <w:t>Наименование целевого индикатора</w:t>
            </w:r>
          </w:p>
        </w:tc>
        <w:tc>
          <w:tcPr>
            <w:tcW w:w="1610" w:type="dxa"/>
            <w:vMerge w:val="restart"/>
          </w:tcPr>
          <w:p w14:paraId="444B8A3C" w14:textId="77777777" w:rsidR="008D71F9" w:rsidRPr="00C37701" w:rsidRDefault="008D71F9" w:rsidP="0097449D">
            <w:pPr>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Источник информации</w:t>
            </w:r>
          </w:p>
        </w:tc>
        <w:tc>
          <w:tcPr>
            <w:tcW w:w="1592" w:type="dxa"/>
            <w:vMerge w:val="restart"/>
          </w:tcPr>
          <w:p w14:paraId="21030327" w14:textId="77777777" w:rsidR="008D71F9" w:rsidRPr="00C37701" w:rsidRDefault="008D71F9" w:rsidP="0097449D">
            <w:pPr>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Ед</w:t>
            </w:r>
            <w:r w:rsidR="00E446A1" w:rsidRPr="00C37701">
              <w:rPr>
                <w:rFonts w:ascii="Times New Roman" w:hAnsi="Times New Roman" w:cs="Times New Roman"/>
                <w:b/>
                <w:i/>
                <w:sz w:val="24"/>
                <w:szCs w:val="24"/>
              </w:rPr>
              <w:t>иница измерения</w:t>
            </w:r>
          </w:p>
        </w:tc>
        <w:tc>
          <w:tcPr>
            <w:tcW w:w="2503" w:type="dxa"/>
            <w:gridSpan w:val="2"/>
          </w:tcPr>
          <w:p w14:paraId="0B9CC377" w14:textId="77777777" w:rsidR="008D71F9" w:rsidRPr="00C37701" w:rsidRDefault="008D71F9" w:rsidP="0097449D">
            <w:pPr>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Отчетный</w:t>
            </w:r>
          </w:p>
          <w:p w14:paraId="18036CF9" w14:textId="77777777" w:rsidR="008D71F9" w:rsidRPr="00C37701" w:rsidRDefault="008D71F9" w:rsidP="0097449D">
            <w:pPr>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период</w:t>
            </w:r>
          </w:p>
          <w:p w14:paraId="56783D89" w14:textId="77777777" w:rsidR="008D71F9" w:rsidRPr="00C37701" w:rsidRDefault="008D71F9" w:rsidP="0097449D">
            <w:pPr>
              <w:contextualSpacing/>
              <w:jc w:val="both"/>
              <w:rPr>
                <w:rFonts w:ascii="Times New Roman" w:hAnsi="Times New Roman" w:cs="Times New Roman"/>
                <w:b/>
                <w:sz w:val="24"/>
                <w:szCs w:val="24"/>
              </w:rPr>
            </w:pPr>
          </w:p>
        </w:tc>
        <w:tc>
          <w:tcPr>
            <w:tcW w:w="2008" w:type="dxa"/>
            <w:vMerge w:val="restart"/>
          </w:tcPr>
          <w:p w14:paraId="5DDD89A2" w14:textId="77777777" w:rsidR="008D71F9" w:rsidRPr="00C37701" w:rsidRDefault="008D71F9" w:rsidP="0097449D">
            <w:pPr>
              <w:contextualSpacing/>
              <w:jc w:val="both"/>
              <w:rPr>
                <w:rFonts w:ascii="Times New Roman" w:hAnsi="Times New Roman" w:cs="Times New Roman"/>
                <w:b/>
                <w:sz w:val="24"/>
                <w:szCs w:val="24"/>
              </w:rPr>
            </w:pPr>
            <w:r w:rsidRPr="00C37701">
              <w:rPr>
                <w:rFonts w:ascii="Times New Roman" w:hAnsi="Times New Roman" w:cs="Times New Roman"/>
                <w:b/>
                <w:i/>
                <w:sz w:val="24"/>
                <w:szCs w:val="24"/>
              </w:rPr>
              <w:t>Примечание (информация об исполнении/ неисполнении)</w:t>
            </w:r>
          </w:p>
        </w:tc>
      </w:tr>
      <w:tr w:rsidR="008D71F9" w:rsidRPr="00C37701" w14:paraId="4177BC88" w14:textId="77777777" w:rsidTr="00530BDE">
        <w:tc>
          <w:tcPr>
            <w:tcW w:w="2370" w:type="dxa"/>
            <w:vMerge/>
          </w:tcPr>
          <w:p w14:paraId="74EC2CC7" w14:textId="77777777" w:rsidR="008D71F9" w:rsidRPr="00C37701" w:rsidRDefault="008D71F9" w:rsidP="0097449D">
            <w:pPr>
              <w:contextualSpacing/>
              <w:jc w:val="both"/>
              <w:rPr>
                <w:rFonts w:ascii="Times New Roman" w:hAnsi="Times New Roman" w:cs="Times New Roman"/>
                <w:b/>
                <w:sz w:val="24"/>
                <w:szCs w:val="24"/>
              </w:rPr>
            </w:pPr>
          </w:p>
        </w:tc>
        <w:tc>
          <w:tcPr>
            <w:tcW w:w="1610" w:type="dxa"/>
            <w:vMerge/>
          </w:tcPr>
          <w:p w14:paraId="237EBE03" w14:textId="77777777" w:rsidR="008D71F9" w:rsidRPr="00C37701" w:rsidRDefault="008D71F9" w:rsidP="0097449D">
            <w:pPr>
              <w:contextualSpacing/>
              <w:jc w:val="both"/>
              <w:rPr>
                <w:rFonts w:ascii="Times New Roman" w:hAnsi="Times New Roman" w:cs="Times New Roman"/>
                <w:b/>
                <w:sz w:val="24"/>
                <w:szCs w:val="24"/>
              </w:rPr>
            </w:pPr>
          </w:p>
        </w:tc>
        <w:tc>
          <w:tcPr>
            <w:tcW w:w="1592" w:type="dxa"/>
            <w:vMerge/>
          </w:tcPr>
          <w:p w14:paraId="504C4C56" w14:textId="77777777" w:rsidR="008D71F9" w:rsidRPr="00C37701" w:rsidRDefault="008D71F9" w:rsidP="0097449D">
            <w:pPr>
              <w:contextualSpacing/>
              <w:jc w:val="both"/>
              <w:rPr>
                <w:rFonts w:ascii="Times New Roman" w:hAnsi="Times New Roman" w:cs="Times New Roman"/>
                <w:b/>
                <w:sz w:val="24"/>
                <w:szCs w:val="24"/>
              </w:rPr>
            </w:pPr>
          </w:p>
        </w:tc>
        <w:tc>
          <w:tcPr>
            <w:tcW w:w="952" w:type="dxa"/>
          </w:tcPr>
          <w:p w14:paraId="1A195184" w14:textId="77777777" w:rsidR="008D71F9" w:rsidRPr="00C37701" w:rsidRDefault="008D71F9" w:rsidP="0097449D">
            <w:pPr>
              <w:contextualSpacing/>
              <w:jc w:val="both"/>
              <w:rPr>
                <w:rFonts w:ascii="Times New Roman" w:hAnsi="Times New Roman" w:cs="Times New Roman"/>
                <w:i/>
                <w:sz w:val="24"/>
                <w:szCs w:val="24"/>
              </w:rPr>
            </w:pPr>
            <w:r w:rsidRPr="00C37701">
              <w:rPr>
                <w:rFonts w:ascii="Times New Roman" w:hAnsi="Times New Roman" w:cs="Times New Roman"/>
                <w:i/>
                <w:sz w:val="24"/>
                <w:szCs w:val="24"/>
              </w:rPr>
              <w:t>План</w:t>
            </w:r>
          </w:p>
        </w:tc>
        <w:tc>
          <w:tcPr>
            <w:tcW w:w="1551" w:type="dxa"/>
          </w:tcPr>
          <w:p w14:paraId="5858F95D" w14:textId="77777777" w:rsidR="008D71F9" w:rsidRPr="00C37701" w:rsidRDefault="008D71F9" w:rsidP="0097449D">
            <w:pPr>
              <w:contextualSpacing/>
              <w:jc w:val="both"/>
              <w:rPr>
                <w:rFonts w:ascii="Times New Roman" w:hAnsi="Times New Roman" w:cs="Times New Roman"/>
                <w:i/>
                <w:sz w:val="24"/>
                <w:szCs w:val="24"/>
              </w:rPr>
            </w:pPr>
            <w:r w:rsidRPr="00C37701">
              <w:rPr>
                <w:rFonts w:ascii="Times New Roman" w:hAnsi="Times New Roman" w:cs="Times New Roman"/>
                <w:i/>
                <w:sz w:val="24"/>
                <w:szCs w:val="24"/>
              </w:rPr>
              <w:t>Факт</w:t>
            </w:r>
          </w:p>
        </w:tc>
        <w:tc>
          <w:tcPr>
            <w:tcW w:w="2008" w:type="dxa"/>
            <w:vMerge/>
          </w:tcPr>
          <w:p w14:paraId="68633867" w14:textId="77777777" w:rsidR="008D71F9" w:rsidRPr="00C37701" w:rsidRDefault="008D71F9" w:rsidP="0097449D">
            <w:pPr>
              <w:contextualSpacing/>
              <w:jc w:val="both"/>
              <w:rPr>
                <w:rFonts w:ascii="Times New Roman" w:hAnsi="Times New Roman" w:cs="Times New Roman"/>
                <w:b/>
                <w:sz w:val="24"/>
                <w:szCs w:val="24"/>
              </w:rPr>
            </w:pPr>
          </w:p>
        </w:tc>
      </w:tr>
      <w:tr w:rsidR="008D71F9" w:rsidRPr="00C37701" w14:paraId="10CDA5D5" w14:textId="77777777" w:rsidTr="00530BDE">
        <w:tc>
          <w:tcPr>
            <w:tcW w:w="2370" w:type="dxa"/>
          </w:tcPr>
          <w:p w14:paraId="29888393" w14:textId="77777777" w:rsidR="008D71F9" w:rsidRPr="00C37701" w:rsidRDefault="008D71F9" w:rsidP="0097449D">
            <w:pPr>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1</w:t>
            </w:r>
          </w:p>
        </w:tc>
        <w:tc>
          <w:tcPr>
            <w:tcW w:w="1610" w:type="dxa"/>
          </w:tcPr>
          <w:p w14:paraId="752C73E5" w14:textId="77777777" w:rsidR="008D71F9" w:rsidRPr="00C37701" w:rsidRDefault="008D71F9" w:rsidP="0097449D">
            <w:pPr>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2</w:t>
            </w:r>
          </w:p>
        </w:tc>
        <w:tc>
          <w:tcPr>
            <w:tcW w:w="1592" w:type="dxa"/>
          </w:tcPr>
          <w:p w14:paraId="4566FBB2" w14:textId="77777777" w:rsidR="008D71F9" w:rsidRPr="00C37701" w:rsidRDefault="008D71F9" w:rsidP="0097449D">
            <w:pPr>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3</w:t>
            </w:r>
          </w:p>
        </w:tc>
        <w:tc>
          <w:tcPr>
            <w:tcW w:w="952" w:type="dxa"/>
          </w:tcPr>
          <w:p w14:paraId="1AD2BDE6" w14:textId="77777777" w:rsidR="008D71F9" w:rsidRPr="00C37701" w:rsidRDefault="008D71F9" w:rsidP="0097449D">
            <w:pPr>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4</w:t>
            </w:r>
          </w:p>
        </w:tc>
        <w:tc>
          <w:tcPr>
            <w:tcW w:w="1551" w:type="dxa"/>
          </w:tcPr>
          <w:p w14:paraId="21CBD90E" w14:textId="77777777" w:rsidR="008D71F9" w:rsidRPr="00C37701" w:rsidRDefault="008D71F9" w:rsidP="0097449D">
            <w:pPr>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5</w:t>
            </w:r>
          </w:p>
        </w:tc>
        <w:tc>
          <w:tcPr>
            <w:tcW w:w="2008" w:type="dxa"/>
          </w:tcPr>
          <w:p w14:paraId="24529FEA" w14:textId="77777777" w:rsidR="008D71F9" w:rsidRPr="00C37701" w:rsidRDefault="008D71F9" w:rsidP="0097449D">
            <w:pPr>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6</w:t>
            </w:r>
          </w:p>
        </w:tc>
      </w:tr>
      <w:tr w:rsidR="008D71F9" w:rsidRPr="00C37701" w14:paraId="3B23FEF4" w14:textId="77777777" w:rsidTr="00530BDE">
        <w:tc>
          <w:tcPr>
            <w:tcW w:w="10083" w:type="dxa"/>
            <w:gridSpan w:val="6"/>
          </w:tcPr>
          <w:p w14:paraId="3C5F9D58" w14:textId="77777777" w:rsidR="008D71F9" w:rsidRPr="00C37701" w:rsidRDefault="008D71F9" w:rsidP="00C37701">
            <w:pPr>
              <w:contextualSpacing/>
              <w:jc w:val="center"/>
              <w:rPr>
                <w:rFonts w:ascii="Times New Roman" w:hAnsi="Times New Roman" w:cs="Times New Roman"/>
                <w:b/>
                <w:sz w:val="24"/>
                <w:szCs w:val="24"/>
              </w:rPr>
            </w:pPr>
            <w:r w:rsidRPr="00C37701">
              <w:rPr>
                <w:rFonts w:ascii="Times New Roman" w:hAnsi="Times New Roman" w:cs="Times New Roman"/>
                <w:b/>
                <w:sz w:val="24"/>
                <w:szCs w:val="24"/>
              </w:rPr>
              <w:t xml:space="preserve">Стратегическое направление 1. </w:t>
            </w:r>
            <w:r w:rsidRPr="00C37701">
              <w:rPr>
                <w:rFonts w:ascii="Times New Roman" w:hAnsi="Times New Roman" w:cs="Times New Roman"/>
                <w:sz w:val="24"/>
                <w:szCs w:val="24"/>
              </w:rPr>
              <w:t>Обеспечение стабильности цен</w:t>
            </w:r>
          </w:p>
        </w:tc>
      </w:tr>
      <w:tr w:rsidR="008D71F9" w:rsidRPr="00C37701" w14:paraId="53978760" w14:textId="77777777" w:rsidTr="00530BDE">
        <w:tc>
          <w:tcPr>
            <w:tcW w:w="10083" w:type="dxa"/>
            <w:gridSpan w:val="6"/>
          </w:tcPr>
          <w:p w14:paraId="6EF8A324" w14:textId="77777777" w:rsidR="008D71F9" w:rsidRPr="00C37701" w:rsidRDefault="008D71F9" w:rsidP="00C37701">
            <w:pPr>
              <w:contextualSpacing/>
              <w:jc w:val="center"/>
              <w:rPr>
                <w:rFonts w:ascii="Times New Roman" w:hAnsi="Times New Roman" w:cs="Times New Roman"/>
                <w:b/>
                <w:sz w:val="24"/>
                <w:szCs w:val="24"/>
              </w:rPr>
            </w:pPr>
            <w:r w:rsidRPr="00C37701">
              <w:rPr>
                <w:rFonts w:ascii="Times New Roman" w:hAnsi="Times New Roman" w:cs="Times New Roman"/>
                <w:b/>
                <w:sz w:val="24"/>
                <w:szCs w:val="24"/>
              </w:rPr>
              <w:t xml:space="preserve">Цель 1.1. </w:t>
            </w:r>
            <w:r w:rsidR="00307FF5" w:rsidRPr="00C37701">
              <w:rPr>
                <w:rFonts w:ascii="Times New Roman" w:hAnsi="Times New Roman" w:cs="Times New Roman"/>
                <w:sz w:val="24"/>
                <w:szCs w:val="24"/>
              </w:rPr>
              <w:t>Разработка и проведение денежно-кредитной политики государства. Удержание инфляции в целевом коридоре</w:t>
            </w:r>
          </w:p>
        </w:tc>
      </w:tr>
      <w:tr w:rsidR="008D71F9" w:rsidRPr="00C37701" w14:paraId="6B7FACA7" w14:textId="77777777" w:rsidTr="00530BDE">
        <w:tc>
          <w:tcPr>
            <w:tcW w:w="2370" w:type="dxa"/>
          </w:tcPr>
          <w:p w14:paraId="77314BE8" w14:textId="77777777" w:rsidR="008D71F9" w:rsidRPr="00C37701" w:rsidRDefault="008D71F9" w:rsidP="0097449D">
            <w:pPr>
              <w:contextualSpacing/>
              <w:jc w:val="both"/>
              <w:rPr>
                <w:rFonts w:ascii="Times New Roman" w:hAnsi="Times New Roman" w:cs="Times New Roman"/>
                <w:b/>
                <w:sz w:val="24"/>
                <w:szCs w:val="24"/>
              </w:rPr>
            </w:pPr>
            <w:r w:rsidRPr="00C37701">
              <w:rPr>
                <w:rFonts w:ascii="Times New Roman" w:hAnsi="Times New Roman" w:cs="Times New Roman"/>
                <w:b/>
                <w:sz w:val="24"/>
                <w:szCs w:val="24"/>
              </w:rPr>
              <w:t>Целевой индикатор</w:t>
            </w:r>
          </w:p>
        </w:tc>
        <w:tc>
          <w:tcPr>
            <w:tcW w:w="1610" w:type="dxa"/>
          </w:tcPr>
          <w:p w14:paraId="393A01E9" w14:textId="77777777" w:rsidR="008D71F9" w:rsidRPr="00C37701" w:rsidRDefault="008D71F9" w:rsidP="0097449D">
            <w:pPr>
              <w:contextualSpacing/>
              <w:jc w:val="both"/>
              <w:rPr>
                <w:rFonts w:ascii="Times New Roman" w:hAnsi="Times New Roman" w:cs="Times New Roman"/>
                <w:b/>
                <w:sz w:val="24"/>
                <w:szCs w:val="24"/>
              </w:rPr>
            </w:pPr>
          </w:p>
        </w:tc>
        <w:tc>
          <w:tcPr>
            <w:tcW w:w="1592" w:type="dxa"/>
          </w:tcPr>
          <w:p w14:paraId="01682097" w14:textId="77777777" w:rsidR="008D71F9" w:rsidRPr="00C37701" w:rsidRDefault="008D71F9" w:rsidP="0097449D">
            <w:pPr>
              <w:contextualSpacing/>
              <w:jc w:val="both"/>
              <w:rPr>
                <w:rFonts w:ascii="Times New Roman" w:hAnsi="Times New Roman" w:cs="Times New Roman"/>
                <w:b/>
                <w:sz w:val="24"/>
                <w:szCs w:val="24"/>
              </w:rPr>
            </w:pPr>
          </w:p>
        </w:tc>
        <w:tc>
          <w:tcPr>
            <w:tcW w:w="952" w:type="dxa"/>
          </w:tcPr>
          <w:p w14:paraId="12B6E546" w14:textId="77777777" w:rsidR="008D71F9" w:rsidRPr="00C37701" w:rsidRDefault="008D71F9" w:rsidP="0097449D">
            <w:pPr>
              <w:contextualSpacing/>
              <w:jc w:val="both"/>
              <w:rPr>
                <w:rFonts w:ascii="Times New Roman" w:hAnsi="Times New Roman" w:cs="Times New Roman"/>
                <w:b/>
                <w:sz w:val="24"/>
                <w:szCs w:val="24"/>
              </w:rPr>
            </w:pPr>
          </w:p>
        </w:tc>
        <w:tc>
          <w:tcPr>
            <w:tcW w:w="1551" w:type="dxa"/>
          </w:tcPr>
          <w:p w14:paraId="0D866C8D" w14:textId="77777777" w:rsidR="008D71F9" w:rsidRPr="00C37701" w:rsidRDefault="008D71F9" w:rsidP="0097449D">
            <w:pPr>
              <w:contextualSpacing/>
              <w:jc w:val="both"/>
              <w:rPr>
                <w:rFonts w:ascii="Times New Roman" w:hAnsi="Times New Roman" w:cs="Times New Roman"/>
                <w:b/>
                <w:sz w:val="24"/>
                <w:szCs w:val="24"/>
              </w:rPr>
            </w:pPr>
          </w:p>
        </w:tc>
        <w:tc>
          <w:tcPr>
            <w:tcW w:w="2008" w:type="dxa"/>
          </w:tcPr>
          <w:p w14:paraId="78FF0C16" w14:textId="77777777" w:rsidR="008D71F9" w:rsidRPr="00C37701" w:rsidRDefault="008D71F9" w:rsidP="0097449D">
            <w:pPr>
              <w:contextualSpacing/>
              <w:jc w:val="both"/>
              <w:rPr>
                <w:rFonts w:ascii="Times New Roman" w:hAnsi="Times New Roman" w:cs="Times New Roman"/>
                <w:b/>
                <w:sz w:val="24"/>
                <w:szCs w:val="24"/>
              </w:rPr>
            </w:pPr>
          </w:p>
        </w:tc>
      </w:tr>
      <w:tr w:rsidR="002534C2" w:rsidRPr="00C37701" w14:paraId="5E7A7B92" w14:textId="77777777" w:rsidTr="00530BDE">
        <w:tc>
          <w:tcPr>
            <w:tcW w:w="2370" w:type="dxa"/>
          </w:tcPr>
          <w:p w14:paraId="1C0F6042"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Годовой </w:t>
            </w:r>
            <w:r w:rsidR="003A4FFA" w:rsidRPr="00C37701">
              <w:rPr>
                <w:rFonts w:ascii="Times New Roman" w:hAnsi="Times New Roman" w:cs="Times New Roman"/>
                <w:sz w:val="24"/>
                <w:szCs w:val="24"/>
              </w:rPr>
              <w:t>уровень</w:t>
            </w:r>
            <w:r w:rsidRPr="00C37701">
              <w:rPr>
                <w:rFonts w:ascii="Times New Roman" w:hAnsi="Times New Roman" w:cs="Times New Roman"/>
                <w:sz w:val="24"/>
                <w:szCs w:val="24"/>
              </w:rPr>
              <w:t xml:space="preserve"> инфляции (декабрь к декабрю предыдущего года), %</w:t>
            </w:r>
          </w:p>
        </w:tc>
        <w:tc>
          <w:tcPr>
            <w:tcW w:w="1610" w:type="dxa"/>
          </w:tcPr>
          <w:p w14:paraId="14EC7283" w14:textId="77777777" w:rsidR="002534C2" w:rsidRPr="00C37701" w:rsidRDefault="002534C2" w:rsidP="0097449D">
            <w:pPr>
              <w:keepNext/>
              <w:keepLines/>
              <w:contextualSpacing/>
              <w:jc w:val="both"/>
              <w:outlineLvl w:val="2"/>
              <w:rPr>
                <w:rFonts w:ascii="Times New Roman" w:hAnsi="Times New Roman" w:cs="Times New Roman"/>
                <w:sz w:val="24"/>
                <w:szCs w:val="24"/>
              </w:rPr>
            </w:pPr>
            <w:r w:rsidRPr="00C37701">
              <w:rPr>
                <w:rFonts w:ascii="Times New Roman" w:hAnsi="Times New Roman" w:cs="Times New Roman"/>
                <w:sz w:val="24"/>
                <w:szCs w:val="24"/>
              </w:rPr>
              <w:t>КС МНЭ РК</w:t>
            </w:r>
          </w:p>
        </w:tc>
        <w:tc>
          <w:tcPr>
            <w:tcW w:w="1592" w:type="dxa"/>
          </w:tcPr>
          <w:p w14:paraId="4DF1B759"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w:t>
            </w:r>
          </w:p>
        </w:tc>
        <w:tc>
          <w:tcPr>
            <w:tcW w:w="952" w:type="dxa"/>
          </w:tcPr>
          <w:p w14:paraId="4D13AE2B" w14:textId="77777777" w:rsidR="002534C2" w:rsidRPr="00C37701" w:rsidRDefault="00FD56BE"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4-6</w:t>
            </w:r>
            <w:r w:rsidR="00D208B3" w:rsidRPr="00C37701">
              <w:rPr>
                <w:rFonts w:ascii="Times New Roman" w:hAnsi="Times New Roman" w:cs="Times New Roman"/>
                <w:sz w:val="24"/>
                <w:szCs w:val="24"/>
              </w:rPr>
              <w:t>%</w:t>
            </w:r>
          </w:p>
        </w:tc>
        <w:tc>
          <w:tcPr>
            <w:tcW w:w="1551" w:type="dxa"/>
          </w:tcPr>
          <w:p w14:paraId="070D837D" w14:textId="77777777" w:rsidR="002534C2" w:rsidRPr="00C37701" w:rsidRDefault="00FD56BE"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5,4</w:t>
            </w:r>
            <w:r w:rsidR="002534C2" w:rsidRPr="00C37701">
              <w:rPr>
                <w:rFonts w:ascii="Times New Roman" w:hAnsi="Times New Roman" w:cs="Times New Roman"/>
                <w:sz w:val="24"/>
                <w:szCs w:val="24"/>
              </w:rPr>
              <w:t>%</w:t>
            </w:r>
          </w:p>
        </w:tc>
        <w:tc>
          <w:tcPr>
            <w:tcW w:w="2008" w:type="dxa"/>
          </w:tcPr>
          <w:p w14:paraId="2C79FA0C"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В декабре 201</w:t>
            </w:r>
            <w:r w:rsidR="00FD56BE" w:rsidRPr="00C37701">
              <w:rPr>
                <w:rFonts w:ascii="Times New Roman" w:hAnsi="Times New Roman" w:cs="Times New Roman"/>
                <w:sz w:val="24"/>
                <w:szCs w:val="24"/>
              </w:rPr>
              <w:t>9</w:t>
            </w:r>
            <w:r w:rsidRPr="00C37701">
              <w:rPr>
                <w:rFonts w:ascii="Times New Roman" w:hAnsi="Times New Roman" w:cs="Times New Roman"/>
                <w:sz w:val="24"/>
                <w:szCs w:val="24"/>
              </w:rPr>
              <w:t xml:space="preserve"> год</w:t>
            </w:r>
            <w:r w:rsidR="00FD56BE" w:rsidRPr="00C37701">
              <w:rPr>
                <w:rFonts w:ascii="Times New Roman" w:hAnsi="Times New Roman" w:cs="Times New Roman"/>
                <w:sz w:val="24"/>
                <w:szCs w:val="24"/>
              </w:rPr>
              <w:t>а годовая инфляция составила 5,4</w:t>
            </w:r>
            <w:r w:rsidRPr="00C37701">
              <w:rPr>
                <w:rFonts w:ascii="Times New Roman" w:hAnsi="Times New Roman" w:cs="Times New Roman"/>
                <w:sz w:val="24"/>
                <w:szCs w:val="24"/>
              </w:rPr>
              <w:t xml:space="preserve">%, что соответствует целевому </w:t>
            </w:r>
            <w:r w:rsidR="00FD56BE" w:rsidRPr="00C37701">
              <w:rPr>
                <w:rFonts w:ascii="Times New Roman" w:hAnsi="Times New Roman" w:cs="Times New Roman"/>
                <w:sz w:val="24"/>
                <w:szCs w:val="24"/>
              </w:rPr>
              <w:t>к</w:t>
            </w:r>
            <w:r w:rsidRPr="00C37701">
              <w:rPr>
                <w:rFonts w:ascii="Times New Roman" w:hAnsi="Times New Roman" w:cs="Times New Roman"/>
                <w:sz w:val="24"/>
                <w:szCs w:val="24"/>
              </w:rPr>
              <w:t xml:space="preserve">оридору, </w:t>
            </w:r>
            <w:r w:rsidRPr="00C37701">
              <w:rPr>
                <w:rFonts w:ascii="Times New Roman" w:hAnsi="Times New Roman" w:cs="Times New Roman"/>
                <w:sz w:val="24"/>
                <w:szCs w:val="24"/>
              </w:rPr>
              <w:lastRenderedPageBreak/>
              <w:t>установленному на конец 201</w:t>
            </w:r>
            <w:r w:rsidR="00FD56BE" w:rsidRPr="00C37701">
              <w:rPr>
                <w:rFonts w:ascii="Times New Roman" w:hAnsi="Times New Roman" w:cs="Times New Roman"/>
                <w:sz w:val="24"/>
                <w:szCs w:val="24"/>
              </w:rPr>
              <w:t>9 года, 4</w:t>
            </w:r>
            <w:r w:rsidRPr="00C37701">
              <w:rPr>
                <w:rFonts w:ascii="Times New Roman" w:hAnsi="Times New Roman" w:cs="Times New Roman"/>
                <w:sz w:val="24"/>
                <w:szCs w:val="24"/>
              </w:rPr>
              <w:t>-</w:t>
            </w:r>
            <w:r w:rsidR="00FD56BE" w:rsidRPr="00C37701">
              <w:rPr>
                <w:rFonts w:ascii="Times New Roman" w:hAnsi="Times New Roman" w:cs="Times New Roman"/>
                <w:sz w:val="24"/>
                <w:szCs w:val="24"/>
              </w:rPr>
              <w:t>6</w:t>
            </w:r>
            <w:r w:rsidRPr="00C37701">
              <w:rPr>
                <w:rFonts w:ascii="Times New Roman" w:hAnsi="Times New Roman" w:cs="Times New Roman"/>
                <w:sz w:val="24"/>
                <w:szCs w:val="24"/>
              </w:rPr>
              <w:t>%.</w:t>
            </w:r>
          </w:p>
        </w:tc>
      </w:tr>
      <w:tr w:rsidR="002534C2" w:rsidRPr="00C37701" w14:paraId="7E2830FE" w14:textId="77777777" w:rsidTr="00530BDE">
        <w:tc>
          <w:tcPr>
            <w:tcW w:w="10083" w:type="dxa"/>
            <w:gridSpan w:val="6"/>
          </w:tcPr>
          <w:p w14:paraId="1BE36862" w14:textId="77777777" w:rsidR="002534C2" w:rsidRPr="00C37701" w:rsidRDefault="002534C2" w:rsidP="00C37701">
            <w:pPr>
              <w:contextualSpacing/>
              <w:jc w:val="center"/>
              <w:rPr>
                <w:rFonts w:ascii="Times New Roman" w:hAnsi="Times New Roman" w:cs="Times New Roman"/>
                <w:b/>
                <w:sz w:val="24"/>
                <w:szCs w:val="24"/>
              </w:rPr>
            </w:pPr>
            <w:r w:rsidRPr="00C37701">
              <w:rPr>
                <w:rFonts w:ascii="Times New Roman" w:hAnsi="Times New Roman" w:cs="Times New Roman"/>
                <w:b/>
                <w:sz w:val="24"/>
                <w:szCs w:val="24"/>
              </w:rPr>
              <w:lastRenderedPageBreak/>
              <w:t xml:space="preserve">Цель 1.2. </w:t>
            </w:r>
            <w:r w:rsidRPr="00C37701">
              <w:rPr>
                <w:rFonts w:ascii="Times New Roman" w:hAnsi="Times New Roman" w:cs="Times New Roman"/>
                <w:sz w:val="24"/>
                <w:szCs w:val="24"/>
              </w:rPr>
              <w:t>Обеспечение сохранности золотовалютных активов Национального Банка</w:t>
            </w:r>
          </w:p>
        </w:tc>
      </w:tr>
      <w:tr w:rsidR="002534C2" w:rsidRPr="00C37701" w14:paraId="48C381E1" w14:textId="77777777" w:rsidTr="00530BDE">
        <w:tc>
          <w:tcPr>
            <w:tcW w:w="2370" w:type="dxa"/>
          </w:tcPr>
          <w:p w14:paraId="66EC85B8"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b/>
                <w:sz w:val="24"/>
                <w:szCs w:val="24"/>
              </w:rPr>
              <w:t>Целевой индикатор</w:t>
            </w:r>
          </w:p>
        </w:tc>
        <w:tc>
          <w:tcPr>
            <w:tcW w:w="1610" w:type="dxa"/>
          </w:tcPr>
          <w:p w14:paraId="1AD2D104" w14:textId="77777777" w:rsidR="002534C2" w:rsidRPr="00C37701" w:rsidRDefault="002534C2" w:rsidP="0097449D">
            <w:pPr>
              <w:keepNext/>
              <w:keepLines/>
              <w:contextualSpacing/>
              <w:jc w:val="both"/>
              <w:outlineLvl w:val="2"/>
              <w:rPr>
                <w:rFonts w:ascii="Times New Roman" w:hAnsi="Times New Roman" w:cs="Times New Roman"/>
                <w:sz w:val="24"/>
                <w:szCs w:val="24"/>
              </w:rPr>
            </w:pPr>
          </w:p>
        </w:tc>
        <w:tc>
          <w:tcPr>
            <w:tcW w:w="1592" w:type="dxa"/>
          </w:tcPr>
          <w:p w14:paraId="24A952E2" w14:textId="77777777" w:rsidR="002534C2" w:rsidRPr="00C37701" w:rsidRDefault="002534C2" w:rsidP="0097449D">
            <w:pPr>
              <w:contextualSpacing/>
              <w:jc w:val="both"/>
              <w:rPr>
                <w:rFonts w:ascii="Times New Roman" w:hAnsi="Times New Roman" w:cs="Times New Roman"/>
                <w:sz w:val="24"/>
                <w:szCs w:val="24"/>
              </w:rPr>
            </w:pPr>
          </w:p>
        </w:tc>
        <w:tc>
          <w:tcPr>
            <w:tcW w:w="952" w:type="dxa"/>
          </w:tcPr>
          <w:p w14:paraId="0EDD6612" w14:textId="77777777" w:rsidR="002534C2" w:rsidRPr="00C37701" w:rsidRDefault="002534C2" w:rsidP="0097449D">
            <w:pPr>
              <w:contextualSpacing/>
              <w:jc w:val="both"/>
              <w:rPr>
                <w:rFonts w:ascii="Times New Roman" w:hAnsi="Times New Roman" w:cs="Times New Roman"/>
                <w:sz w:val="24"/>
                <w:szCs w:val="24"/>
              </w:rPr>
            </w:pPr>
          </w:p>
        </w:tc>
        <w:tc>
          <w:tcPr>
            <w:tcW w:w="1551" w:type="dxa"/>
          </w:tcPr>
          <w:p w14:paraId="5EA17C55" w14:textId="77777777" w:rsidR="002534C2" w:rsidRPr="00C37701" w:rsidRDefault="002534C2" w:rsidP="0097449D">
            <w:pPr>
              <w:contextualSpacing/>
              <w:jc w:val="both"/>
              <w:rPr>
                <w:rFonts w:ascii="Times New Roman" w:hAnsi="Times New Roman" w:cs="Times New Roman"/>
                <w:sz w:val="24"/>
                <w:szCs w:val="24"/>
              </w:rPr>
            </w:pPr>
          </w:p>
        </w:tc>
        <w:tc>
          <w:tcPr>
            <w:tcW w:w="2008" w:type="dxa"/>
          </w:tcPr>
          <w:p w14:paraId="742BA0C4" w14:textId="77777777" w:rsidR="002534C2" w:rsidRPr="00C37701" w:rsidRDefault="002534C2" w:rsidP="0097449D">
            <w:pPr>
              <w:contextualSpacing/>
              <w:jc w:val="both"/>
              <w:rPr>
                <w:rFonts w:ascii="Times New Roman" w:hAnsi="Times New Roman" w:cs="Times New Roman"/>
                <w:b/>
                <w:sz w:val="24"/>
                <w:szCs w:val="24"/>
              </w:rPr>
            </w:pPr>
          </w:p>
        </w:tc>
      </w:tr>
      <w:tr w:rsidR="002534C2" w:rsidRPr="00C37701" w14:paraId="1B52F65A" w14:textId="77777777" w:rsidTr="00530BDE">
        <w:tc>
          <w:tcPr>
            <w:tcW w:w="2370" w:type="dxa"/>
          </w:tcPr>
          <w:p w14:paraId="0F5A6630" w14:textId="77777777" w:rsidR="002534C2" w:rsidRPr="00C37701" w:rsidRDefault="002534C2" w:rsidP="0097449D">
            <w:pPr>
              <w:contextualSpacing/>
              <w:jc w:val="both"/>
              <w:rPr>
                <w:rFonts w:ascii="Times New Roman" w:hAnsi="Times New Roman" w:cs="Times New Roman"/>
                <w:b/>
                <w:sz w:val="24"/>
                <w:szCs w:val="24"/>
              </w:rPr>
            </w:pPr>
            <w:r w:rsidRPr="00C37701">
              <w:rPr>
                <w:rFonts w:ascii="Times New Roman" w:hAnsi="Times New Roman" w:cs="Times New Roman"/>
                <w:sz w:val="24"/>
                <w:szCs w:val="24"/>
              </w:rPr>
              <w:t>Объем золотовалютных резервов Национального Банка</w:t>
            </w:r>
          </w:p>
        </w:tc>
        <w:tc>
          <w:tcPr>
            <w:tcW w:w="1610" w:type="dxa"/>
          </w:tcPr>
          <w:p w14:paraId="1A0F03ED"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НБРК</w:t>
            </w:r>
          </w:p>
        </w:tc>
        <w:tc>
          <w:tcPr>
            <w:tcW w:w="1592" w:type="dxa"/>
          </w:tcPr>
          <w:p w14:paraId="4D164F52"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Покрытие объема трех месяцев импорта товаров и услуг («1» покрывает, «0» не покрывает)</w:t>
            </w:r>
            <w:r w:rsidRPr="00C37701">
              <w:rPr>
                <w:rStyle w:val="a9"/>
                <w:rFonts w:ascii="Times New Roman" w:hAnsi="Times New Roman" w:cs="Times New Roman"/>
                <w:sz w:val="24"/>
                <w:szCs w:val="24"/>
              </w:rPr>
              <w:footnoteReference w:id="1"/>
            </w:r>
          </w:p>
        </w:tc>
        <w:tc>
          <w:tcPr>
            <w:tcW w:w="952" w:type="dxa"/>
          </w:tcPr>
          <w:p w14:paraId="6BEDEDC7"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1</w:t>
            </w:r>
          </w:p>
          <w:p w14:paraId="21C7E833"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p>
        </w:tc>
        <w:tc>
          <w:tcPr>
            <w:tcW w:w="1551" w:type="dxa"/>
          </w:tcPr>
          <w:p w14:paraId="0D23BE94" w14:textId="77777777" w:rsidR="002534C2" w:rsidRPr="00C37701" w:rsidRDefault="00982486"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1</w:t>
            </w:r>
          </w:p>
        </w:tc>
        <w:tc>
          <w:tcPr>
            <w:tcW w:w="2008" w:type="dxa"/>
          </w:tcPr>
          <w:p w14:paraId="2F52E346" w14:textId="77777777" w:rsidR="00D941F4" w:rsidRPr="00C37701" w:rsidRDefault="00D941F4"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Исполнено</w:t>
            </w:r>
          </w:p>
          <w:p w14:paraId="19E5AE0D" w14:textId="77777777" w:rsidR="002534C2" w:rsidRPr="00C37701" w:rsidRDefault="00982486"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tc>
      </w:tr>
      <w:tr w:rsidR="002534C2" w:rsidRPr="00C37701" w14:paraId="158073C3" w14:textId="77777777" w:rsidTr="00530BDE">
        <w:tc>
          <w:tcPr>
            <w:tcW w:w="10083" w:type="dxa"/>
            <w:gridSpan w:val="6"/>
          </w:tcPr>
          <w:p w14:paraId="58C19510" w14:textId="77777777" w:rsidR="002534C2" w:rsidRPr="00C37701" w:rsidRDefault="002534C2" w:rsidP="00C37701">
            <w:pPr>
              <w:contextualSpacing/>
              <w:jc w:val="center"/>
              <w:rPr>
                <w:rFonts w:ascii="Times New Roman" w:hAnsi="Times New Roman" w:cs="Times New Roman"/>
                <w:b/>
                <w:sz w:val="24"/>
                <w:szCs w:val="24"/>
              </w:rPr>
            </w:pPr>
            <w:r w:rsidRPr="00C37701">
              <w:rPr>
                <w:rFonts w:ascii="Times New Roman" w:hAnsi="Times New Roman" w:cs="Times New Roman"/>
                <w:b/>
                <w:sz w:val="24"/>
                <w:szCs w:val="24"/>
              </w:rPr>
              <w:t xml:space="preserve">Стратегическое направление 2. </w:t>
            </w:r>
            <w:r w:rsidRPr="00C37701">
              <w:rPr>
                <w:rFonts w:ascii="Times New Roman" w:hAnsi="Times New Roman" w:cs="Times New Roman"/>
                <w:sz w:val="24"/>
                <w:szCs w:val="24"/>
              </w:rPr>
              <w:t>Обеспечение финансовой стабильности</w:t>
            </w:r>
          </w:p>
        </w:tc>
      </w:tr>
      <w:tr w:rsidR="002534C2" w:rsidRPr="00C37701" w14:paraId="36B8351D" w14:textId="77777777" w:rsidTr="00530BDE">
        <w:tc>
          <w:tcPr>
            <w:tcW w:w="10083" w:type="dxa"/>
            <w:gridSpan w:val="6"/>
          </w:tcPr>
          <w:p w14:paraId="7BE5B75C" w14:textId="77777777" w:rsidR="002534C2" w:rsidRPr="00C37701" w:rsidRDefault="002534C2" w:rsidP="00C37701">
            <w:pPr>
              <w:contextualSpacing/>
              <w:jc w:val="center"/>
              <w:rPr>
                <w:rFonts w:ascii="Times New Roman" w:hAnsi="Times New Roman" w:cs="Times New Roman"/>
                <w:b/>
                <w:sz w:val="24"/>
                <w:szCs w:val="24"/>
              </w:rPr>
            </w:pPr>
            <w:r w:rsidRPr="00C37701">
              <w:rPr>
                <w:rFonts w:ascii="Times New Roman" w:hAnsi="Times New Roman" w:cs="Times New Roman"/>
                <w:b/>
                <w:sz w:val="24"/>
                <w:szCs w:val="24"/>
              </w:rPr>
              <w:t xml:space="preserve">Цель 2.1. </w:t>
            </w:r>
            <w:r w:rsidRPr="00C37701">
              <w:rPr>
                <w:rFonts w:ascii="Times New Roman" w:hAnsi="Times New Roman" w:cs="Times New Roman"/>
                <w:sz w:val="24"/>
                <w:szCs w:val="24"/>
              </w:rPr>
              <w:t>Повышение финансовой устойчивости и конкурентоспособности банковского сектора</w:t>
            </w:r>
          </w:p>
        </w:tc>
      </w:tr>
      <w:tr w:rsidR="002534C2" w:rsidRPr="00C37701" w14:paraId="75DAABA6" w14:textId="77777777" w:rsidTr="00530BDE">
        <w:tc>
          <w:tcPr>
            <w:tcW w:w="2370" w:type="dxa"/>
          </w:tcPr>
          <w:p w14:paraId="53DA7A91"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b/>
                <w:sz w:val="24"/>
                <w:szCs w:val="24"/>
              </w:rPr>
              <w:t>Целевой индикатор 1</w:t>
            </w:r>
          </w:p>
        </w:tc>
        <w:tc>
          <w:tcPr>
            <w:tcW w:w="1610" w:type="dxa"/>
          </w:tcPr>
          <w:p w14:paraId="7F9CEF21"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p>
        </w:tc>
        <w:tc>
          <w:tcPr>
            <w:tcW w:w="1592" w:type="dxa"/>
          </w:tcPr>
          <w:p w14:paraId="428EB8C1"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p>
        </w:tc>
        <w:tc>
          <w:tcPr>
            <w:tcW w:w="952" w:type="dxa"/>
          </w:tcPr>
          <w:p w14:paraId="78529003"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p>
        </w:tc>
        <w:tc>
          <w:tcPr>
            <w:tcW w:w="1551" w:type="dxa"/>
          </w:tcPr>
          <w:p w14:paraId="126BC35F"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p>
        </w:tc>
        <w:tc>
          <w:tcPr>
            <w:tcW w:w="2008" w:type="dxa"/>
          </w:tcPr>
          <w:p w14:paraId="4B32C5CA" w14:textId="77777777" w:rsidR="002534C2" w:rsidRPr="00C37701" w:rsidRDefault="002534C2" w:rsidP="0097449D">
            <w:pPr>
              <w:contextualSpacing/>
              <w:jc w:val="both"/>
              <w:rPr>
                <w:rFonts w:ascii="Times New Roman" w:hAnsi="Times New Roman" w:cs="Times New Roman"/>
                <w:b/>
                <w:sz w:val="24"/>
                <w:szCs w:val="24"/>
              </w:rPr>
            </w:pPr>
          </w:p>
        </w:tc>
      </w:tr>
      <w:tr w:rsidR="002534C2" w:rsidRPr="00C37701" w14:paraId="246C47AE" w14:textId="77777777" w:rsidTr="00530BDE">
        <w:tc>
          <w:tcPr>
            <w:tcW w:w="2370" w:type="dxa"/>
          </w:tcPr>
          <w:p w14:paraId="60F7F444"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iCs/>
                <w:sz w:val="24"/>
                <w:szCs w:val="24"/>
              </w:rPr>
              <w:t>Надежность банков</w:t>
            </w:r>
          </w:p>
        </w:tc>
        <w:tc>
          <w:tcPr>
            <w:tcW w:w="1610" w:type="dxa"/>
          </w:tcPr>
          <w:p w14:paraId="2362C360"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Отчет ГИК ВЭФ</w:t>
            </w:r>
          </w:p>
        </w:tc>
        <w:tc>
          <w:tcPr>
            <w:tcW w:w="1592" w:type="dxa"/>
          </w:tcPr>
          <w:p w14:paraId="1EEDF838"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Место в рейтинге ГИК ВЭФ</w:t>
            </w:r>
          </w:p>
        </w:tc>
        <w:tc>
          <w:tcPr>
            <w:tcW w:w="952" w:type="dxa"/>
          </w:tcPr>
          <w:p w14:paraId="2A58349E" w14:textId="77777777" w:rsidR="002534C2" w:rsidRPr="00C37701" w:rsidRDefault="00DA3614"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98</w:t>
            </w:r>
          </w:p>
        </w:tc>
        <w:tc>
          <w:tcPr>
            <w:tcW w:w="1551" w:type="dxa"/>
          </w:tcPr>
          <w:p w14:paraId="14E754B0" w14:textId="77777777" w:rsidR="002534C2" w:rsidRPr="00C37701" w:rsidRDefault="00721550"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1</w:t>
            </w:r>
            <w:r w:rsidR="00DA3614" w:rsidRPr="00C37701">
              <w:rPr>
                <w:rFonts w:ascii="Times New Roman" w:hAnsi="Times New Roman" w:cs="Times New Roman"/>
                <w:sz w:val="24"/>
                <w:szCs w:val="24"/>
              </w:rPr>
              <w:t>21</w:t>
            </w:r>
          </w:p>
        </w:tc>
        <w:tc>
          <w:tcPr>
            <w:tcW w:w="2008" w:type="dxa"/>
          </w:tcPr>
          <w:p w14:paraId="09A89BC3" w14:textId="77777777" w:rsidR="002534C2" w:rsidRPr="00C37701" w:rsidRDefault="00721550"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tc>
      </w:tr>
      <w:tr w:rsidR="002534C2" w:rsidRPr="00C37701" w14:paraId="3FB97E5D" w14:textId="77777777" w:rsidTr="00530BDE">
        <w:tc>
          <w:tcPr>
            <w:tcW w:w="2370" w:type="dxa"/>
          </w:tcPr>
          <w:p w14:paraId="6906AEC2" w14:textId="77777777" w:rsidR="002534C2" w:rsidRPr="00C37701" w:rsidRDefault="002534C2" w:rsidP="0097449D">
            <w:pPr>
              <w:contextualSpacing/>
              <w:jc w:val="both"/>
              <w:rPr>
                <w:rFonts w:ascii="Times New Roman" w:hAnsi="Times New Roman" w:cs="Times New Roman"/>
                <w:iCs/>
                <w:sz w:val="24"/>
                <w:szCs w:val="24"/>
              </w:rPr>
            </w:pPr>
            <w:r w:rsidRPr="00C37701">
              <w:rPr>
                <w:rFonts w:ascii="Times New Roman" w:hAnsi="Times New Roman" w:cs="Times New Roman"/>
                <w:b/>
                <w:sz w:val="24"/>
                <w:szCs w:val="24"/>
              </w:rPr>
              <w:t>Целевой индикатор 2</w:t>
            </w:r>
          </w:p>
        </w:tc>
        <w:tc>
          <w:tcPr>
            <w:tcW w:w="1610" w:type="dxa"/>
          </w:tcPr>
          <w:p w14:paraId="406B2C6E" w14:textId="77777777" w:rsidR="002534C2" w:rsidRPr="00C37701" w:rsidRDefault="002534C2" w:rsidP="0097449D">
            <w:pPr>
              <w:contextualSpacing/>
              <w:jc w:val="both"/>
              <w:rPr>
                <w:rFonts w:ascii="Times New Roman" w:hAnsi="Times New Roman" w:cs="Times New Roman"/>
                <w:sz w:val="24"/>
                <w:szCs w:val="24"/>
              </w:rPr>
            </w:pPr>
          </w:p>
        </w:tc>
        <w:tc>
          <w:tcPr>
            <w:tcW w:w="1592" w:type="dxa"/>
          </w:tcPr>
          <w:p w14:paraId="6A945DA3"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p>
        </w:tc>
        <w:tc>
          <w:tcPr>
            <w:tcW w:w="952" w:type="dxa"/>
          </w:tcPr>
          <w:p w14:paraId="58D922B6"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p>
        </w:tc>
        <w:tc>
          <w:tcPr>
            <w:tcW w:w="1551" w:type="dxa"/>
          </w:tcPr>
          <w:p w14:paraId="1D157A8F"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p>
        </w:tc>
        <w:tc>
          <w:tcPr>
            <w:tcW w:w="2008" w:type="dxa"/>
          </w:tcPr>
          <w:p w14:paraId="5C0B7CA4" w14:textId="77777777" w:rsidR="002534C2" w:rsidRPr="00C37701" w:rsidRDefault="002534C2" w:rsidP="0097449D">
            <w:pPr>
              <w:contextualSpacing/>
              <w:jc w:val="both"/>
              <w:rPr>
                <w:rFonts w:ascii="Times New Roman" w:hAnsi="Times New Roman" w:cs="Times New Roman"/>
                <w:b/>
                <w:sz w:val="24"/>
                <w:szCs w:val="24"/>
              </w:rPr>
            </w:pPr>
          </w:p>
        </w:tc>
      </w:tr>
      <w:tr w:rsidR="002534C2" w:rsidRPr="00C37701" w14:paraId="717026FF" w14:textId="77777777" w:rsidTr="00530BDE">
        <w:tc>
          <w:tcPr>
            <w:tcW w:w="2370" w:type="dxa"/>
          </w:tcPr>
          <w:p w14:paraId="4A318702" w14:textId="77777777" w:rsidR="002534C2" w:rsidRPr="00C37701" w:rsidRDefault="002534C2" w:rsidP="0097449D">
            <w:pPr>
              <w:contextualSpacing/>
              <w:jc w:val="both"/>
              <w:rPr>
                <w:rFonts w:ascii="Times New Roman" w:hAnsi="Times New Roman" w:cs="Times New Roman"/>
                <w:iCs/>
                <w:sz w:val="24"/>
                <w:szCs w:val="24"/>
              </w:rPr>
            </w:pPr>
            <w:r w:rsidRPr="00C37701">
              <w:rPr>
                <w:rFonts w:ascii="Times New Roman" w:hAnsi="Times New Roman" w:cs="Times New Roman"/>
                <w:iCs/>
                <w:sz w:val="24"/>
                <w:szCs w:val="24"/>
              </w:rPr>
              <w:t>Объем ссудного портфеля</w:t>
            </w:r>
          </w:p>
        </w:tc>
        <w:tc>
          <w:tcPr>
            <w:tcW w:w="1610" w:type="dxa"/>
          </w:tcPr>
          <w:p w14:paraId="69152DAB"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НБРК</w:t>
            </w:r>
          </w:p>
        </w:tc>
        <w:tc>
          <w:tcPr>
            <w:tcW w:w="1592" w:type="dxa"/>
          </w:tcPr>
          <w:p w14:paraId="6C85E012"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 от ВВП</w:t>
            </w:r>
          </w:p>
        </w:tc>
        <w:tc>
          <w:tcPr>
            <w:tcW w:w="952" w:type="dxa"/>
          </w:tcPr>
          <w:p w14:paraId="66F20268" w14:textId="77777777" w:rsidR="002534C2" w:rsidRPr="00C37701" w:rsidRDefault="00701994"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28</w:t>
            </w:r>
          </w:p>
        </w:tc>
        <w:tc>
          <w:tcPr>
            <w:tcW w:w="1551" w:type="dxa"/>
          </w:tcPr>
          <w:p w14:paraId="6D5330F6" w14:textId="32252653" w:rsidR="002534C2" w:rsidRPr="00C37701" w:rsidRDefault="00C02AFD" w:rsidP="0097449D">
            <w:pPr>
              <w:keepNext/>
              <w:keepLines/>
              <w:tabs>
                <w:tab w:val="left" w:pos="900"/>
                <w:tab w:val="left" w:pos="1080"/>
              </w:tabs>
              <w:contextualSpacing/>
              <w:jc w:val="both"/>
              <w:rPr>
                <w:rFonts w:ascii="Times New Roman" w:hAnsi="Times New Roman" w:cs="Times New Roman"/>
                <w:sz w:val="24"/>
                <w:szCs w:val="24"/>
              </w:rPr>
            </w:pPr>
            <w:r>
              <w:rPr>
                <w:rFonts w:ascii="Times New Roman" w:hAnsi="Times New Roman" w:cs="Times New Roman"/>
                <w:sz w:val="24"/>
                <w:szCs w:val="24"/>
              </w:rPr>
              <w:t xml:space="preserve"> 21,8</w:t>
            </w:r>
          </w:p>
        </w:tc>
        <w:tc>
          <w:tcPr>
            <w:tcW w:w="2008" w:type="dxa"/>
          </w:tcPr>
          <w:p w14:paraId="2B8A3DC3" w14:textId="77777777" w:rsidR="002534C2" w:rsidRPr="00C37701" w:rsidRDefault="00701994"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tc>
      </w:tr>
      <w:tr w:rsidR="002534C2" w:rsidRPr="00C37701" w14:paraId="2A16B316" w14:textId="77777777" w:rsidTr="00530BDE">
        <w:tc>
          <w:tcPr>
            <w:tcW w:w="2370" w:type="dxa"/>
          </w:tcPr>
          <w:p w14:paraId="7694F793" w14:textId="77777777" w:rsidR="002534C2" w:rsidRPr="00C37701" w:rsidRDefault="002534C2" w:rsidP="0097449D">
            <w:pPr>
              <w:contextualSpacing/>
              <w:jc w:val="both"/>
              <w:rPr>
                <w:rFonts w:ascii="Times New Roman" w:hAnsi="Times New Roman" w:cs="Times New Roman"/>
                <w:iCs/>
                <w:sz w:val="24"/>
                <w:szCs w:val="24"/>
              </w:rPr>
            </w:pPr>
            <w:r w:rsidRPr="00C37701">
              <w:rPr>
                <w:rFonts w:ascii="Times New Roman" w:hAnsi="Times New Roman" w:cs="Times New Roman"/>
                <w:b/>
                <w:sz w:val="24"/>
                <w:szCs w:val="24"/>
              </w:rPr>
              <w:t>Целевой индикатор 3</w:t>
            </w:r>
          </w:p>
        </w:tc>
        <w:tc>
          <w:tcPr>
            <w:tcW w:w="1610" w:type="dxa"/>
          </w:tcPr>
          <w:p w14:paraId="4BEAB4D1" w14:textId="77777777" w:rsidR="002534C2" w:rsidRPr="00C37701" w:rsidRDefault="002534C2" w:rsidP="0097449D">
            <w:pPr>
              <w:contextualSpacing/>
              <w:jc w:val="both"/>
              <w:rPr>
                <w:rFonts w:ascii="Times New Roman" w:hAnsi="Times New Roman" w:cs="Times New Roman"/>
                <w:sz w:val="24"/>
                <w:szCs w:val="24"/>
              </w:rPr>
            </w:pPr>
          </w:p>
        </w:tc>
        <w:tc>
          <w:tcPr>
            <w:tcW w:w="1592" w:type="dxa"/>
          </w:tcPr>
          <w:p w14:paraId="06279DDB"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p>
        </w:tc>
        <w:tc>
          <w:tcPr>
            <w:tcW w:w="952" w:type="dxa"/>
          </w:tcPr>
          <w:p w14:paraId="38DF8B90"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p>
        </w:tc>
        <w:tc>
          <w:tcPr>
            <w:tcW w:w="1551" w:type="dxa"/>
          </w:tcPr>
          <w:p w14:paraId="72F9E535"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p>
        </w:tc>
        <w:tc>
          <w:tcPr>
            <w:tcW w:w="2008" w:type="dxa"/>
          </w:tcPr>
          <w:p w14:paraId="77DB108C" w14:textId="77777777" w:rsidR="002534C2" w:rsidRPr="00C37701" w:rsidRDefault="002534C2" w:rsidP="0097449D">
            <w:pPr>
              <w:contextualSpacing/>
              <w:jc w:val="both"/>
              <w:rPr>
                <w:rFonts w:ascii="Times New Roman" w:hAnsi="Times New Roman" w:cs="Times New Roman"/>
                <w:b/>
                <w:sz w:val="24"/>
                <w:szCs w:val="24"/>
              </w:rPr>
            </w:pPr>
          </w:p>
        </w:tc>
      </w:tr>
      <w:tr w:rsidR="002534C2" w:rsidRPr="00C37701" w14:paraId="0136672F" w14:textId="77777777" w:rsidTr="00530BDE">
        <w:tc>
          <w:tcPr>
            <w:tcW w:w="2370" w:type="dxa"/>
          </w:tcPr>
          <w:p w14:paraId="43E11FF2" w14:textId="77777777" w:rsidR="002534C2" w:rsidRPr="00C37701" w:rsidRDefault="002534C2" w:rsidP="0097449D">
            <w:pPr>
              <w:contextualSpacing/>
              <w:jc w:val="both"/>
              <w:rPr>
                <w:rFonts w:ascii="Times New Roman" w:hAnsi="Times New Roman" w:cs="Times New Roman"/>
                <w:iCs/>
                <w:sz w:val="24"/>
                <w:szCs w:val="24"/>
              </w:rPr>
            </w:pPr>
            <w:r w:rsidRPr="00C37701">
              <w:rPr>
                <w:rFonts w:ascii="Times New Roman" w:hAnsi="Times New Roman" w:cs="Times New Roman"/>
                <w:iCs/>
                <w:sz w:val="24"/>
                <w:szCs w:val="24"/>
              </w:rPr>
              <w:t>Доля неработающих займов в ссудном портфеле банков</w:t>
            </w:r>
          </w:p>
        </w:tc>
        <w:tc>
          <w:tcPr>
            <w:tcW w:w="1610" w:type="dxa"/>
          </w:tcPr>
          <w:p w14:paraId="2E934F4C"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НБРК</w:t>
            </w:r>
          </w:p>
        </w:tc>
        <w:tc>
          <w:tcPr>
            <w:tcW w:w="1592" w:type="dxa"/>
          </w:tcPr>
          <w:p w14:paraId="6455DBEB"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w:t>
            </w:r>
          </w:p>
        </w:tc>
        <w:tc>
          <w:tcPr>
            <w:tcW w:w="952" w:type="dxa"/>
          </w:tcPr>
          <w:p w14:paraId="4CE2A0E2"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10</w:t>
            </w:r>
          </w:p>
        </w:tc>
        <w:tc>
          <w:tcPr>
            <w:tcW w:w="1551" w:type="dxa"/>
          </w:tcPr>
          <w:p w14:paraId="2D42E820" w14:textId="77777777" w:rsidR="000C2504" w:rsidRPr="00C37701" w:rsidRDefault="00701994"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8,2</w:t>
            </w:r>
          </w:p>
          <w:p w14:paraId="7ACFEE49"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p>
        </w:tc>
        <w:tc>
          <w:tcPr>
            <w:tcW w:w="2008" w:type="dxa"/>
          </w:tcPr>
          <w:p w14:paraId="15F55E7C" w14:textId="77777777" w:rsidR="002534C2" w:rsidRPr="00C37701" w:rsidRDefault="002534C2" w:rsidP="0097449D">
            <w:pPr>
              <w:contextualSpacing/>
              <w:jc w:val="both"/>
              <w:rPr>
                <w:rFonts w:ascii="Times New Roman" w:hAnsi="Times New Roman" w:cs="Times New Roman"/>
                <w:b/>
                <w:sz w:val="24"/>
                <w:szCs w:val="24"/>
              </w:rPr>
            </w:pPr>
          </w:p>
        </w:tc>
      </w:tr>
      <w:tr w:rsidR="002534C2" w:rsidRPr="00C37701" w14:paraId="744D60F9" w14:textId="77777777" w:rsidTr="00530BDE">
        <w:tc>
          <w:tcPr>
            <w:tcW w:w="2370" w:type="dxa"/>
          </w:tcPr>
          <w:p w14:paraId="1F212907" w14:textId="77777777" w:rsidR="002534C2" w:rsidRPr="00C37701" w:rsidRDefault="002534C2" w:rsidP="0097449D">
            <w:pPr>
              <w:contextualSpacing/>
              <w:jc w:val="both"/>
              <w:rPr>
                <w:rFonts w:ascii="Times New Roman" w:hAnsi="Times New Roman" w:cs="Times New Roman"/>
                <w:iCs/>
                <w:sz w:val="24"/>
                <w:szCs w:val="24"/>
              </w:rPr>
            </w:pPr>
            <w:r w:rsidRPr="00C37701">
              <w:rPr>
                <w:rFonts w:ascii="Times New Roman" w:hAnsi="Times New Roman" w:cs="Times New Roman"/>
                <w:b/>
                <w:sz w:val="24"/>
                <w:szCs w:val="24"/>
              </w:rPr>
              <w:t>Целевой индикатор 4</w:t>
            </w:r>
          </w:p>
        </w:tc>
        <w:tc>
          <w:tcPr>
            <w:tcW w:w="1610" w:type="dxa"/>
          </w:tcPr>
          <w:p w14:paraId="562FB8CD" w14:textId="77777777" w:rsidR="002534C2" w:rsidRPr="00C37701" w:rsidRDefault="002534C2" w:rsidP="0097449D">
            <w:pPr>
              <w:contextualSpacing/>
              <w:jc w:val="both"/>
              <w:rPr>
                <w:rFonts w:ascii="Times New Roman" w:hAnsi="Times New Roman" w:cs="Times New Roman"/>
                <w:sz w:val="24"/>
                <w:szCs w:val="24"/>
              </w:rPr>
            </w:pPr>
          </w:p>
        </w:tc>
        <w:tc>
          <w:tcPr>
            <w:tcW w:w="1592" w:type="dxa"/>
          </w:tcPr>
          <w:p w14:paraId="7FD16BD8"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p>
        </w:tc>
        <w:tc>
          <w:tcPr>
            <w:tcW w:w="952" w:type="dxa"/>
          </w:tcPr>
          <w:p w14:paraId="20233E0C"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p>
        </w:tc>
        <w:tc>
          <w:tcPr>
            <w:tcW w:w="1551" w:type="dxa"/>
          </w:tcPr>
          <w:p w14:paraId="03102083"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p>
        </w:tc>
        <w:tc>
          <w:tcPr>
            <w:tcW w:w="2008" w:type="dxa"/>
          </w:tcPr>
          <w:p w14:paraId="1CBC0660" w14:textId="77777777" w:rsidR="002534C2" w:rsidRPr="00C37701" w:rsidRDefault="002534C2" w:rsidP="0097449D">
            <w:pPr>
              <w:contextualSpacing/>
              <w:jc w:val="both"/>
              <w:rPr>
                <w:rFonts w:ascii="Times New Roman" w:hAnsi="Times New Roman" w:cs="Times New Roman"/>
                <w:sz w:val="24"/>
                <w:szCs w:val="24"/>
              </w:rPr>
            </w:pPr>
          </w:p>
        </w:tc>
      </w:tr>
      <w:tr w:rsidR="002534C2" w:rsidRPr="00C37701" w14:paraId="370B49BD" w14:textId="77777777" w:rsidTr="00530BDE">
        <w:tc>
          <w:tcPr>
            <w:tcW w:w="2370" w:type="dxa"/>
          </w:tcPr>
          <w:p w14:paraId="578E27F7"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Доступность финансовых услуг</w:t>
            </w:r>
          </w:p>
        </w:tc>
        <w:tc>
          <w:tcPr>
            <w:tcW w:w="1610" w:type="dxa"/>
          </w:tcPr>
          <w:p w14:paraId="03A02426"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Отчет ГИК ВЭФ</w:t>
            </w:r>
          </w:p>
        </w:tc>
        <w:tc>
          <w:tcPr>
            <w:tcW w:w="1592" w:type="dxa"/>
          </w:tcPr>
          <w:p w14:paraId="31976B1F"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Место в рейтинге ГИК ВЭФ</w:t>
            </w:r>
          </w:p>
        </w:tc>
        <w:tc>
          <w:tcPr>
            <w:tcW w:w="952" w:type="dxa"/>
          </w:tcPr>
          <w:p w14:paraId="18F54946" w14:textId="77777777" w:rsidR="002534C2" w:rsidRPr="00C37701" w:rsidRDefault="00701994"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61</w:t>
            </w:r>
          </w:p>
        </w:tc>
        <w:tc>
          <w:tcPr>
            <w:tcW w:w="1551" w:type="dxa"/>
          </w:tcPr>
          <w:p w14:paraId="1508C113" w14:textId="77777777" w:rsidR="002534C2" w:rsidRPr="00C37701" w:rsidRDefault="00E120B8"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w:t>
            </w:r>
          </w:p>
        </w:tc>
        <w:tc>
          <w:tcPr>
            <w:tcW w:w="2008" w:type="dxa"/>
          </w:tcPr>
          <w:p w14:paraId="0BE3A3B0" w14:textId="77777777" w:rsidR="002534C2" w:rsidRPr="00C37701" w:rsidRDefault="00E120B8"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tc>
      </w:tr>
      <w:tr w:rsidR="002534C2" w:rsidRPr="00C37701" w14:paraId="41D3BD93" w14:textId="77777777" w:rsidTr="00530BDE">
        <w:tc>
          <w:tcPr>
            <w:tcW w:w="2370" w:type="dxa"/>
          </w:tcPr>
          <w:p w14:paraId="4718B758"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b/>
                <w:sz w:val="24"/>
                <w:szCs w:val="24"/>
              </w:rPr>
              <w:t>Целевой индикатор 5</w:t>
            </w:r>
          </w:p>
        </w:tc>
        <w:tc>
          <w:tcPr>
            <w:tcW w:w="1610" w:type="dxa"/>
          </w:tcPr>
          <w:p w14:paraId="1A3E8316" w14:textId="77777777" w:rsidR="002534C2" w:rsidRPr="00C37701" w:rsidRDefault="002534C2" w:rsidP="0097449D">
            <w:pPr>
              <w:contextualSpacing/>
              <w:jc w:val="both"/>
              <w:rPr>
                <w:rFonts w:ascii="Times New Roman" w:hAnsi="Times New Roman" w:cs="Times New Roman"/>
                <w:sz w:val="24"/>
                <w:szCs w:val="24"/>
              </w:rPr>
            </w:pPr>
          </w:p>
        </w:tc>
        <w:tc>
          <w:tcPr>
            <w:tcW w:w="1592" w:type="dxa"/>
          </w:tcPr>
          <w:p w14:paraId="6B37ADD8" w14:textId="77777777" w:rsidR="002534C2" w:rsidRPr="00C37701" w:rsidRDefault="002534C2" w:rsidP="0097449D">
            <w:pPr>
              <w:contextualSpacing/>
              <w:jc w:val="both"/>
              <w:rPr>
                <w:rFonts w:ascii="Times New Roman" w:hAnsi="Times New Roman" w:cs="Times New Roman"/>
                <w:sz w:val="24"/>
                <w:szCs w:val="24"/>
              </w:rPr>
            </w:pPr>
          </w:p>
        </w:tc>
        <w:tc>
          <w:tcPr>
            <w:tcW w:w="952" w:type="dxa"/>
          </w:tcPr>
          <w:p w14:paraId="521522EA" w14:textId="77777777" w:rsidR="002534C2" w:rsidRPr="00C37701" w:rsidRDefault="002534C2" w:rsidP="0097449D">
            <w:pPr>
              <w:contextualSpacing/>
              <w:jc w:val="both"/>
              <w:rPr>
                <w:rFonts w:ascii="Times New Roman" w:hAnsi="Times New Roman" w:cs="Times New Roman"/>
                <w:sz w:val="24"/>
                <w:szCs w:val="24"/>
              </w:rPr>
            </w:pPr>
          </w:p>
        </w:tc>
        <w:tc>
          <w:tcPr>
            <w:tcW w:w="1551" w:type="dxa"/>
          </w:tcPr>
          <w:p w14:paraId="0FE95722" w14:textId="77777777" w:rsidR="002534C2" w:rsidRPr="00C37701" w:rsidRDefault="002534C2" w:rsidP="0097449D">
            <w:pPr>
              <w:contextualSpacing/>
              <w:jc w:val="both"/>
              <w:rPr>
                <w:rFonts w:ascii="Times New Roman" w:hAnsi="Times New Roman" w:cs="Times New Roman"/>
                <w:sz w:val="24"/>
                <w:szCs w:val="24"/>
              </w:rPr>
            </w:pPr>
          </w:p>
        </w:tc>
        <w:tc>
          <w:tcPr>
            <w:tcW w:w="2008" w:type="dxa"/>
          </w:tcPr>
          <w:p w14:paraId="05C06AF4" w14:textId="77777777" w:rsidR="002534C2" w:rsidRPr="00C37701" w:rsidRDefault="002534C2" w:rsidP="0097449D">
            <w:pPr>
              <w:contextualSpacing/>
              <w:jc w:val="both"/>
              <w:rPr>
                <w:rFonts w:ascii="Times New Roman" w:hAnsi="Times New Roman" w:cs="Times New Roman"/>
                <w:sz w:val="24"/>
                <w:szCs w:val="24"/>
              </w:rPr>
            </w:pPr>
          </w:p>
        </w:tc>
      </w:tr>
      <w:tr w:rsidR="002534C2" w:rsidRPr="00C37701" w14:paraId="11188601" w14:textId="77777777" w:rsidTr="00530BDE">
        <w:tc>
          <w:tcPr>
            <w:tcW w:w="2370" w:type="dxa"/>
          </w:tcPr>
          <w:p w14:paraId="731C8D50"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Стоимость финансовых услуг</w:t>
            </w:r>
          </w:p>
        </w:tc>
        <w:tc>
          <w:tcPr>
            <w:tcW w:w="1610" w:type="dxa"/>
          </w:tcPr>
          <w:p w14:paraId="296618E5"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Отчет ГИК ВЭФ</w:t>
            </w:r>
          </w:p>
        </w:tc>
        <w:tc>
          <w:tcPr>
            <w:tcW w:w="1592" w:type="dxa"/>
          </w:tcPr>
          <w:p w14:paraId="4CD5D325"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Место в рейтинге ГИК ВЭФ</w:t>
            </w:r>
          </w:p>
        </w:tc>
        <w:tc>
          <w:tcPr>
            <w:tcW w:w="952" w:type="dxa"/>
          </w:tcPr>
          <w:p w14:paraId="421216FF" w14:textId="77777777" w:rsidR="002534C2" w:rsidRPr="00C37701" w:rsidRDefault="00701994"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55</w:t>
            </w:r>
          </w:p>
        </w:tc>
        <w:tc>
          <w:tcPr>
            <w:tcW w:w="1551" w:type="dxa"/>
          </w:tcPr>
          <w:p w14:paraId="4B090556" w14:textId="77777777" w:rsidR="002534C2" w:rsidRPr="00C37701" w:rsidRDefault="00E120B8"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w:t>
            </w:r>
          </w:p>
        </w:tc>
        <w:tc>
          <w:tcPr>
            <w:tcW w:w="2008" w:type="dxa"/>
          </w:tcPr>
          <w:p w14:paraId="341E7FC5" w14:textId="77777777" w:rsidR="002534C2" w:rsidRPr="00C37701" w:rsidRDefault="00E120B8"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tc>
      </w:tr>
      <w:tr w:rsidR="002534C2" w:rsidRPr="00C37701" w14:paraId="46C51B7C" w14:textId="77777777" w:rsidTr="00530BDE">
        <w:tc>
          <w:tcPr>
            <w:tcW w:w="2370" w:type="dxa"/>
          </w:tcPr>
          <w:p w14:paraId="74D99B3E"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b/>
                <w:sz w:val="24"/>
                <w:szCs w:val="24"/>
              </w:rPr>
              <w:t>Целевой индикатор 6</w:t>
            </w:r>
          </w:p>
        </w:tc>
        <w:tc>
          <w:tcPr>
            <w:tcW w:w="1610" w:type="dxa"/>
          </w:tcPr>
          <w:p w14:paraId="5B259348" w14:textId="77777777" w:rsidR="002534C2" w:rsidRPr="00C37701" w:rsidRDefault="002534C2" w:rsidP="0097449D">
            <w:pPr>
              <w:contextualSpacing/>
              <w:jc w:val="both"/>
              <w:rPr>
                <w:rFonts w:ascii="Times New Roman" w:hAnsi="Times New Roman" w:cs="Times New Roman"/>
                <w:sz w:val="24"/>
                <w:szCs w:val="24"/>
              </w:rPr>
            </w:pPr>
          </w:p>
        </w:tc>
        <w:tc>
          <w:tcPr>
            <w:tcW w:w="1592" w:type="dxa"/>
          </w:tcPr>
          <w:p w14:paraId="4B901170" w14:textId="77777777" w:rsidR="002534C2" w:rsidRPr="00C37701" w:rsidRDefault="002534C2" w:rsidP="0097449D">
            <w:pPr>
              <w:contextualSpacing/>
              <w:jc w:val="both"/>
              <w:rPr>
                <w:rFonts w:ascii="Times New Roman" w:hAnsi="Times New Roman" w:cs="Times New Roman"/>
                <w:sz w:val="24"/>
                <w:szCs w:val="24"/>
              </w:rPr>
            </w:pPr>
          </w:p>
        </w:tc>
        <w:tc>
          <w:tcPr>
            <w:tcW w:w="952" w:type="dxa"/>
          </w:tcPr>
          <w:p w14:paraId="70F9DF2F" w14:textId="77777777" w:rsidR="002534C2" w:rsidRPr="00C37701" w:rsidRDefault="002534C2" w:rsidP="0097449D">
            <w:pPr>
              <w:contextualSpacing/>
              <w:jc w:val="both"/>
              <w:rPr>
                <w:rFonts w:ascii="Times New Roman" w:hAnsi="Times New Roman" w:cs="Times New Roman"/>
                <w:sz w:val="24"/>
                <w:szCs w:val="24"/>
              </w:rPr>
            </w:pPr>
          </w:p>
        </w:tc>
        <w:tc>
          <w:tcPr>
            <w:tcW w:w="1551" w:type="dxa"/>
          </w:tcPr>
          <w:p w14:paraId="3CF404B0" w14:textId="77777777" w:rsidR="002534C2" w:rsidRPr="00C37701" w:rsidRDefault="002534C2" w:rsidP="0097449D">
            <w:pPr>
              <w:contextualSpacing/>
              <w:jc w:val="both"/>
              <w:rPr>
                <w:rFonts w:ascii="Times New Roman" w:hAnsi="Times New Roman" w:cs="Times New Roman"/>
                <w:sz w:val="24"/>
                <w:szCs w:val="24"/>
              </w:rPr>
            </w:pPr>
          </w:p>
        </w:tc>
        <w:tc>
          <w:tcPr>
            <w:tcW w:w="2008" w:type="dxa"/>
          </w:tcPr>
          <w:p w14:paraId="78649C17" w14:textId="77777777" w:rsidR="002534C2" w:rsidRPr="00C37701" w:rsidRDefault="002534C2" w:rsidP="0097449D">
            <w:pPr>
              <w:contextualSpacing/>
              <w:jc w:val="both"/>
              <w:rPr>
                <w:rFonts w:ascii="Times New Roman" w:hAnsi="Times New Roman" w:cs="Times New Roman"/>
                <w:sz w:val="24"/>
                <w:szCs w:val="24"/>
              </w:rPr>
            </w:pPr>
          </w:p>
        </w:tc>
      </w:tr>
      <w:tr w:rsidR="002534C2" w:rsidRPr="00C37701" w14:paraId="1BB09E9A" w14:textId="77777777" w:rsidTr="00530BDE">
        <w:tc>
          <w:tcPr>
            <w:tcW w:w="2370" w:type="dxa"/>
          </w:tcPr>
          <w:p w14:paraId="12BC4B14"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Легкость получения заемных средств</w:t>
            </w:r>
          </w:p>
        </w:tc>
        <w:tc>
          <w:tcPr>
            <w:tcW w:w="1610" w:type="dxa"/>
          </w:tcPr>
          <w:p w14:paraId="5C98E860"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Отчет ГИК ВЭФ</w:t>
            </w:r>
          </w:p>
        </w:tc>
        <w:tc>
          <w:tcPr>
            <w:tcW w:w="1592" w:type="dxa"/>
          </w:tcPr>
          <w:p w14:paraId="711787DC"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Место в рейтинге ГИК ВЭФ</w:t>
            </w:r>
          </w:p>
        </w:tc>
        <w:tc>
          <w:tcPr>
            <w:tcW w:w="952" w:type="dxa"/>
          </w:tcPr>
          <w:p w14:paraId="2EC3ECB9" w14:textId="77777777" w:rsidR="002534C2" w:rsidRPr="00C37701" w:rsidRDefault="00701994"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40</w:t>
            </w:r>
          </w:p>
        </w:tc>
        <w:tc>
          <w:tcPr>
            <w:tcW w:w="1551" w:type="dxa"/>
          </w:tcPr>
          <w:p w14:paraId="2D5D3AF7" w14:textId="77777777" w:rsidR="002534C2" w:rsidRPr="00C37701" w:rsidRDefault="00E120B8"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w:t>
            </w:r>
          </w:p>
        </w:tc>
        <w:tc>
          <w:tcPr>
            <w:tcW w:w="2008" w:type="dxa"/>
          </w:tcPr>
          <w:p w14:paraId="6CABF3B0" w14:textId="77777777" w:rsidR="002534C2" w:rsidRPr="00C37701" w:rsidRDefault="00E120B8"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tc>
      </w:tr>
      <w:tr w:rsidR="002534C2" w:rsidRPr="00C37701" w14:paraId="4B711479" w14:textId="77777777" w:rsidTr="00530BDE">
        <w:tc>
          <w:tcPr>
            <w:tcW w:w="10083" w:type="dxa"/>
            <w:gridSpan w:val="6"/>
          </w:tcPr>
          <w:p w14:paraId="61C13091" w14:textId="77777777" w:rsidR="002534C2" w:rsidRPr="00C37701" w:rsidRDefault="002534C2" w:rsidP="00C37701">
            <w:pPr>
              <w:contextualSpacing/>
              <w:jc w:val="center"/>
              <w:rPr>
                <w:rFonts w:ascii="Times New Roman" w:hAnsi="Times New Roman" w:cs="Times New Roman"/>
                <w:b/>
                <w:sz w:val="24"/>
                <w:szCs w:val="24"/>
              </w:rPr>
            </w:pPr>
            <w:r w:rsidRPr="00C37701">
              <w:rPr>
                <w:rFonts w:ascii="Times New Roman" w:hAnsi="Times New Roman" w:cs="Times New Roman"/>
                <w:b/>
                <w:sz w:val="24"/>
                <w:szCs w:val="24"/>
              </w:rPr>
              <w:lastRenderedPageBreak/>
              <w:t xml:space="preserve">Цель 2.2. </w:t>
            </w:r>
            <w:r w:rsidRPr="00C37701">
              <w:rPr>
                <w:rFonts w:ascii="Times New Roman" w:hAnsi="Times New Roman" w:cs="Times New Roman"/>
                <w:sz w:val="24"/>
                <w:szCs w:val="24"/>
              </w:rPr>
              <w:t>Повышение финансовой устойчивости и создание необходимых условий для дальнейшего развития страхового рынка</w:t>
            </w:r>
          </w:p>
        </w:tc>
      </w:tr>
      <w:tr w:rsidR="002534C2" w:rsidRPr="00C37701" w14:paraId="44A528DB" w14:textId="77777777" w:rsidTr="00530BDE">
        <w:tc>
          <w:tcPr>
            <w:tcW w:w="2370" w:type="dxa"/>
          </w:tcPr>
          <w:p w14:paraId="4C2B5214" w14:textId="77777777" w:rsidR="002534C2" w:rsidRPr="00C37701" w:rsidRDefault="002534C2" w:rsidP="0097449D">
            <w:pPr>
              <w:contextualSpacing/>
              <w:jc w:val="both"/>
              <w:rPr>
                <w:rFonts w:ascii="Times New Roman" w:hAnsi="Times New Roman" w:cs="Times New Roman"/>
                <w:b/>
                <w:sz w:val="24"/>
                <w:szCs w:val="24"/>
              </w:rPr>
            </w:pPr>
            <w:r w:rsidRPr="00C37701">
              <w:rPr>
                <w:rFonts w:ascii="Times New Roman" w:hAnsi="Times New Roman" w:cs="Times New Roman"/>
                <w:b/>
                <w:sz w:val="24"/>
                <w:szCs w:val="24"/>
              </w:rPr>
              <w:t>Целевой индикатор 1</w:t>
            </w:r>
          </w:p>
        </w:tc>
        <w:tc>
          <w:tcPr>
            <w:tcW w:w="1610" w:type="dxa"/>
          </w:tcPr>
          <w:p w14:paraId="34F8A73A" w14:textId="77777777" w:rsidR="002534C2" w:rsidRPr="00C37701" w:rsidRDefault="002534C2" w:rsidP="0097449D">
            <w:pPr>
              <w:contextualSpacing/>
              <w:jc w:val="both"/>
              <w:rPr>
                <w:rFonts w:ascii="Times New Roman" w:hAnsi="Times New Roman" w:cs="Times New Roman"/>
                <w:sz w:val="24"/>
                <w:szCs w:val="24"/>
              </w:rPr>
            </w:pPr>
          </w:p>
        </w:tc>
        <w:tc>
          <w:tcPr>
            <w:tcW w:w="1592" w:type="dxa"/>
          </w:tcPr>
          <w:p w14:paraId="42342D5E" w14:textId="77777777" w:rsidR="002534C2" w:rsidRPr="00C37701" w:rsidRDefault="002534C2" w:rsidP="0097449D">
            <w:pPr>
              <w:contextualSpacing/>
              <w:jc w:val="both"/>
              <w:rPr>
                <w:rFonts w:ascii="Times New Roman" w:hAnsi="Times New Roman" w:cs="Times New Roman"/>
                <w:sz w:val="24"/>
                <w:szCs w:val="24"/>
              </w:rPr>
            </w:pPr>
          </w:p>
        </w:tc>
        <w:tc>
          <w:tcPr>
            <w:tcW w:w="952" w:type="dxa"/>
          </w:tcPr>
          <w:p w14:paraId="66BD4C0F" w14:textId="77777777" w:rsidR="002534C2" w:rsidRPr="00C37701" w:rsidRDefault="002534C2" w:rsidP="0097449D">
            <w:pPr>
              <w:contextualSpacing/>
              <w:jc w:val="both"/>
              <w:rPr>
                <w:rFonts w:ascii="Times New Roman" w:hAnsi="Times New Roman" w:cs="Times New Roman"/>
                <w:sz w:val="24"/>
                <w:szCs w:val="24"/>
              </w:rPr>
            </w:pPr>
          </w:p>
        </w:tc>
        <w:tc>
          <w:tcPr>
            <w:tcW w:w="1551" w:type="dxa"/>
          </w:tcPr>
          <w:p w14:paraId="071BBE49" w14:textId="77777777" w:rsidR="002534C2" w:rsidRPr="00C37701" w:rsidRDefault="002534C2" w:rsidP="0097449D">
            <w:pPr>
              <w:contextualSpacing/>
              <w:jc w:val="both"/>
              <w:rPr>
                <w:rFonts w:ascii="Times New Roman" w:hAnsi="Times New Roman" w:cs="Times New Roman"/>
                <w:sz w:val="24"/>
                <w:szCs w:val="24"/>
              </w:rPr>
            </w:pPr>
          </w:p>
        </w:tc>
        <w:tc>
          <w:tcPr>
            <w:tcW w:w="2008" w:type="dxa"/>
          </w:tcPr>
          <w:p w14:paraId="4E5F9A09" w14:textId="77777777" w:rsidR="002534C2" w:rsidRPr="00C37701" w:rsidRDefault="002534C2" w:rsidP="0097449D">
            <w:pPr>
              <w:contextualSpacing/>
              <w:jc w:val="both"/>
              <w:rPr>
                <w:rFonts w:ascii="Times New Roman" w:hAnsi="Times New Roman" w:cs="Times New Roman"/>
                <w:b/>
                <w:sz w:val="24"/>
                <w:szCs w:val="24"/>
              </w:rPr>
            </w:pPr>
          </w:p>
        </w:tc>
      </w:tr>
      <w:tr w:rsidR="002534C2" w:rsidRPr="00C37701" w14:paraId="2B984344" w14:textId="77777777" w:rsidTr="00530BDE">
        <w:tc>
          <w:tcPr>
            <w:tcW w:w="2370" w:type="dxa"/>
          </w:tcPr>
          <w:p w14:paraId="0F1D2E61"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Агрегированный индекс финансовой устойчивости</w:t>
            </w:r>
          </w:p>
        </w:tc>
        <w:tc>
          <w:tcPr>
            <w:tcW w:w="1610" w:type="dxa"/>
          </w:tcPr>
          <w:p w14:paraId="6D890A64"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НБРК</w:t>
            </w:r>
          </w:p>
        </w:tc>
        <w:tc>
          <w:tcPr>
            <w:tcW w:w="1592" w:type="dxa"/>
          </w:tcPr>
          <w:p w14:paraId="3D607F49"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коэффициент</w:t>
            </w:r>
          </w:p>
        </w:tc>
        <w:tc>
          <w:tcPr>
            <w:tcW w:w="952" w:type="dxa"/>
          </w:tcPr>
          <w:p w14:paraId="39FFEF28" w14:textId="77777777" w:rsidR="002534C2" w:rsidRPr="00C37701" w:rsidRDefault="00701994" w:rsidP="0097449D">
            <w:pPr>
              <w:keepNext/>
              <w:keepLines/>
              <w:tabs>
                <w:tab w:val="left" w:pos="900"/>
                <w:tab w:val="left" w:pos="1080"/>
              </w:tabs>
              <w:contextualSpacing/>
              <w:jc w:val="both"/>
              <w:rPr>
                <w:rFonts w:ascii="Times New Roman" w:hAnsi="Times New Roman" w:cs="Times New Roman"/>
                <w:sz w:val="24"/>
                <w:szCs w:val="24"/>
                <w:lang w:val="kk-KZ"/>
              </w:rPr>
            </w:pPr>
            <w:r w:rsidRPr="00C37701">
              <w:rPr>
                <w:rFonts w:ascii="Times New Roman" w:hAnsi="Times New Roman" w:cs="Times New Roman"/>
                <w:sz w:val="24"/>
                <w:szCs w:val="24"/>
              </w:rPr>
              <w:t>От 1 до 2,48</w:t>
            </w:r>
          </w:p>
        </w:tc>
        <w:tc>
          <w:tcPr>
            <w:tcW w:w="1551" w:type="dxa"/>
          </w:tcPr>
          <w:p w14:paraId="2A86B0FE" w14:textId="77777777" w:rsidR="002534C2" w:rsidRPr="00C37701" w:rsidRDefault="00701994"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1,45</w:t>
            </w:r>
          </w:p>
        </w:tc>
        <w:tc>
          <w:tcPr>
            <w:tcW w:w="2008" w:type="dxa"/>
          </w:tcPr>
          <w:p w14:paraId="0C40C37D" w14:textId="77777777" w:rsidR="002534C2" w:rsidRPr="00C37701" w:rsidRDefault="00042958"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tc>
      </w:tr>
      <w:tr w:rsidR="002534C2" w:rsidRPr="00C37701" w14:paraId="65ED0BCF" w14:textId="77777777" w:rsidTr="00530BDE">
        <w:tc>
          <w:tcPr>
            <w:tcW w:w="2370" w:type="dxa"/>
          </w:tcPr>
          <w:p w14:paraId="0B594BAB"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b/>
                <w:sz w:val="24"/>
                <w:szCs w:val="24"/>
              </w:rPr>
              <w:t>Целевой индикатор 2</w:t>
            </w:r>
          </w:p>
        </w:tc>
        <w:tc>
          <w:tcPr>
            <w:tcW w:w="1610" w:type="dxa"/>
          </w:tcPr>
          <w:p w14:paraId="7BB888EE" w14:textId="77777777" w:rsidR="002534C2" w:rsidRPr="00C37701" w:rsidRDefault="002534C2" w:rsidP="0097449D">
            <w:pPr>
              <w:contextualSpacing/>
              <w:jc w:val="both"/>
              <w:rPr>
                <w:rFonts w:ascii="Times New Roman" w:hAnsi="Times New Roman" w:cs="Times New Roman"/>
                <w:sz w:val="24"/>
                <w:szCs w:val="24"/>
              </w:rPr>
            </w:pPr>
          </w:p>
        </w:tc>
        <w:tc>
          <w:tcPr>
            <w:tcW w:w="1592" w:type="dxa"/>
          </w:tcPr>
          <w:p w14:paraId="7169F9EF"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p>
        </w:tc>
        <w:tc>
          <w:tcPr>
            <w:tcW w:w="952" w:type="dxa"/>
          </w:tcPr>
          <w:p w14:paraId="09A64030"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p>
        </w:tc>
        <w:tc>
          <w:tcPr>
            <w:tcW w:w="1551" w:type="dxa"/>
          </w:tcPr>
          <w:p w14:paraId="49F91660" w14:textId="77777777" w:rsidR="002534C2" w:rsidRPr="00C37701" w:rsidRDefault="002534C2" w:rsidP="0097449D">
            <w:pPr>
              <w:contextualSpacing/>
              <w:jc w:val="both"/>
              <w:rPr>
                <w:rFonts w:ascii="Times New Roman" w:hAnsi="Times New Roman" w:cs="Times New Roman"/>
                <w:sz w:val="24"/>
                <w:szCs w:val="24"/>
              </w:rPr>
            </w:pPr>
          </w:p>
        </w:tc>
        <w:tc>
          <w:tcPr>
            <w:tcW w:w="2008" w:type="dxa"/>
          </w:tcPr>
          <w:p w14:paraId="73DC4FC4" w14:textId="77777777" w:rsidR="002534C2" w:rsidRPr="00C37701" w:rsidRDefault="002534C2" w:rsidP="0097449D">
            <w:pPr>
              <w:contextualSpacing/>
              <w:jc w:val="both"/>
              <w:rPr>
                <w:rFonts w:ascii="Times New Roman" w:hAnsi="Times New Roman" w:cs="Times New Roman"/>
                <w:b/>
                <w:sz w:val="24"/>
                <w:szCs w:val="24"/>
              </w:rPr>
            </w:pPr>
          </w:p>
        </w:tc>
      </w:tr>
      <w:tr w:rsidR="002534C2" w:rsidRPr="00C37701" w14:paraId="68C216DB" w14:textId="77777777" w:rsidTr="00530BDE">
        <w:tc>
          <w:tcPr>
            <w:tcW w:w="2370" w:type="dxa"/>
          </w:tcPr>
          <w:p w14:paraId="51EAFCE8"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Индекс развития страхового рынка</w:t>
            </w:r>
          </w:p>
        </w:tc>
        <w:tc>
          <w:tcPr>
            <w:tcW w:w="1610" w:type="dxa"/>
          </w:tcPr>
          <w:p w14:paraId="3EF54206"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НБРК</w:t>
            </w:r>
          </w:p>
        </w:tc>
        <w:tc>
          <w:tcPr>
            <w:tcW w:w="1592" w:type="dxa"/>
          </w:tcPr>
          <w:p w14:paraId="61F2AFAD"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коэффициент</w:t>
            </w:r>
          </w:p>
        </w:tc>
        <w:tc>
          <w:tcPr>
            <w:tcW w:w="952" w:type="dxa"/>
          </w:tcPr>
          <w:p w14:paraId="364A7556" w14:textId="77777777" w:rsidR="002534C2" w:rsidRPr="00C37701" w:rsidRDefault="00701994"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От 1 до 2,48</w:t>
            </w:r>
          </w:p>
        </w:tc>
        <w:tc>
          <w:tcPr>
            <w:tcW w:w="1551" w:type="dxa"/>
          </w:tcPr>
          <w:p w14:paraId="618436E3" w14:textId="77777777" w:rsidR="002534C2" w:rsidRPr="00C37701" w:rsidRDefault="00701994"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1</w:t>
            </w:r>
          </w:p>
        </w:tc>
        <w:tc>
          <w:tcPr>
            <w:tcW w:w="2008" w:type="dxa"/>
          </w:tcPr>
          <w:p w14:paraId="283A89B8" w14:textId="77777777" w:rsidR="002534C2" w:rsidRPr="00C37701" w:rsidRDefault="00042958" w:rsidP="0097449D">
            <w:pPr>
              <w:contextualSpacing/>
              <w:jc w:val="both"/>
              <w:rPr>
                <w:rFonts w:ascii="Times New Roman" w:hAnsi="Times New Roman" w:cs="Times New Roman"/>
                <w:b/>
                <w:sz w:val="24"/>
                <w:szCs w:val="24"/>
              </w:rPr>
            </w:pPr>
            <w:r w:rsidRPr="00C37701">
              <w:rPr>
                <w:rFonts w:ascii="Times New Roman" w:hAnsi="Times New Roman" w:cs="Times New Roman"/>
                <w:sz w:val="24"/>
                <w:szCs w:val="24"/>
              </w:rPr>
              <w:t>См. аналитическую записку</w:t>
            </w:r>
          </w:p>
        </w:tc>
      </w:tr>
      <w:tr w:rsidR="002534C2" w:rsidRPr="00C37701" w14:paraId="3B14AD6B" w14:textId="77777777" w:rsidTr="00530BDE">
        <w:tc>
          <w:tcPr>
            <w:tcW w:w="10083" w:type="dxa"/>
            <w:gridSpan w:val="6"/>
          </w:tcPr>
          <w:p w14:paraId="78F3C68B" w14:textId="77777777" w:rsidR="002534C2" w:rsidRPr="00C37701" w:rsidRDefault="002534C2" w:rsidP="00C37701">
            <w:pPr>
              <w:contextualSpacing/>
              <w:jc w:val="center"/>
              <w:rPr>
                <w:rFonts w:ascii="Times New Roman" w:hAnsi="Times New Roman" w:cs="Times New Roman"/>
                <w:b/>
                <w:sz w:val="24"/>
                <w:szCs w:val="24"/>
              </w:rPr>
            </w:pPr>
            <w:r w:rsidRPr="00C37701">
              <w:rPr>
                <w:rFonts w:ascii="Times New Roman" w:hAnsi="Times New Roman" w:cs="Times New Roman"/>
                <w:b/>
                <w:sz w:val="24"/>
                <w:szCs w:val="24"/>
              </w:rPr>
              <w:t xml:space="preserve">Цель 2.3. </w:t>
            </w:r>
            <w:r w:rsidRPr="00C37701">
              <w:rPr>
                <w:rFonts w:ascii="Times New Roman" w:hAnsi="Times New Roman" w:cs="Times New Roman"/>
                <w:sz w:val="24"/>
                <w:szCs w:val="24"/>
              </w:rPr>
              <w:t>Создание необходимых условий для дальнейшего развития рынка ценных бумаг</w:t>
            </w:r>
          </w:p>
        </w:tc>
      </w:tr>
      <w:tr w:rsidR="002534C2" w:rsidRPr="00C37701" w14:paraId="58369D49" w14:textId="77777777" w:rsidTr="00530BDE">
        <w:tc>
          <w:tcPr>
            <w:tcW w:w="2370" w:type="dxa"/>
          </w:tcPr>
          <w:p w14:paraId="234DC381"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b/>
                <w:sz w:val="24"/>
                <w:szCs w:val="24"/>
              </w:rPr>
              <w:t xml:space="preserve">Целевой индикатор </w:t>
            </w:r>
          </w:p>
        </w:tc>
        <w:tc>
          <w:tcPr>
            <w:tcW w:w="1610" w:type="dxa"/>
          </w:tcPr>
          <w:p w14:paraId="7951F956" w14:textId="77777777" w:rsidR="002534C2" w:rsidRPr="00C37701" w:rsidRDefault="002534C2" w:rsidP="0097449D">
            <w:pPr>
              <w:contextualSpacing/>
              <w:jc w:val="both"/>
              <w:rPr>
                <w:rFonts w:ascii="Times New Roman" w:hAnsi="Times New Roman" w:cs="Times New Roman"/>
                <w:sz w:val="24"/>
                <w:szCs w:val="24"/>
              </w:rPr>
            </w:pPr>
          </w:p>
        </w:tc>
        <w:tc>
          <w:tcPr>
            <w:tcW w:w="1592" w:type="dxa"/>
          </w:tcPr>
          <w:p w14:paraId="58D75166"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p>
        </w:tc>
        <w:tc>
          <w:tcPr>
            <w:tcW w:w="952" w:type="dxa"/>
          </w:tcPr>
          <w:p w14:paraId="575AAB51" w14:textId="77777777" w:rsidR="002534C2" w:rsidRPr="00C37701" w:rsidRDefault="002534C2" w:rsidP="0097449D">
            <w:pPr>
              <w:contextualSpacing/>
              <w:jc w:val="both"/>
              <w:rPr>
                <w:rFonts w:ascii="Times New Roman" w:hAnsi="Times New Roman" w:cs="Times New Roman"/>
                <w:sz w:val="24"/>
                <w:szCs w:val="24"/>
              </w:rPr>
            </w:pPr>
          </w:p>
        </w:tc>
        <w:tc>
          <w:tcPr>
            <w:tcW w:w="1551" w:type="dxa"/>
          </w:tcPr>
          <w:p w14:paraId="4C6B2688" w14:textId="77777777" w:rsidR="002534C2" w:rsidRPr="00C37701" w:rsidRDefault="002534C2" w:rsidP="0097449D">
            <w:pPr>
              <w:contextualSpacing/>
              <w:jc w:val="both"/>
              <w:rPr>
                <w:rFonts w:ascii="Times New Roman" w:hAnsi="Times New Roman" w:cs="Times New Roman"/>
                <w:sz w:val="24"/>
                <w:szCs w:val="24"/>
              </w:rPr>
            </w:pPr>
          </w:p>
        </w:tc>
        <w:tc>
          <w:tcPr>
            <w:tcW w:w="2008" w:type="dxa"/>
          </w:tcPr>
          <w:p w14:paraId="45B1FCA8" w14:textId="77777777" w:rsidR="002534C2" w:rsidRPr="00C37701" w:rsidRDefault="002534C2" w:rsidP="0097449D">
            <w:pPr>
              <w:contextualSpacing/>
              <w:jc w:val="both"/>
              <w:rPr>
                <w:rFonts w:ascii="Times New Roman" w:hAnsi="Times New Roman" w:cs="Times New Roman"/>
                <w:i/>
                <w:sz w:val="24"/>
                <w:szCs w:val="24"/>
              </w:rPr>
            </w:pPr>
          </w:p>
        </w:tc>
      </w:tr>
      <w:tr w:rsidR="002534C2" w:rsidRPr="00C37701" w14:paraId="324CC2CB" w14:textId="77777777" w:rsidTr="00530BDE">
        <w:tc>
          <w:tcPr>
            <w:tcW w:w="2370" w:type="dxa"/>
          </w:tcPr>
          <w:p w14:paraId="423CD4B5"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Эффективность работы совета директоров</w:t>
            </w:r>
          </w:p>
        </w:tc>
        <w:tc>
          <w:tcPr>
            <w:tcW w:w="1610" w:type="dxa"/>
          </w:tcPr>
          <w:p w14:paraId="32B8FFC4"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Отчет ГИК ВЭФ</w:t>
            </w:r>
          </w:p>
        </w:tc>
        <w:tc>
          <w:tcPr>
            <w:tcW w:w="1592" w:type="dxa"/>
          </w:tcPr>
          <w:p w14:paraId="7E38DE23"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Место в рейтинге ГИК ВЭФ</w:t>
            </w:r>
          </w:p>
        </w:tc>
        <w:tc>
          <w:tcPr>
            <w:tcW w:w="952" w:type="dxa"/>
          </w:tcPr>
          <w:p w14:paraId="66AEE00B" w14:textId="77777777" w:rsidR="002534C2" w:rsidRPr="00C37701" w:rsidRDefault="00701994"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50</w:t>
            </w:r>
          </w:p>
        </w:tc>
        <w:tc>
          <w:tcPr>
            <w:tcW w:w="1551" w:type="dxa"/>
          </w:tcPr>
          <w:p w14:paraId="5DD60599" w14:textId="77777777" w:rsidR="002534C2" w:rsidRPr="00C37701" w:rsidRDefault="00042958"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w:t>
            </w:r>
          </w:p>
        </w:tc>
        <w:tc>
          <w:tcPr>
            <w:tcW w:w="2008" w:type="dxa"/>
          </w:tcPr>
          <w:p w14:paraId="76A1A53B" w14:textId="77777777" w:rsidR="002534C2" w:rsidRPr="00C37701" w:rsidRDefault="00042958" w:rsidP="0097449D">
            <w:pPr>
              <w:contextualSpacing/>
              <w:jc w:val="both"/>
              <w:rPr>
                <w:rFonts w:ascii="Times New Roman" w:hAnsi="Times New Roman" w:cs="Times New Roman"/>
                <w:i/>
                <w:sz w:val="24"/>
                <w:szCs w:val="24"/>
              </w:rPr>
            </w:pPr>
            <w:r w:rsidRPr="00C37701">
              <w:rPr>
                <w:rFonts w:ascii="Times New Roman" w:hAnsi="Times New Roman" w:cs="Times New Roman"/>
                <w:sz w:val="24"/>
                <w:szCs w:val="24"/>
              </w:rPr>
              <w:t>См. аналитическую записку</w:t>
            </w:r>
          </w:p>
        </w:tc>
      </w:tr>
      <w:tr w:rsidR="002534C2" w:rsidRPr="00C37701" w14:paraId="4B6A0841" w14:textId="77777777" w:rsidTr="00530BDE">
        <w:tc>
          <w:tcPr>
            <w:tcW w:w="10083" w:type="dxa"/>
            <w:gridSpan w:val="6"/>
          </w:tcPr>
          <w:p w14:paraId="45D9B10D" w14:textId="77777777" w:rsidR="002534C2" w:rsidRPr="00C37701" w:rsidRDefault="002534C2" w:rsidP="00C37701">
            <w:pPr>
              <w:contextualSpacing/>
              <w:jc w:val="center"/>
              <w:rPr>
                <w:rFonts w:ascii="Times New Roman" w:hAnsi="Times New Roman" w:cs="Times New Roman"/>
                <w:sz w:val="24"/>
                <w:szCs w:val="24"/>
              </w:rPr>
            </w:pPr>
            <w:r w:rsidRPr="00C37701">
              <w:rPr>
                <w:rFonts w:ascii="Times New Roman" w:hAnsi="Times New Roman" w:cs="Times New Roman"/>
                <w:b/>
                <w:sz w:val="24"/>
                <w:szCs w:val="24"/>
              </w:rPr>
              <w:t xml:space="preserve">Цель 2.4. </w:t>
            </w:r>
            <w:r w:rsidRPr="00C37701">
              <w:rPr>
                <w:rFonts w:ascii="Times New Roman" w:hAnsi="Times New Roman" w:cs="Times New Roman"/>
                <w:sz w:val="24"/>
                <w:szCs w:val="24"/>
              </w:rPr>
              <w:t>Создание условий по дальнейшему развитию накопительной пенсионной системы</w:t>
            </w:r>
          </w:p>
        </w:tc>
      </w:tr>
      <w:tr w:rsidR="002534C2" w:rsidRPr="00C37701" w14:paraId="6462ACFB" w14:textId="77777777" w:rsidTr="00530BDE">
        <w:tc>
          <w:tcPr>
            <w:tcW w:w="2370" w:type="dxa"/>
          </w:tcPr>
          <w:p w14:paraId="3DCB78DC" w14:textId="77777777" w:rsidR="002534C2" w:rsidRPr="00C37701" w:rsidRDefault="002534C2" w:rsidP="0097449D">
            <w:pPr>
              <w:contextualSpacing/>
              <w:jc w:val="both"/>
              <w:rPr>
                <w:rFonts w:ascii="Times New Roman" w:hAnsi="Times New Roman" w:cs="Times New Roman"/>
                <w:b/>
                <w:sz w:val="24"/>
                <w:szCs w:val="24"/>
              </w:rPr>
            </w:pPr>
            <w:r w:rsidRPr="00C37701">
              <w:rPr>
                <w:rFonts w:ascii="Times New Roman" w:hAnsi="Times New Roman" w:cs="Times New Roman"/>
                <w:b/>
                <w:sz w:val="24"/>
                <w:szCs w:val="24"/>
              </w:rPr>
              <w:t xml:space="preserve">Целевой индикатор </w:t>
            </w:r>
          </w:p>
        </w:tc>
        <w:tc>
          <w:tcPr>
            <w:tcW w:w="1610" w:type="dxa"/>
          </w:tcPr>
          <w:p w14:paraId="41E86231" w14:textId="77777777" w:rsidR="002534C2" w:rsidRPr="00C37701" w:rsidRDefault="002534C2" w:rsidP="0097449D">
            <w:pPr>
              <w:contextualSpacing/>
              <w:jc w:val="both"/>
              <w:rPr>
                <w:rFonts w:ascii="Times New Roman" w:hAnsi="Times New Roman" w:cs="Times New Roman"/>
                <w:sz w:val="24"/>
                <w:szCs w:val="24"/>
              </w:rPr>
            </w:pPr>
          </w:p>
        </w:tc>
        <w:tc>
          <w:tcPr>
            <w:tcW w:w="1592" w:type="dxa"/>
          </w:tcPr>
          <w:p w14:paraId="0B0BDC94"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p>
        </w:tc>
        <w:tc>
          <w:tcPr>
            <w:tcW w:w="952" w:type="dxa"/>
          </w:tcPr>
          <w:p w14:paraId="6119C705" w14:textId="77777777" w:rsidR="002534C2" w:rsidRPr="00C37701" w:rsidRDefault="002534C2" w:rsidP="0097449D">
            <w:pPr>
              <w:contextualSpacing/>
              <w:jc w:val="both"/>
              <w:rPr>
                <w:rFonts w:ascii="Times New Roman" w:hAnsi="Times New Roman" w:cs="Times New Roman"/>
                <w:sz w:val="24"/>
                <w:szCs w:val="24"/>
              </w:rPr>
            </w:pPr>
          </w:p>
        </w:tc>
        <w:tc>
          <w:tcPr>
            <w:tcW w:w="1551" w:type="dxa"/>
          </w:tcPr>
          <w:p w14:paraId="34F4FFEE" w14:textId="77777777" w:rsidR="002534C2" w:rsidRPr="00C37701" w:rsidRDefault="002534C2" w:rsidP="0097449D">
            <w:pPr>
              <w:contextualSpacing/>
              <w:jc w:val="both"/>
              <w:rPr>
                <w:rFonts w:ascii="Times New Roman" w:hAnsi="Times New Roman" w:cs="Times New Roman"/>
                <w:sz w:val="24"/>
                <w:szCs w:val="24"/>
              </w:rPr>
            </w:pPr>
          </w:p>
        </w:tc>
        <w:tc>
          <w:tcPr>
            <w:tcW w:w="2008" w:type="dxa"/>
          </w:tcPr>
          <w:p w14:paraId="360B23A1" w14:textId="77777777" w:rsidR="002534C2" w:rsidRPr="00C37701" w:rsidRDefault="002534C2" w:rsidP="0097449D">
            <w:pPr>
              <w:contextualSpacing/>
              <w:jc w:val="both"/>
              <w:rPr>
                <w:rFonts w:ascii="Times New Roman" w:hAnsi="Times New Roman" w:cs="Times New Roman"/>
                <w:sz w:val="24"/>
                <w:szCs w:val="24"/>
              </w:rPr>
            </w:pPr>
          </w:p>
        </w:tc>
      </w:tr>
      <w:tr w:rsidR="002534C2" w:rsidRPr="00C37701" w14:paraId="0CB19C80" w14:textId="77777777" w:rsidTr="00530BDE">
        <w:tc>
          <w:tcPr>
            <w:tcW w:w="2370" w:type="dxa"/>
          </w:tcPr>
          <w:p w14:paraId="3892FCB0"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Доходность пенсионных активов ЕНПФ</w:t>
            </w:r>
          </w:p>
        </w:tc>
        <w:tc>
          <w:tcPr>
            <w:tcW w:w="1610" w:type="dxa"/>
          </w:tcPr>
          <w:p w14:paraId="79F4CE2A"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НБРК</w:t>
            </w:r>
          </w:p>
        </w:tc>
        <w:tc>
          <w:tcPr>
            <w:tcW w:w="1592" w:type="dxa"/>
          </w:tcPr>
          <w:p w14:paraId="3F96267B"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w:t>
            </w:r>
          </w:p>
        </w:tc>
        <w:tc>
          <w:tcPr>
            <w:tcW w:w="952" w:type="dxa"/>
          </w:tcPr>
          <w:p w14:paraId="7E4F1505" w14:textId="77777777" w:rsidR="002534C2" w:rsidRPr="00C37701" w:rsidRDefault="00D941F4"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Не менее 4</w:t>
            </w:r>
          </w:p>
        </w:tc>
        <w:tc>
          <w:tcPr>
            <w:tcW w:w="1551" w:type="dxa"/>
          </w:tcPr>
          <w:p w14:paraId="3AE666F0" w14:textId="77777777" w:rsidR="002534C2" w:rsidRPr="00C37701" w:rsidRDefault="00D941F4"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6,57</w:t>
            </w:r>
          </w:p>
        </w:tc>
        <w:tc>
          <w:tcPr>
            <w:tcW w:w="2008" w:type="dxa"/>
          </w:tcPr>
          <w:p w14:paraId="3407E46C" w14:textId="77777777" w:rsidR="00D941F4" w:rsidRPr="00C37701" w:rsidRDefault="00D941F4"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Исполнено</w:t>
            </w:r>
          </w:p>
          <w:p w14:paraId="2DD2D7E8" w14:textId="77777777" w:rsidR="002534C2" w:rsidRPr="00C37701" w:rsidRDefault="00982486"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tc>
      </w:tr>
      <w:tr w:rsidR="002534C2" w:rsidRPr="00C37701" w14:paraId="2F19C6FB" w14:textId="77777777" w:rsidTr="00530BDE">
        <w:tc>
          <w:tcPr>
            <w:tcW w:w="10083" w:type="dxa"/>
            <w:gridSpan w:val="6"/>
          </w:tcPr>
          <w:p w14:paraId="14CD9D57" w14:textId="77777777" w:rsidR="002534C2" w:rsidRPr="00C37701" w:rsidRDefault="002534C2" w:rsidP="00C37701">
            <w:pPr>
              <w:contextualSpacing/>
              <w:jc w:val="center"/>
              <w:rPr>
                <w:rFonts w:ascii="Times New Roman" w:hAnsi="Times New Roman" w:cs="Times New Roman"/>
                <w:b/>
                <w:sz w:val="24"/>
                <w:szCs w:val="24"/>
              </w:rPr>
            </w:pPr>
            <w:r w:rsidRPr="00C37701">
              <w:rPr>
                <w:rFonts w:ascii="Times New Roman" w:hAnsi="Times New Roman" w:cs="Times New Roman"/>
                <w:b/>
                <w:sz w:val="24"/>
                <w:szCs w:val="24"/>
              </w:rPr>
              <w:t xml:space="preserve">Цель 2.5. </w:t>
            </w:r>
            <w:r w:rsidRPr="00C37701">
              <w:rPr>
                <w:rFonts w:ascii="Times New Roman" w:hAnsi="Times New Roman" w:cs="Times New Roman"/>
                <w:sz w:val="24"/>
                <w:szCs w:val="24"/>
              </w:rPr>
              <w:t>Обеспечение эффективного валютного регулирования и валютного контроля</w:t>
            </w:r>
          </w:p>
        </w:tc>
      </w:tr>
      <w:tr w:rsidR="002534C2" w:rsidRPr="00C37701" w14:paraId="176A0335" w14:textId="77777777" w:rsidTr="00530BDE">
        <w:tc>
          <w:tcPr>
            <w:tcW w:w="2370" w:type="dxa"/>
          </w:tcPr>
          <w:p w14:paraId="0AF363C1" w14:textId="77777777" w:rsidR="002534C2" w:rsidRPr="00C37701" w:rsidRDefault="002534C2" w:rsidP="0097449D">
            <w:pPr>
              <w:contextualSpacing/>
              <w:jc w:val="both"/>
              <w:rPr>
                <w:rFonts w:ascii="Times New Roman" w:hAnsi="Times New Roman" w:cs="Times New Roman"/>
                <w:b/>
                <w:sz w:val="24"/>
                <w:szCs w:val="24"/>
              </w:rPr>
            </w:pPr>
            <w:r w:rsidRPr="00C37701">
              <w:rPr>
                <w:rFonts w:ascii="Times New Roman" w:hAnsi="Times New Roman" w:cs="Times New Roman"/>
                <w:b/>
                <w:sz w:val="24"/>
                <w:szCs w:val="24"/>
              </w:rPr>
              <w:t>Целевой индикатор 1</w:t>
            </w:r>
          </w:p>
        </w:tc>
        <w:tc>
          <w:tcPr>
            <w:tcW w:w="1610" w:type="dxa"/>
          </w:tcPr>
          <w:p w14:paraId="36468B0D" w14:textId="77777777" w:rsidR="002534C2" w:rsidRPr="00C37701" w:rsidRDefault="002534C2" w:rsidP="0097449D">
            <w:pPr>
              <w:contextualSpacing/>
              <w:jc w:val="both"/>
              <w:rPr>
                <w:rFonts w:ascii="Times New Roman" w:hAnsi="Times New Roman" w:cs="Times New Roman"/>
                <w:sz w:val="24"/>
                <w:szCs w:val="24"/>
              </w:rPr>
            </w:pPr>
          </w:p>
        </w:tc>
        <w:tc>
          <w:tcPr>
            <w:tcW w:w="1592" w:type="dxa"/>
          </w:tcPr>
          <w:p w14:paraId="4B514471" w14:textId="77777777" w:rsidR="002534C2" w:rsidRPr="00C37701" w:rsidRDefault="002534C2" w:rsidP="0097449D">
            <w:pPr>
              <w:contextualSpacing/>
              <w:jc w:val="both"/>
              <w:rPr>
                <w:rFonts w:ascii="Times New Roman" w:hAnsi="Times New Roman" w:cs="Times New Roman"/>
                <w:sz w:val="24"/>
                <w:szCs w:val="24"/>
              </w:rPr>
            </w:pPr>
          </w:p>
        </w:tc>
        <w:tc>
          <w:tcPr>
            <w:tcW w:w="952" w:type="dxa"/>
          </w:tcPr>
          <w:p w14:paraId="07BB9146" w14:textId="77777777" w:rsidR="002534C2" w:rsidRPr="00C37701" w:rsidRDefault="002534C2" w:rsidP="0097449D">
            <w:pPr>
              <w:contextualSpacing/>
              <w:jc w:val="both"/>
              <w:rPr>
                <w:rFonts w:ascii="Times New Roman" w:hAnsi="Times New Roman" w:cs="Times New Roman"/>
                <w:sz w:val="24"/>
                <w:szCs w:val="24"/>
              </w:rPr>
            </w:pPr>
          </w:p>
        </w:tc>
        <w:tc>
          <w:tcPr>
            <w:tcW w:w="1551" w:type="dxa"/>
          </w:tcPr>
          <w:p w14:paraId="41C0E553" w14:textId="77777777" w:rsidR="002534C2" w:rsidRPr="00C37701" w:rsidRDefault="002534C2" w:rsidP="0097449D">
            <w:pPr>
              <w:contextualSpacing/>
              <w:jc w:val="both"/>
              <w:rPr>
                <w:rFonts w:ascii="Times New Roman" w:hAnsi="Times New Roman" w:cs="Times New Roman"/>
                <w:sz w:val="24"/>
                <w:szCs w:val="24"/>
              </w:rPr>
            </w:pPr>
          </w:p>
        </w:tc>
        <w:tc>
          <w:tcPr>
            <w:tcW w:w="2008" w:type="dxa"/>
          </w:tcPr>
          <w:p w14:paraId="202A7227" w14:textId="77777777" w:rsidR="002534C2" w:rsidRPr="00C37701" w:rsidRDefault="002534C2" w:rsidP="0097449D">
            <w:pPr>
              <w:contextualSpacing/>
              <w:jc w:val="both"/>
              <w:rPr>
                <w:rFonts w:ascii="Times New Roman" w:hAnsi="Times New Roman" w:cs="Times New Roman"/>
                <w:b/>
                <w:sz w:val="24"/>
                <w:szCs w:val="24"/>
              </w:rPr>
            </w:pPr>
          </w:p>
        </w:tc>
      </w:tr>
      <w:tr w:rsidR="002534C2" w:rsidRPr="00C37701" w14:paraId="67F3D04A" w14:textId="77777777" w:rsidTr="00530BDE">
        <w:tc>
          <w:tcPr>
            <w:tcW w:w="2370" w:type="dxa"/>
          </w:tcPr>
          <w:p w14:paraId="5909D534"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iCs/>
                <w:sz w:val="24"/>
                <w:szCs w:val="24"/>
              </w:rPr>
              <w:t>Пороговое значение в отношении суммы внешнеторгового контракта, при превышении которого такой контракт попадает под требование учетной регистрации</w:t>
            </w:r>
          </w:p>
        </w:tc>
        <w:tc>
          <w:tcPr>
            <w:tcW w:w="1610" w:type="dxa"/>
          </w:tcPr>
          <w:p w14:paraId="69451AA2"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НПА</w:t>
            </w:r>
          </w:p>
        </w:tc>
        <w:tc>
          <w:tcPr>
            <w:tcW w:w="1592" w:type="dxa"/>
          </w:tcPr>
          <w:p w14:paraId="1B1BA487"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Тыс.</w:t>
            </w:r>
          </w:p>
          <w:p w14:paraId="0E838332"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долл.</w:t>
            </w:r>
          </w:p>
          <w:p w14:paraId="664CD8D3"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США</w:t>
            </w:r>
          </w:p>
        </w:tc>
        <w:tc>
          <w:tcPr>
            <w:tcW w:w="952" w:type="dxa"/>
          </w:tcPr>
          <w:p w14:paraId="2D26F151"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50</w:t>
            </w:r>
          </w:p>
        </w:tc>
        <w:tc>
          <w:tcPr>
            <w:tcW w:w="1551" w:type="dxa"/>
          </w:tcPr>
          <w:p w14:paraId="4A048206" w14:textId="77777777" w:rsidR="002534C2" w:rsidRPr="00C37701" w:rsidRDefault="00430F53" w:rsidP="0097449D">
            <w:pPr>
              <w:keepNext/>
              <w:keepLines/>
              <w:tabs>
                <w:tab w:val="left" w:pos="972"/>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50</w:t>
            </w:r>
          </w:p>
        </w:tc>
        <w:tc>
          <w:tcPr>
            <w:tcW w:w="2008" w:type="dxa"/>
          </w:tcPr>
          <w:p w14:paraId="29FCF29A" w14:textId="77777777" w:rsidR="002534C2" w:rsidRPr="00C37701" w:rsidRDefault="002534C2" w:rsidP="0097449D">
            <w:pPr>
              <w:contextualSpacing/>
              <w:jc w:val="both"/>
              <w:rPr>
                <w:rFonts w:ascii="Times New Roman" w:hAnsi="Times New Roman" w:cs="Times New Roman"/>
                <w:b/>
                <w:sz w:val="24"/>
                <w:szCs w:val="24"/>
              </w:rPr>
            </w:pPr>
          </w:p>
        </w:tc>
      </w:tr>
      <w:tr w:rsidR="002534C2" w:rsidRPr="00C37701" w14:paraId="63E85B95" w14:textId="77777777" w:rsidTr="00530BDE">
        <w:tc>
          <w:tcPr>
            <w:tcW w:w="2370" w:type="dxa"/>
          </w:tcPr>
          <w:p w14:paraId="0F8A98A1"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b/>
                <w:sz w:val="24"/>
                <w:szCs w:val="24"/>
              </w:rPr>
              <w:t>Целевой индикатор 2</w:t>
            </w:r>
          </w:p>
        </w:tc>
        <w:tc>
          <w:tcPr>
            <w:tcW w:w="1610" w:type="dxa"/>
          </w:tcPr>
          <w:p w14:paraId="530E01A0" w14:textId="77777777" w:rsidR="002534C2" w:rsidRPr="00C37701" w:rsidRDefault="002534C2" w:rsidP="0097449D">
            <w:pPr>
              <w:contextualSpacing/>
              <w:jc w:val="both"/>
              <w:rPr>
                <w:rFonts w:ascii="Times New Roman" w:hAnsi="Times New Roman" w:cs="Times New Roman"/>
                <w:sz w:val="24"/>
                <w:szCs w:val="24"/>
              </w:rPr>
            </w:pPr>
          </w:p>
        </w:tc>
        <w:tc>
          <w:tcPr>
            <w:tcW w:w="1592" w:type="dxa"/>
          </w:tcPr>
          <w:p w14:paraId="5B61263F" w14:textId="77777777" w:rsidR="002534C2" w:rsidRPr="00C37701" w:rsidRDefault="002534C2" w:rsidP="0097449D">
            <w:pPr>
              <w:contextualSpacing/>
              <w:jc w:val="both"/>
              <w:rPr>
                <w:rFonts w:ascii="Times New Roman" w:hAnsi="Times New Roman" w:cs="Times New Roman"/>
                <w:sz w:val="24"/>
                <w:szCs w:val="24"/>
              </w:rPr>
            </w:pPr>
          </w:p>
        </w:tc>
        <w:tc>
          <w:tcPr>
            <w:tcW w:w="952" w:type="dxa"/>
          </w:tcPr>
          <w:p w14:paraId="390537E6" w14:textId="77777777" w:rsidR="002534C2" w:rsidRPr="00C37701" w:rsidRDefault="002534C2" w:rsidP="0097449D">
            <w:pPr>
              <w:contextualSpacing/>
              <w:jc w:val="both"/>
              <w:rPr>
                <w:rFonts w:ascii="Times New Roman" w:hAnsi="Times New Roman" w:cs="Times New Roman"/>
                <w:sz w:val="24"/>
                <w:szCs w:val="24"/>
              </w:rPr>
            </w:pPr>
          </w:p>
        </w:tc>
        <w:tc>
          <w:tcPr>
            <w:tcW w:w="1551" w:type="dxa"/>
          </w:tcPr>
          <w:p w14:paraId="183E3372" w14:textId="77777777" w:rsidR="002534C2" w:rsidRPr="00C37701" w:rsidRDefault="002534C2" w:rsidP="0097449D">
            <w:pPr>
              <w:contextualSpacing/>
              <w:jc w:val="both"/>
              <w:rPr>
                <w:rFonts w:ascii="Times New Roman" w:hAnsi="Times New Roman" w:cs="Times New Roman"/>
                <w:sz w:val="24"/>
                <w:szCs w:val="24"/>
              </w:rPr>
            </w:pPr>
          </w:p>
        </w:tc>
        <w:tc>
          <w:tcPr>
            <w:tcW w:w="2008" w:type="dxa"/>
          </w:tcPr>
          <w:p w14:paraId="25485B6E" w14:textId="77777777" w:rsidR="002534C2" w:rsidRPr="00C37701" w:rsidRDefault="002534C2" w:rsidP="0097449D">
            <w:pPr>
              <w:contextualSpacing/>
              <w:jc w:val="both"/>
              <w:rPr>
                <w:rFonts w:ascii="Times New Roman" w:hAnsi="Times New Roman" w:cs="Times New Roman"/>
                <w:b/>
                <w:sz w:val="24"/>
                <w:szCs w:val="24"/>
              </w:rPr>
            </w:pPr>
          </w:p>
        </w:tc>
      </w:tr>
      <w:tr w:rsidR="002534C2" w:rsidRPr="00C37701" w14:paraId="6E139FAE" w14:textId="77777777" w:rsidTr="00530BDE">
        <w:tc>
          <w:tcPr>
            <w:tcW w:w="2370" w:type="dxa"/>
          </w:tcPr>
          <w:p w14:paraId="640E4E0D"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Количество юридических лиц, исключительным видом деятельности которых является организация обменных операций с наличной иностранной валютой, охваченных проверками на </w:t>
            </w:r>
            <w:r w:rsidRPr="00C37701">
              <w:rPr>
                <w:rFonts w:ascii="Times New Roman" w:hAnsi="Times New Roman" w:cs="Times New Roman"/>
                <w:sz w:val="24"/>
                <w:szCs w:val="24"/>
              </w:rPr>
              <w:lastRenderedPageBreak/>
              <w:t>основе системы оценки степени рисков</w:t>
            </w:r>
          </w:p>
        </w:tc>
        <w:tc>
          <w:tcPr>
            <w:tcW w:w="1610" w:type="dxa"/>
          </w:tcPr>
          <w:p w14:paraId="13D52A48"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lastRenderedPageBreak/>
              <w:t>НБРК</w:t>
            </w:r>
          </w:p>
        </w:tc>
        <w:tc>
          <w:tcPr>
            <w:tcW w:w="1592" w:type="dxa"/>
          </w:tcPr>
          <w:p w14:paraId="73C3D2A9" w14:textId="77777777" w:rsidR="002534C2" w:rsidRPr="00C37701" w:rsidRDefault="002534C2"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w:t>
            </w:r>
          </w:p>
        </w:tc>
        <w:tc>
          <w:tcPr>
            <w:tcW w:w="952" w:type="dxa"/>
          </w:tcPr>
          <w:p w14:paraId="3A759AAD" w14:textId="77777777" w:rsidR="002534C2" w:rsidRPr="00C37701" w:rsidRDefault="002534C2"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30-60%</w:t>
            </w:r>
          </w:p>
        </w:tc>
        <w:tc>
          <w:tcPr>
            <w:tcW w:w="1551" w:type="dxa"/>
          </w:tcPr>
          <w:p w14:paraId="4CBBAD4C" w14:textId="77777777" w:rsidR="002534C2" w:rsidRPr="00C37701" w:rsidRDefault="0015428A"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44</w:t>
            </w:r>
            <w:r w:rsidR="00430F53" w:rsidRPr="00C37701">
              <w:rPr>
                <w:rFonts w:ascii="Times New Roman" w:hAnsi="Times New Roman" w:cs="Times New Roman"/>
                <w:sz w:val="24"/>
                <w:szCs w:val="24"/>
              </w:rPr>
              <w:t>,</w:t>
            </w:r>
            <w:r w:rsidRPr="00C37701">
              <w:rPr>
                <w:rFonts w:ascii="Times New Roman" w:hAnsi="Times New Roman" w:cs="Times New Roman"/>
                <w:sz w:val="24"/>
                <w:szCs w:val="24"/>
              </w:rPr>
              <w:t>06</w:t>
            </w:r>
            <w:r w:rsidR="00430F53" w:rsidRPr="00C37701">
              <w:rPr>
                <w:rFonts w:ascii="Times New Roman" w:hAnsi="Times New Roman" w:cs="Times New Roman"/>
                <w:sz w:val="24"/>
                <w:szCs w:val="24"/>
              </w:rPr>
              <w:t>% (204 провер</w:t>
            </w:r>
            <w:r w:rsidR="003072A2" w:rsidRPr="00C37701">
              <w:rPr>
                <w:rFonts w:ascii="Times New Roman" w:hAnsi="Times New Roman" w:cs="Times New Roman"/>
                <w:sz w:val="24"/>
                <w:szCs w:val="24"/>
              </w:rPr>
              <w:t>ок</w:t>
            </w:r>
            <w:r w:rsidR="00430F53" w:rsidRPr="00C37701">
              <w:rPr>
                <w:rFonts w:ascii="Times New Roman" w:hAnsi="Times New Roman" w:cs="Times New Roman"/>
                <w:sz w:val="24"/>
                <w:szCs w:val="24"/>
              </w:rPr>
              <w:t>)</w:t>
            </w:r>
          </w:p>
        </w:tc>
        <w:tc>
          <w:tcPr>
            <w:tcW w:w="2008" w:type="dxa"/>
          </w:tcPr>
          <w:p w14:paraId="56F41D44" w14:textId="77777777" w:rsidR="002534C2" w:rsidRPr="00C37701" w:rsidRDefault="002534C2" w:rsidP="0097449D">
            <w:pPr>
              <w:contextualSpacing/>
              <w:jc w:val="both"/>
              <w:rPr>
                <w:rFonts w:ascii="Times New Roman" w:hAnsi="Times New Roman" w:cs="Times New Roman"/>
                <w:b/>
                <w:sz w:val="24"/>
                <w:szCs w:val="24"/>
              </w:rPr>
            </w:pPr>
          </w:p>
        </w:tc>
      </w:tr>
      <w:tr w:rsidR="002534C2" w:rsidRPr="00C37701" w14:paraId="4B65064C" w14:textId="77777777" w:rsidTr="00530BDE">
        <w:tc>
          <w:tcPr>
            <w:tcW w:w="10083" w:type="dxa"/>
            <w:gridSpan w:val="6"/>
          </w:tcPr>
          <w:p w14:paraId="01E1B839" w14:textId="77777777" w:rsidR="002534C2" w:rsidRPr="00C37701" w:rsidRDefault="002534C2" w:rsidP="001205DD">
            <w:pPr>
              <w:contextualSpacing/>
              <w:jc w:val="center"/>
              <w:rPr>
                <w:rFonts w:ascii="Times New Roman" w:hAnsi="Times New Roman" w:cs="Times New Roman"/>
                <w:b/>
                <w:sz w:val="24"/>
                <w:szCs w:val="24"/>
              </w:rPr>
            </w:pPr>
            <w:r w:rsidRPr="00C37701">
              <w:rPr>
                <w:rFonts w:ascii="Times New Roman" w:hAnsi="Times New Roman" w:cs="Times New Roman"/>
                <w:b/>
                <w:sz w:val="24"/>
                <w:szCs w:val="24"/>
              </w:rPr>
              <w:lastRenderedPageBreak/>
              <w:t xml:space="preserve">Цель 2.6. </w:t>
            </w:r>
            <w:r w:rsidRPr="00C37701">
              <w:rPr>
                <w:rFonts w:ascii="Times New Roman" w:hAnsi="Times New Roman" w:cs="Times New Roman"/>
                <w:sz w:val="24"/>
                <w:szCs w:val="24"/>
              </w:rPr>
              <w:t>Обеспечение надлежащего уровня защиты прав и законных интересов потребителей финансовых услуг</w:t>
            </w:r>
          </w:p>
        </w:tc>
      </w:tr>
      <w:tr w:rsidR="002534C2" w:rsidRPr="00C37701" w14:paraId="033A88D8" w14:textId="77777777" w:rsidTr="00530BDE">
        <w:tc>
          <w:tcPr>
            <w:tcW w:w="2370" w:type="dxa"/>
          </w:tcPr>
          <w:p w14:paraId="7DAF7629" w14:textId="77777777" w:rsidR="002534C2" w:rsidRPr="00C37701" w:rsidRDefault="002534C2" w:rsidP="0097449D">
            <w:pPr>
              <w:contextualSpacing/>
              <w:jc w:val="both"/>
              <w:rPr>
                <w:rFonts w:ascii="Times New Roman" w:hAnsi="Times New Roman" w:cs="Times New Roman"/>
                <w:b/>
                <w:sz w:val="24"/>
                <w:szCs w:val="24"/>
              </w:rPr>
            </w:pPr>
            <w:r w:rsidRPr="00C37701">
              <w:rPr>
                <w:rFonts w:ascii="Times New Roman" w:hAnsi="Times New Roman" w:cs="Times New Roman"/>
                <w:b/>
                <w:sz w:val="24"/>
                <w:szCs w:val="24"/>
              </w:rPr>
              <w:t>Целевой индикатор</w:t>
            </w:r>
          </w:p>
        </w:tc>
        <w:tc>
          <w:tcPr>
            <w:tcW w:w="1610" w:type="dxa"/>
          </w:tcPr>
          <w:p w14:paraId="4F5510F5" w14:textId="77777777" w:rsidR="002534C2" w:rsidRPr="00C37701" w:rsidRDefault="002534C2" w:rsidP="0097449D">
            <w:pPr>
              <w:contextualSpacing/>
              <w:jc w:val="both"/>
              <w:rPr>
                <w:rFonts w:ascii="Times New Roman" w:hAnsi="Times New Roman" w:cs="Times New Roman"/>
                <w:sz w:val="24"/>
                <w:szCs w:val="24"/>
              </w:rPr>
            </w:pPr>
          </w:p>
        </w:tc>
        <w:tc>
          <w:tcPr>
            <w:tcW w:w="1592" w:type="dxa"/>
          </w:tcPr>
          <w:p w14:paraId="0D786FD5" w14:textId="77777777" w:rsidR="002534C2" w:rsidRPr="00C37701" w:rsidRDefault="002534C2" w:rsidP="0097449D">
            <w:pPr>
              <w:contextualSpacing/>
              <w:jc w:val="both"/>
              <w:rPr>
                <w:rFonts w:ascii="Times New Roman" w:hAnsi="Times New Roman" w:cs="Times New Roman"/>
                <w:sz w:val="24"/>
                <w:szCs w:val="24"/>
              </w:rPr>
            </w:pPr>
          </w:p>
        </w:tc>
        <w:tc>
          <w:tcPr>
            <w:tcW w:w="952" w:type="dxa"/>
          </w:tcPr>
          <w:p w14:paraId="6066F646" w14:textId="77777777" w:rsidR="002534C2" w:rsidRPr="00C37701" w:rsidRDefault="002534C2" w:rsidP="0097449D">
            <w:pPr>
              <w:contextualSpacing/>
              <w:jc w:val="both"/>
              <w:rPr>
                <w:rFonts w:ascii="Times New Roman" w:hAnsi="Times New Roman" w:cs="Times New Roman"/>
                <w:sz w:val="24"/>
                <w:szCs w:val="24"/>
              </w:rPr>
            </w:pPr>
          </w:p>
        </w:tc>
        <w:tc>
          <w:tcPr>
            <w:tcW w:w="1551" w:type="dxa"/>
          </w:tcPr>
          <w:p w14:paraId="6902C899" w14:textId="77777777" w:rsidR="002534C2" w:rsidRPr="00C37701" w:rsidRDefault="002534C2" w:rsidP="0097449D">
            <w:pPr>
              <w:contextualSpacing/>
              <w:jc w:val="both"/>
              <w:rPr>
                <w:rFonts w:ascii="Times New Roman" w:hAnsi="Times New Roman" w:cs="Times New Roman"/>
                <w:sz w:val="24"/>
                <w:szCs w:val="24"/>
              </w:rPr>
            </w:pPr>
          </w:p>
        </w:tc>
        <w:tc>
          <w:tcPr>
            <w:tcW w:w="2008" w:type="dxa"/>
          </w:tcPr>
          <w:p w14:paraId="2AD68860" w14:textId="77777777" w:rsidR="002534C2" w:rsidRPr="00C37701" w:rsidRDefault="002534C2" w:rsidP="0097449D">
            <w:pPr>
              <w:contextualSpacing/>
              <w:jc w:val="both"/>
              <w:rPr>
                <w:rFonts w:ascii="Times New Roman" w:hAnsi="Times New Roman" w:cs="Times New Roman"/>
                <w:sz w:val="24"/>
                <w:szCs w:val="24"/>
              </w:rPr>
            </w:pPr>
          </w:p>
        </w:tc>
      </w:tr>
      <w:tr w:rsidR="00F17E4A" w:rsidRPr="00C37701" w14:paraId="412F284E" w14:textId="77777777" w:rsidTr="00530BDE">
        <w:tc>
          <w:tcPr>
            <w:tcW w:w="2370" w:type="dxa"/>
          </w:tcPr>
          <w:p w14:paraId="77A08242" w14:textId="77777777" w:rsidR="00F17E4A" w:rsidRPr="00C37701" w:rsidRDefault="00F17E4A"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Доля потребителей, оказывающих доверие финансовому рынку</w:t>
            </w:r>
          </w:p>
        </w:tc>
        <w:tc>
          <w:tcPr>
            <w:tcW w:w="1610" w:type="dxa"/>
          </w:tcPr>
          <w:p w14:paraId="63B21C3B" w14:textId="77777777" w:rsidR="00F17E4A" w:rsidRPr="00C37701" w:rsidRDefault="00F17E4A"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Опрос НБРК</w:t>
            </w:r>
          </w:p>
        </w:tc>
        <w:tc>
          <w:tcPr>
            <w:tcW w:w="1592" w:type="dxa"/>
          </w:tcPr>
          <w:p w14:paraId="42F1F6C0" w14:textId="77777777" w:rsidR="00F17E4A" w:rsidRPr="00C37701" w:rsidRDefault="00F17E4A"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 опрошенных</w:t>
            </w:r>
          </w:p>
        </w:tc>
        <w:tc>
          <w:tcPr>
            <w:tcW w:w="952" w:type="dxa"/>
          </w:tcPr>
          <w:p w14:paraId="5793EC21" w14:textId="77777777" w:rsidR="00F17E4A" w:rsidRPr="00C37701" w:rsidRDefault="00701994"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45</w:t>
            </w:r>
          </w:p>
        </w:tc>
        <w:tc>
          <w:tcPr>
            <w:tcW w:w="1551" w:type="dxa"/>
          </w:tcPr>
          <w:p w14:paraId="60D699A9" w14:textId="77777777" w:rsidR="00F17E4A" w:rsidRPr="00C37701" w:rsidRDefault="00701994"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w:t>
            </w:r>
          </w:p>
        </w:tc>
        <w:tc>
          <w:tcPr>
            <w:tcW w:w="2008" w:type="dxa"/>
          </w:tcPr>
          <w:p w14:paraId="23D1C2E9" w14:textId="77777777" w:rsidR="00F17E4A" w:rsidRPr="00C37701" w:rsidRDefault="00F17E4A"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См. аналитическую записку</w:t>
            </w:r>
          </w:p>
        </w:tc>
      </w:tr>
      <w:tr w:rsidR="00F17E4A" w:rsidRPr="00C37701" w14:paraId="6E27B898" w14:textId="77777777" w:rsidTr="00530BDE">
        <w:tc>
          <w:tcPr>
            <w:tcW w:w="10083" w:type="dxa"/>
            <w:gridSpan w:val="6"/>
          </w:tcPr>
          <w:p w14:paraId="492A1300" w14:textId="77777777" w:rsidR="00F17E4A" w:rsidRPr="00C37701" w:rsidRDefault="00F17E4A" w:rsidP="001205DD">
            <w:pPr>
              <w:contextualSpacing/>
              <w:jc w:val="center"/>
              <w:rPr>
                <w:rFonts w:ascii="Times New Roman" w:hAnsi="Times New Roman" w:cs="Times New Roman"/>
                <w:b/>
                <w:sz w:val="24"/>
                <w:szCs w:val="24"/>
              </w:rPr>
            </w:pPr>
            <w:r w:rsidRPr="00C37701">
              <w:rPr>
                <w:rFonts w:ascii="Times New Roman" w:hAnsi="Times New Roman" w:cs="Times New Roman"/>
                <w:b/>
                <w:sz w:val="24"/>
                <w:szCs w:val="24"/>
              </w:rPr>
              <w:t xml:space="preserve">Цель 2.7. </w:t>
            </w:r>
            <w:r w:rsidRPr="00C37701">
              <w:rPr>
                <w:rFonts w:ascii="Times New Roman" w:hAnsi="Times New Roman" w:cs="Times New Roman"/>
                <w:sz w:val="24"/>
                <w:szCs w:val="24"/>
              </w:rPr>
              <w:t>Обеспечение функционирования платежных систем</w:t>
            </w:r>
          </w:p>
        </w:tc>
      </w:tr>
      <w:tr w:rsidR="00F17E4A" w:rsidRPr="00C37701" w14:paraId="41790A80" w14:textId="77777777" w:rsidTr="00530BDE">
        <w:tc>
          <w:tcPr>
            <w:tcW w:w="2370" w:type="dxa"/>
          </w:tcPr>
          <w:p w14:paraId="04E19802" w14:textId="77777777" w:rsidR="00F17E4A" w:rsidRPr="00C37701" w:rsidRDefault="00F17E4A" w:rsidP="0097449D">
            <w:pPr>
              <w:contextualSpacing/>
              <w:jc w:val="both"/>
              <w:rPr>
                <w:rFonts w:ascii="Times New Roman" w:hAnsi="Times New Roman" w:cs="Times New Roman"/>
                <w:b/>
                <w:sz w:val="24"/>
                <w:szCs w:val="24"/>
              </w:rPr>
            </w:pPr>
            <w:r w:rsidRPr="00C37701">
              <w:rPr>
                <w:rFonts w:ascii="Times New Roman" w:hAnsi="Times New Roman" w:cs="Times New Roman"/>
                <w:b/>
                <w:sz w:val="24"/>
                <w:szCs w:val="24"/>
              </w:rPr>
              <w:t>Целевой индикатор 1</w:t>
            </w:r>
          </w:p>
        </w:tc>
        <w:tc>
          <w:tcPr>
            <w:tcW w:w="1610" w:type="dxa"/>
          </w:tcPr>
          <w:p w14:paraId="5D9130B5" w14:textId="77777777" w:rsidR="00F17E4A" w:rsidRPr="00C37701" w:rsidRDefault="00F17E4A" w:rsidP="0097449D">
            <w:pPr>
              <w:contextualSpacing/>
              <w:jc w:val="both"/>
              <w:rPr>
                <w:rFonts w:ascii="Times New Roman" w:hAnsi="Times New Roman" w:cs="Times New Roman"/>
                <w:sz w:val="24"/>
                <w:szCs w:val="24"/>
              </w:rPr>
            </w:pPr>
          </w:p>
        </w:tc>
        <w:tc>
          <w:tcPr>
            <w:tcW w:w="1592" w:type="dxa"/>
          </w:tcPr>
          <w:p w14:paraId="2606817F" w14:textId="77777777" w:rsidR="00F17E4A" w:rsidRPr="00C37701" w:rsidRDefault="00F17E4A" w:rsidP="0097449D">
            <w:pPr>
              <w:contextualSpacing/>
              <w:jc w:val="both"/>
              <w:rPr>
                <w:rFonts w:ascii="Times New Roman" w:hAnsi="Times New Roman" w:cs="Times New Roman"/>
                <w:sz w:val="24"/>
                <w:szCs w:val="24"/>
              </w:rPr>
            </w:pPr>
          </w:p>
        </w:tc>
        <w:tc>
          <w:tcPr>
            <w:tcW w:w="952" w:type="dxa"/>
          </w:tcPr>
          <w:p w14:paraId="62A2B4A2" w14:textId="77777777" w:rsidR="00F17E4A" w:rsidRPr="00C37701" w:rsidRDefault="00F17E4A" w:rsidP="0097449D">
            <w:pPr>
              <w:contextualSpacing/>
              <w:jc w:val="both"/>
              <w:rPr>
                <w:rFonts w:ascii="Times New Roman" w:hAnsi="Times New Roman" w:cs="Times New Roman"/>
                <w:sz w:val="24"/>
                <w:szCs w:val="24"/>
              </w:rPr>
            </w:pPr>
          </w:p>
        </w:tc>
        <w:tc>
          <w:tcPr>
            <w:tcW w:w="1551" w:type="dxa"/>
          </w:tcPr>
          <w:p w14:paraId="16F8A058" w14:textId="77777777" w:rsidR="00F17E4A" w:rsidRPr="00C37701" w:rsidRDefault="00F17E4A" w:rsidP="0097449D">
            <w:pPr>
              <w:contextualSpacing/>
              <w:jc w:val="both"/>
              <w:rPr>
                <w:rFonts w:ascii="Times New Roman" w:hAnsi="Times New Roman" w:cs="Times New Roman"/>
                <w:sz w:val="24"/>
                <w:szCs w:val="24"/>
              </w:rPr>
            </w:pPr>
          </w:p>
        </w:tc>
        <w:tc>
          <w:tcPr>
            <w:tcW w:w="2008" w:type="dxa"/>
          </w:tcPr>
          <w:p w14:paraId="5B2BFC40" w14:textId="77777777" w:rsidR="00F17E4A" w:rsidRPr="00C37701" w:rsidRDefault="00F17E4A" w:rsidP="0097449D">
            <w:pPr>
              <w:contextualSpacing/>
              <w:jc w:val="both"/>
              <w:rPr>
                <w:rFonts w:ascii="Times New Roman" w:hAnsi="Times New Roman" w:cs="Times New Roman"/>
                <w:b/>
                <w:sz w:val="24"/>
                <w:szCs w:val="24"/>
              </w:rPr>
            </w:pPr>
          </w:p>
        </w:tc>
      </w:tr>
      <w:tr w:rsidR="00F17E4A" w:rsidRPr="00C37701" w14:paraId="0641DD13" w14:textId="77777777" w:rsidTr="00530BDE">
        <w:tc>
          <w:tcPr>
            <w:tcW w:w="2370" w:type="dxa"/>
          </w:tcPr>
          <w:p w14:paraId="5B94B5E0" w14:textId="77777777" w:rsidR="00F17E4A" w:rsidRPr="00C37701" w:rsidRDefault="00F17E4A" w:rsidP="0097449D">
            <w:pPr>
              <w:contextualSpacing/>
              <w:jc w:val="both"/>
              <w:rPr>
                <w:rFonts w:ascii="Times New Roman" w:hAnsi="Times New Roman" w:cs="Times New Roman"/>
                <w:sz w:val="24"/>
                <w:szCs w:val="24"/>
              </w:rPr>
            </w:pPr>
            <w:r w:rsidRPr="00C37701">
              <w:rPr>
                <w:rFonts w:ascii="Times New Roman" w:hAnsi="Times New Roman" w:cs="Times New Roman"/>
                <w:iCs/>
                <w:sz w:val="24"/>
                <w:szCs w:val="24"/>
              </w:rPr>
              <w:t>Коэффициент работоспособности</w:t>
            </w:r>
            <w:r w:rsidRPr="00C37701">
              <w:rPr>
                <w:rStyle w:val="a9"/>
                <w:rFonts w:ascii="Times New Roman" w:hAnsi="Times New Roman" w:cs="Times New Roman"/>
                <w:iCs/>
                <w:sz w:val="24"/>
                <w:szCs w:val="24"/>
              </w:rPr>
              <w:footnoteReference w:id="2"/>
            </w:r>
            <w:r w:rsidRPr="00C37701">
              <w:rPr>
                <w:rFonts w:ascii="Times New Roman" w:hAnsi="Times New Roman" w:cs="Times New Roman"/>
                <w:iCs/>
                <w:sz w:val="24"/>
                <w:szCs w:val="24"/>
              </w:rPr>
              <w:t xml:space="preserve"> Межбанковской системы переводов денег за год</w:t>
            </w:r>
          </w:p>
        </w:tc>
        <w:tc>
          <w:tcPr>
            <w:tcW w:w="1610" w:type="dxa"/>
          </w:tcPr>
          <w:p w14:paraId="7312495C" w14:textId="77777777" w:rsidR="00F17E4A" w:rsidRPr="00C37701" w:rsidRDefault="00F17E4A"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НБРК</w:t>
            </w:r>
          </w:p>
        </w:tc>
        <w:tc>
          <w:tcPr>
            <w:tcW w:w="1592" w:type="dxa"/>
          </w:tcPr>
          <w:p w14:paraId="1F953959" w14:textId="77777777" w:rsidR="00F17E4A" w:rsidRPr="00C37701" w:rsidRDefault="00F17E4A"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w:t>
            </w:r>
          </w:p>
        </w:tc>
        <w:tc>
          <w:tcPr>
            <w:tcW w:w="952" w:type="dxa"/>
          </w:tcPr>
          <w:p w14:paraId="3AC5C69A" w14:textId="77777777" w:rsidR="00F17E4A" w:rsidRPr="00C37701" w:rsidRDefault="00F17E4A"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95-100</w:t>
            </w:r>
          </w:p>
        </w:tc>
        <w:tc>
          <w:tcPr>
            <w:tcW w:w="1551" w:type="dxa"/>
          </w:tcPr>
          <w:p w14:paraId="5060CF6C" w14:textId="77777777" w:rsidR="00F17E4A" w:rsidRPr="00C37701" w:rsidRDefault="00F17E4A"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99,99%</w:t>
            </w:r>
          </w:p>
          <w:p w14:paraId="2D023508" w14:textId="77777777" w:rsidR="00F17E4A" w:rsidRPr="00C37701" w:rsidRDefault="00F17E4A" w:rsidP="0097449D">
            <w:pPr>
              <w:keepNext/>
              <w:keepLines/>
              <w:tabs>
                <w:tab w:val="left" w:pos="972"/>
                <w:tab w:val="left" w:pos="1080"/>
              </w:tabs>
              <w:contextualSpacing/>
              <w:jc w:val="both"/>
              <w:rPr>
                <w:rFonts w:ascii="Times New Roman" w:hAnsi="Times New Roman" w:cs="Times New Roman"/>
                <w:sz w:val="24"/>
                <w:szCs w:val="24"/>
              </w:rPr>
            </w:pPr>
          </w:p>
        </w:tc>
        <w:tc>
          <w:tcPr>
            <w:tcW w:w="2008" w:type="dxa"/>
          </w:tcPr>
          <w:p w14:paraId="48B942BB" w14:textId="77777777" w:rsidR="00F17E4A" w:rsidRPr="00C37701" w:rsidRDefault="00F17E4A" w:rsidP="0097449D">
            <w:pPr>
              <w:contextualSpacing/>
              <w:jc w:val="both"/>
              <w:rPr>
                <w:rFonts w:ascii="Times New Roman" w:hAnsi="Times New Roman" w:cs="Times New Roman"/>
                <w:b/>
                <w:sz w:val="24"/>
                <w:szCs w:val="24"/>
              </w:rPr>
            </w:pPr>
          </w:p>
        </w:tc>
      </w:tr>
      <w:tr w:rsidR="00F17E4A" w:rsidRPr="00C37701" w14:paraId="2F3CDD44" w14:textId="77777777" w:rsidTr="00530BDE">
        <w:tc>
          <w:tcPr>
            <w:tcW w:w="2370" w:type="dxa"/>
          </w:tcPr>
          <w:p w14:paraId="27CACCEA" w14:textId="77777777" w:rsidR="00F17E4A" w:rsidRPr="00C37701" w:rsidRDefault="00F17E4A" w:rsidP="0097449D">
            <w:pPr>
              <w:contextualSpacing/>
              <w:jc w:val="both"/>
              <w:rPr>
                <w:rFonts w:ascii="Times New Roman" w:hAnsi="Times New Roman" w:cs="Times New Roman"/>
                <w:sz w:val="24"/>
                <w:szCs w:val="24"/>
              </w:rPr>
            </w:pPr>
            <w:r w:rsidRPr="00C37701">
              <w:rPr>
                <w:rFonts w:ascii="Times New Roman" w:hAnsi="Times New Roman" w:cs="Times New Roman"/>
                <w:b/>
                <w:sz w:val="24"/>
                <w:szCs w:val="24"/>
              </w:rPr>
              <w:t>Целевой индикатор 2</w:t>
            </w:r>
          </w:p>
        </w:tc>
        <w:tc>
          <w:tcPr>
            <w:tcW w:w="1610" w:type="dxa"/>
          </w:tcPr>
          <w:p w14:paraId="2A23EA87" w14:textId="77777777" w:rsidR="00F17E4A" w:rsidRPr="00C37701" w:rsidRDefault="00F17E4A" w:rsidP="0097449D">
            <w:pPr>
              <w:contextualSpacing/>
              <w:jc w:val="both"/>
              <w:rPr>
                <w:rFonts w:ascii="Times New Roman" w:hAnsi="Times New Roman" w:cs="Times New Roman"/>
                <w:sz w:val="24"/>
                <w:szCs w:val="24"/>
              </w:rPr>
            </w:pPr>
          </w:p>
        </w:tc>
        <w:tc>
          <w:tcPr>
            <w:tcW w:w="1592" w:type="dxa"/>
          </w:tcPr>
          <w:p w14:paraId="3EE8F564" w14:textId="77777777" w:rsidR="00F17E4A" w:rsidRPr="00C37701" w:rsidRDefault="00F17E4A" w:rsidP="0097449D">
            <w:pPr>
              <w:contextualSpacing/>
              <w:jc w:val="both"/>
              <w:rPr>
                <w:rFonts w:ascii="Times New Roman" w:hAnsi="Times New Roman" w:cs="Times New Roman"/>
                <w:sz w:val="24"/>
                <w:szCs w:val="24"/>
              </w:rPr>
            </w:pPr>
          </w:p>
        </w:tc>
        <w:tc>
          <w:tcPr>
            <w:tcW w:w="952" w:type="dxa"/>
          </w:tcPr>
          <w:p w14:paraId="0A1AC796" w14:textId="77777777" w:rsidR="00F17E4A" w:rsidRPr="00C37701" w:rsidRDefault="00F17E4A" w:rsidP="0097449D">
            <w:pPr>
              <w:contextualSpacing/>
              <w:jc w:val="both"/>
              <w:rPr>
                <w:rFonts w:ascii="Times New Roman" w:hAnsi="Times New Roman" w:cs="Times New Roman"/>
                <w:sz w:val="24"/>
                <w:szCs w:val="24"/>
              </w:rPr>
            </w:pPr>
          </w:p>
        </w:tc>
        <w:tc>
          <w:tcPr>
            <w:tcW w:w="1551" w:type="dxa"/>
          </w:tcPr>
          <w:p w14:paraId="40677931" w14:textId="77777777" w:rsidR="00F17E4A" w:rsidRPr="00C37701" w:rsidRDefault="00F17E4A" w:rsidP="0097449D">
            <w:pPr>
              <w:contextualSpacing/>
              <w:jc w:val="both"/>
              <w:rPr>
                <w:rFonts w:ascii="Times New Roman" w:hAnsi="Times New Roman" w:cs="Times New Roman"/>
                <w:sz w:val="24"/>
                <w:szCs w:val="24"/>
              </w:rPr>
            </w:pPr>
          </w:p>
        </w:tc>
        <w:tc>
          <w:tcPr>
            <w:tcW w:w="2008" w:type="dxa"/>
          </w:tcPr>
          <w:p w14:paraId="5CA13360" w14:textId="77777777" w:rsidR="00F17E4A" w:rsidRPr="00C37701" w:rsidRDefault="00F17E4A" w:rsidP="0097449D">
            <w:pPr>
              <w:contextualSpacing/>
              <w:jc w:val="both"/>
              <w:rPr>
                <w:rFonts w:ascii="Times New Roman" w:hAnsi="Times New Roman" w:cs="Times New Roman"/>
                <w:b/>
                <w:sz w:val="24"/>
                <w:szCs w:val="24"/>
              </w:rPr>
            </w:pPr>
          </w:p>
        </w:tc>
      </w:tr>
      <w:tr w:rsidR="00F17E4A" w:rsidRPr="00C37701" w14:paraId="7E07C576" w14:textId="77777777" w:rsidTr="00530BDE">
        <w:tc>
          <w:tcPr>
            <w:tcW w:w="2370" w:type="dxa"/>
          </w:tcPr>
          <w:p w14:paraId="4D01490D" w14:textId="77777777" w:rsidR="00F17E4A" w:rsidRPr="00C37701" w:rsidRDefault="00F17E4A"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Коэффициент работоспособности Системы межбанковского клиринга за год</w:t>
            </w:r>
          </w:p>
        </w:tc>
        <w:tc>
          <w:tcPr>
            <w:tcW w:w="1610" w:type="dxa"/>
          </w:tcPr>
          <w:p w14:paraId="455C5F46" w14:textId="77777777" w:rsidR="00F17E4A" w:rsidRPr="00C37701" w:rsidRDefault="00F17E4A"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НБРК</w:t>
            </w:r>
          </w:p>
        </w:tc>
        <w:tc>
          <w:tcPr>
            <w:tcW w:w="1592" w:type="dxa"/>
          </w:tcPr>
          <w:p w14:paraId="03BFDB52" w14:textId="77777777" w:rsidR="00F17E4A" w:rsidRPr="00C37701" w:rsidRDefault="00F17E4A" w:rsidP="0097449D">
            <w:pPr>
              <w:keepNext/>
              <w:keepLines/>
              <w:tabs>
                <w:tab w:val="left" w:pos="900"/>
                <w:tab w:val="left" w:pos="1080"/>
              </w:tabs>
              <w:contextualSpacing/>
              <w:jc w:val="both"/>
              <w:rPr>
                <w:rFonts w:ascii="Times New Roman" w:hAnsi="Times New Roman" w:cs="Times New Roman"/>
                <w:sz w:val="24"/>
                <w:szCs w:val="24"/>
              </w:rPr>
            </w:pPr>
            <w:r w:rsidRPr="00C37701">
              <w:rPr>
                <w:rFonts w:ascii="Times New Roman" w:hAnsi="Times New Roman" w:cs="Times New Roman"/>
                <w:sz w:val="24"/>
                <w:szCs w:val="24"/>
              </w:rPr>
              <w:t>%</w:t>
            </w:r>
          </w:p>
        </w:tc>
        <w:tc>
          <w:tcPr>
            <w:tcW w:w="952" w:type="dxa"/>
          </w:tcPr>
          <w:p w14:paraId="724D98ED" w14:textId="77777777" w:rsidR="00F17E4A" w:rsidRPr="00C37701" w:rsidRDefault="00F17E4A"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95-100</w:t>
            </w:r>
          </w:p>
        </w:tc>
        <w:tc>
          <w:tcPr>
            <w:tcW w:w="1551" w:type="dxa"/>
          </w:tcPr>
          <w:p w14:paraId="25F0A885" w14:textId="77777777" w:rsidR="00F17E4A" w:rsidRPr="00C37701" w:rsidRDefault="00F17E4A" w:rsidP="0097449D">
            <w:pPr>
              <w:contextualSpacing/>
              <w:jc w:val="both"/>
              <w:rPr>
                <w:rFonts w:ascii="Times New Roman" w:hAnsi="Times New Roman" w:cs="Times New Roman"/>
                <w:sz w:val="24"/>
                <w:szCs w:val="24"/>
              </w:rPr>
            </w:pPr>
            <w:r w:rsidRPr="00C37701">
              <w:rPr>
                <w:rFonts w:ascii="Times New Roman" w:hAnsi="Times New Roman" w:cs="Times New Roman"/>
                <w:sz w:val="24"/>
                <w:szCs w:val="24"/>
              </w:rPr>
              <w:t>99,99%</w:t>
            </w:r>
          </w:p>
          <w:p w14:paraId="1C7DC9DD" w14:textId="77777777" w:rsidR="00F17E4A" w:rsidRPr="00C37701" w:rsidRDefault="00F17E4A" w:rsidP="0097449D">
            <w:pPr>
              <w:contextualSpacing/>
              <w:jc w:val="both"/>
              <w:rPr>
                <w:rFonts w:ascii="Times New Roman" w:hAnsi="Times New Roman" w:cs="Times New Roman"/>
                <w:sz w:val="24"/>
                <w:szCs w:val="24"/>
              </w:rPr>
            </w:pPr>
          </w:p>
        </w:tc>
        <w:tc>
          <w:tcPr>
            <w:tcW w:w="2008" w:type="dxa"/>
          </w:tcPr>
          <w:p w14:paraId="20B5EB12" w14:textId="77777777" w:rsidR="00F17E4A" w:rsidRPr="00C37701" w:rsidRDefault="00F17E4A" w:rsidP="0097449D">
            <w:pPr>
              <w:contextualSpacing/>
              <w:jc w:val="both"/>
              <w:rPr>
                <w:rFonts w:ascii="Times New Roman" w:hAnsi="Times New Roman" w:cs="Times New Roman"/>
                <w:b/>
                <w:sz w:val="24"/>
                <w:szCs w:val="24"/>
              </w:rPr>
            </w:pPr>
          </w:p>
        </w:tc>
      </w:tr>
    </w:tbl>
    <w:p w14:paraId="0B2F3B5A" w14:textId="77777777" w:rsidR="00C97C57" w:rsidRPr="00C37701" w:rsidRDefault="00C97C57" w:rsidP="0097449D">
      <w:pPr>
        <w:spacing w:after="0" w:line="240" w:lineRule="auto"/>
        <w:contextualSpacing/>
        <w:jc w:val="both"/>
        <w:rPr>
          <w:rFonts w:ascii="Times New Roman" w:hAnsi="Times New Roman" w:cs="Times New Roman"/>
          <w:b/>
          <w:sz w:val="24"/>
          <w:szCs w:val="24"/>
        </w:rPr>
      </w:pPr>
    </w:p>
    <w:p w14:paraId="2E04AC5C" w14:textId="77777777" w:rsidR="00C97C57" w:rsidRPr="00C37701" w:rsidRDefault="00C97C57" w:rsidP="0097449D">
      <w:pPr>
        <w:spacing w:after="0" w:line="240" w:lineRule="auto"/>
        <w:contextualSpacing/>
        <w:jc w:val="both"/>
        <w:rPr>
          <w:rFonts w:ascii="Times New Roman" w:hAnsi="Times New Roman" w:cs="Times New Roman"/>
          <w:b/>
          <w:sz w:val="24"/>
          <w:szCs w:val="24"/>
        </w:rPr>
      </w:pPr>
    </w:p>
    <w:p w14:paraId="045515E6" w14:textId="77777777" w:rsidR="00450B5D" w:rsidRPr="00C37701" w:rsidRDefault="00450B5D" w:rsidP="0097449D">
      <w:pPr>
        <w:spacing w:after="0" w:line="240" w:lineRule="auto"/>
        <w:contextualSpacing/>
        <w:jc w:val="both"/>
        <w:rPr>
          <w:rFonts w:ascii="Times New Roman" w:hAnsi="Times New Roman" w:cs="Times New Roman"/>
          <w:b/>
          <w:sz w:val="24"/>
          <w:szCs w:val="24"/>
        </w:rPr>
      </w:pPr>
    </w:p>
    <w:p w14:paraId="4F35CF2D" w14:textId="77777777" w:rsidR="002C4811" w:rsidRPr="00C37701" w:rsidRDefault="002C4811" w:rsidP="0097449D">
      <w:pPr>
        <w:spacing w:after="0" w:line="240" w:lineRule="auto"/>
        <w:contextualSpacing/>
        <w:jc w:val="both"/>
        <w:rPr>
          <w:rFonts w:ascii="Times New Roman" w:hAnsi="Times New Roman" w:cs="Times New Roman"/>
          <w:b/>
          <w:sz w:val="24"/>
          <w:szCs w:val="24"/>
        </w:rPr>
      </w:pPr>
    </w:p>
    <w:p w14:paraId="5E59DB25" w14:textId="77777777" w:rsidR="002C4811" w:rsidRPr="00C37701" w:rsidRDefault="002C4811" w:rsidP="0097449D">
      <w:pPr>
        <w:spacing w:after="0" w:line="240" w:lineRule="auto"/>
        <w:contextualSpacing/>
        <w:jc w:val="both"/>
        <w:rPr>
          <w:rFonts w:ascii="Times New Roman" w:hAnsi="Times New Roman" w:cs="Times New Roman"/>
          <w:b/>
          <w:sz w:val="24"/>
          <w:szCs w:val="24"/>
        </w:rPr>
      </w:pPr>
    </w:p>
    <w:p w14:paraId="38390690" w14:textId="77777777" w:rsidR="00175583" w:rsidRPr="00C37701" w:rsidRDefault="00175583" w:rsidP="0097449D">
      <w:pPr>
        <w:spacing w:after="0" w:line="240" w:lineRule="auto"/>
        <w:contextualSpacing/>
        <w:jc w:val="both"/>
        <w:rPr>
          <w:rFonts w:ascii="Times New Roman" w:hAnsi="Times New Roman" w:cs="Times New Roman"/>
          <w:b/>
          <w:sz w:val="24"/>
          <w:szCs w:val="24"/>
        </w:rPr>
      </w:pPr>
    </w:p>
    <w:p w14:paraId="7EBDA045" w14:textId="77777777" w:rsidR="00175583" w:rsidRPr="00C37701" w:rsidRDefault="00175583" w:rsidP="0097449D">
      <w:pPr>
        <w:spacing w:after="0" w:line="240" w:lineRule="auto"/>
        <w:contextualSpacing/>
        <w:jc w:val="both"/>
        <w:rPr>
          <w:rFonts w:ascii="Times New Roman" w:hAnsi="Times New Roman" w:cs="Times New Roman"/>
          <w:b/>
          <w:sz w:val="24"/>
          <w:szCs w:val="24"/>
        </w:rPr>
      </w:pPr>
    </w:p>
    <w:p w14:paraId="4BBA6EBA" w14:textId="77777777" w:rsidR="00175583" w:rsidRPr="00C37701" w:rsidRDefault="00175583" w:rsidP="0097449D">
      <w:pPr>
        <w:spacing w:after="0" w:line="240" w:lineRule="auto"/>
        <w:contextualSpacing/>
        <w:jc w:val="both"/>
        <w:rPr>
          <w:rFonts w:ascii="Times New Roman" w:hAnsi="Times New Roman" w:cs="Times New Roman"/>
          <w:b/>
          <w:sz w:val="24"/>
          <w:szCs w:val="24"/>
        </w:rPr>
      </w:pPr>
    </w:p>
    <w:p w14:paraId="4A36B28E" w14:textId="77777777" w:rsidR="00175583" w:rsidRPr="00C37701" w:rsidRDefault="00175583" w:rsidP="0097449D">
      <w:pPr>
        <w:spacing w:after="0" w:line="240" w:lineRule="auto"/>
        <w:contextualSpacing/>
        <w:jc w:val="both"/>
        <w:rPr>
          <w:rFonts w:ascii="Times New Roman" w:hAnsi="Times New Roman" w:cs="Times New Roman"/>
          <w:b/>
          <w:sz w:val="24"/>
          <w:szCs w:val="24"/>
        </w:rPr>
      </w:pPr>
    </w:p>
    <w:p w14:paraId="2F6CDB63" w14:textId="77777777" w:rsidR="00175583" w:rsidRPr="00C37701" w:rsidRDefault="00175583" w:rsidP="0097449D">
      <w:pPr>
        <w:spacing w:after="0" w:line="240" w:lineRule="auto"/>
        <w:contextualSpacing/>
        <w:jc w:val="both"/>
        <w:rPr>
          <w:rFonts w:ascii="Times New Roman" w:hAnsi="Times New Roman" w:cs="Times New Roman"/>
          <w:b/>
          <w:sz w:val="24"/>
          <w:szCs w:val="24"/>
        </w:rPr>
      </w:pPr>
    </w:p>
    <w:p w14:paraId="7E292AB8" w14:textId="77777777" w:rsidR="00175583" w:rsidRPr="00C37701" w:rsidRDefault="00175583" w:rsidP="0097449D">
      <w:pPr>
        <w:spacing w:after="0" w:line="240" w:lineRule="auto"/>
        <w:contextualSpacing/>
        <w:jc w:val="both"/>
        <w:rPr>
          <w:rFonts w:ascii="Times New Roman" w:hAnsi="Times New Roman" w:cs="Times New Roman"/>
          <w:b/>
          <w:sz w:val="24"/>
          <w:szCs w:val="24"/>
        </w:rPr>
      </w:pPr>
    </w:p>
    <w:p w14:paraId="0C58D92C" w14:textId="77777777" w:rsidR="00175583" w:rsidRPr="00C37701" w:rsidRDefault="00175583" w:rsidP="0097449D">
      <w:pPr>
        <w:spacing w:after="0" w:line="240" w:lineRule="auto"/>
        <w:contextualSpacing/>
        <w:jc w:val="both"/>
        <w:rPr>
          <w:rFonts w:ascii="Times New Roman" w:hAnsi="Times New Roman" w:cs="Times New Roman"/>
          <w:b/>
          <w:sz w:val="24"/>
          <w:szCs w:val="24"/>
        </w:rPr>
      </w:pPr>
    </w:p>
    <w:p w14:paraId="47901811" w14:textId="77777777" w:rsidR="00175583" w:rsidRPr="00C37701" w:rsidRDefault="00175583" w:rsidP="0097449D">
      <w:pPr>
        <w:spacing w:after="0" w:line="240" w:lineRule="auto"/>
        <w:contextualSpacing/>
        <w:jc w:val="both"/>
        <w:rPr>
          <w:rFonts w:ascii="Times New Roman" w:hAnsi="Times New Roman" w:cs="Times New Roman"/>
          <w:b/>
          <w:sz w:val="24"/>
          <w:szCs w:val="24"/>
        </w:rPr>
      </w:pPr>
    </w:p>
    <w:p w14:paraId="7DF82F05" w14:textId="77777777" w:rsidR="00175583" w:rsidRPr="00C37701" w:rsidRDefault="00175583" w:rsidP="0097449D">
      <w:pPr>
        <w:spacing w:after="0" w:line="240" w:lineRule="auto"/>
        <w:contextualSpacing/>
        <w:jc w:val="both"/>
        <w:rPr>
          <w:rFonts w:ascii="Times New Roman" w:hAnsi="Times New Roman" w:cs="Times New Roman"/>
          <w:b/>
          <w:sz w:val="24"/>
          <w:szCs w:val="24"/>
        </w:rPr>
      </w:pPr>
    </w:p>
    <w:p w14:paraId="3530D3C5" w14:textId="77777777" w:rsidR="00175583" w:rsidRPr="00C37701" w:rsidRDefault="00175583" w:rsidP="0097449D">
      <w:pPr>
        <w:spacing w:after="0" w:line="240" w:lineRule="auto"/>
        <w:contextualSpacing/>
        <w:jc w:val="both"/>
        <w:rPr>
          <w:rFonts w:ascii="Times New Roman" w:hAnsi="Times New Roman" w:cs="Times New Roman"/>
          <w:b/>
          <w:sz w:val="24"/>
          <w:szCs w:val="24"/>
        </w:rPr>
      </w:pPr>
    </w:p>
    <w:p w14:paraId="2D38F745" w14:textId="77777777" w:rsidR="002C4811" w:rsidRDefault="002C4811" w:rsidP="0097449D">
      <w:pPr>
        <w:spacing w:after="0" w:line="240" w:lineRule="auto"/>
        <w:contextualSpacing/>
        <w:jc w:val="both"/>
        <w:rPr>
          <w:rFonts w:ascii="Times New Roman" w:hAnsi="Times New Roman" w:cs="Times New Roman"/>
          <w:b/>
          <w:sz w:val="24"/>
          <w:szCs w:val="24"/>
        </w:rPr>
      </w:pPr>
    </w:p>
    <w:p w14:paraId="7D72EF93" w14:textId="77777777" w:rsidR="001205DD" w:rsidRPr="00C37701" w:rsidRDefault="001205DD" w:rsidP="0097449D">
      <w:pPr>
        <w:spacing w:after="0" w:line="240" w:lineRule="auto"/>
        <w:contextualSpacing/>
        <w:jc w:val="both"/>
        <w:rPr>
          <w:rFonts w:ascii="Times New Roman" w:hAnsi="Times New Roman" w:cs="Times New Roman"/>
          <w:b/>
          <w:sz w:val="24"/>
          <w:szCs w:val="24"/>
        </w:rPr>
      </w:pPr>
    </w:p>
    <w:p w14:paraId="3D5DCE9E" w14:textId="77777777" w:rsidR="00852E0F" w:rsidRPr="00C37701" w:rsidRDefault="00852E0F" w:rsidP="0097449D">
      <w:pPr>
        <w:spacing w:after="0" w:line="240" w:lineRule="auto"/>
        <w:contextualSpacing/>
        <w:jc w:val="both"/>
        <w:rPr>
          <w:rFonts w:ascii="Times New Roman" w:hAnsi="Times New Roman" w:cs="Times New Roman"/>
          <w:b/>
          <w:sz w:val="24"/>
          <w:szCs w:val="24"/>
        </w:rPr>
      </w:pPr>
    </w:p>
    <w:p w14:paraId="52CC52BF" w14:textId="77777777" w:rsidR="00614803" w:rsidRPr="00C37701" w:rsidRDefault="00614803" w:rsidP="0097449D">
      <w:pPr>
        <w:spacing w:after="0" w:line="240" w:lineRule="auto"/>
        <w:contextualSpacing/>
        <w:jc w:val="both"/>
        <w:rPr>
          <w:rFonts w:ascii="Times New Roman" w:hAnsi="Times New Roman" w:cs="Times New Roman"/>
          <w:b/>
          <w:sz w:val="24"/>
          <w:szCs w:val="24"/>
        </w:rPr>
      </w:pPr>
    </w:p>
    <w:p w14:paraId="038F50F1" w14:textId="77777777" w:rsidR="001D338B" w:rsidRPr="00C37701" w:rsidRDefault="001D338B" w:rsidP="0097449D">
      <w:pPr>
        <w:spacing w:after="0" w:line="240" w:lineRule="auto"/>
        <w:contextualSpacing/>
        <w:jc w:val="both"/>
        <w:rPr>
          <w:rFonts w:ascii="Times New Roman" w:hAnsi="Times New Roman" w:cs="Times New Roman"/>
          <w:b/>
          <w:sz w:val="24"/>
          <w:szCs w:val="24"/>
        </w:rPr>
      </w:pPr>
    </w:p>
    <w:p w14:paraId="2C20E214" w14:textId="77D728FE" w:rsidR="006346A7" w:rsidRPr="00C37701" w:rsidRDefault="00F35DFB" w:rsidP="00166FD1">
      <w:pPr>
        <w:jc w:val="center"/>
        <w:rPr>
          <w:rFonts w:ascii="Times New Roman" w:hAnsi="Times New Roman" w:cs="Times New Roman"/>
          <w:b/>
          <w:sz w:val="24"/>
          <w:szCs w:val="24"/>
        </w:rPr>
      </w:pPr>
      <w:r>
        <w:rPr>
          <w:rFonts w:ascii="Times New Roman" w:hAnsi="Times New Roman" w:cs="Times New Roman"/>
          <w:b/>
          <w:sz w:val="24"/>
          <w:szCs w:val="24"/>
        </w:rPr>
        <w:br w:type="page"/>
      </w:r>
      <w:r w:rsidR="006346A7" w:rsidRPr="00C37701">
        <w:rPr>
          <w:rFonts w:ascii="Times New Roman" w:hAnsi="Times New Roman" w:cs="Times New Roman"/>
          <w:b/>
          <w:sz w:val="24"/>
          <w:szCs w:val="24"/>
        </w:rPr>
        <w:lastRenderedPageBreak/>
        <w:t>Аналитическая записка</w:t>
      </w:r>
    </w:p>
    <w:p w14:paraId="048DD968" w14:textId="77777777" w:rsidR="006346A7" w:rsidRPr="00C37701" w:rsidRDefault="006346A7" w:rsidP="0097449D">
      <w:pPr>
        <w:spacing w:after="0" w:line="240" w:lineRule="auto"/>
        <w:contextualSpacing/>
        <w:jc w:val="center"/>
        <w:rPr>
          <w:rFonts w:ascii="Times New Roman" w:hAnsi="Times New Roman" w:cs="Times New Roman"/>
          <w:color w:val="000000"/>
          <w:sz w:val="24"/>
          <w:szCs w:val="24"/>
        </w:rPr>
      </w:pPr>
      <w:r w:rsidRPr="00C37701">
        <w:rPr>
          <w:rFonts w:ascii="Times New Roman" w:hAnsi="Times New Roman" w:cs="Times New Roman"/>
          <w:color w:val="000000"/>
          <w:sz w:val="24"/>
          <w:szCs w:val="24"/>
        </w:rPr>
        <w:t>к отчету о реализации Стратегического плана</w:t>
      </w:r>
    </w:p>
    <w:p w14:paraId="50DA30D7" w14:textId="77777777" w:rsidR="006346A7" w:rsidRPr="00C37701" w:rsidRDefault="006346A7" w:rsidP="0097449D">
      <w:pPr>
        <w:spacing w:after="0" w:line="240" w:lineRule="auto"/>
        <w:contextualSpacing/>
        <w:jc w:val="center"/>
        <w:rPr>
          <w:rFonts w:ascii="Times New Roman" w:hAnsi="Times New Roman" w:cs="Times New Roman"/>
          <w:color w:val="000000"/>
          <w:sz w:val="24"/>
          <w:szCs w:val="24"/>
        </w:rPr>
      </w:pPr>
      <w:r w:rsidRPr="00C37701">
        <w:rPr>
          <w:rFonts w:ascii="Times New Roman" w:hAnsi="Times New Roman" w:cs="Times New Roman"/>
          <w:color w:val="000000"/>
          <w:sz w:val="24"/>
          <w:szCs w:val="24"/>
        </w:rPr>
        <w:t>Национального Банка Республики Казахстан на 201</w:t>
      </w:r>
      <w:r w:rsidR="00644BA0" w:rsidRPr="00C37701">
        <w:rPr>
          <w:rFonts w:ascii="Times New Roman" w:hAnsi="Times New Roman" w:cs="Times New Roman"/>
          <w:color w:val="000000"/>
          <w:sz w:val="24"/>
          <w:szCs w:val="24"/>
        </w:rPr>
        <w:t>7</w:t>
      </w:r>
      <w:r w:rsidRPr="00C37701">
        <w:rPr>
          <w:rFonts w:ascii="Times New Roman" w:hAnsi="Times New Roman" w:cs="Times New Roman"/>
          <w:color w:val="000000"/>
          <w:sz w:val="24"/>
          <w:szCs w:val="24"/>
        </w:rPr>
        <w:t>-20</w:t>
      </w:r>
      <w:r w:rsidR="00644BA0" w:rsidRPr="00C37701">
        <w:rPr>
          <w:rFonts w:ascii="Times New Roman" w:hAnsi="Times New Roman" w:cs="Times New Roman"/>
          <w:color w:val="000000"/>
          <w:sz w:val="24"/>
          <w:szCs w:val="24"/>
        </w:rPr>
        <w:t>21</w:t>
      </w:r>
      <w:r w:rsidRPr="00C37701">
        <w:rPr>
          <w:rFonts w:ascii="Times New Roman" w:hAnsi="Times New Roman" w:cs="Times New Roman"/>
          <w:color w:val="000000"/>
          <w:sz w:val="24"/>
          <w:szCs w:val="24"/>
        </w:rPr>
        <w:t xml:space="preserve"> годы</w:t>
      </w:r>
    </w:p>
    <w:p w14:paraId="5D907B93" w14:textId="77777777" w:rsidR="006346A7" w:rsidRPr="00C37701" w:rsidRDefault="006346A7" w:rsidP="0097449D">
      <w:pPr>
        <w:spacing w:after="0" w:line="240" w:lineRule="auto"/>
        <w:contextualSpacing/>
        <w:jc w:val="center"/>
        <w:rPr>
          <w:rFonts w:ascii="Times New Roman" w:hAnsi="Times New Roman" w:cs="Times New Roman"/>
          <w:b/>
          <w:color w:val="000000"/>
          <w:sz w:val="24"/>
          <w:szCs w:val="24"/>
        </w:rPr>
      </w:pPr>
      <w:r w:rsidRPr="00C37701">
        <w:rPr>
          <w:rFonts w:ascii="Times New Roman" w:hAnsi="Times New Roman" w:cs="Times New Roman"/>
          <w:color w:val="000000"/>
          <w:sz w:val="24"/>
          <w:szCs w:val="24"/>
        </w:rPr>
        <w:t>за 201</w:t>
      </w:r>
      <w:r w:rsidR="00507A43" w:rsidRPr="00C37701">
        <w:rPr>
          <w:rFonts w:ascii="Times New Roman" w:hAnsi="Times New Roman" w:cs="Times New Roman"/>
          <w:color w:val="000000"/>
          <w:sz w:val="24"/>
          <w:szCs w:val="24"/>
        </w:rPr>
        <w:t>9</w:t>
      </w:r>
      <w:r w:rsidRPr="00C37701">
        <w:rPr>
          <w:rFonts w:ascii="Times New Roman" w:hAnsi="Times New Roman" w:cs="Times New Roman"/>
          <w:color w:val="000000"/>
          <w:sz w:val="24"/>
          <w:szCs w:val="24"/>
        </w:rPr>
        <w:t xml:space="preserve"> год</w:t>
      </w:r>
    </w:p>
    <w:p w14:paraId="0AE19D95" w14:textId="77777777" w:rsidR="006346A7" w:rsidRPr="00C37701" w:rsidRDefault="006346A7" w:rsidP="0097449D">
      <w:pPr>
        <w:spacing w:after="0" w:line="240" w:lineRule="auto"/>
        <w:contextualSpacing/>
        <w:jc w:val="center"/>
        <w:rPr>
          <w:rFonts w:ascii="Times New Roman" w:hAnsi="Times New Roman" w:cs="Times New Roman"/>
          <w:b/>
          <w:sz w:val="24"/>
          <w:szCs w:val="24"/>
        </w:rPr>
      </w:pPr>
    </w:p>
    <w:p w14:paraId="0C67152E" w14:textId="77777777" w:rsidR="006346A7" w:rsidRPr="00C37701" w:rsidRDefault="006346A7" w:rsidP="0097449D">
      <w:pPr>
        <w:spacing w:after="0" w:line="240" w:lineRule="auto"/>
        <w:contextualSpacing/>
        <w:jc w:val="center"/>
        <w:rPr>
          <w:rFonts w:ascii="Times New Roman" w:hAnsi="Times New Roman" w:cs="Times New Roman"/>
          <w:b/>
          <w:sz w:val="24"/>
          <w:szCs w:val="24"/>
        </w:rPr>
      </w:pPr>
      <w:r w:rsidRPr="00C37701">
        <w:rPr>
          <w:rFonts w:ascii="Times New Roman" w:hAnsi="Times New Roman" w:cs="Times New Roman"/>
          <w:b/>
          <w:sz w:val="24"/>
          <w:szCs w:val="24"/>
        </w:rPr>
        <w:t>Раздел 1. Анализ управления рисками</w:t>
      </w:r>
    </w:p>
    <w:p w14:paraId="69A43417" w14:textId="77777777" w:rsidR="00DC50C9" w:rsidRPr="00C37701" w:rsidRDefault="00DC50C9" w:rsidP="0097449D">
      <w:pPr>
        <w:spacing w:after="0" w:line="240" w:lineRule="auto"/>
        <w:ind w:firstLine="709"/>
        <w:contextualSpacing/>
        <w:jc w:val="center"/>
        <w:rPr>
          <w:rFonts w:ascii="Times New Roman" w:hAnsi="Times New Roman" w:cs="Times New Roman"/>
          <w:b/>
          <w:i/>
          <w:sz w:val="24"/>
          <w:szCs w:val="24"/>
        </w:rPr>
      </w:pPr>
    </w:p>
    <w:p w14:paraId="37EF4BCF" w14:textId="77777777" w:rsidR="00917EAF" w:rsidRDefault="00917EAF" w:rsidP="0097449D">
      <w:pPr>
        <w:spacing w:after="0" w:line="240" w:lineRule="auto"/>
        <w:ind w:firstLine="709"/>
        <w:contextualSpacing/>
        <w:jc w:val="center"/>
        <w:rPr>
          <w:rFonts w:ascii="Times New Roman" w:hAnsi="Times New Roman" w:cs="Times New Roman"/>
          <w:b/>
          <w:sz w:val="24"/>
          <w:szCs w:val="24"/>
          <w:u w:val="single"/>
        </w:rPr>
      </w:pPr>
    </w:p>
    <w:p w14:paraId="5B6F40E7" w14:textId="3B2E5369" w:rsidR="00E836E0" w:rsidRPr="00C37701" w:rsidRDefault="00895732" w:rsidP="0097449D">
      <w:pPr>
        <w:spacing w:after="0" w:line="240" w:lineRule="auto"/>
        <w:ind w:firstLine="709"/>
        <w:contextualSpacing/>
        <w:jc w:val="center"/>
        <w:rPr>
          <w:rFonts w:ascii="Times New Roman" w:hAnsi="Times New Roman" w:cs="Times New Roman"/>
          <w:b/>
          <w:sz w:val="24"/>
          <w:szCs w:val="24"/>
          <w:u w:val="single"/>
        </w:rPr>
      </w:pPr>
      <w:r w:rsidRPr="00C37701">
        <w:rPr>
          <w:rFonts w:ascii="Times New Roman" w:hAnsi="Times New Roman" w:cs="Times New Roman"/>
          <w:b/>
          <w:sz w:val="24"/>
          <w:szCs w:val="24"/>
          <w:u w:val="single"/>
        </w:rPr>
        <w:t>Стратегическое направление 1</w:t>
      </w:r>
    </w:p>
    <w:p w14:paraId="5619C2FF" w14:textId="764C71DA" w:rsidR="00DC50C9" w:rsidRPr="00C37701" w:rsidRDefault="00DC50C9" w:rsidP="0097449D">
      <w:pPr>
        <w:spacing w:after="0" w:line="240" w:lineRule="auto"/>
        <w:ind w:firstLine="709"/>
        <w:contextualSpacing/>
        <w:jc w:val="center"/>
        <w:rPr>
          <w:rFonts w:ascii="Times New Roman" w:hAnsi="Times New Roman" w:cs="Times New Roman"/>
          <w:b/>
          <w:sz w:val="24"/>
          <w:szCs w:val="24"/>
          <w:u w:val="single"/>
        </w:rPr>
      </w:pPr>
      <w:r w:rsidRPr="00C37701">
        <w:rPr>
          <w:rFonts w:ascii="Times New Roman" w:hAnsi="Times New Roman" w:cs="Times New Roman"/>
          <w:b/>
          <w:sz w:val="24"/>
          <w:szCs w:val="24"/>
          <w:u w:val="single"/>
        </w:rPr>
        <w:t>Обеспечение стабильности</w:t>
      </w:r>
      <w:r w:rsidR="00895732" w:rsidRPr="00C37701">
        <w:rPr>
          <w:rFonts w:ascii="Times New Roman" w:hAnsi="Times New Roman" w:cs="Times New Roman"/>
          <w:b/>
          <w:sz w:val="24"/>
          <w:szCs w:val="24"/>
          <w:u w:val="single"/>
        </w:rPr>
        <w:t xml:space="preserve"> цен</w:t>
      </w:r>
    </w:p>
    <w:p w14:paraId="355A8BC0" w14:textId="77777777" w:rsidR="00E836E0" w:rsidRPr="00C37701" w:rsidRDefault="00E836E0" w:rsidP="0097449D">
      <w:pPr>
        <w:spacing w:after="0" w:line="240" w:lineRule="auto"/>
        <w:ind w:firstLine="709"/>
        <w:contextualSpacing/>
        <w:jc w:val="both"/>
        <w:rPr>
          <w:rFonts w:ascii="Times New Roman" w:hAnsi="Times New Roman" w:cs="Times New Roman"/>
          <w:b/>
          <w:i/>
          <w:sz w:val="24"/>
          <w:szCs w:val="24"/>
        </w:rPr>
      </w:pPr>
    </w:p>
    <w:p w14:paraId="3E43C499" w14:textId="77777777" w:rsidR="00C36440" w:rsidRDefault="00E81559" w:rsidP="00C36440">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Цель 1.1. Разработка и проведение денежно-кредитной политики государства. Удержание инфляции в целевом коридоре.</w:t>
      </w:r>
    </w:p>
    <w:p w14:paraId="2FC09395" w14:textId="2DF58032" w:rsidR="00495F3E" w:rsidRPr="00C36440" w:rsidRDefault="00495F3E" w:rsidP="00C36440">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Снижение цены на нефть на протяжении всего среднесрочного периода может привести к ослаблению тенге и росту инфляции в краткосрочном периоде.</w:t>
      </w:r>
    </w:p>
    <w:p w14:paraId="09EA7F51" w14:textId="77777777" w:rsidR="00495F3E" w:rsidRPr="00C37701" w:rsidRDefault="00495F3E"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Возможные последствия в случае непринятия мер по управлению рисками:</w:t>
      </w:r>
    </w:p>
    <w:p w14:paraId="04230525" w14:textId="467E28CB" w:rsidR="00495F3E" w:rsidRPr="00C37701" w:rsidRDefault="00495F3E"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Превышение уровня инфляции верхней границы целевого коридора 4-6% в 2019 году</w:t>
      </w:r>
      <w:r w:rsidR="00D24CE7">
        <w:rPr>
          <w:rFonts w:ascii="Times New Roman" w:hAnsi="Times New Roman" w:cs="Times New Roman"/>
          <w:sz w:val="24"/>
          <w:szCs w:val="24"/>
        </w:rPr>
        <w:t>.</w:t>
      </w:r>
    </w:p>
    <w:p w14:paraId="4E891131" w14:textId="77777777" w:rsidR="00495F3E" w:rsidRPr="00C37701" w:rsidRDefault="00495F3E"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bCs/>
          <w:i/>
          <w:sz w:val="24"/>
          <w:szCs w:val="24"/>
        </w:rPr>
        <w:t>Мероприятия по управлению возможным риском:</w:t>
      </w:r>
    </w:p>
    <w:p w14:paraId="7B6559D7" w14:textId="4A5731F0" w:rsidR="00495F3E" w:rsidRPr="00C37701" w:rsidRDefault="00495F3E" w:rsidP="0097449D">
      <w:pPr>
        <w:tabs>
          <w:tab w:val="left" w:pos="993"/>
        </w:tabs>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Цена на нефть марки </w:t>
      </w:r>
      <w:proofErr w:type="spellStart"/>
      <w:r w:rsidRPr="00C37701">
        <w:rPr>
          <w:rFonts w:ascii="Times New Roman" w:hAnsi="Times New Roman" w:cs="Times New Roman"/>
          <w:sz w:val="24"/>
          <w:szCs w:val="24"/>
        </w:rPr>
        <w:t>Brent</w:t>
      </w:r>
      <w:proofErr w:type="spellEnd"/>
      <w:r w:rsidRPr="00C37701">
        <w:rPr>
          <w:rFonts w:ascii="Times New Roman" w:hAnsi="Times New Roman" w:cs="Times New Roman"/>
          <w:sz w:val="24"/>
          <w:szCs w:val="24"/>
        </w:rPr>
        <w:t xml:space="preserve"> в 2019 году в среднем сформировалась на уровне</w:t>
      </w:r>
      <w:r w:rsidR="003D379F">
        <w:rPr>
          <w:rFonts w:ascii="Times New Roman" w:hAnsi="Times New Roman" w:cs="Times New Roman"/>
          <w:sz w:val="24"/>
          <w:szCs w:val="24"/>
        </w:rPr>
        <w:t xml:space="preserve">                             </w:t>
      </w:r>
      <w:r w:rsidRPr="00C37701">
        <w:rPr>
          <w:rFonts w:ascii="Times New Roman" w:hAnsi="Times New Roman" w:cs="Times New Roman"/>
          <w:sz w:val="24"/>
          <w:szCs w:val="24"/>
        </w:rPr>
        <w:t xml:space="preserve"> 64,2 доллара США за баррель, что соответствует базовому сценарию Национального Банка.</w:t>
      </w:r>
    </w:p>
    <w:p w14:paraId="7A349386" w14:textId="77777777" w:rsidR="00495F3E" w:rsidRPr="00C37701" w:rsidRDefault="00495F3E" w:rsidP="0097449D">
      <w:pPr>
        <w:tabs>
          <w:tab w:val="left" w:pos="993"/>
        </w:tabs>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Цены стали опускаться ниже уровня 60 долларов США за баррель в августе 2019 года.</w:t>
      </w:r>
    </w:p>
    <w:p w14:paraId="4E0C76C9" w14:textId="5F2AD39B" w:rsidR="00495F3E" w:rsidRPr="00C37701" w:rsidRDefault="0072453D" w:rsidP="0097449D">
      <w:pPr>
        <w:tabs>
          <w:tab w:val="left" w:pos="99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этой связи, п</w:t>
      </w:r>
      <w:r w:rsidR="00495F3E" w:rsidRPr="00C37701">
        <w:rPr>
          <w:rFonts w:ascii="Times New Roman" w:hAnsi="Times New Roman" w:cs="Times New Roman"/>
          <w:sz w:val="24"/>
          <w:szCs w:val="24"/>
        </w:rPr>
        <w:t xml:space="preserve">остановлением Совета директоров НБРК от 9 сентября 2019 года </w:t>
      </w:r>
      <w:r w:rsidR="003D379F">
        <w:rPr>
          <w:rFonts w:ascii="Times New Roman" w:hAnsi="Times New Roman" w:cs="Times New Roman"/>
          <w:sz w:val="24"/>
          <w:szCs w:val="24"/>
        </w:rPr>
        <w:t xml:space="preserve">                         </w:t>
      </w:r>
      <w:r w:rsidR="00495F3E" w:rsidRPr="00C37701">
        <w:rPr>
          <w:rFonts w:ascii="Times New Roman" w:hAnsi="Times New Roman" w:cs="Times New Roman"/>
          <w:sz w:val="24"/>
          <w:szCs w:val="24"/>
        </w:rPr>
        <w:t>№</w:t>
      </w:r>
      <w:r w:rsidR="00DD7DCB">
        <w:rPr>
          <w:rFonts w:ascii="Times New Roman" w:hAnsi="Times New Roman" w:cs="Times New Roman"/>
          <w:sz w:val="24"/>
          <w:szCs w:val="24"/>
        </w:rPr>
        <w:t xml:space="preserve"> 64 «</w:t>
      </w:r>
      <w:r w:rsidR="00495F3E" w:rsidRPr="00C37701">
        <w:rPr>
          <w:rFonts w:ascii="Times New Roman" w:hAnsi="Times New Roman" w:cs="Times New Roman"/>
          <w:sz w:val="24"/>
          <w:szCs w:val="24"/>
        </w:rPr>
        <w:t>Об установлении базовой ставки Националь</w:t>
      </w:r>
      <w:r w:rsidR="00DD7DCB">
        <w:rPr>
          <w:rFonts w:ascii="Times New Roman" w:hAnsi="Times New Roman" w:cs="Times New Roman"/>
          <w:sz w:val="24"/>
          <w:szCs w:val="24"/>
        </w:rPr>
        <w:t>ного Банка Республики Казахстан»</w:t>
      </w:r>
      <w:r w:rsidR="00495F3E" w:rsidRPr="00C37701">
        <w:rPr>
          <w:rFonts w:ascii="Times New Roman" w:hAnsi="Times New Roman" w:cs="Times New Roman"/>
          <w:sz w:val="24"/>
          <w:szCs w:val="24"/>
        </w:rPr>
        <w:t xml:space="preserve"> на фоне влияния ряда вышеописанных факторов, оказывающих повышательное давление на инфляцию, базовая ставка была повышена до 9,25%. И сохранена на этом уровне до конца года.</w:t>
      </w:r>
    </w:p>
    <w:p w14:paraId="4F35E7A4" w14:textId="77777777" w:rsidR="00495F3E" w:rsidRPr="00C37701" w:rsidRDefault="00495F3E" w:rsidP="0097449D">
      <w:pPr>
        <w:tabs>
          <w:tab w:val="left" w:pos="993"/>
        </w:tabs>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Денежно-кредитные условия по итогам 2019 года оцениваются как слабо сдерживающие, что обусловлено необходимостью принятия упреждающих мер по ограничению влияния на инфляционные и курсовые ожидания расширяющегося дефицита текущего счета платежного баланса.</w:t>
      </w:r>
    </w:p>
    <w:p w14:paraId="62046A9F" w14:textId="77777777" w:rsidR="00495F3E" w:rsidRPr="00C37701" w:rsidRDefault="00495F3E" w:rsidP="0097449D">
      <w:pPr>
        <w:tabs>
          <w:tab w:val="left" w:pos="993"/>
        </w:tabs>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b/>
          <w:i/>
          <w:sz w:val="24"/>
          <w:szCs w:val="24"/>
        </w:rPr>
        <w:t>Более медленное восстановление казахстанской экономики, в том числе за счет медленного восстановления внутреннего спроса при условии стабилизации цен на нефть, может привести к снижению инфляции.</w:t>
      </w:r>
    </w:p>
    <w:p w14:paraId="5E7B531D" w14:textId="77777777" w:rsidR="00495F3E" w:rsidRPr="00C37701" w:rsidRDefault="00495F3E"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Возможные последствия в случае непринятия мер по управлению рисками:</w:t>
      </w:r>
    </w:p>
    <w:p w14:paraId="3C307B51" w14:textId="77777777" w:rsidR="00495F3E" w:rsidRPr="00C37701" w:rsidRDefault="00495F3E"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Риск не был реализован, в связи с чем, необходимость в принятии мер отсутствовала. </w:t>
      </w:r>
    </w:p>
    <w:p w14:paraId="2AF7AEF7" w14:textId="77777777" w:rsidR="00495F3E" w:rsidRPr="00C37701" w:rsidRDefault="00495F3E" w:rsidP="0097449D">
      <w:pPr>
        <w:tabs>
          <w:tab w:val="left" w:pos="8840"/>
        </w:tabs>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bCs/>
          <w:i/>
          <w:sz w:val="24"/>
          <w:szCs w:val="24"/>
        </w:rPr>
        <w:t>Мероприятия по управлению возможным риском:</w:t>
      </w:r>
      <w:r w:rsidRPr="00C37701">
        <w:rPr>
          <w:rFonts w:ascii="Times New Roman" w:hAnsi="Times New Roman" w:cs="Times New Roman"/>
          <w:b/>
          <w:bCs/>
          <w:i/>
          <w:sz w:val="24"/>
          <w:szCs w:val="24"/>
        </w:rPr>
        <w:tab/>
      </w:r>
    </w:p>
    <w:p w14:paraId="7BE97F4C" w14:textId="77777777" w:rsidR="00FA3A35" w:rsidRDefault="00FA3A35" w:rsidP="00FA3A35">
      <w:pPr>
        <w:tabs>
          <w:tab w:val="left" w:pos="99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Для удержания инфляции в целевом коридоре базовая ставка будет гибко реагировать на изменяющиеся внешние и внутренние экономические условия. Денежно-кредитная политика будет реализовываться вкупе со свободноплавающим обменным курсом для нивелирования эффектов реализации потенциальных рисков. </w:t>
      </w:r>
    </w:p>
    <w:p w14:paraId="7AFFF9B7" w14:textId="563C0BDA" w:rsidR="00495F3E" w:rsidRPr="00C37701" w:rsidRDefault="00495F3E" w:rsidP="0097449D">
      <w:pPr>
        <w:tabs>
          <w:tab w:val="left" w:pos="993"/>
        </w:tabs>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 </w:t>
      </w:r>
    </w:p>
    <w:p w14:paraId="491BE654" w14:textId="77777777" w:rsidR="00AC4AD9" w:rsidRPr="00C37701" w:rsidRDefault="00AC4AD9" w:rsidP="0097449D">
      <w:pPr>
        <w:tabs>
          <w:tab w:val="left" w:pos="993"/>
        </w:tabs>
        <w:spacing w:after="0" w:line="240" w:lineRule="auto"/>
        <w:ind w:firstLine="709"/>
        <w:contextualSpacing/>
        <w:jc w:val="both"/>
        <w:rPr>
          <w:rFonts w:ascii="Times New Roman" w:hAnsi="Times New Roman" w:cs="Times New Roman"/>
          <w:sz w:val="24"/>
          <w:szCs w:val="24"/>
        </w:rPr>
      </w:pPr>
    </w:p>
    <w:p w14:paraId="71FDFD67" w14:textId="77777777" w:rsidR="00917EAF" w:rsidRDefault="00917EAF" w:rsidP="0097449D">
      <w:pPr>
        <w:spacing w:after="0" w:line="240" w:lineRule="auto"/>
        <w:ind w:firstLine="709"/>
        <w:contextualSpacing/>
        <w:jc w:val="center"/>
        <w:rPr>
          <w:rFonts w:ascii="Times New Roman" w:hAnsi="Times New Roman" w:cs="Times New Roman"/>
          <w:b/>
          <w:sz w:val="24"/>
          <w:szCs w:val="24"/>
          <w:u w:val="single"/>
        </w:rPr>
      </w:pPr>
    </w:p>
    <w:p w14:paraId="1B8570A7" w14:textId="0123ED7D" w:rsidR="00895732" w:rsidRPr="00C37701" w:rsidRDefault="00CC0991" w:rsidP="0097449D">
      <w:pPr>
        <w:spacing w:after="0" w:line="240" w:lineRule="auto"/>
        <w:ind w:firstLine="709"/>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Стратегическое направление 2</w:t>
      </w:r>
    </w:p>
    <w:p w14:paraId="693F73BB" w14:textId="28360B15" w:rsidR="00895732" w:rsidRPr="00C37701" w:rsidRDefault="00895732" w:rsidP="0097449D">
      <w:pPr>
        <w:spacing w:after="0" w:line="240" w:lineRule="auto"/>
        <w:ind w:firstLine="709"/>
        <w:contextualSpacing/>
        <w:jc w:val="center"/>
        <w:rPr>
          <w:rFonts w:ascii="Times New Roman" w:hAnsi="Times New Roman" w:cs="Times New Roman"/>
          <w:b/>
          <w:sz w:val="24"/>
          <w:szCs w:val="24"/>
          <w:u w:val="single"/>
        </w:rPr>
      </w:pPr>
      <w:r w:rsidRPr="00C37701">
        <w:rPr>
          <w:rFonts w:ascii="Times New Roman" w:hAnsi="Times New Roman" w:cs="Times New Roman"/>
          <w:b/>
          <w:sz w:val="24"/>
          <w:szCs w:val="24"/>
          <w:u w:val="single"/>
        </w:rPr>
        <w:t>Обес</w:t>
      </w:r>
      <w:r w:rsidR="00CC0991">
        <w:rPr>
          <w:rFonts w:ascii="Times New Roman" w:hAnsi="Times New Roman" w:cs="Times New Roman"/>
          <w:b/>
          <w:sz w:val="24"/>
          <w:szCs w:val="24"/>
          <w:u w:val="single"/>
        </w:rPr>
        <w:t>печение финансовой стабильности</w:t>
      </w:r>
    </w:p>
    <w:p w14:paraId="4247CE8F" w14:textId="77777777" w:rsidR="00E81559" w:rsidRPr="00C37701" w:rsidRDefault="00E81559" w:rsidP="0097449D">
      <w:pPr>
        <w:spacing w:after="0" w:line="240" w:lineRule="auto"/>
        <w:ind w:firstLine="709"/>
        <w:contextualSpacing/>
        <w:jc w:val="both"/>
        <w:rPr>
          <w:rFonts w:ascii="Times New Roman" w:hAnsi="Times New Roman" w:cs="Times New Roman"/>
          <w:b/>
          <w:i/>
          <w:sz w:val="24"/>
          <w:szCs w:val="24"/>
        </w:rPr>
      </w:pPr>
    </w:p>
    <w:p w14:paraId="57CC26EE" w14:textId="77777777" w:rsidR="0079166B" w:rsidRPr="00C37701" w:rsidRDefault="00DC50C9"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Цель 2.1. Повышение финансовой устойчивости</w:t>
      </w:r>
      <w:r w:rsidR="00F452AC" w:rsidRPr="00C37701">
        <w:rPr>
          <w:rFonts w:ascii="Times New Roman" w:hAnsi="Times New Roman" w:cs="Times New Roman"/>
          <w:b/>
          <w:i/>
          <w:sz w:val="24"/>
          <w:szCs w:val="24"/>
        </w:rPr>
        <w:t xml:space="preserve"> и конкурентоспособности банковского сектора.</w:t>
      </w:r>
    </w:p>
    <w:p w14:paraId="305A8923" w14:textId="623ACD6C" w:rsidR="00895732" w:rsidRPr="00C37701" w:rsidRDefault="00895732"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Нестабильная ценовая ситуация на мировых товарных рынках.</w:t>
      </w:r>
    </w:p>
    <w:p w14:paraId="1C4BD949" w14:textId="77777777" w:rsidR="00DA3614" w:rsidRPr="00C37701" w:rsidRDefault="00DA3614"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Возможные последствия в случае непринятия мер по управлению рисками:</w:t>
      </w:r>
    </w:p>
    <w:p w14:paraId="24DB89A2" w14:textId="77777777" w:rsidR="00DA3614" w:rsidRPr="00C37701" w:rsidRDefault="00DA3614"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Рост инфляции.</w:t>
      </w:r>
    </w:p>
    <w:p w14:paraId="153BC39A" w14:textId="77777777" w:rsidR="00DA3614" w:rsidRPr="00C37701" w:rsidRDefault="00DA3614"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Колебание мировых цен на нефть и нефтепродукты, создающих нестабильную, трудно прогнозируемую ценовую ситуацию на сырье, которая негативно сказывается в целом на производстве нефтепродуктов, являясь основным составляющим себестоимости.</w:t>
      </w:r>
    </w:p>
    <w:p w14:paraId="30CBA3D1" w14:textId="77777777" w:rsidR="00DA3614" w:rsidRPr="00C37701" w:rsidRDefault="00DA3614"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lastRenderedPageBreak/>
        <w:t>Негативные социально-экономические последствия (давление на ценообразование внутри Казахстана, снижение деловой активности и др.).</w:t>
      </w:r>
    </w:p>
    <w:p w14:paraId="0F585D99" w14:textId="77777777" w:rsidR="00DA3614" w:rsidRPr="00C37701" w:rsidRDefault="00DA3614"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Дестабилизация финансовой системы Казахстана.</w:t>
      </w:r>
    </w:p>
    <w:p w14:paraId="21C3DCE5" w14:textId="77777777" w:rsidR="00917EAF" w:rsidRDefault="00917EAF" w:rsidP="0097449D">
      <w:pPr>
        <w:spacing w:after="0" w:line="240" w:lineRule="auto"/>
        <w:ind w:firstLine="709"/>
        <w:contextualSpacing/>
        <w:jc w:val="both"/>
        <w:rPr>
          <w:rFonts w:ascii="Times New Roman" w:hAnsi="Times New Roman" w:cs="Times New Roman"/>
          <w:b/>
          <w:bCs/>
          <w:i/>
          <w:sz w:val="24"/>
          <w:szCs w:val="24"/>
        </w:rPr>
      </w:pPr>
    </w:p>
    <w:p w14:paraId="723C138C" w14:textId="77777777" w:rsidR="00917EAF" w:rsidRDefault="00917EAF" w:rsidP="0097449D">
      <w:pPr>
        <w:spacing w:after="0" w:line="240" w:lineRule="auto"/>
        <w:ind w:firstLine="709"/>
        <w:contextualSpacing/>
        <w:jc w:val="both"/>
        <w:rPr>
          <w:rFonts w:ascii="Times New Roman" w:hAnsi="Times New Roman" w:cs="Times New Roman"/>
          <w:b/>
          <w:bCs/>
          <w:i/>
          <w:sz w:val="24"/>
          <w:szCs w:val="24"/>
        </w:rPr>
      </w:pPr>
    </w:p>
    <w:p w14:paraId="4C0B73CC" w14:textId="3660CC4D" w:rsidR="00895732" w:rsidRPr="00C37701" w:rsidRDefault="00895732"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bCs/>
          <w:i/>
          <w:sz w:val="24"/>
          <w:szCs w:val="24"/>
        </w:rPr>
        <w:t>Мероприятия по управлению возможным риском:</w:t>
      </w:r>
    </w:p>
    <w:p w14:paraId="640AAB6F" w14:textId="102762B7" w:rsidR="00DA3614" w:rsidRPr="00C37701" w:rsidRDefault="002E2AAA" w:rsidP="0097449D">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color w:val="000000"/>
          <w:sz w:val="24"/>
          <w:szCs w:val="24"/>
        </w:rPr>
        <w:t xml:space="preserve">В </w:t>
      </w:r>
      <w:r w:rsidR="00DA3614" w:rsidRPr="00C37701">
        <w:rPr>
          <w:rFonts w:ascii="Times New Roman" w:hAnsi="Times New Roman" w:cs="Times New Roman"/>
          <w:color w:val="000000"/>
          <w:sz w:val="24"/>
          <w:szCs w:val="24"/>
        </w:rPr>
        <w:t xml:space="preserve">целях повышения устойчивости и прозрачности финансового сектора в 2019 году Национальный Банк провел оценку качества активов банков совместно с международным консультантом и независимыми аудиторскими компаниями. Оценка проводилась в соответствии с методологией Европейского Центрального Банка и включала в себя проверку 14 крупнейших банков. </w:t>
      </w:r>
    </w:p>
    <w:p w14:paraId="085FC055" w14:textId="5202CD49" w:rsidR="00895732" w:rsidRPr="00C37701" w:rsidRDefault="002E2AAA" w:rsidP="002E2AAA">
      <w:pPr>
        <w:spacing w:after="0" w:line="240" w:lineRule="auto"/>
        <w:ind w:firstLine="709"/>
        <w:contextualSpacing/>
        <w:jc w:val="both"/>
        <w:rPr>
          <w:rFonts w:ascii="Times New Roman" w:hAnsi="Times New Roman" w:cs="Times New Roman"/>
          <w:i/>
          <w:sz w:val="24"/>
          <w:szCs w:val="24"/>
        </w:rPr>
      </w:pPr>
      <w:r w:rsidRPr="002E2AAA">
        <w:rPr>
          <w:rFonts w:ascii="Times New Roman" w:hAnsi="Times New Roman" w:cs="Times New Roman"/>
          <w:i/>
          <w:sz w:val="24"/>
          <w:szCs w:val="24"/>
        </w:rPr>
        <w:t>В целях минимизации рисков банковского сектора и повышения устойчивости банков</w:t>
      </w:r>
      <w:r>
        <w:rPr>
          <w:rFonts w:ascii="Times New Roman" w:hAnsi="Times New Roman" w:cs="Times New Roman"/>
          <w:i/>
          <w:sz w:val="24"/>
          <w:szCs w:val="24"/>
        </w:rPr>
        <w:t xml:space="preserve"> </w:t>
      </w:r>
      <w:r w:rsidRPr="002E2AAA">
        <w:rPr>
          <w:rFonts w:ascii="Times New Roman" w:hAnsi="Times New Roman" w:cs="Times New Roman"/>
          <w:i/>
          <w:sz w:val="24"/>
          <w:szCs w:val="24"/>
        </w:rPr>
        <w:t xml:space="preserve">разработан механизм стресс-тестирования субъектов банковского сектора </w:t>
      </w:r>
      <w:r>
        <w:rPr>
          <w:rFonts w:ascii="Times New Roman" w:hAnsi="Times New Roman" w:cs="Times New Roman"/>
          <w:i/>
          <w:sz w:val="24"/>
          <w:szCs w:val="24"/>
        </w:rPr>
        <w:t>для</w:t>
      </w:r>
      <w:r w:rsidRPr="002E2AAA">
        <w:rPr>
          <w:rFonts w:ascii="Times New Roman" w:hAnsi="Times New Roman" w:cs="Times New Roman"/>
          <w:i/>
          <w:sz w:val="24"/>
          <w:szCs w:val="24"/>
        </w:rPr>
        <w:t xml:space="preserve"> выявления и оценки рисков банковского сектора, а также усовершенствованы подходы </w:t>
      </w:r>
      <w:r w:rsidR="00895732" w:rsidRPr="00C37701">
        <w:rPr>
          <w:rFonts w:ascii="Times New Roman" w:hAnsi="Times New Roman" w:cs="Times New Roman"/>
          <w:i/>
          <w:sz w:val="24"/>
          <w:szCs w:val="24"/>
        </w:rPr>
        <w:t xml:space="preserve">риск-ориентированного надзора и </w:t>
      </w:r>
      <w:proofErr w:type="spellStart"/>
      <w:r w:rsidR="00895732" w:rsidRPr="00C37701">
        <w:rPr>
          <w:rFonts w:ascii="Times New Roman" w:hAnsi="Times New Roman" w:cs="Times New Roman"/>
          <w:i/>
          <w:sz w:val="24"/>
          <w:szCs w:val="24"/>
        </w:rPr>
        <w:t>пруденциального</w:t>
      </w:r>
      <w:proofErr w:type="spellEnd"/>
      <w:r w:rsidR="00895732" w:rsidRPr="00C37701">
        <w:rPr>
          <w:rFonts w:ascii="Times New Roman" w:hAnsi="Times New Roman" w:cs="Times New Roman"/>
          <w:i/>
          <w:sz w:val="24"/>
          <w:szCs w:val="24"/>
        </w:rPr>
        <w:t xml:space="preserve"> регулирования банков в целях минимизации рисков банковского сектора и повышения устойчивости банков.</w:t>
      </w:r>
    </w:p>
    <w:p w14:paraId="3C6B89CB" w14:textId="77777777" w:rsidR="002E2AAA" w:rsidRPr="00C37701" w:rsidRDefault="002E2AAA" w:rsidP="002E2AAA">
      <w:pPr>
        <w:tabs>
          <w:tab w:val="left" w:pos="0"/>
        </w:tabs>
        <w:spacing w:after="0" w:line="240" w:lineRule="auto"/>
        <w:ind w:firstLine="709"/>
        <w:contextualSpacing/>
        <w:jc w:val="both"/>
        <w:rPr>
          <w:rFonts w:ascii="Times New Roman" w:eastAsia="Calibri" w:hAnsi="Times New Roman" w:cs="Times New Roman"/>
          <w:bCs/>
          <w:sz w:val="24"/>
          <w:szCs w:val="24"/>
          <w:lang w:eastAsia="x-none"/>
        </w:rPr>
      </w:pPr>
      <w:r w:rsidRPr="00C346A7">
        <w:rPr>
          <w:rFonts w:ascii="Times New Roman" w:eastAsia="Calibri" w:hAnsi="Times New Roman" w:cs="Times New Roman"/>
          <w:bCs/>
          <w:sz w:val="24"/>
          <w:szCs w:val="24"/>
          <w:lang w:eastAsia="x-none"/>
        </w:rPr>
        <w:t>Как показал анализ причин ухудшения финансовой стабильности ряда банков за последние несколько лет,</w:t>
      </w:r>
      <w:r w:rsidRPr="00C37701">
        <w:rPr>
          <w:rFonts w:ascii="Times New Roman" w:eastAsia="Calibri" w:hAnsi="Times New Roman" w:cs="Times New Roman"/>
          <w:bCs/>
          <w:sz w:val="24"/>
          <w:szCs w:val="24"/>
          <w:lang w:eastAsia="x-none"/>
        </w:rPr>
        <w:t xml:space="preserve"> </w:t>
      </w:r>
      <w:r>
        <w:rPr>
          <w:rFonts w:ascii="Times New Roman" w:eastAsia="Calibri" w:hAnsi="Times New Roman" w:cs="Times New Roman"/>
          <w:bCs/>
          <w:sz w:val="24"/>
          <w:szCs w:val="24"/>
          <w:lang w:eastAsia="x-none"/>
        </w:rPr>
        <w:t>основным фактором является</w:t>
      </w:r>
      <w:r w:rsidRPr="00C37701">
        <w:rPr>
          <w:rFonts w:ascii="Times New Roman" w:eastAsia="Calibri" w:hAnsi="Times New Roman" w:cs="Times New Roman"/>
          <w:bCs/>
          <w:sz w:val="24"/>
          <w:szCs w:val="24"/>
          <w:lang w:eastAsia="x-none"/>
        </w:rPr>
        <w:t xml:space="preserve"> отсутствие надлежащ</w:t>
      </w:r>
      <w:r>
        <w:rPr>
          <w:rFonts w:ascii="Times New Roman" w:eastAsia="Calibri" w:hAnsi="Times New Roman" w:cs="Times New Roman"/>
          <w:bCs/>
          <w:sz w:val="24"/>
          <w:szCs w:val="24"/>
          <w:lang w:eastAsia="x-none"/>
        </w:rPr>
        <w:t>его</w:t>
      </w:r>
      <w:r w:rsidRPr="00C37701">
        <w:rPr>
          <w:rFonts w:ascii="Times New Roman" w:eastAsia="Calibri" w:hAnsi="Times New Roman" w:cs="Times New Roman"/>
          <w:bCs/>
          <w:sz w:val="24"/>
          <w:szCs w:val="24"/>
          <w:lang w:eastAsia="x-none"/>
        </w:rPr>
        <w:t xml:space="preserve"> уровня управления рисками, корпоративной культуры</w:t>
      </w:r>
      <w:r>
        <w:rPr>
          <w:rFonts w:ascii="Times New Roman" w:eastAsia="Calibri" w:hAnsi="Times New Roman" w:cs="Times New Roman"/>
          <w:bCs/>
          <w:sz w:val="24"/>
          <w:szCs w:val="24"/>
          <w:lang w:eastAsia="x-none"/>
        </w:rPr>
        <w:t>.</w:t>
      </w:r>
      <w:r w:rsidRPr="00C37701">
        <w:rPr>
          <w:rFonts w:ascii="Times New Roman" w:eastAsia="Calibri" w:hAnsi="Times New Roman" w:cs="Times New Roman"/>
          <w:bCs/>
          <w:sz w:val="24"/>
          <w:szCs w:val="24"/>
          <w:lang w:eastAsia="x-none"/>
        </w:rPr>
        <w:t xml:space="preserve">     </w:t>
      </w:r>
    </w:p>
    <w:p w14:paraId="3D368C9F" w14:textId="56E4E07F" w:rsidR="007607E0" w:rsidRPr="00C37701" w:rsidRDefault="008335B7" w:rsidP="0097449D">
      <w:pPr>
        <w:tabs>
          <w:tab w:val="left" w:pos="0"/>
        </w:tabs>
        <w:spacing w:after="0" w:line="240" w:lineRule="auto"/>
        <w:ind w:firstLine="709"/>
        <w:contextualSpacing/>
        <w:jc w:val="both"/>
        <w:rPr>
          <w:rFonts w:ascii="Times New Roman" w:eastAsia="Calibri" w:hAnsi="Times New Roman" w:cs="Times New Roman"/>
          <w:bCs/>
          <w:sz w:val="24"/>
          <w:szCs w:val="24"/>
          <w:lang w:eastAsia="x-none"/>
        </w:rPr>
      </w:pPr>
      <w:r>
        <w:rPr>
          <w:rFonts w:ascii="Times New Roman" w:eastAsia="Calibri" w:hAnsi="Times New Roman" w:cs="Times New Roman"/>
          <w:bCs/>
          <w:sz w:val="24"/>
          <w:szCs w:val="24"/>
          <w:lang w:eastAsia="x-none"/>
        </w:rPr>
        <w:t>В связи с переходом Национального Банка</w:t>
      </w:r>
      <w:r w:rsidR="007607E0" w:rsidRPr="00C37701">
        <w:rPr>
          <w:rFonts w:ascii="Times New Roman" w:eastAsia="Calibri" w:hAnsi="Times New Roman" w:cs="Times New Roman"/>
          <w:bCs/>
          <w:sz w:val="24"/>
          <w:szCs w:val="24"/>
          <w:lang w:eastAsia="x-none"/>
        </w:rPr>
        <w:t xml:space="preserve"> с текущего года на риск-ориентированный надзорный</w:t>
      </w:r>
      <w:r>
        <w:rPr>
          <w:rFonts w:ascii="Times New Roman" w:eastAsia="Calibri" w:hAnsi="Times New Roman" w:cs="Times New Roman"/>
          <w:bCs/>
          <w:sz w:val="24"/>
          <w:szCs w:val="24"/>
          <w:lang w:eastAsia="x-none"/>
        </w:rPr>
        <w:t xml:space="preserve"> процесс, в отчетный период Национальный Банк</w:t>
      </w:r>
      <w:r w:rsidR="007607E0" w:rsidRPr="00C37701">
        <w:rPr>
          <w:rFonts w:ascii="Times New Roman" w:eastAsia="Calibri" w:hAnsi="Times New Roman" w:cs="Times New Roman"/>
          <w:bCs/>
          <w:sz w:val="24"/>
          <w:szCs w:val="24"/>
          <w:lang w:eastAsia="x-none"/>
        </w:rPr>
        <w:t xml:space="preserve"> усовершенствовал правила формирования системы управления рисками и внутреннего контроля для банков второго уровня. Основным изменением стало смещение фокуса с формальных требований к принципам, позволяющим банкам качественно выстроить корпоративное управление и процессы управления присущими их деятельности рисками. </w:t>
      </w:r>
    </w:p>
    <w:p w14:paraId="70BD77FD" w14:textId="77777777" w:rsidR="007607E0" w:rsidRPr="00C37701" w:rsidRDefault="007607E0" w:rsidP="0097449D">
      <w:pPr>
        <w:tabs>
          <w:tab w:val="left" w:pos="0"/>
        </w:tabs>
        <w:spacing w:after="0" w:line="240" w:lineRule="auto"/>
        <w:ind w:firstLine="709"/>
        <w:contextualSpacing/>
        <w:jc w:val="both"/>
        <w:rPr>
          <w:rFonts w:ascii="Times New Roman" w:eastAsia="Calibri" w:hAnsi="Times New Roman" w:cs="Times New Roman"/>
          <w:bCs/>
          <w:sz w:val="24"/>
          <w:szCs w:val="24"/>
          <w:lang w:eastAsia="x-none"/>
        </w:rPr>
      </w:pPr>
      <w:r w:rsidRPr="00C37701">
        <w:rPr>
          <w:rFonts w:ascii="Times New Roman" w:eastAsia="Calibri" w:hAnsi="Times New Roman" w:cs="Times New Roman"/>
          <w:bCs/>
          <w:sz w:val="24"/>
          <w:szCs w:val="24"/>
          <w:lang w:eastAsia="x-none"/>
        </w:rPr>
        <w:t xml:space="preserve">Новые требования к системам управления рисками позволят банкам самостоятельно внедрить процессы управления рисками, что отразится на повышении ее качества в целом и освободит совет директоров от рассмотрения излишней и неэффективной управленческой отчетности. Также новые требования к корпоративному управлению усилят контроль советом директоров над процессом управления рисками и повысят роль риск-менеджмента в целом. </w:t>
      </w:r>
    </w:p>
    <w:p w14:paraId="2FB12903" w14:textId="77777777" w:rsidR="007607E0" w:rsidRPr="00C37701" w:rsidRDefault="007607E0" w:rsidP="0097449D">
      <w:pPr>
        <w:tabs>
          <w:tab w:val="left" w:pos="0"/>
        </w:tabs>
        <w:spacing w:after="0" w:line="240" w:lineRule="auto"/>
        <w:ind w:firstLine="709"/>
        <w:contextualSpacing/>
        <w:jc w:val="both"/>
        <w:rPr>
          <w:rFonts w:ascii="Times New Roman" w:eastAsia="Calibri" w:hAnsi="Times New Roman" w:cs="Times New Roman"/>
          <w:bCs/>
          <w:sz w:val="24"/>
          <w:szCs w:val="24"/>
          <w:lang w:eastAsia="x-none"/>
        </w:rPr>
      </w:pPr>
      <w:r w:rsidRPr="00C37701">
        <w:rPr>
          <w:rFonts w:ascii="Times New Roman" w:eastAsia="Calibri" w:hAnsi="Times New Roman" w:cs="Times New Roman"/>
          <w:bCs/>
          <w:sz w:val="24"/>
          <w:szCs w:val="24"/>
          <w:lang w:eastAsia="x-none"/>
        </w:rPr>
        <w:t>Для решения указанных проблем были разработаны и внедрены новые правила системы управления рисками и внутреннего контроля, в которых особое внимание уделяется культуре корпоративного управления рисками банка, утвержденные постановлением Правления Национального Банка от 12 ноября 2019 года № 188.</w:t>
      </w:r>
    </w:p>
    <w:p w14:paraId="3A7F148F" w14:textId="77777777" w:rsidR="00414947" w:rsidRPr="00C37701" w:rsidRDefault="007607E0" w:rsidP="0097449D">
      <w:pPr>
        <w:spacing w:after="0" w:line="240" w:lineRule="auto"/>
        <w:ind w:firstLine="709"/>
        <w:contextualSpacing/>
        <w:jc w:val="both"/>
        <w:rPr>
          <w:rFonts w:ascii="Times New Roman" w:eastAsia="Calibri" w:hAnsi="Times New Roman" w:cs="Times New Roman"/>
          <w:bCs/>
          <w:sz w:val="24"/>
          <w:szCs w:val="24"/>
          <w:lang w:eastAsia="x-none"/>
        </w:rPr>
      </w:pPr>
      <w:r w:rsidRPr="00C37701">
        <w:rPr>
          <w:rFonts w:ascii="Times New Roman" w:eastAsia="Calibri" w:hAnsi="Times New Roman" w:cs="Times New Roman"/>
          <w:bCs/>
          <w:sz w:val="24"/>
          <w:szCs w:val="24"/>
          <w:lang w:eastAsia="x-none"/>
        </w:rPr>
        <w:t>Указанные правила вступили в силу с 1 января 2020 года, но при этом банкам предоставлено время до 1 июля 2020 года на приведение внутренних документов, процедур и процессов в соответствие с разработанными требованиями.</w:t>
      </w:r>
    </w:p>
    <w:p w14:paraId="364F519A" w14:textId="77777777" w:rsidR="00895732" w:rsidRPr="00C37701" w:rsidRDefault="00895732" w:rsidP="0097449D">
      <w:pPr>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b/>
          <w:i/>
          <w:sz w:val="24"/>
          <w:szCs w:val="24"/>
        </w:rPr>
        <w:t>Ухудшение финансовой устойчивости банков.</w:t>
      </w:r>
    </w:p>
    <w:p w14:paraId="1BFA55C4" w14:textId="77777777" w:rsidR="00C9485F" w:rsidRPr="00C37701" w:rsidRDefault="00895732" w:rsidP="0097449D">
      <w:pPr>
        <w:spacing w:after="0" w:line="240" w:lineRule="auto"/>
        <w:ind w:firstLine="709"/>
        <w:contextualSpacing/>
        <w:jc w:val="both"/>
        <w:rPr>
          <w:rFonts w:ascii="Times New Roman" w:hAnsi="Times New Roman" w:cs="Times New Roman"/>
          <w:b/>
          <w:bCs/>
          <w:i/>
          <w:sz w:val="24"/>
          <w:szCs w:val="24"/>
        </w:rPr>
      </w:pPr>
      <w:r w:rsidRPr="00C37701">
        <w:rPr>
          <w:rFonts w:ascii="Times New Roman" w:hAnsi="Times New Roman" w:cs="Times New Roman"/>
          <w:b/>
          <w:bCs/>
          <w:i/>
          <w:sz w:val="24"/>
          <w:szCs w:val="24"/>
        </w:rPr>
        <w:t>Мероприятия по управлению возможным риском:</w:t>
      </w:r>
    </w:p>
    <w:p w14:paraId="6DB90B5B" w14:textId="77777777" w:rsidR="00414947" w:rsidRPr="00C37701" w:rsidRDefault="00414947" w:rsidP="0097449D">
      <w:pPr>
        <w:spacing w:after="0" w:line="240" w:lineRule="auto"/>
        <w:ind w:firstLine="709"/>
        <w:contextualSpacing/>
        <w:jc w:val="both"/>
        <w:rPr>
          <w:rFonts w:ascii="Times New Roman" w:eastAsia="Calibri" w:hAnsi="Times New Roman" w:cs="Times New Roman"/>
          <w:bCs/>
          <w:sz w:val="24"/>
          <w:szCs w:val="24"/>
          <w:lang w:eastAsia="x-none"/>
        </w:rPr>
      </w:pPr>
      <w:r w:rsidRPr="00C37701">
        <w:rPr>
          <w:rFonts w:ascii="Times New Roman" w:hAnsi="Times New Roman" w:cs="Times New Roman"/>
          <w:i/>
          <w:sz w:val="24"/>
          <w:szCs w:val="24"/>
        </w:rPr>
        <w:t xml:space="preserve">Совершенствование </w:t>
      </w:r>
      <w:proofErr w:type="spellStart"/>
      <w:r w:rsidRPr="00C37701">
        <w:rPr>
          <w:rFonts w:ascii="Times New Roman" w:hAnsi="Times New Roman" w:cs="Times New Roman"/>
          <w:i/>
          <w:sz w:val="24"/>
          <w:szCs w:val="24"/>
        </w:rPr>
        <w:t>пруденциального</w:t>
      </w:r>
      <w:proofErr w:type="spellEnd"/>
      <w:r w:rsidRPr="00C37701">
        <w:rPr>
          <w:rFonts w:ascii="Times New Roman" w:hAnsi="Times New Roman" w:cs="Times New Roman"/>
          <w:i/>
          <w:sz w:val="24"/>
          <w:szCs w:val="24"/>
        </w:rPr>
        <w:t xml:space="preserve"> регулирования банков второго уровня.</w:t>
      </w:r>
    </w:p>
    <w:p w14:paraId="6EF58303" w14:textId="48D84FAA" w:rsidR="00414947" w:rsidRPr="00C37701" w:rsidRDefault="00414947"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В банковском секторе Казахстана присутствуют риски, связанные с ростом потребительского кредитования и долговой нагрузки заемщиков. Так, объем необеспеченных потребительских кредитов за 2018 год вырос на 30,7%, за 2019 год – на </w:t>
      </w:r>
      <w:r w:rsidR="00DC7E47">
        <w:rPr>
          <w:rFonts w:ascii="Times New Roman" w:hAnsi="Times New Roman" w:cs="Times New Roman"/>
          <w:sz w:val="24"/>
          <w:szCs w:val="24"/>
        </w:rPr>
        <w:t>31,3</w:t>
      </w:r>
      <w:r w:rsidRPr="00C37701">
        <w:rPr>
          <w:rFonts w:ascii="Times New Roman" w:hAnsi="Times New Roman" w:cs="Times New Roman"/>
          <w:sz w:val="24"/>
          <w:szCs w:val="24"/>
        </w:rPr>
        <w:t xml:space="preserve">%. Такой интенсивный рост в </w:t>
      </w:r>
      <w:proofErr w:type="spellStart"/>
      <w:r w:rsidRPr="00C37701">
        <w:rPr>
          <w:rFonts w:ascii="Times New Roman" w:hAnsi="Times New Roman" w:cs="Times New Roman"/>
          <w:sz w:val="24"/>
          <w:szCs w:val="24"/>
        </w:rPr>
        <w:t>высокорисковом</w:t>
      </w:r>
      <w:proofErr w:type="spellEnd"/>
      <w:r w:rsidRPr="00C37701">
        <w:rPr>
          <w:rFonts w:ascii="Times New Roman" w:hAnsi="Times New Roman" w:cs="Times New Roman"/>
          <w:sz w:val="24"/>
          <w:szCs w:val="24"/>
        </w:rPr>
        <w:t xml:space="preserve"> сегменте необеспеченного потребительского кредитования, значительно опережающий рост доходов и заработной платы населения, несет в себе значительные кредитные риски для банков. </w:t>
      </w:r>
    </w:p>
    <w:p w14:paraId="5BB00C17" w14:textId="77777777" w:rsidR="00414947" w:rsidRPr="00C37701" w:rsidRDefault="00414947"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Для повышения устойчивости банковского сектора к рискам в сегменте необеспеченного потребительского кредитования в рамках </w:t>
      </w:r>
      <w:proofErr w:type="spellStart"/>
      <w:r w:rsidRPr="00C37701">
        <w:rPr>
          <w:rFonts w:ascii="Times New Roman" w:hAnsi="Times New Roman" w:cs="Times New Roman"/>
          <w:sz w:val="24"/>
          <w:szCs w:val="24"/>
        </w:rPr>
        <w:t>пруденциального</w:t>
      </w:r>
      <w:proofErr w:type="spellEnd"/>
      <w:r w:rsidRPr="00C37701">
        <w:rPr>
          <w:rFonts w:ascii="Times New Roman" w:hAnsi="Times New Roman" w:cs="Times New Roman"/>
          <w:sz w:val="24"/>
          <w:szCs w:val="24"/>
        </w:rPr>
        <w:t xml:space="preserve"> регулирования был разработан и внедрен дифференцированный подход к взвешиванию необеспеченных потребительских займов по кредитному риску.</w:t>
      </w:r>
    </w:p>
    <w:p w14:paraId="0BCCADE4" w14:textId="77777777" w:rsidR="00414947" w:rsidRPr="00C37701" w:rsidRDefault="00414947"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Так, с 1 января 2020 года установлены повышенные требования к собственному капиталу банков в отношении </w:t>
      </w:r>
      <w:proofErr w:type="spellStart"/>
      <w:r w:rsidRPr="00C37701">
        <w:rPr>
          <w:rFonts w:ascii="Times New Roman" w:hAnsi="Times New Roman" w:cs="Times New Roman"/>
          <w:sz w:val="24"/>
          <w:szCs w:val="24"/>
        </w:rPr>
        <w:t>беззалоговых</w:t>
      </w:r>
      <w:proofErr w:type="spellEnd"/>
      <w:r w:rsidRPr="00C37701">
        <w:rPr>
          <w:rFonts w:ascii="Times New Roman" w:hAnsi="Times New Roman" w:cs="Times New Roman"/>
          <w:sz w:val="24"/>
          <w:szCs w:val="24"/>
        </w:rPr>
        <w:t xml:space="preserve"> потребительских займов в зависимости от суммы задолженности заемщика, стоимости займа и официального (неофициального) подтверждения </w:t>
      </w:r>
      <w:r w:rsidRPr="00C37701">
        <w:rPr>
          <w:rFonts w:ascii="Times New Roman" w:hAnsi="Times New Roman" w:cs="Times New Roman"/>
          <w:sz w:val="24"/>
          <w:szCs w:val="24"/>
        </w:rPr>
        <w:lastRenderedPageBreak/>
        <w:t xml:space="preserve">дохода. Указанная мера будет </w:t>
      </w:r>
      <w:proofErr w:type="spellStart"/>
      <w:r w:rsidRPr="00C37701">
        <w:rPr>
          <w:rFonts w:ascii="Times New Roman" w:hAnsi="Times New Roman" w:cs="Times New Roman"/>
          <w:sz w:val="24"/>
          <w:szCs w:val="24"/>
        </w:rPr>
        <w:t>дестимулировать</w:t>
      </w:r>
      <w:proofErr w:type="spellEnd"/>
      <w:r w:rsidRPr="00C37701">
        <w:rPr>
          <w:rFonts w:ascii="Times New Roman" w:hAnsi="Times New Roman" w:cs="Times New Roman"/>
          <w:sz w:val="24"/>
          <w:szCs w:val="24"/>
        </w:rPr>
        <w:t xml:space="preserve"> банки к проведению агрессивной кредитной политики в рамках </w:t>
      </w:r>
      <w:proofErr w:type="spellStart"/>
      <w:r w:rsidRPr="00C37701">
        <w:rPr>
          <w:rFonts w:ascii="Times New Roman" w:hAnsi="Times New Roman" w:cs="Times New Roman"/>
          <w:sz w:val="24"/>
          <w:szCs w:val="24"/>
        </w:rPr>
        <w:t>беззалогового</w:t>
      </w:r>
      <w:proofErr w:type="spellEnd"/>
      <w:r w:rsidRPr="00C37701">
        <w:rPr>
          <w:rFonts w:ascii="Times New Roman" w:hAnsi="Times New Roman" w:cs="Times New Roman"/>
          <w:sz w:val="24"/>
          <w:szCs w:val="24"/>
        </w:rPr>
        <w:t xml:space="preserve"> потребительского кредитования.</w:t>
      </w:r>
    </w:p>
    <w:p w14:paraId="4637CE02" w14:textId="77777777" w:rsidR="00414947" w:rsidRPr="00C37701" w:rsidRDefault="00414947"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Также применяется подход оценки доходов граждан при расчете коэффициента долговой нагрузки, включающий запрет на предоставление займов гражданам, подтвержденные доходы которых не превышают прожиточного минимума на заемщика и половины прожиточного минимума на каждого несовершеннолетнего члена семьи заемщика.</w:t>
      </w:r>
    </w:p>
    <w:p w14:paraId="72E64AD2" w14:textId="07D148AA" w:rsidR="00DD090A" w:rsidRPr="00F94299" w:rsidRDefault="00414947" w:rsidP="00DD090A">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Это создаст дополнительный стимул к предоставлению займов только заемщикам, имеющим достаточно средств для погашения ежемесячных платежей и направит банки в сторону понижения ставок, что также отразится на снижении долговой нагрузки.</w:t>
      </w:r>
    </w:p>
    <w:p w14:paraId="6115AD8F" w14:textId="4207F08B" w:rsidR="00414947" w:rsidRPr="00C37701" w:rsidRDefault="002468F9" w:rsidP="0097449D">
      <w:pPr>
        <w:tabs>
          <w:tab w:val="left" w:pos="0"/>
        </w:tabs>
        <w:spacing w:after="0" w:line="240" w:lineRule="auto"/>
        <w:ind w:firstLine="709"/>
        <w:contextualSpacing/>
        <w:jc w:val="both"/>
        <w:rPr>
          <w:rFonts w:ascii="Times New Roman" w:eastAsia="Calibri" w:hAnsi="Times New Roman" w:cs="Times New Roman"/>
          <w:bCs/>
          <w:sz w:val="24"/>
          <w:szCs w:val="24"/>
          <w:lang w:val="x-none" w:eastAsia="x-none"/>
        </w:rPr>
      </w:pPr>
      <w:r>
        <w:rPr>
          <w:rFonts w:ascii="Times New Roman" w:eastAsia="Calibri" w:hAnsi="Times New Roman" w:cs="Times New Roman"/>
          <w:bCs/>
          <w:sz w:val="24"/>
          <w:szCs w:val="24"/>
          <w:lang w:eastAsia="x-none"/>
        </w:rPr>
        <w:t>В отчетном периоде Национальным Банком</w:t>
      </w:r>
      <w:r w:rsidR="00414947" w:rsidRPr="00C37701">
        <w:rPr>
          <w:rFonts w:ascii="Times New Roman" w:eastAsia="Calibri" w:hAnsi="Times New Roman" w:cs="Times New Roman"/>
          <w:bCs/>
          <w:sz w:val="24"/>
          <w:szCs w:val="24"/>
          <w:lang w:eastAsia="x-none"/>
        </w:rPr>
        <w:t xml:space="preserve"> приняты</w:t>
      </w:r>
      <w:r w:rsidR="00414947" w:rsidRPr="00C37701">
        <w:rPr>
          <w:rFonts w:ascii="Times New Roman" w:eastAsia="Calibri" w:hAnsi="Times New Roman" w:cs="Times New Roman"/>
          <w:bCs/>
          <w:sz w:val="24"/>
          <w:szCs w:val="24"/>
          <w:lang w:val="x-none" w:eastAsia="x-none"/>
        </w:rPr>
        <w:t xml:space="preserve"> меры по признанию твердым залогом </w:t>
      </w:r>
      <w:proofErr w:type="spellStart"/>
      <w:r w:rsidR="00414947" w:rsidRPr="00C37701">
        <w:rPr>
          <w:rFonts w:ascii="Times New Roman" w:eastAsia="Calibri" w:hAnsi="Times New Roman" w:cs="Times New Roman"/>
          <w:bCs/>
          <w:sz w:val="24"/>
          <w:szCs w:val="24"/>
          <w:lang w:val="x-none" w:eastAsia="x-none"/>
        </w:rPr>
        <w:t>off-take</w:t>
      </w:r>
      <w:proofErr w:type="spellEnd"/>
      <w:r w:rsidR="00414947" w:rsidRPr="00C37701">
        <w:rPr>
          <w:rFonts w:ascii="Times New Roman" w:eastAsia="Calibri" w:hAnsi="Times New Roman" w:cs="Times New Roman"/>
          <w:bCs/>
          <w:sz w:val="24"/>
          <w:szCs w:val="24"/>
          <w:lang w:val="x-none" w:eastAsia="x-none"/>
        </w:rPr>
        <w:t xml:space="preserve"> контрактов в рамках </w:t>
      </w:r>
      <w:proofErr w:type="spellStart"/>
      <w:r w:rsidR="00414947" w:rsidRPr="00C37701">
        <w:rPr>
          <w:rFonts w:ascii="Times New Roman" w:eastAsia="Calibri" w:hAnsi="Times New Roman" w:cs="Times New Roman"/>
          <w:bCs/>
          <w:sz w:val="24"/>
          <w:szCs w:val="24"/>
          <w:lang w:val="x-none" w:eastAsia="x-none"/>
        </w:rPr>
        <w:t>пруденциального</w:t>
      </w:r>
      <w:proofErr w:type="spellEnd"/>
      <w:r w:rsidR="00414947" w:rsidRPr="00C37701">
        <w:rPr>
          <w:rFonts w:ascii="Times New Roman" w:eastAsia="Calibri" w:hAnsi="Times New Roman" w:cs="Times New Roman"/>
          <w:bCs/>
          <w:sz w:val="24"/>
          <w:szCs w:val="24"/>
          <w:lang w:val="x-none" w:eastAsia="x-none"/>
        </w:rPr>
        <w:t xml:space="preserve"> регулирования. Это предоставило возможность кредитовать заемщиков/поставщиков под залог дебиторской задолженности в виде денег, поступающих в будущем по </w:t>
      </w:r>
      <w:proofErr w:type="spellStart"/>
      <w:r w:rsidR="00414947" w:rsidRPr="00C37701">
        <w:rPr>
          <w:rFonts w:ascii="Times New Roman" w:eastAsia="Calibri" w:hAnsi="Times New Roman" w:cs="Times New Roman"/>
          <w:bCs/>
          <w:sz w:val="24"/>
          <w:szCs w:val="24"/>
          <w:lang w:val="x-none" w:eastAsia="x-none"/>
        </w:rPr>
        <w:t>off-take</w:t>
      </w:r>
      <w:proofErr w:type="spellEnd"/>
      <w:r w:rsidR="00414947" w:rsidRPr="00C37701">
        <w:rPr>
          <w:rFonts w:ascii="Times New Roman" w:eastAsia="Calibri" w:hAnsi="Times New Roman" w:cs="Times New Roman"/>
          <w:bCs/>
          <w:sz w:val="24"/>
          <w:szCs w:val="24"/>
          <w:lang w:val="x-none" w:eastAsia="x-none"/>
        </w:rPr>
        <w:t xml:space="preserve"> контрактам. </w:t>
      </w:r>
    </w:p>
    <w:p w14:paraId="17B04030" w14:textId="77777777" w:rsidR="00414947" w:rsidRPr="00C37701" w:rsidRDefault="00414947" w:rsidP="0097449D">
      <w:pPr>
        <w:tabs>
          <w:tab w:val="left" w:pos="0"/>
        </w:tabs>
        <w:spacing w:after="0" w:line="240" w:lineRule="auto"/>
        <w:ind w:firstLine="709"/>
        <w:contextualSpacing/>
        <w:jc w:val="both"/>
        <w:rPr>
          <w:rFonts w:ascii="Times New Roman" w:eastAsia="Calibri" w:hAnsi="Times New Roman" w:cs="Times New Roman"/>
          <w:bCs/>
          <w:sz w:val="24"/>
          <w:szCs w:val="24"/>
          <w:lang w:val="x-none" w:eastAsia="x-none"/>
        </w:rPr>
      </w:pPr>
      <w:r w:rsidRPr="00C37701">
        <w:rPr>
          <w:rFonts w:ascii="Times New Roman" w:eastAsia="Calibri" w:hAnsi="Times New Roman" w:cs="Times New Roman"/>
          <w:bCs/>
          <w:sz w:val="24"/>
          <w:szCs w:val="24"/>
          <w:lang w:val="x-none" w:eastAsia="x-none"/>
        </w:rPr>
        <w:t>Также, в целях стабилизации ликвидности банков пересмотрена методология расчета коэффициента нетто стабильного фондирования (NSFR), согласно которому текущие счета и вклады до востребования юридических лиц были признаны в качестве операционных депозитов, а  займы национальных управляющих холдингов (</w:t>
      </w:r>
      <w:proofErr w:type="spellStart"/>
      <w:r w:rsidRPr="00C37701">
        <w:rPr>
          <w:rFonts w:ascii="Times New Roman" w:eastAsia="Calibri" w:hAnsi="Times New Roman" w:cs="Times New Roman"/>
          <w:bCs/>
          <w:sz w:val="24"/>
          <w:szCs w:val="24"/>
          <w:lang w:val="x-none" w:eastAsia="x-none"/>
        </w:rPr>
        <w:t>Самрук-Казына</w:t>
      </w:r>
      <w:proofErr w:type="spellEnd"/>
      <w:r w:rsidRPr="00C37701">
        <w:rPr>
          <w:rFonts w:ascii="Times New Roman" w:eastAsia="Calibri" w:hAnsi="Times New Roman" w:cs="Times New Roman"/>
          <w:bCs/>
          <w:sz w:val="24"/>
          <w:szCs w:val="24"/>
          <w:lang w:val="x-none" w:eastAsia="x-none"/>
        </w:rPr>
        <w:t xml:space="preserve"> и </w:t>
      </w:r>
      <w:proofErr w:type="spellStart"/>
      <w:r w:rsidRPr="00C37701">
        <w:rPr>
          <w:rFonts w:ascii="Times New Roman" w:eastAsia="Calibri" w:hAnsi="Times New Roman" w:cs="Times New Roman"/>
          <w:bCs/>
          <w:sz w:val="24"/>
          <w:szCs w:val="24"/>
          <w:lang w:val="x-none" w:eastAsia="x-none"/>
        </w:rPr>
        <w:t>Байтерек</w:t>
      </w:r>
      <w:proofErr w:type="spellEnd"/>
      <w:r w:rsidRPr="00C37701">
        <w:rPr>
          <w:rFonts w:ascii="Times New Roman" w:eastAsia="Calibri" w:hAnsi="Times New Roman" w:cs="Times New Roman"/>
          <w:bCs/>
          <w:sz w:val="24"/>
          <w:szCs w:val="24"/>
          <w:lang w:val="x-none" w:eastAsia="x-none"/>
        </w:rPr>
        <w:t>) и займы, гарантированные Правительством были признаны в качестве стабильного фондирования.</w:t>
      </w:r>
    </w:p>
    <w:p w14:paraId="5F9B20DE" w14:textId="7ACE739A" w:rsidR="00414947" w:rsidRPr="00C37701" w:rsidRDefault="00414947" w:rsidP="0097449D">
      <w:pPr>
        <w:tabs>
          <w:tab w:val="left" w:pos="0"/>
          <w:tab w:val="left" w:pos="993"/>
        </w:tabs>
        <w:spacing w:after="0" w:line="240" w:lineRule="auto"/>
        <w:ind w:firstLine="709"/>
        <w:contextualSpacing/>
        <w:jc w:val="both"/>
        <w:rPr>
          <w:rFonts w:ascii="Times New Roman" w:eastAsia="Calibri" w:hAnsi="Times New Roman" w:cs="Times New Roman"/>
          <w:sz w:val="24"/>
          <w:szCs w:val="24"/>
          <w:lang w:val="x-none" w:eastAsia="x-none"/>
        </w:rPr>
      </w:pPr>
      <w:r w:rsidRPr="00C37701">
        <w:rPr>
          <w:rFonts w:ascii="Times New Roman" w:eastAsia="Calibri" w:hAnsi="Times New Roman" w:cs="Times New Roman"/>
          <w:sz w:val="24"/>
          <w:szCs w:val="24"/>
          <w:lang w:val="x-none" w:eastAsia="x-none"/>
        </w:rPr>
        <w:t xml:space="preserve">Изменен подход признания в собственном капитале банков скрытых убытков (положительной разницы между регуляторными провизиями и провизиями по МСФО), заключающийся в переносе требования по признанию скрытого потенциального убытка из расчета собственного капитала в буферы капитала путем введения регуляторного буфера, который будет прибавляться в дополнение к текущим буферам (консервационный, системный) и минимальным значениям достаточности капитала (k1, k1-2, k2). Новый подход позволяет высвободить дополнительный запас по капиталу, перенаправив его на покрытие потенциальных убытков, признанных банками по итогам </w:t>
      </w:r>
      <w:r w:rsidR="00196A2B" w:rsidRPr="00196A2B">
        <w:rPr>
          <w:rFonts w:ascii="Times New Roman" w:eastAsia="Calibri" w:hAnsi="Times New Roman" w:cs="Times New Roman"/>
          <w:sz w:val="24"/>
          <w:szCs w:val="24"/>
          <w:lang w:val="x-none" w:eastAsia="x-none"/>
        </w:rPr>
        <w:t>оценк</w:t>
      </w:r>
      <w:r w:rsidR="00196A2B">
        <w:rPr>
          <w:rFonts w:ascii="Times New Roman" w:eastAsia="Calibri" w:hAnsi="Times New Roman" w:cs="Times New Roman"/>
          <w:sz w:val="24"/>
          <w:szCs w:val="24"/>
          <w:lang w:eastAsia="x-none"/>
        </w:rPr>
        <w:t>и</w:t>
      </w:r>
      <w:r w:rsidR="00196A2B" w:rsidRPr="00196A2B">
        <w:rPr>
          <w:rFonts w:ascii="Times New Roman" w:eastAsia="Calibri" w:hAnsi="Times New Roman" w:cs="Times New Roman"/>
          <w:sz w:val="24"/>
          <w:szCs w:val="24"/>
          <w:lang w:val="x-none" w:eastAsia="x-none"/>
        </w:rPr>
        <w:t xml:space="preserve"> качества</w:t>
      </w:r>
      <w:r w:rsidR="00196A2B">
        <w:rPr>
          <w:rFonts w:ascii="Times New Roman" w:eastAsia="Calibri" w:hAnsi="Times New Roman" w:cs="Times New Roman"/>
          <w:sz w:val="24"/>
          <w:szCs w:val="24"/>
          <w:lang w:eastAsia="x-none"/>
        </w:rPr>
        <w:t xml:space="preserve"> их</w:t>
      </w:r>
      <w:r w:rsidR="00196A2B" w:rsidRPr="00196A2B">
        <w:rPr>
          <w:rFonts w:ascii="Times New Roman" w:eastAsia="Calibri" w:hAnsi="Times New Roman" w:cs="Times New Roman"/>
          <w:sz w:val="24"/>
          <w:szCs w:val="24"/>
          <w:lang w:val="x-none" w:eastAsia="x-none"/>
        </w:rPr>
        <w:t xml:space="preserve"> активов </w:t>
      </w:r>
      <w:r w:rsidRPr="00C37701">
        <w:rPr>
          <w:rFonts w:ascii="Times New Roman" w:eastAsia="Calibri" w:hAnsi="Times New Roman" w:cs="Times New Roman"/>
          <w:sz w:val="24"/>
          <w:szCs w:val="24"/>
          <w:lang w:val="x-none" w:eastAsia="x-none"/>
        </w:rPr>
        <w:t xml:space="preserve"> и предоставляет возможность банкам согласовать с регулятором индивидуальные планы </w:t>
      </w:r>
      <w:proofErr w:type="spellStart"/>
      <w:r w:rsidRPr="00C37701">
        <w:rPr>
          <w:rFonts w:ascii="Times New Roman" w:eastAsia="Calibri" w:hAnsi="Times New Roman" w:cs="Times New Roman"/>
          <w:sz w:val="24"/>
          <w:szCs w:val="24"/>
          <w:lang w:val="x-none" w:eastAsia="x-none"/>
        </w:rPr>
        <w:t>доформирования</w:t>
      </w:r>
      <w:proofErr w:type="spellEnd"/>
      <w:r w:rsidRPr="00C37701">
        <w:rPr>
          <w:rFonts w:ascii="Times New Roman" w:eastAsia="Calibri" w:hAnsi="Times New Roman" w:cs="Times New Roman"/>
          <w:sz w:val="24"/>
          <w:szCs w:val="24"/>
          <w:lang w:val="x-none" w:eastAsia="x-none"/>
        </w:rPr>
        <w:t xml:space="preserve"> провизий.</w:t>
      </w:r>
    </w:p>
    <w:p w14:paraId="5D48BDA9" w14:textId="5AF1EE33" w:rsidR="00414947" w:rsidRPr="00C37701" w:rsidRDefault="00414947" w:rsidP="0097449D">
      <w:pPr>
        <w:tabs>
          <w:tab w:val="left" w:pos="0"/>
          <w:tab w:val="left" w:pos="993"/>
        </w:tabs>
        <w:spacing w:after="0" w:line="240" w:lineRule="auto"/>
        <w:ind w:firstLine="709"/>
        <w:contextualSpacing/>
        <w:jc w:val="both"/>
        <w:rPr>
          <w:rFonts w:ascii="Times New Roman" w:eastAsia="Calibri" w:hAnsi="Times New Roman" w:cs="Times New Roman"/>
          <w:sz w:val="24"/>
          <w:szCs w:val="24"/>
          <w:lang w:eastAsia="x-none"/>
        </w:rPr>
      </w:pPr>
      <w:r w:rsidRPr="00C37701">
        <w:rPr>
          <w:rFonts w:ascii="Times New Roman" w:eastAsia="Calibri" w:hAnsi="Times New Roman" w:cs="Times New Roman"/>
          <w:sz w:val="24"/>
          <w:szCs w:val="24"/>
          <w:lang w:eastAsia="x-none"/>
        </w:rPr>
        <w:t>Предусмотрены изъятия для ценных бумаг,</w:t>
      </w:r>
      <w:r w:rsidR="002468F9">
        <w:rPr>
          <w:rFonts w:ascii="Times New Roman" w:eastAsia="Calibri" w:hAnsi="Times New Roman" w:cs="Times New Roman"/>
          <w:sz w:val="24"/>
          <w:szCs w:val="24"/>
          <w:lang w:eastAsia="x-none"/>
        </w:rPr>
        <w:t xml:space="preserve"> гарантированных Правительством</w:t>
      </w:r>
      <w:r w:rsidRPr="00C37701">
        <w:rPr>
          <w:rFonts w:ascii="Times New Roman" w:eastAsia="Calibri" w:hAnsi="Times New Roman" w:cs="Times New Roman"/>
          <w:sz w:val="24"/>
          <w:szCs w:val="24"/>
          <w:lang w:eastAsia="x-none"/>
        </w:rPr>
        <w:t>. Согласно изменениям, при расчете достаточности собственного капитала рыночный риск по ценным бумагам, г</w:t>
      </w:r>
      <w:r w:rsidR="002468F9">
        <w:rPr>
          <w:rFonts w:ascii="Times New Roman" w:eastAsia="Calibri" w:hAnsi="Times New Roman" w:cs="Times New Roman"/>
          <w:sz w:val="24"/>
          <w:szCs w:val="24"/>
          <w:lang w:eastAsia="x-none"/>
        </w:rPr>
        <w:t>арантированным Правительством</w:t>
      </w:r>
      <w:r w:rsidRPr="00C37701">
        <w:rPr>
          <w:rFonts w:ascii="Times New Roman" w:eastAsia="Calibri" w:hAnsi="Times New Roman" w:cs="Times New Roman"/>
          <w:sz w:val="24"/>
          <w:szCs w:val="24"/>
          <w:lang w:eastAsia="x-none"/>
        </w:rPr>
        <w:t>, взвешивается под 0%. Помимо этого, указанные ценные бумаги при расчете коэффициентов ликвидности признаются высоколиквидными активами, а также на них не распространяется лимит концентрации на одного заемщика (к3).</w:t>
      </w:r>
    </w:p>
    <w:p w14:paraId="4AA0F481" w14:textId="77777777" w:rsidR="00414947" w:rsidRPr="00C37701" w:rsidRDefault="00414947" w:rsidP="0097449D">
      <w:pPr>
        <w:tabs>
          <w:tab w:val="left" w:pos="0"/>
          <w:tab w:val="left" w:pos="993"/>
        </w:tabs>
        <w:spacing w:after="0" w:line="240" w:lineRule="auto"/>
        <w:ind w:firstLine="709"/>
        <w:contextualSpacing/>
        <w:jc w:val="both"/>
        <w:rPr>
          <w:rFonts w:ascii="Times New Roman" w:eastAsia="Calibri" w:hAnsi="Times New Roman" w:cs="Times New Roman"/>
          <w:sz w:val="24"/>
          <w:szCs w:val="24"/>
          <w:lang w:val="x-none" w:eastAsia="x-none"/>
        </w:rPr>
      </w:pPr>
      <w:r w:rsidRPr="00C37701">
        <w:rPr>
          <w:rFonts w:ascii="Times New Roman" w:eastAsia="Calibri" w:hAnsi="Times New Roman" w:cs="Times New Roman"/>
          <w:sz w:val="24"/>
          <w:szCs w:val="24"/>
          <w:lang w:eastAsia="x-none"/>
        </w:rPr>
        <w:t xml:space="preserve">Банкам, дочерним организациям банков или банковских холдингов предоставлена возможность приобретения акций, допущенных к публичным торгам на фондовой бирже, функционирующей на территории МФЦА. </w:t>
      </w:r>
    </w:p>
    <w:p w14:paraId="1BD0D939" w14:textId="77777777" w:rsidR="00895732" w:rsidRPr="00C37701" w:rsidRDefault="00895732"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Реализация процедур надзора в целях обеспечения банками требований законодательства.</w:t>
      </w:r>
    </w:p>
    <w:p w14:paraId="362A29D0" w14:textId="77777777" w:rsidR="00414947" w:rsidRPr="00C37701" w:rsidRDefault="00414947" w:rsidP="0097449D">
      <w:pPr>
        <w:tabs>
          <w:tab w:val="left" w:pos="-993"/>
          <w:tab w:val="left" w:pos="1662"/>
        </w:tabs>
        <w:spacing w:after="0" w:line="240" w:lineRule="auto"/>
        <w:ind w:firstLine="709"/>
        <w:jc w:val="both"/>
        <w:rPr>
          <w:rFonts w:ascii="Times New Roman" w:hAnsi="Times New Roman" w:cs="Times New Roman"/>
          <w:bCs/>
          <w:sz w:val="24"/>
          <w:szCs w:val="24"/>
        </w:rPr>
      </w:pPr>
      <w:r w:rsidRPr="00C37701">
        <w:rPr>
          <w:rFonts w:ascii="Times New Roman" w:hAnsi="Times New Roman" w:cs="Times New Roman"/>
          <w:bCs/>
          <w:sz w:val="24"/>
          <w:szCs w:val="24"/>
        </w:rPr>
        <w:t xml:space="preserve">Одной из задач Национального Банка </w:t>
      </w:r>
      <w:r w:rsidRPr="00C37701">
        <w:rPr>
          <w:rFonts w:ascii="Times New Roman" w:hAnsi="Times New Roman" w:cs="Times New Roman"/>
          <w:bCs/>
          <w:sz w:val="24"/>
          <w:szCs w:val="24"/>
          <w:lang w:val="kk-KZ"/>
        </w:rPr>
        <w:t xml:space="preserve">в 2019 году </w:t>
      </w:r>
      <w:proofErr w:type="spellStart"/>
      <w:r w:rsidRPr="00C37701">
        <w:rPr>
          <w:rFonts w:ascii="Times New Roman" w:hAnsi="Times New Roman" w:cs="Times New Roman"/>
          <w:bCs/>
          <w:sz w:val="24"/>
          <w:szCs w:val="24"/>
        </w:rPr>
        <w:t>явля</w:t>
      </w:r>
      <w:proofErr w:type="spellEnd"/>
      <w:r w:rsidRPr="00C37701">
        <w:rPr>
          <w:rFonts w:ascii="Times New Roman" w:hAnsi="Times New Roman" w:cs="Times New Roman"/>
          <w:bCs/>
          <w:sz w:val="24"/>
          <w:szCs w:val="24"/>
          <w:lang w:val="kk-KZ"/>
        </w:rPr>
        <w:t xml:space="preserve">лось </w:t>
      </w:r>
      <w:r w:rsidRPr="00C37701">
        <w:rPr>
          <w:rFonts w:ascii="Times New Roman" w:hAnsi="Times New Roman" w:cs="Times New Roman"/>
          <w:bCs/>
          <w:sz w:val="24"/>
          <w:szCs w:val="24"/>
        </w:rPr>
        <w:t>осуществление контроля и надзора за деятельностью банков и их аффилированных лиц, банковских конгломератов и других субъектов банковского сектора посредством анализа их деятельности, надзора за соблюдением ими установленных законодательством требований (за исключением требований, установленных валютным законодательством), в целях обеспечения стабильности банковской системы Республики Казахстан, а также защиты интересов вкладчиков (депозиторов) банков и небанковских организаций.</w:t>
      </w:r>
    </w:p>
    <w:p w14:paraId="0A92DCB1" w14:textId="77777777" w:rsidR="00414947" w:rsidRPr="00C37701" w:rsidRDefault="00414947" w:rsidP="0097449D">
      <w:pPr>
        <w:tabs>
          <w:tab w:val="left" w:pos="0"/>
          <w:tab w:val="left" w:pos="709"/>
          <w:tab w:val="left" w:pos="1134"/>
          <w:tab w:val="left" w:pos="1276"/>
        </w:tabs>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В целях выявления уровня имеющихся и потенциальных рисков и проблем в деятельности поднадзорных субъектов на ежемесячной и ежеквартальной основе проводится анализ финансового состояния поднадзорных субъектов посредством:</w:t>
      </w:r>
    </w:p>
    <w:p w14:paraId="3F293AC2" w14:textId="77777777" w:rsidR="00414947" w:rsidRPr="00C37701" w:rsidRDefault="00414947" w:rsidP="0097449D">
      <w:pPr>
        <w:pStyle w:val="a6"/>
        <w:numPr>
          <w:ilvl w:val="0"/>
          <w:numId w:val="48"/>
        </w:numPr>
        <w:tabs>
          <w:tab w:val="left" w:pos="0"/>
          <w:tab w:val="left" w:pos="709"/>
          <w:tab w:val="left" w:pos="1134"/>
          <w:tab w:val="left" w:pos="1276"/>
        </w:tabs>
        <w:spacing w:after="0" w:line="240" w:lineRule="auto"/>
        <w:ind w:left="0" w:firstLine="709"/>
        <w:jc w:val="both"/>
        <w:rPr>
          <w:rFonts w:ascii="Times New Roman" w:hAnsi="Times New Roman" w:cs="Times New Roman"/>
          <w:sz w:val="24"/>
          <w:szCs w:val="24"/>
        </w:rPr>
      </w:pPr>
      <w:r w:rsidRPr="00C37701">
        <w:rPr>
          <w:rFonts w:ascii="Times New Roman" w:hAnsi="Times New Roman" w:cs="Times New Roman"/>
          <w:sz w:val="24"/>
          <w:szCs w:val="24"/>
        </w:rPr>
        <w:t xml:space="preserve"> рассмотрения представленной финансовой и регуляторной отчетности и составления по результатам анализа соответствующих отчетов;</w:t>
      </w:r>
    </w:p>
    <w:p w14:paraId="2BBFF0C1" w14:textId="77777777" w:rsidR="00414947" w:rsidRPr="00C37701" w:rsidRDefault="00414947" w:rsidP="0097449D">
      <w:pPr>
        <w:pStyle w:val="a6"/>
        <w:numPr>
          <w:ilvl w:val="0"/>
          <w:numId w:val="48"/>
        </w:numPr>
        <w:tabs>
          <w:tab w:val="left" w:pos="0"/>
          <w:tab w:val="left" w:pos="709"/>
          <w:tab w:val="left" w:pos="1134"/>
          <w:tab w:val="left" w:pos="1276"/>
        </w:tabs>
        <w:spacing w:after="0" w:line="240" w:lineRule="auto"/>
        <w:ind w:left="0" w:firstLine="709"/>
        <w:jc w:val="both"/>
        <w:rPr>
          <w:rFonts w:ascii="Times New Roman" w:hAnsi="Times New Roman" w:cs="Times New Roman"/>
          <w:color w:val="000000"/>
          <w:sz w:val="24"/>
          <w:szCs w:val="24"/>
        </w:rPr>
      </w:pPr>
      <w:r w:rsidRPr="00C37701">
        <w:rPr>
          <w:rFonts w:ascii="Times New Roman" w:hAnsi="Times New Roman" w:cs="Times New Roman"/>
          <w:color w:val="000000"/>
          <w:sz w:val="24"/>
          <w:szCs w:val="24"/>
        </w:rPr>
        <w:t xml:space="preserve"> применения системы мер раннего реагирования направленной на недопущение ухудшения финансового положения банков второго уровня и банковских конгломератов, посредством выявления факторов, влияющих на ухудшение финансового положения банков и банковских конгломератов, и применения своевременных и адекватных надзорных действий;</w:t>
      </w:r>
    </w:p>
    <w:p w14:paraId="7D83F281" w14:textId="77777777" w:rsidR="00414947" w:rsidRPr="00C37701" w:rsidRDefault="00414947" w:rsidP="0097449D">
      <w:pPr>
        <w:pStyle w:val="a6"/>
        <w:numPr>
          <w:ilvl w:val="0"/>
          <w:numId w:val="48"/>
        </w:numPr>
        <w:tabs>
          <w:tab w:val="left" w:pos="0"/>
          <w:tab w:val="left" w:pos="709"/>
          <w:tab w:val="left" w:pos="1134"/>
          <w:tab w:val="left" w:pos="1276"/>
        </w:tabs>
        <w:spacing w:after="0" w:line="240" w:lineRule="auto"/>
        <w:ind w:left="0" w:firstLine="709"/>
        <w:jc w:val="both"/>
        <w:rPr>
          <w:rFonts w:ascii="Times New Roman" w:hAnsi="Times New Roman" w:cs="Times New Roman"/>
          <w:sz w:val="24"/>
          <w:szCs w:val="24"/>
        </w:rPr>
      </w:pPr>
      <w:r w:rsidRPr="00C37701">
        <w:rPr>
          <w:rFonts w:ascii="Times New Roman" w:hAnsi="Times New Roman" w:cs="Times New Roman"/>
          <w:sz w:val="24"/>
          <w:szCs w:val="24"/>
        </w:rPr>
        <w:t xml:space="preserve"> </w:t>
      </w:r>
      <w:r w:rsidRPr="00C37701">
        <w:rPr>
          <w:rFonts w:ascii="Times New Roman" w:hAnsi="Times New Roman" w:cs="Times New Roman"/>
          <w:sz w:val="24"/>
          <w:szCs w:val="24"/>
          <w:lang w:val="x-none"/>
        </w:rPr>
        <w:t>составления чек-листов выполнения банками норм действующего законодательства</w:t>
      </w:r>
      <w:r w:rsidRPr="00C37701">
        <w:rPr>
          <w:rFonts w:ascii="Times New Roman" w:hAnsi="Times New Roman" w:cs="Times New Roman"/>
          <w:sz w:val="24"/>
          <w:szCs w:val="24"/>
        </w:rPr>
        <w:t>;</w:t>
      </w:r>
    </w:p>
    <w:p w14:paraId="49FB2943" w14:textId="77777777" w:rsidR="00414947" w:rsidRPr="00C37701" w:rsidRDefault="00414947" w:rsidP="0097449D">
      <w:pPr>
        <w:pStyle w:val="a6"/>
        <w:numPr>
          <w:ilvl w:val="0"/>
          <w:numId w:val="48"/>
        </w:numPr>
        <w:tabs>
          <w:tab w:val="left" w:pos="0"/>
          <w:tab w:val="left" w:pos="709"/>
          <w:tab w:val="left" w:pos="1134"/>
          <w:tab w:val="left" w:pos="1276"/>
        </w:tabs>
        <w:spacing w:after="0" w:line="240" w:lineRule="auto"/>
        <w:ind w:left="0" w:firstLine="709"/>
        <w:jc w:val="both"/>
        <w:rPr>
          <w:rFonts w:ascii="Times New Roman" w:hAnsi="Times New Roman" w:cs="Times New Roman"/>
          <w:color w:val="000000"/>
          <w:sz w:val="24"/>
          <w:szCs w:val="24"/>
        </w:rPr>
      </w:pPr>
      <w:r w:rsidRPr="00C37701">
        <w:rPr>
          <w:rFonts w:ascii="Times New Roman" w:hAnsi="Times New Roman" w:cs="Times New Roman"/>
          <w:sz w:val="24"/>
          <w:szCs w:val="24"/>
        </w:rPr>
        <w:t xml:space="preserve"> документарных проверок.</w:t>
      </w:r>
    </w:p>
    <w:p w14:paraId="436AC67B" w14:textId="77777777" w:rsidR="00414947" w:rsidRPr="00C37701" w:rsidRDefault="00414947" w:rsidP="0097449D">
      <w:pPr>
        <w:tabs>
          <w:tab w:val="left" w:pos="0"/>
          <w:tab w:val="left" w:pos="709"/>
          <w:tab w:val="left" w:pos="1134"/>
          <w:tab w:val="left" w:pos="1276"/>
        </w:tabs>
        <w:spacing w:after="0" w:line="240" w:lineRule="auto"/>
        <w:jc w:val="both"/>
        <w:rPr>
          <w:rFonts w:ascii="Times New Roman" w:hAnsi="Times New Roman" w:cs="Times New Roman"/>
          <w:color w:val="000000"/>
          <w:sz w:val="24"/>
          <w:szCs w:val="24"/>
        </w:rPr>
      </w:pPr>
    </w:p>
    <w:p w14:paraId="724D4009" w14:textId="77777777" w:rsidR="00414947" w:rsidRPr="00C37701" w:rsidRDefault="00414947" w:rsidP="0097449D">
      <w:pPr>
        <w:spacing w:after="0" w:line="240" w:lineRule="auto"/>
        <w:ind w:firstLine="709"/>
        <w:jc w:val="both"/>
        <w:rPr>
          <w:rFonts w:ascii="Times New Roman" w:hAnsi="Times New Roman" w:cs="Times New Roman"/>
          <w:i/>
          <w:sz w:val="24"/>
          <w:szCs w:val="24"/>
        </w:rPr>
      </w:pPr>
      <w:r w:rsidRPr="00C37701">
        <w:rPr>
          <w:rFonts w:ascii="Times New Roman" w:hAnsi="Times New Roman" w:cs="Times New Roman"/>
          <w:i/>
          <w:sz w:val="24"/>
          <w:szCs w:val="24"/>
        </w:rPr>
        <w:t>Реализация мер по стимулированию снижения неработающих займов.</w:t>
      </w:r>
    </w:p>
    <w:p w14:paraId="189E93EE" w14:textId="64F1BCF5" w:rsidR="00414947" w:rsidRPr="00C37701" w:rsidRDefault="00414947" w:rsidP="0097449D">
      <w:pPr>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В течение 2019 года в рамках Программы повышения финансовой устойчивости банковского сектора, одобренной постановлением Правления Национального Банка</w:t>
      </w:r>
      <w:r w:rsidR="00FE678E">
        <w:rPr>
          <w:rFonts w:ascii="Times New Roman" w:hAnsi="Times New Roman" w:cs="Times New Roman"/>
          <w:sz w:val="24"/>
          <w:szCs w:val="24"/>
        </w:rPr>
        <w:t xml:space="preserve">                             </w:t>
      </w:r>
      <w:r w:rsidRPr="00C37701">
        <w:rPr>
          <w:rFonts w:ascii="Times New Roman" w:hAnsi="Times New Roman" w:cs="Times New Roman"/>
          <w:sz w:val="24"/>
          <w:szCs w:val="24"/>
        </w:rPr>
        <w:t xml:space="preserve"> </w:t>
      </w:r>
      <w:r w:rsidR="00940771">
        <w:rPr>
          <w:rFonts w:ascii="Times New Roman" w:hAnsi="Times New Roman" w:cs="Times New Roman"/>
          <w:sz w:val="24"/>
          <w:szCs w:val="24"/>
        </w:rPr>
        <w:t xml:space="preserve">от 30 июня </w:t>
      </w:r>
      <w:r w:rsidRPr="00C37701">
        <w:rPr>
          <w:rFonts w:ascii="Times New Roman" w:hAnsi="Times New Roman" w:cs="Times New Roman"/>
          <w:sz w:val="24"/>
          <w:szCs w:val="24"/>
        </w:rPr>
        <w:t>2017 года</w:t>
      </w:r>
      <w:r w:rsidR="00940771">
        <w:rPr>
          <w:rFonts w:ascii="Times New Roman" w:hAnsi="Times New Roman" w:cs="Times New Roman"/>
          <w:sz w:val="24"/>
          <w:szCs w:val="24"/>
        </w:rPr>
        <w:t xml:space="preserve"> </w:t>
      </w:r>
      <w:r w:rsidR="00940771" w:rsidRPr="00C37701">
        <w:rPr>
          <w:rFonts w:ascii="Times New Roman" w:hAnsi="Times New Roman" w:cs="Times New Roman"/>
          <w:sz w:val="24"/>
          <w:szCs w:val="24"/>
        </w:rPr>
        <w:t>№</w:t>
      </w:r>
      <w:r w:rsidR="00940771">
        <w:rPr>
          <w:rFonts w:ascii="Times New Roman" w:hAnsi="Times New Roman" w:cs="Times New Roman"/>
          <w:sz w:val="24"/>
          <w:szCs w:val="24"/>
        </w:rPr>
        <w:t xml:space="preserve"> </w:t>
      </w:r>
      <w:r w:rsidR="00940771" w:rsidRPr="00C37701">
        <w:rPr>
          <w:rFonts w:ascii="Times New Roman" w:hAnsi="Times New Roman" w:cs="Times New Roman"/>
          <w:sz w:val="24"/>
          <w:szCs w:val="24"/>
        </w:rPr>
        <w:t>129</w:t>
      </w:r>
      <w:r w:rsidRPr="00C37701">
        <w:rPr>
          <w:rFonts w:ascii="Times New Roman" w:hAnsi="Times New Roman" w:cs="Times New Roman"/>
          <w:sz w:val="24"/>
          <w:szCs w:val="24"/>
        </w:rPr>
        <w:t>, была продолжена работа по сокращению неработающих займов, накопленных банками на их балансах в предыдущие годы.</w:t>
      </w:r>
    </w:p>
    <w:p w14:paraId="169DD247" w14:textId="6DA154F3" w:rsidR="00414947" w:rsidRPr="00C37701" w:rsidRDefault="00414947" w:rsidP="0097449D">
      <w:pPr>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 xml:space="preserve">С момента вхождения в Программу банками на постоянной основе проводятся мероприятия по улучшению качества активов и возврату задолженности проблемных заемщиков. Так, проведены мероприятия по улучшению качества активов и возврату задолженности на сумму более 1,2 трлн. тенге, с баланса банков списано проблемных займов на общую </w:t>
      </w:r>
      <w:r w:rsidR="00FE678E">
        <w:rPr>
          <w:rFonts w:ascii="Times New Roman" w:hAnsi="Times New Roman" w:cs="Times New Roman"/>
          <w:sz w:val="24"/>
          <w:szCs w:val="24"/>
        </w:rPr>
        <w:t xml:space="preserve">                                   </w:t>
      </w:r>
      <w:r w:rsidRPr="00C37701">
        <w:rPr>
          <w:rFonts w:ascii="Times New Roman" w:hAnsi="Times New Roman" w:cs="Times New Roman"/>
          <w:sz w:val="24"/>
          <w:szCs w:val="24"/>
        </w:rPr>
        <w:t>сумму</w:t>
      </w:r>
      <w:r w:rsidR="00F94299">
        <w:rPr>
          <w:rFonts w:ascii="Times New Roman" w:hAnsi="Times New Roman" w:cs="Times New Roman"/>
          <w:sz w:val="24"/>
          <w:szCs w:val="24"/>
        </w:rPr>
        <w:t xml:space="preserve"> </w:t>
      </w:r>
      <w:r w:rsidRPr="00C37701">
        <w:rPr>
          <w:rFonts w:ascii="Times New Roman" w:hAnsi="Times New Roman" w:cs="Times New Roman"/>
          <w:sz w:val="24"/>
          <w:szCs w:val="24"/>
        </w:rPr>
        <w:t>838 млрд. тенге. В целом, проводимая работа по улучшению качества ссудных портфелей позволила банкам, участвующим в Программе, выдать новые займы на сумму 2,4 трлн. тенге.</w:t>
      </w:r>
    </w:p>
    <w:p w14:paraId="3F98A5D7" w14:textId="64D472B5" w:rsidR="00414947" w:rsidRPr="00C37701" w:rsidRDefault="00414947" w:rsidP="0097449D">
      <w:pPr>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В рамках усиления регуляторного и надзорного мандата с 1 января 2019 года был введен риск-ориентированный надзор (</w:t>
      </w:r>
      <w:r w:rsidR="00B9357B">
        <w:rPr>
          <w:rFonts w:ascii="Times New Roman" w:hAnsi="Times New Roman" w:cs="Times New Roman"/>
          <w:sz w:val="24"/>
          <w:szCs w:val="24"/>
        </w:rPr>
        <w:t xml:space="preserve">далее - </w:t>
      </w:r>
      <w:r w:rsidRPr="00C37701">
        <w:rPr>
          <w:rFonts w:ascii="Times New Roman" w:hAnsi="Times New Roman" w:cs="Times New Roman"/>
          <w:sz w:val="24"/>
          <w:szCs w:val="24"/>
        </w:rPr>
        <w:t>РОН), в том числе введено право уполномоченного органа применять надзорное суждение.</w:t>
      </w:r>
    </w:p>
    <w:p w14:paraId="5E1EFDD9" w14:textId="77777777" w:rsidR="00414947" w:rsidRPr="00C37701" w:rsidRDefault="00414947" w:rsidP="0097449D">
      <w:pPr>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Использование РОН позволит уполномоченному органу своевременно корректировать бизнес-модель банков в соответствии с быстро меняющейся средой ведения банковского бизнеса, политику кредитования банков для устранения на ранних стадиях негативных фактов кредитования, в том числе финансирования связанных компаний и лиц.</w:t>
      </w:r>
    </w:p>
    <w:p w14:paraId="65FD5861" w14:textId="4268F789" w:rsidR="00414947" w:rsidRPr="00C37701" w:rsidRDefault="00414947" w:rsidP="0097449D">
      <w:pPr>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 xml:space="preserve">Изменения надзорных подходов регулятора также коснулись качественной оценки банков и системы надзорного реагирования. Новые подходы выстроены на базе методологии ЕЦБ </w:t>
      </w:r>
      <w:proofErr w:type="spellStart"/>
      <w:r w:rsidRPr="00C37701">
        <w:rPr>
          <w:rFonts w:ascii="Times New Roman" w:hAnsi="Times New Roman" w:cs="Times New Roman"/>
          <w:sz w:val="24"/>
          <w:szCs w:val="24"/>
        </w:rPr>
        <w:t>Supervisory</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review</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and</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evaluation</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process</w:t>
      </w:r>
      <w:proofErr w:type="spellEnd"/>
      <w:r w:rsidRPr="00C37701">
        <w:rPr>
          <w:rFonts w:ascii="Times New Roman" w:hAnsi="Times New Roman" w:cs="Times New Roman"/>
          <w:sz w:val="24"/>
          <w:szCs w:val="24"/>
        </w:rPr>
        <w:t xml:space="preserve"> (SREP), которая использует полный инструментарий надзорной практики регулятора и обеспечит эффективный риск-ориентированный подход в надзоре</w:t>
      </w:r>
      <w:r w:rsidR="005F758C">
        <w:rPr>
          <w:rFonts w:ascii="Times New Roman" w:hAnsi="Times New Roman" w:cs="Times New Roman"/>
          <w:sz w:val="24"/>
          <w:szCs w:val="24"/>
        </w:rPr>
        <w:t>.</w:t>
      </w:r>
    </w:p>
    <w:p w14:paraId="43346651" w14:textId="77777777" w:rsidR="00414947" w:rsidRPr="00C37701" w:rsidRDefault="00414947"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В реализацию мер по очищению банковского сектора от неработающих кредитов Национальный Банк в период с апреля по декабрь 2019 года организовал и провёл независимую оценку качества активов банков второго уровня (далее - ОКА), которая является своего рода диагностикой, позволяющей дать</w:t>
      </w:r>
      <w:r w:rsidR="00D151A6" w:rsidRPr="00C37701">
        <w:rPr>
          <w:rFonts w:ascii="Times New Roman" w:hAnsi="Times New Roman" w:cs="Times New Roman"/>
          <w:sz w:val="24"/>
          <w:szCs w:val="24"/>
        </w:rPr>
        <w:t xml:space="preserve"> </w:t>
      </w:r>
      <w:r w:rsidRPr="00C37701">
        <w:rPr>
          <w:rFonts w:ascii="Times New Roman" w:hAnsi="Times New Roman" w:cs="Times New Roman"/>
          <w:sz w:val="24"/>
          <w:szCs w:val="24"/>
        </w:rPr>
        <w:t xml:space="preserve">оценку качеству портфелей, проанализировать практику кредитования и определить потребность банков в капитале. </w:t>
      </w:r>
    </w:p>
    <w:p w14:paraId="4C460C8A" w14:textId="22D869D0" w:rsidR="00414947" w:rsidRPr="00C37701" w:rsidRDefault="00414947" w:rsidP="0097449D">
      <w:pPr>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В август</w:t>
      </w:r>
      <w:r w:rsidR="00E218E2">
        <w:rPr>
          <w:rFonts w:ascii="Times New Roman" w:hAnsi="Times New Roman" w:cs="Times New Roman"/>
          <w:sz w:val="24"/>
          <w:szCs w:val="24"/>
        </w:rPr>
        <w:t>е-декабре 2019 года Национальным</w:t>
      </w:r>
      <w:r w:rsidRPr="00C37701">
        <w:rPr>
          <w:rFonts w:ascii="Times New Roman" w:hAnsi="Times New Roman" w:cs="Times New Roman"/>
          <w:sz w:val="24"/>
          <w:szCs w:val="24"/>
        </w:rPr>
        <w:t xml:space="preserve"> Банк</w:t>
      </w:r>
      <w:r w:rsidR="00E218E2">
        <w:rPr>
          <w:rFonts w:ascii="Times New Roman" w:hAnsi="Times New Roman" w:cs="Times New Roman"/>
          <w:sz w:val="24"/>
          <w:szCs w:val="24"/>
        </w:rPr>
        <w:t>ом</w:t>
      </w:r>
      <w:r w:rsidRPr="00C37701">
        <w:rPr>
          <w:rFonts w:ascii="Times New Roman" w:hAnsi="Times New Roman" w:cs="Times New Roman"/>
          <w:sz w:val="24"/>
          <w:szCs w:val="24"/>
        </w:rPr>
        <w:t xml:space="preserve"> совместно с консультантами и аудиторами был</w:t>
      </w:r>
      <w:r w:rsidR="00EB1C48">
        <w:rPr>
          <w:rFonts w:ascii="Times New Roman" w:hAnsi="Times New Roman" w:cs="Times New Roman"/>
          <w:sz w:val="24"/>
          <w:szCs w:val="24"/>
        </w:rPr>
        <w:t>а</w:t>
      </w:r>
      <w:r w:rsidRPr="00C37701">
        <w:rPr>
          <w:rFonts w:ascii="Times New Roman" w:hAnsi="Times New Roman" w:cs="Times New Roman"/>
          <w:sz w:val="24"/>
          <w:szCs w:val="24"/>
        </w:rPr>
        <w:t xml:space="preserve"> проведен</w:t>
      </w:r>
      <w:r w:rsidR="00EB1C48">
        <w:rPr>
          <w:rFonts w:ascii="Times New Roman" w:hAnsi="Times New Roman" w:cs="Times New Roman"/>
          <w:sz w:val="24"/>
          <w:szCs w:val="24"/>
        </w:rPr>
        <w:t>а</w:t>
      </w:r>
      <w:r w:rsidRPr="00C37701">
        <w:rPr>
          <w:rFonts w:ascii="Times New Roman" w:hAnsi="Times New Roman" w:cs="Times New Roman"/>
          <w:sz w:val="24"/>
          <w:szCs w:val="24"/>
        </w:rPr>
        <w:t xml:space="preserve"> оценка 14 банков второго уровня с применением унифицированного для всех участников Руководства ОКА. В частности, проведены 9 связанных между собой блоков работ (анализ политики бухгалтерского учёта, анализ кредитных досье, оценка залогов и др.). Контроль качества реализации ОКА осуществлялся путем 3</w:t>
      </w:r>
      <w:r w:rsidR="00C80F6C">
        <w:rPr>
          <w:rFonts w:ascii="Times New Roman" w:hAnsi="Times New Roman" w:cs="Times New Roman"/>
          <w:sz w:val="24"/>
          <w:szCs w:val="24"/>
        </w:rPr>
        <w:t>-х линий защиты, состоящий</w:t>
      </w:r>
      <w:r w:rsidRPr="00C37701">
        <w:rPr>
          <w:rFonts w:ascii="Times New Roman" w:hAnsi="Times New Roman" w:cs="Times New Roman"/>
          <w:sz w:val="24"/>
          <w:szCs w:val="24"/>
        </w:rPr>
        <w:t xml:space="preserve"> из аудиторов, инспекторов Национального Банка и Центрального офиса управлением программой ОКА (консультанты и сотрудники Национального Банка).</w:t>
      </w:r>
    </w:p>
    <w:p w14:paraId="365BDF2D" w14:textId="6680542F" w:rsidR="00414947" w:rsidRPr="00C37701" w:rsidRDefault="00414947" w:rsidP="0097449D">
      <w:pPr>
        <w:spacing w:after="0" w:line="240" w:lineRule="auto"/>
        <w:ind w:firstLine="709"/>
        <w:jc w:val="both"/>
        <w:rPr>
          <w:rFonts w:ascii="Times New Roman" w:hAnsi="Times New Roman" w:cs="Times New Roman"/>
          <w:sz w:val="24"/>
          <w:szCs w:val="24"/>
        </w:rPr>
      </w:pPr>
      <w:r w:rsidRPr="00DD7DCB">
        <w:rPr>
          <w:rFonts w:ascii="Times New Roman" w:hAnsi="Times New Roman" w:cs="Times New Roman"/>
          <w:sz w:val="24"/>
          <w:szCs w:val="24"/>
        </w:rPr>
        <w:t>На данный момент завершен первый этап оценки качества активов. С учетом формирования результатов деятельности, финансовой и регуляторной отчетности за 2019 год, банки разработают детальные планы мер, основываясь на предоставленных регулятором рекомендациях. Планы по каждому из банков будут направлены Регулятору на одобрение. После согласования, выполнение мер будет строго отслеживаться регулятором.  Итоговые результаты работы с банками на втором этапе ОКА будут п</w:t>
      </w:r>
      <w:r w:rsidR="00DD7DCB" w:rsidRPr="00DD7DCB">
        <w:rPr>
          <w:rFonts w:ascii="Times New Roman" w:hAnsi="Times New Roman" w:cs="Times New Roman"/>
          <w:sz w:val="24"/>
          <w:szCs w:val="24"/>
        </w:rPr>
        <w:t>редоставлены регулятором</w:t>
      </w:r>
      <w:r w:rsidRPr="00DD7DCB">
        <w:rPr>
          <w:rFonts w:ascii="Times New Roman" w:hAnsi="Times New Roman" w:cs="Times New Roman"/>
          <w:sz w:val="24"/>
          <w:szCs w:val="24"/>
        </w:rPr>
        <w:t xml:space="preserve"> </w:t>
      </w:r>
      <w:r w:rsidRPr="00DD7DCB">
        <w:rPr>
          <w:rFonts w:ascii="Times New Roman" w:hAnsi="Times New Roman" w:cs="Times New Roman"/>
          <w:sz w:val="24"/>
          <w:szCs w:val="24"/>
          <w:u w:val="single"/>
        </w:rPr>
        <w:t>28 февраля 2020 года</w:t>
      </w:r>
      <w:r w:rsidRPr="00DD7DCB">
        <w:rPr>
          <w:rFonts w:ascii="Times New Roman" w:hAnsi="Times New Roman" w:cs="Times New Roman"/>
          <w:sz w:val="24"/>
          <w:szCs w:val="24"/>
        </w:rPr>
        <w:t xml:space="preserve"> в разрезе банков – участников Программы.</w:t>
      </w:r>
    </w:p>
    <w:p w14:paraId="7D8DA167" w14:textId="77777777" w:rsidR="00414947" w:rsidRPr="00C37701" w:rsidRDefault="00414947" w:rsidP="0097449D">
      <w:pPr>
        <w:spacing w:after="0" w:line="240" w:lineRule="auto"/>
        <w:ind w:firstLine="709"/>
        <w:contextualSpacing/>
        <w:jc w:val="both"/>
        <w:rPr>
          <w:rFonts w:ascii="Times New Roman" w:hAnsi="Times New Roman" w:cs="Times New Roman"/>
          <w:bCs/>
          <w:i/>
          <w:sz w:val="24"/>
          <w:szCs w:val="24"/>
        </w:rPr>
      </w:pPr>
    </w:p>
    <w:p w14:paraId="3D75E760" w14:textId="77777777" w:rsidR="006346A7" w:rsidRPr="00C37701" w:rsidRDefault="006346A7" w:rsidP="0097449D">
      <w:pPr>
        <w:spacing w:after="0" w:line="240" w:lineRule="auto"/>
        <w:ind w:firstLine="709"/>
        <w:contextualSpacing/>
        <w:jc w:val="both"/>
        <w:rPr>
          <w:rFonts w:ascii="Times New Roman" w:hAnsi="Times New Roman" w:cs="Times New Roman"/>
          <w:b/>
          <w:i/>
          <w:sz w:val="24"/>
          <w:szCs w:val="24"/>
        </w:rPr>
      </w:pPr>
    </w:p>
    <w:p w14:paraId="6F3A2A8F" w14:textId="77777777" w:rsidR="00FB107F" w:rsidRPr="00C37701" w:rsidRDefault="007E1EE6"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Цель 2.2. Повышение финансовой устойчивости и создание необходимых условий для дальней</w:t>
      </w:r>
      <w:r w:rsidR="0079166B" w:rsidRPr="00C37701">
        <w:rPr>
          <w:rFonts w:ascii="Times New Roman" w:hAnsi="Times New Roman" w:cs="Times New Roman"/>
          <w:b/>
          <w:i/>
          <w:sz w:val="24"/>
          <w:szCs w:val="24"/>
        </w:rPr>
        <w:t>шего развития страхового рынка.</w:t>
      </w:r>
    </w:p>
    <w:p w14:paraId="2CCC8E67" w14:textId="26E6EDE2" w:rsidR="00895732" w:rsidRPr="00C37701" w:rsidRDefault="00895732"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Ухудшение финансовой платежеспособности перестраховщиков-нерезидентов РК.</w:t>
      </w:r>
    </w:p>
    <w:p w14:paraId="3E7FE1E1" w14:textId="77777777" w:rsidR="00895732" w:rsidRPr="00C37701" w:rsidRDefault="00895732" w:rsidP="0097449D">
      <w:pPr>
        <w:spacing w:after="0" w:line="240" w:lineRule="auto"/>
        <w:ind w:firstLine="709"/>
        <w:contextualSpacing/>
        <w:jc w:val="both"/>
        <w:rPr>
          <w:rFonts w:ascii="Times New Roman" w:hAnsi="Times New Roman" w:cs="Times New Roman"/>
          <w:b/>
          <w:bCs/>
          <w:i/>
          <w:sz w:val="24"/>
          <w:szCs w:val="24"/>
        </w:rPr>
      </w:pPr>
      <w:r w:rsidRPr="00C37701">
        <w:rPr>
          <w:rFonts w:ascii="Times New Roman" w:hAnsi="Times New Roman" w:cs="Times New Roman"/>
          <w:b/>
          <w:bCs/>
          <w:i/>
          <w:sz w:val="24"/>
          <w:szCs w:val="24"/>
        </w:rPr>
        <w:t>Мероприятия по управлению возможным риском:</w:t>
      </w:r>
    </w:p>
    <w:p w14:paraId="4B09541F" w14:textId="77777777" w:rsidR="00895732" w:rsidRPr="00C37701" w:rsidRDefault="00895732"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Усиление контроля и надзора за страховыми организациями РК;</w:t>
      </w:r>
    </w:p>
    <w:p w14:paraId="3FED0BDE" w14:textId="77777777" w:rsidR="00895732" w:rsidRPr="00C37701" w:rsidRDefault="00895732"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Пересмотр подхода по формированию доли перестраховщика в страховых резервах;</w:t>
      </w:r>
    </w:p>
    <w:p w14:paraId="03ED1EFD" w14:textId="77777777" w:rsidR="00032A50" w:rsidRPr="00C37701" w:rsidRDefault="00032A50"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Введение реестра перестраховочных организаций-нерезидентов РК, которым будет запрещено передавать страховые риски в перестрахование.</w:t>
      </w:r>
    </w:p>
    <w:p w14:paraId="3ACA937F" w14:textId="09B32007" w:rsidR="00D12FDF" w:rsidRPr="00C37701" w:rsidRDefault="00D12FDF"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lang w:val="kk-KZ"/>
        </w:rPr>
        <w:t>С</w:t>
      </w:r>
      <w:r w:rsidRPr="00C37701">
        <w:rPr>
          <w:rFonts w:ascii="Times New Roman" w:hAnsi="Times New Roman" w:cs="Times New Roman"/>
          <w:sz w:val="24"/>
          <w:szCs w:val="24"/>
        </w:rPr>
        <w:t xml:space="preserve"> 1 января 2019 года внедрен </w:t>
      </w:r>
      <w:r w:rsidR="0063451F">
        <w:rPr>
          <w:rFonts w:ascii="Times New Roman" w:hAnsi="Times New Roman" w:cs="Times New Roman"/>
          <w:sz w:val="24"/>
          <w:szCs w:val="24"/>
        </w:rPr>
        <w:t>РОН</w:t>
      </w:r>
      <w:r w:rsidRPr="00C37701">
        <w:rPr>
          <w:rFonts w:ascii="Times New Roman" w:hAnsi="Times New Roman" w:cs="Times New Roman"/>
          <w:sz w:val="24"/>
          <w:szCs w:val="24"/>
        </w:rPr>
        <w:t xml:space="preserve"> за </w:t>
      </w:r>
      <w:r w:rsidRPr="00C37701">
        <w:rPr>
          <w:rFonts w:ascii="Times New Roman" w:hAnsi="Times New Roman" w:cs="Times New Roman"/>
          <w:sz w:val="24"/>
          <w:szCs w:val="24"/>
          <w:lang w:val="kk-KZ"/>
        </w:rPr>
        <w:t>страховыми</w:t>
      </w:r>
      <w:r w:rsidRPr="00C37701">
        <w:rPr>
          <w:rFonts w:ascii="Times New Roman" w:hAnsi="Times New Roman" w:cs="Times New Roman"/>
          <w:sz w:val="24"/>
          <w:szCs w:val="24"/>
        </w:rPr>
        <w:t xml:space="preserve"> организациями Республики Казахстан.</w:t>
      </w:r>
    </w:p>
    <w:p w14:paraId="088942D6" w14:textId="2C1A58EB" w:rsidR="00D12FDF" w:rsidRPr="00C37701" w:rsidRDefault="00D12FDF"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lastRenderedPageBreak/>
        <w:t xml:space="preserve">Основная задача </w:t>
      </w:r>
      <w:r w:rsidR="0063451F">
        <w:rPr>
          <w:rFonts w:ascii="Times New Roman" w:hAnsi="Times New Roman" w:cs="Times New Roman"/>
          <w:sz w:val="24"/>
          <w:szCs w:val="24"/>
        </w:rPr>
        <w:t>РОН</w:t>
      </w:r>
      <w:r w:rsidRPr="00C37701">
        <w:rPr>
          <w:rFonts w:ascii="Times New Roman" w:hAnsi="Times New Roman" w:cs="Times New Roman"/>
          <w:sz w:val="24"/>
          <w:szCs w:val="24"/>
        </w:rPr>
        <w:t xml:space="preserve"> – выявление и предотвращение рисков и недостатков в деятельности финансовых организаций в целях раннего вмешательства и </w:t>
      </w:r>
      <w:r w:rsidR="00D151A6" w:rsidRPr="00C37701">
        <w:rPr>
          <w:rFonts w:ascii="Times New Roman" w:hAnsi="Times New Roman" w:cs="Times New Roman"/>
          <w:sz w:val="24"/>
          <w:szCs w:val="24"/>
        </w:rPr>
        <w:t>принятия своевременных надзорных действий для обеспечения их финансовой устойчивости,</w:t>
      </w:r>
      <w:r w:rsidRPr="00C37701">
        <w:rPr>
          <w:rFonts w:ascii="Times New Roman" w:hAnsi="Times New Roman" w:cs="Times New Roman"/>
          <w:sz w:val="24"/>
          <w:szCs w:val="24"/>
        </w:rPr>
        <w:t xml:space="preserve"> и недопущения увеличения рисков </w:t>
      </w:r>
      <w:r w:rsidR="00D151A6" w:rsidRPr="00C37701">
        <w:rPr>
          <w:rFonts w:ascii="Times New Roman" w:hAnsi="Times New Roman" w:cs="Times New Roman"/>
          <w:sz w:val="24"/>
          <w:szCs w:val="24"/>
        </w:rPr>
        <w:t>в их</w:t>
      </w:r>
      <w:r w:rsidRPr="00C37701">
        <w:rPr>
          <w:rFonts w:ascii="Times New Roman" w:hAnsi="Times New Roman" w:cs="Times New Roman"/>
          <w:sz w:val="24"/>
          <w:szCs w:val="24"/>
        </w:rPr>
        <w:t xml:space="preserve"> деятельности. </w:t>
      </w:r>
    </w:p>
    <w:p w14:paraId="7936AE1E" w14:textId="4C461351" w:rsidR="00D12FDF" w:rsidRPr="00C37701" w:rsidRDefault="00D12FDF"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31 января 2019 года </w:t>
      </w:r>
      <w:r w:rsidR="0010332A">
        <w:rPr>
          <w:rFonts w:ascii="Times New Roman" w:hAnsi="Times New Roman" w:cs="Times New Roman"/>
          <w:sz w:val="24"/>
          <w:szCs w:val="24"/>
        </w:rPr>
        <w:t xml:space="preserve">внесены изменения в </w:t>
      </w:r>
      <w:proofErr w:type="spellStart"/>
      <w:r w:rsidR="0010332A">
        <w:rPr>
          <w:rFonts w:ascii="Times New Roman" w:hAnsi="Times New Roman" w:cs="Times New Roman"/>
          <w:sz w:val="24"/>
          <w:szCs w:val="24"/>
        </w:rPr>
        <w:t>пруденциальные</w:t>
      </w:r>
      <w:proofErr w:type="spellEnd"/>
      <w:r w:rsidR="0010332A">
        <w:rPr>
          <w:rFonts w:ascii="Times New Roman" w:hAnsi="Times New Roman" w:cs="Times New Roman"/>
          <w:sz w:val="24"/>
          <w:szCs w:val="24"/>
        </w:rPr>
        <w:t xml:space="preserve"> </w:t>
      </w:r>
      <w:r w:rsidR="0010332A" w:rsidRPr="0010332A">
        <w:rPr>
          <w:rFonts w:ascii="Times New Roman" w:hAnsi="Times New Roman" w:cs="Times New Roman"/>
          <w:sz w:val="24"/>
          <w:szCs w:val="24"/>
        </w:rPr>
        <w:t>нормативы страховых (перестраховочных) организаций в части увеличения минимальной маржи платежеспособности с учетом риска перестрахования</w:t>
      </w:r>
      <w:r w:rsidR="0010332A">
        <w:rPr>
          <w:rFonts w:ascii="Times New Roman" w:hAnsi="Times New Roman" w:cs="Times New Roman"/>
          <w:sz w:val="24"/>
          <w:szCs w:val="24"/>
        </w:rPr>
        <w:t>.</w:t>
      </w:r>
      <w:r w:rsidR="0010332A" w:rsidRPr="0010332A" w:rsidDel="0010332A">
        <w:rPr>
          <w:rFonts w:ascii="Times New Roman" w:hAnsi="Times New Roman" w:cs="Times New Roman"/>
          <w:sz w:val="24"/>
          <w:szCs w:val="24"/>
        </w:rPr>
        <w:t xml:space="preserve"> </w:t>
      </w:r>
      <w:r w:rsidR="0010332A">
        <w:rPr>
          <w:rFonts w:ascii="Times New Roman" w:hAnsi="Times New Roman" w:cs="Times New Roman"/>
          <w:sz w:val="24"/>
          <w:szCs w:val="24"/>
        </w:rPr>
        <w:t xml:space="preserve">В </w:t>
      </w:r>
      <w:r w:rsidRPr="00C37701">
        <w:rPr>
          <w:rFonts w:ascii="Times New Roman" w:hAnsi="Times New Roman" w:cs="Times New Roman"/>
          <w:sz w:val="24"/>
          <w:szCs w:val="24"/>
        </w:rPr>
        <w:t xml:space="preserve">случае превышения размера страховых </w:t>
      </w:r>
      <w:proofErr w:type="gramStart"/>
      <w:r w:rsidRPr="00C37701">
        <w:rPr>
          <w:rFonts w:ascii="Times New Roman" w:hAnsi="Times New Roman" w:cs="Times New Roman"/>
          <w:sz w:val="24"/>
          <w:szCs w:val="24"/>
        </w:rPr>
        <w:t xml:space="preserve">премий, </w:t>
      </w:r>
      <w:r w:rsidR="0010332A">
        <w:rPr>
          <w:rFonts w:ascii="Times New Roman" w:hAnsi="Times New Roman" w:cs="Times New Roman"/>
          <w:sz w:val="24"/>
          <w:szCs w:val="24"/>
        </w:rPr>
        <w:t xml:space="preserve"> переданных</w:t>
      </w:r>
      <w:proofErr w:type="gramEnd"/>
      <w:r w:rsidRPr="00C37701">
        <w:rPr>
          <w:rFonts w:ascii="Times New Roman" w:hAnsi="Times New Roman" w:cs="Times New Roman"/>
          <w:sz w:val="24"/>
          <w:szCs w:val="24"/>
        </w:rPr>
        <w:t xml:space="preserve"> нерезидентам РК</w:t>
      </w:r>
      <w:r w:rsidR="00DC002C">
        <w:rPr>
          <w:rFonts w:ascii="Times New Roman" w:hAnsi="Times New Roman" w:cs="Times New Roman"/>
          <w:sz w:val="24"/>
          <w:szCs w:val="24"/>
        </w:rPr>
        <w:t xml:space="preserve"> </w:t>
      </w:r>
      <w:r w:rsidRPr="00C37701">
        <w:rPr>
          <w:rFonts w:ascii="Times New Roman" w:hAnsi="Times New Roman" w:cs="Times New Roman"/>
          <w:sz w:val="24"/>
          <w:szCs w:val="24"/>
        </w:rPr>
        <w:t xml:space="preserve">по завершении финансового года, двадцати пяти процентов от совокупного размера страховых премий, сумма </w:t>
      </w:r>
      <w:r w:rsidR="0010332A">
        <w:rPr>
          <w:rFonts w:ascii="Times New Roman" w:hAnsi="Times New Roman" w:cs="Times New Roman"/>
          <w:sz w:val="24"/>
          <w:szCs w:val="24"/>
        </w:rPr>
        <w:t xml:space="preserve">надбавки на </w:t>
      </w:r>
      <w:r w:rsidRPr="00C37701">
        <w:rPr>
          <w:rFonts w:ascii="Times New Roman" w:hAnsi="Times New Roman" w:cs="Times New Roman"/>
          <w:sz w:val="24"/>
          <w:szCs w:val="24"/>
        </w:rPr>
        <w:t>минимальн</w:t>
      </w:r>
      <w:r w:rsidR="0010332A">
        <w:rPr>
          <w:rFonts w:ascii="Times New Roman" w:hAnsi="Times New Roman" w:cs="Times New Roman"/>
          <w:sz w:val="24"/>
          <w:szCs w:val="24"/>
        </w:rPr>
        <w:t>ый</w:t>
      </w:r>
      <w:r w:rsidRPr="00C37701">
        <w:rPr>
          <w:rFonts w:ascii="Times New Roman" w:hAnsi="Times New Roman" w:cs="Times New Roman"/>
          <w:sz w:val="24"/>
          <w:szCs w:val="24"/>
        </w:rPr>
        <w:t xml:space="preserve"> размер маржи платежеспособности увеличивается в два раза.</w:t>
      </w:r>
    </w:p>
    <w:p w14:paraId="41C2BBFF" w14:textId="54626A98" w:rsidR="00D12FDF" w:rsidRPr="00C37701" w:rsidRDefault="00D12FDF"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В </w:t>
      </w:r>
      <w:r w:rsidR="0010332A">
        <w:rPr>
          <w:rFonts w:ascii="Times New Roman" w:hAnsi="Times New Roman" w:cs="Times New Roman"/>
          <w:sz w:val="24"/>
          <w:szCs w:val="24"/>
        </w:rPr>
        <w:t>целях</w:t>
      </w:r>
      <w:r w:rsidR="0010332A" w:rsidRPr="00C37701">
        <w:rPr>
          <w:rFonts w:ascii="Times New Roman" w:hAnsi="Times New Roman" w:cs="Times New Roman"/>
          <w:color w:val="000000"/>
          <w:sz w:val="24"/>
          <w:szCs w:val="24"/>
        </w:rPr>
        <w:t xml:space="preserve"> </w:t>
      </w:r>
      <w:r w:rsidRPr="00C37701">
        <w:rPr>
          <w:rFonts w:ascii="Times New Roman" w:hAnsi="Times New Roman" w:cs="Times New Roman"/>
          <w:color w:val="000000"/>
          <w:sz w:val="24"/>
          <w:szCs w:val="24"/>
        </w:rPr>
        <w:t xml:space="preserve">совершенствования </w:t>
      </w:r>
      <w:r w:rsidRPr="00C37701">
        <w:rPr>
          <w:rFonts w:ascii="Times New Roman" w:hAnsi="Times New Roman" w:cs="Times New Roman"/>
          <w:bCs/>
          <w:color w:val="000000"/>
          <w:sz w:val="24"/>
          <w:szCs w:val="24"/>
        </w:rPr>
        <w:t>методики расчета страховых резервов</w:t>
      </w:r>
      <w:r w:rsidRPr="00C37701">
        <w:rPr>
          <w:rFonts w:ascii="Times New Roman" w:hAnsi="Times New Roman" w:cs="Times New Roman"/>
          <w:color w:val="000000"/>
          <w:sz w:val="24"/>
          <w:szCs w:val="24"/>
        </w:rPr>
        <w:t xml:space="preserve"> в сентябре</w:t>
      </w:r>
      <w:r w:rsidR="00DC002C">
        <w:rPr>
          <w:rFonts w:ascii="Times New Roman" w:hAnsi="Times New Roman" w:cs="Times New Roman"/>
          <w:color w:val="000000"/>
          <w:sz w:val="24"/>
          <w:szCs w:val="24"/>
        </w:rPr>
        <w:t xml:space="preserve"> 2019 года п</w:t>
      </w:r>
      <w:r w:rsidRPr="00C37701">
        <w:rPr>
          <w:rFonts w:ascii="Times New Roman" w:hAnsi="Times New Roman" w:cs="Times New Roman"/>
          <w:color w:val="000000"/>
          <w:sz w:val="24"/>
          <w:szCs w:val="24"/>
        </w:rPr>
        <w:t>остановление</w:t>
      </w:r>
      <w:r w:rsidR="0010332A">
        <w:rPr>
          <w:rFonts w:ascii="Times New Roman" w:hAnsi="Times New Roman" w:cs="Times New Roman"/>
          <w:color w:val="000000"/>
          <w:sz w:val="24"/>
          <w:szCs w:val="24"/>
        </w:rPr>
        <w:t>м</w:t>
      </w:r>
      <w:r w:rsidRPr="00C37701">
        <w:rPr>
          <w:rFonts w:ascii="Times New Roman" w:hAnsi="Times New Roman" w:cs="Times New Roman"/>
          <w:color w:val="000000"/>
          <w:sz w:val="24"/>
          <w:szCs w:val="24"/>
        </w:rPr>
        <w:t xml:space="preserve"> Правления Национального Банка от 31 января 2019 года № 13 «Об утверждении Требований к формированию, методике расчета страховых резервов и их структуре» </w:t>
      </w:r>
      <w:r w:rsidRPr="00C37701">
        <w:rPr>
          <w:rFonts w:ascii="Times New Roman" w:hAnsi="Times New Roman" w:cs="Times New Roman"/>
          <w:sz w:val="24"/>
          <w:szCs w:val="24"/>
        </w:rPr>
        <w:t xml:space="preserve">(далее - </w:t>
      </w:r>
      <w:r w:rsidRPr="00C37701">
        <w:rPr>
          <w:rFonts w:ascii="Times New Roman" w:hAnsi="Times New Roman" w:cs="Times New Roman"/>
          <w:color w:val="000000"/>
          <w:sz w:val="24"/>
          <w:szCs w:val="24"/>
        </w:rPr>
        <w:t xml:space="preserve">Постановление </w:t>
      </w:r>
      <w:r w:rsidRPr="00C37701">
        <w:rPr>
          <w:rFonts w:ascii="Times New Roman" w:hAnsi="Times New Roman" w:cs="Times New Roman"/>
          <w:bCs/>
          <w:sz w:val="24"/>
          <w:szCs w:val="24"/>
        </w:rPr>
        <w:t>№13)</w:t>
      </w:r>
      <w:r w:rsidRPr="00C37701">
        <w:rPr>
          <w:rFonts w:ascii="Times New Roman" w:hAnsi="Times New Roman" w:cs="Times New Roman"/>
          <w:bCs/>
          <w:sz w:val="24"/>
          <w:szCs w:val="24"/>
          <w:lang w:val="kk-KZ"/>
        </w:rPr>
        <w:t xml:space="preserve"> </w:t>
      </w:r>
      <w:r w:rsidRPr="00C37701">
        <w:rPr>
          <w:rFonts w:ascii="Times New Roman" w:hAnsi="Times New Roman" w:cs="Times New Roman"/>
          <w:color w:val="000000"/>
          <w:sz w:val="24"/>
          <w:szCs w:val="24"/>
        </w:rPr>
        <w:t>пересмотр</w:t>
      </w:r>
      <w:r w:rsidR="0010332A">
        <w:rPr>
          <w:rFonts w:ascii="Times New Roman" w:hAnsi="Times New Roman" w:cs="Times New Roman"/>
          <w:color w:val="000000"/>
          <w:sz w:val="24"/>
          <w:szCs w:val="24"/>
        </w:rPr>
        <w:t>ены</w:t>
      </w:r>
      <w:r w:rsidRPr="00C37701">
        <w:rPr>
          <w:rFonts w:ascii="Times New Roman" w:hAnsi="Times New Roman" w:cs="Times New Roman"/>
          <w:color w:val="000000"/>
          <w:sz w:val="24"/>
          <w:szCs w:val="24"/>
        </w:rPr>
        <w:t xml:space="preserve"> требовани</w:t>
      </w:r>
      <w:r w:rsidR="0010332A">
        <w:rPr>
          <w:rFonts w:ascii="Times New Roman" w:hAnsi="Times New Roman" w:cs="Times New Roman"/>
          <w:color w:val="000000"/>
          <w:sz w:val="24"/>
          <w:szCs w:val="24"/>
        </w:rPr>
        <w:t>я</w:t>
      </w:r>
      <w:r w:rsidRPr="00C37701">
        <w:rPr>
          <w:rFonts w:ascii="Times New Roman" w:hAnsi="Times New Roman" w:cs="Times New Roman"/>
          <w:color w:val="000000"/>
          <w:sz w:val="24"/>
          <w:szCs w:val="24"/>
        </w:rPr>
        <w:t xml:space="preserve"> </w:t>
      </w:r>
      <w:r w:rsidRPr="00C37701">
        <w:rPr>
          <w:rFonts w:ascii="Times New Roman" w:hAnsi="Times New Roman" w:cs="Times New Roman"/>
          <w:sz w:val="24"/>
          <w:szCs w:val="24"/>
        </w:rPr>
        <w:t>в части формирования доли перестраховщика в страховых резервах.</w:t>
      </w:r>
    </w:p>
    <w:p w14:paraId="66B2EC4B" w14:textId="381DB9A1" w:rsidR="00D12FDF" w:rsidRPr="00C37701" w:rsidRDefault="00D12FDF"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bCs/>
          <w:sz w:val="24"/>
          <w:szCs w:val="24"/>
        </w:rPr>
        <w:t xml:space="preserve">Законом Республики Казахстан от 2 июля 2018 года № 166-VI </w:t>
      </w:r>
      <w:r w:rsidRPr="00C37701">
        <w:rPr>
          <w:rFonts w:ascii="Times New Roman" w:hAnsi="Times New Roman" w:cs="Times New Roman"/>
          <w:sz w:val="24"/>
          <w:szCs w:val="24"/>
        </w:rPr>
        <w:t xml:space="preserve">«О внесении изменений и дополнений в некоторые законодательные акты Республики Казахстан по вопросам страхования и страховой деятельности, рынка ценных бумаг» (далее - </w:t>
      </w:r>
      <w:r w:rsidRPr="00C37701">
        <w:rPr>
          <w:rFonts w:ascii="Times New Roman" w:hAnsi="Times New Roman" w:cs="Times New Roman"/>
          <w:bCs/>
          <w:sz w:val="24"/>
          <w:szCs w:val="24"/>
        </w:rPr>
        <w:t>Закон № 166-</w:t>
      </w:r>
      <w:r w:rsidR="00DC002C">
        <w:rPr>
          <w:rFonts w:ascii="Times New Roman" w:hAnsi="Times New Roman" w:cs="Times New Roman"/>
          <w:bCs/>
          <w:sz w:val="24"/>
          <w:szCs w:val="24"/>
        </w:rPr>
        <w:t>VI) внесены изменения в Закон Республики Казахстан</w:t>
      </w:r>
      <w:r w:rsidRPr="00C37701">
        <w:rPr>
          <w:rFonts w:ascii="Times New Roman" w:hAnsi="Times New Roman" w:cs="Times New Roman"/>
          <w:bCs/>
          <w:sz w:val="24"/>
          <w:szCs w:val="24"/>
        </w:rPr>
        <w:t xml:space="preserve"> «О страховой деятельности» </w:t>
      </w:r>
      <w:r w:rsidRPr="00C37701">
        <w:rPr>
          <w:rFonts w:ascii="Times New Roman" w:hAnsi="Times New Roman" w:cs="Times New Roman"/>
          <w:sz w:val="24"/>
          <w:szCs w:val="24"/>
        </w:rPr>
        <w:t>в части ведения</w:t>
      </w:r>
      <w:r w:rsidR="0010332A">
        <w:rPr>
          <w:rFonts w:ascii="Times New Roman" w:hAnsi="Times New Roman" w:cs="Times New Roman"/>
          <w:sz w:val="24"/>
          <w:szCs w:val="24"/>
        </w:rPr>
        <w:t xml:space="preserve"> уполномоченным органом</w:t>
      </w:r>
      <w:r w:rsidRPr="00C37701">
        <w:rPr>
          <w:rFonts w:ascii="Times New Roman" w:hAnsi="Times New Roman" w:cs="Times New Roman"/>
          <w:sz w:val="24"/>
          <w:szCs w:val="24"/>
        </w:rPr>
        <w:t xml:space="preserve"> реестра перестраховочных организаций-нерезидентов РК</w:t>
      </w:r>
      <w:r w:rsidR="00DC002C">
        <w:rPr>
          <w:rFonts w:ascii="Times New Roman" w:hAnsi="Times New Roman" w:cs="Times New Roman"/>
          <w:sz w:val="24"/>
          <w:szCs w:val="24"/>
        </w:rPr>
        <w:t xml:space="preserve"> </w:t>
      </w:r>
      <w:r w:rsidRPr="00C37701">
        <w:rPr>
          <w:rFonts w:ascii="Times New Roman" w:hAnsi="Times New Roman" w:cs="Times New Roman"/>
          <w:sz w:val="24"/>
          <w:szCs w:val="24"/>
        </w:rPr>
        <w:t>и ст</w:t>
      </w:r>
      <w:r w:rsidR="00DC002C">
        <w:rPr>
          <w:rFonts w:ascii="Times New Roman" w:hAnsi="Times New Roman" w:cs="Times New Roman"/>
          <w:sz w:val="24"/>
          <w:szCs w:val="24"/>
        </w:rPr>
        <w:t>раховых брокеров-нерезидентов Р</w:t>
      </w:r>
      <w:r w:rsidRPr="00C37701">
        <w:rPr>
          <w:rFonts w:ascii="Times New Roman" w:hAnsi="Times New Roman" w:cs="Times New Roman"/>
          <w:sz w:val="24"/>
          <w:szCs w:val="24"/>
        </w:rPr>
        <w:t>К, которым будет запрещено передавать страховые риски в перестрахование</w:t>
      </w:r>
      <w:r w:rsidR="0010332A">
        <w:rPr>
          <w:rFonts w:ascii="Times New Roman" w:hAnsi="Times New Roman" w:cs="Times New Roman"/>
          <w:sz w:val="24"/>
          <w:szCs w:val="24"/>
        </w:rPr>
        <w:t xml:space="preserve"> </w:t>
      </w:r>
      <w:r w:rsidR="0010332A" w:rsidRPr="00C37701">
        <w:rPr>
          <w:rFonts w:ascii="Times New Roman" w:hAnsi="Times New Roman" w:cs="Times New Roman"/>
          <w:sz w:val="24"/>
          <w:szCs w:val="24"/>
        </w:rPr>
        <w:t>(</w:t>
      </w:r>
      <w:proofErr w:type="spellStart"/>
      <w:r w:rsidR="0010332A" w:rsidRPr="00C37701">
        <w:rPr>
          <w:rFonts w:ascii="Times New Roman" w:hAnsi="Times New Roman" w:cs="Times New Roman"/>
          <w:sz w:val="24"/>
          <w:szCs w:val="24"/>
        </w:rPr>
        <w:t>blacklist</w:t>
      </w:r>
      <w:proofErr w:type="spellEnd"/>
      <w:r w:rsidR="0010332A" w:rsidRPr="00C37701">
        <w:rPr>
          <w:rFonts w:ascii="Times New Roman" w:hAnsi="Times New Roman" w:cs="Times New Roman"/>
          <w:sz w:val="24"/>
          <w:szCs w:val="24"/>
        </w:rPr>
        <w:t>)</w:t>
      </w:r>
      <w:r w:rsidRPr="00C37701">
        <w:rPr>
          <w:rFonts w:ascii="Times New Roman" w:hAnsi="Times New Roman" w:cs="Times New Roman"/>
          <w:sz w:val="24"/>
          <w:szCs w:val="24"/>
        </w:rPr>
        <w:t>.</w:t>
      </w:r>
    </w:p>
    <w:p w14:paraId="791FDE19" w14:textId="77777777" w:rsidR="00895732" w:rsidRPr="00C37701" w:rsidRDefault="00895732" w:rsidP="0097449D">
      <w:pPr>
        <w:spacing w:after="0" w:line="240" w:lineRule="auto"/>
        <w:ind w:firstLine="709"/>
        <w:contextualSpacing/>
        <w:jc w:val="both"/>
        <w:rPr>
          <w:rFonts w:ascii="Times New Roman" w:hAnsi="Times New Roman" w:cs="Times New Roman"/>
          <w:b/>
          <w:bCs/>
          <w:i/>
          <w:sz w:val="24"/>
          <w:szCs w:val="24"/>
        </w:rPr>
      </w:pPr>
    </w:p>
    <w:p w14:paraId="569851A7" w14:textId="77777777" w:rsidR="00895732" w:rsidRPr="00C37701" w:rsidRDefault="00895732"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Увеличение расходов страховых организаций.</w:t>
      </w:r>
    </w:p>
    <w:p w14:paraId="2C815527" w14:textId="77777777" w:rsidR="00895732" w:rsidRPr="00C37701" w:rsidRDefault="00895732" w:rsidP="0097449D">
      <w:pPr>
        <w:spacing w:after="0" w:line="240" w:lineRule="auto"/>
        <w:ind w:firstLine="709"/>
        <w:contextualSpacing/>
        <w:jc w:val="both"/>
        <w:rPr>
          <w:rFonts w:ascii="Times New Roman" w:hAnsi="Times New Roman" w:cs="Times New Roman"/>
          <w:b/>
          <w:bCs/>
          <w:i/>
          <w:sz w:val="24"/>
          <w:szCs w:val="24"/>
        </w:rPr>
      </w:pPr>
      <w:r w:rsidRPr="00C37701">
        <w:rPr>
          <w:rFonts w:ascii="Times New Roman" w:hAnsi="Times New Roman" w:cs="Times New Roman"/>
          <w:b/>
          <w:bCs/>
          <w:i/>
          <w:sz w:val="24"/>
          <w:szCs w:val="24"/>
        </w:rPr>
        <w:t>Мероприятия по управлению возможным риском:</w:t>
      </w:r>
    </w:p>
    <w:p w14:paraId="78AC78B4" w14:textId="77777777" w:rsidR="001D4834" w:rsidRPr="00C37701" w:rsidRDefault="00895732" w:rsidP="0097449D">
      <w:pPr>
        <w:spacing w:after="0" w:line="240" w:lineRule="auto"/>
        <w:ind w:firstLine="709"/>
        <w:contextualSpacing/>
        <w:jc w:val="both"/>
        <w:rPr>
          <w:rFonts w:ascii="Times New Roman" w:hAnsi="Times New Roman" w:cs="Times New Roman"/>
          <w:bCs/>
          <w:i/>
          <w:sz w:val="24"/>
          <w:szCs w:val="24"/>
        </w:rPr>
      </w:pPr>
      <w:r w:rsidRPr="00C37701">
        <w:rPr>
          <w:rFonts w:ascii="Times New Roman" w:hAnsi="Times New Roman" w:cs="Times New Roman"/>
          <w:bCs/>
          <w:i/>
          <w:sz w:val="24"/>
          <w:szCs w:val="24"/>
        </w:rPr>
        <w:t>Пересмотр способов заключения договоров страхования (заключение договоров страхования в электронной форме) что, в дальнейшем, позволит упростить процедуру заключения договоров страхования страхователями без обращения к страховым посредникам, а также снизить расходы страховых организаций (расходы на хранение изготовление бумажных страховых полисов).</w:t>
      </w:r>
    </w:p>
    <w:p w14:paraId="0A2D6A0A" w14:textId="77777777" w:rsidR="00C80F6C" w:rsidRDefault="0010332A" w:rsidP="00C80F6C">
      <w:pPr>
        <w:pStyle w:val="a4"/>
        <w:spacing w:before="0" w:beforeAutospacing="0" w:after="0" w:afterAutospacing="0"/>
        <w:ind w:firstLine="709"/>
        <w:contextualSpacing/>
        <w:jc w:val="both"/>
        <w:rPr>
          <w:color w:val="000000"/>
          <w:lang w:eastAsia="en-US"/>
        </w:rPr>
      </w:pPr>
      <w:r>
        <w:rPr>
          <w:color w:val="000000"/>
        </w:rPr>
        <w:t>С 1 января 2019 года в</w:t>
      </w:r>
      <w:r w:rsidRPr="00C37701">
        <w:rPr>
          <w:color w:val="000000"/>
        </w:rPr>
        <w:t>веден</w:t>
      </w:r>
      <w:r>
        <w:rPr>
          <w:color w:val="000000"/>
        </w:rPr>
        <w:t>ы</w:t>
      </w:r>
      <w:r w:rsidRPr="00C37701">
        <w:rPr>
          <w:color w:val="000000"/>
        </w:rPr>
        <w:t xml:space="preserve"> в </w:t>
      </w:r>
      <w:r>
        <w:rPr>
          <w:color w:val="000000"/>
        </w:rPr>
        <w:t xml:space="preserve">действие отдельные нормы Закона </w:t>
      </w:r>
      <w:r w:rsidRPr="00C37701">
        <w:rPr>
          <w:color w:val="000000"/>
        </w:rPr>
        <w:t>№</w:t>
      </w:r>
      <w:r>
        <w:rPr>
          <w:color w:val="000000"/>
        </w:rPr>
        <w:t xml:space="preserve"> 166-VI</w:t>
      </w:r>
      <w:r w:rsidRPr="00C37701">
        <w:rPr>
          <w:color w:val="000000"/>
        </w:rPr>
        <w:t>, предусматривающи</w:t>
      </w:r>
      <w:r>
        <w:rPr>
          <w:color w:val="000000"/>
        </w:rPr>
        <w:t>е</w:t>
      </w:r>
      <w:r w:rsidRPr="00C37701">
        <w:rPr>
          <w:color w:val="000000"/>
        </w:rPr>
        <w:t xml:space="preserve"> возможност</w:t>
      </w:r>
      <w:r>
        <w:rPr>
          <w:color w:val="000000"/>
        </w:rPr>
        <w:t xml:space="preserve">ь населению и </w:t>
      </w:r>
      <w:proofErr w:type="gramStart"/>
      <w:r>
        <w:rPr>
          <w:color w:val="000000"/>
        </w:rPr>
        <w:t xml:space="preserve">бизнесу </w:t>
      </w:r>
      <w:r w:rsidRPr="00C37701">
        <w:rPr>
          <w:color w:val="000000"/>
        </w:rPr>
        <w:t xml:space="preserve"> </w:t>
      </w:r>
      <w:r w:rsidRPr="00B757EF">
        <w:rPr>
          <w:color w:val="000000"/>
        </w:rPr>
        <w:t>дистанционн</w:t>
      </w:r>
      <w:r>
        <w:rPr>
          <w:color w:val="000000"/>
        </w:rPr>
        <w:t>ого</w:t>
      </w:r>
      <w:proofErr w:type="gramEnd"/>
      <w:r w:rsidRPr="00B757EF">
        <w:rPr>
          <w:color w:val="000000"/>
        </w:rPr>
        <w:t xml:space="preserve"> получения страховых услуг </w:t>
      </w:r>
      <w:r>
        <w:rPr>
          <w:color w:val="000000"/>
        </w:rPr>
        <w:t>в Интернете (онлайн-страхование). Кроме того, онлайн-страхование является одним из пунктов Плана мероприятий к Государственной программе «Цифровой Казахстан».</w:t>
      </w:r>
      <w:r w:rsidR="00C80F6C">
        <w:rPr>
          <w:color w:val="000000"/>
          <w:lang w:eastAsia="en-US"/>
        </w:rPr>
        <w:t xml:space="preserve"> </w:t>
      </w:r>
    </w:p>
    <w:p w14:paraId="7388A15D" w14:textId="23B5A2A5" w:rsidR="00F60687" w:rsidRDefault="0010332A" w:rsidP="00C80F6C">
      <w:pPr>
        <w:pStyle w:val="a4"/>
        <w:spacing w:before="0" w:beforeAutospacing="0" w:after="0" w:afterAutospacing="0"/>
        <w:ind w:firstLine="709"/>
        <w:contextualSpacing/>
        <w:jc w:val="both"/>
        <w:rPr>
          <w:color w:val="000000"/>
          <w:lang w:eastAsia="en-US"/>
        </w:rPr>
      </w:pPr>
      <w:r>
        <w:rPr>
          <w:color w:val="000000"/>
          <w:lang w:eastAsia="en-US"/>
        </w:rPr>
        <w:t>В целях определения механизмов работы онлайн-страхования Правлением Наци</w:t>
      </w:r>
      <w:r w:rsidR="00C80F6C">
        <w:rPr>
          <w:color w:val="000000"/>
          <w:lang w:eastAsia="en-US"/>
        </w:rPr>
        <w:t xml:space="preserve">онального Банка было утверждено </w:t>
      </w:r>
      <w:r w:rsidRPr="00C37701">
        <w:rPr>
          <w:color w:val="000000"/>
          <w:lang w:eastAsia="en-US"/>
        </w:rPr>
        <w:t>постановлени</w:t>
      </w:r>
      <w:r>
        <w:rPr>
          <w:color w:val="000000"/>
          <w:lang w:eastAsia="en-US"/>
        </w:rPr>
        <w:t>е, регламентирующее</w:t>
      </w:r>
      <w:r w:rsidR="00C80F6C">
        <w:rPr>
          <w:color w:val="000000"/>
          <w:lang w:eastAsia="en-US"/>
        </w:rPr>
        <w:t xml:space="preserve"> </w:t>
      </w:r>
      <w:r w:rsidRPr="00C37701">
        <w:rPr>
          <w:color w:val="000000"/>
          <w:lang w:eastAsia="en-US"/>
        </w:rPr>
        <w:t>П</w:t>
      </w:r>
      <w:r>
        <w:rPr>
          <w:color w:val="000000"/>
          <w:lang w:eastAsia="en-US"/>
        </w:rPr>
        <w:t>орядок</w:t>
      </w:r>
      <w:r w:rsidRPr="00C37701">
        <w:rPr>
          <w:color w:val="000000"/>
          <w:lang w:eastAsia="en-US"/>
        </w:rPr>
        <w:t xml:space="preserve"> обмена электронными информационными ресурсами между страхователем и страховщиком, </w:t>
      </w:r>
      <w:r>
        <w:rPr>
          <w:color w:val="000000"/>
          <w:lang w:eastAsia="en-US"/>
        </w:rPr>
        <w:t>п</w:t>
      </w:r>
      <w:r w:rsidRPr="00C37701">
        <w:rPr>
          <w:color w:val="000000"/>
          <w:lang w:eastAsia="en-US"/>
        </w:rPr>
        <w:t>равил</w:t>
      </w:r>
      <w:r>
        <w:rPr>
          <w:color w:val="000000"/>
          <w:lang w:eastAsia="en-US"/>
        </w:rPr>
        <w:t>а</w:t>
      </w:r>
      <w:r w:rsidRPr="00C37701">
        <w:rPr>
          <w:color w:val="000000"/>
          <w:lang w:eastAsia="en-US"/>
        </w:rPr>
        <w:t xml:space="preserve"> уведомления о заключении договора страхования</w:t>
      </w:r>
      <w:r>
        <w:rPr>
          <w:color w:val="000000"/>
          <w:lang w:eastAsia="en-US"/>
        </w:rPr>
        <w:t xml:space="preserve"> и</w:t>
      </w:r>
      <w:r w:rsidRPr="00C37701">
        <w:rPr>
          <w:color w:val="000000"/>
          <w:lang w:eastAsia="en-US"/>
        </w:rPr>
        <w:t xml:space="preserve"> </w:t>
      </w:r>
      <w:r>
        <w:rPr>
          <w:color w:val="000000"/>
          <w:lang w:eastAsia="en-US"/>
        </w:rPr>
        <w:t>т</w:t>
      </w:r>
      <w:r w:rsidRPr="00C37701">
        <w:rPr>
          <w:color w:val="000000"/>
          <w:lang w:eastAsia="en-US"/>
        </w:rPr>
        <w:t>ребовани</w:t>
      </w:r>
      <w:r>
        <w:rPr>
          <w:color w:val="000000"/>
          <w:lang w:eastAsia="en-US"/>
        </w:rPr>
        <w:t>я</w:t>
      </w:r>
      <w:r w:rsidRPr="00C37701">
        <w:rPr>
          <w:color w:val="000000"/>
          <w:lang w:eastAsia="en-US"/>
        </w:rPr>
        <w:t xml:space="preserve"> к программно-техническим средствам и </w:t>
      </w:r>
      <w:proofErr w:type="spellStart"/>
      <w:r w:rsidRPr="00C37701">
        <w:rPr>
          <w:color w:val="000000"/>
          <w:lang w:eastAsia="en-US"/>
        </w:rPr>
        <w:t>интернет-ресурсам</w:t>
      </w:r>
      <w:proofErr w:type="spellEnd"/>
      <w:r w:rsidRPr="00C37701">
        <w:rPr>
          <w:color w:val="000000"/>
          <w:lang w:eastAsia="en-US"/>
        </w:rPr>
        <w:t xml:space="preserve"> страховой (перестраховочной) организации (далее – </w:t>
      </w:r>
      <w:r>
        <w:rPr>
          <w:color w:val="000000"/>
          <w:lang w:eastAsia="en-US"/>
        </w:rPr>
        <w:t>Постановление по онлайн-страхованию</w:t>
      </w:r>
      <w:r w:rsidRPr="00C37701">
        <w:rPr>
          <w:color w:val="000000"/>
          <w:lang w:eastAsia="en-US"/>
        </w:rPr>
        <w:t>).</w:t>
      </w:r>
      <w:r>
        <w:rPr>
          <w:color w:val="000000"/>
          <w:lang w:eastAsia="en-US"/>
        </w:rPr>
        <w:t xml:space="preserve"> </w:t>
      </w:r>
    </w:p>
    <w:p w14:paraId="5E4790BC" w14:textId="5BA3571B" w:rsidR="0010332A" w:rsidRDefault="0010332A" w:rsidP="00C80F6C">
      <w:pPr>
        <w:pStyle w:val="a4"/>
        <w:spacing w:before="0" w:beforeAutospacing="0" w:after="0" w:afterAutospacing="0"/>
        <w:ind w:firstLine="709"/>
        <w:contextualSpacing/>
        <w:jc w:val="both"/>
        <w:rPr>
          <w:color w:val="000000"/>
          <w:lang w:eastAsia="en-US"/>
        </w:rPr>
      </w:pPr>
      <w:r w:rsidRPr="00C37701">
        <w:rPr>
          <w:color w:val="000000"/>
          <w:lang w:eastAsia="en-US"/>
        </w:rPr>
        <w:t>Онлайн-страхование предполагает наличие следующих особенностей:</w:t>
      </w:r>
    </w:p>
    <w:p w14:paraId="7A886A5D" w14:textId="470D1616" w:rsidR="0010332A" w:rsidRDefault="0010332A" w:rsidP="0010332A">
      <w:pPr>
        <w:pStyle w:val="a4"/>
        <w:numPr>
          <w:ilvl w:val="0"/>
          <w:numId w:val="47"/>
        </w:numPr>
        <w:tabs>
          <w:tab w:val="left" w:pos="993"/>
        </w:tabs>
        <w:spacing w:before="0" w:beforeAutospacing="0" w:after="0" w:afterAutospacing="0"/>
        <w:ind w:left="0" w:firstLine="709"/>
        <w:contextualSpacing/>
        <w:jc w:val="both"/>
        <w:rPr>
          <w:color w:val="000000"/>
        </w:rPr>
      </w:pPr>
      <w:r>
        <w:rPr>
          <w:color w:val="000000"/>
          <w:lang w:eastAsia="en-US"/>
        </w:rPr>
        <w:t xml:space="preserve">для верификации данных и упрощения сервиса онлайн-страхования страховым компаниям предоставлен доступ к пяти государственным базам данных </w:t>
      </w:r>
      <w:r w:rsidRPr="00DC3992">
        <w:rPr>
          <w:color w:val="000000"/>
          <w:lang w:eastAsia="en-US"/>
        </w:rPr>
        <w:t>(</w:t>
      </w:r>
      <w:proofErr w:type="gramStart"/>
      <w:r w:rsidRPr="00DC3992">
        <w:rPr>
          <w:color w:val="000000"/>
          <w:lang w:eastAsia="en-US"/>
        </w:rPr>
        <w:t xml:space="preserve">подключены: </w:t>
      </w:r>
      <w:r w:rsidR="00F94299">
        <w:rPr>
          <w:color w:val="000000"/>
          <w:lang w:eastAsia="en-US"/>
        </w:rPr>
        <w:t xml:space="preserve">  </w:t>
      </w:r>
      <w:proofErr w:type="gramEnd"/>
      <w:r w:rsidR="00F94299">
        <w:rPr>
          <w:color w:val="000000"/>
          <w:lang w:eastAsia="en-US"/>
        </w:rPr>
        <w:t xml:space="preserve">            </w:t>
      </w:r>
      <w:r w:rsidR="007042AA">
        <w:rPr>
          <w:color w:val="000000"/>
          <w:lang w:eastAsia="en-US"/>
        </w:rPr>
        <w:t xml:space="preserve">         </w:t>
      </w:r>
      <w:r w:rsidR="00F94299">
        <w:rPr>
          <w:color w:val="000000"/>
          <w:lang w:eastAsia="en-US"/>
        </w:rPr>
        <w:t xml:space="preserve">  </w:t>
      </w:r>
      <w:r w:rsidRPr="00DC3992">
        <w:rPr>
          <w:color w:val="000000"/>
          <w:lang w:eastAsia="en-US"/>
        </w:rPr>
        <w:t xml:space="preserve">1) БД «Физические лица» МЮ РК (через ПАК «Шлюз НБРК); 2) БД «Юридические лица» МЮ РК (через ПАК «Шлюз НБРК»); 3) БД «Автомобиль» МВД РК;4) БД «Водитель» МВД РК; </w:t>
      </w:r>
      <w:r w:rsidR="00F94299">
        <w:rPr>
          <w:color w:val="000000"/>
          <w:lang w:eastAsia="en-US"/>
        </w:rPr>
        <w:t xml:space="preserve">            </w:t>
      </w:r>
      <w:r w:rsidR="007042AA">
        <w:rPr>
          <w:color w:val="000000"/>
          <w:lang w:eastAsia="en-US"/>
        </w:rPr>
        <w:t xml:space="preserve">         </w:t>
      </w:r>
      <w:r w:rsidR="00F94299">
        <w:rPr>
          <w:color w:val="000000"/>
          <w:lang w:eastAsia="en-US"/>
        </w:rPr>
        <w:t xml:space="preserve">  </w:t>
      </w:r>
      <w:r w:rsidRPr="00DC3992">
        <w:rPr>
          <w:color w:val="000000"/>
          <w:lang w:eastAsia="en-US"/>
        </w:rPr>
        <w:t>5) БД «Централизованный банк данных» МТСЗН РК</w:t>
      </w:r>
      <w:r>
        <w:rPr>
          <w:color w:val="000000"/>
          <w:lang w:eastAsia="en-US"/>
        </w:rPr>
        <w:t>;</w:t>
      </w:r>
    </w:p>
    <w:p w14:paraId="5E656B78" w14:textId="77777777" w:rsidR="0010332A" w:rsidRPr="00C37701" w:rsidRDefault="0010332A" w:rsidP="0010332A">
      <w:pPr>
        <w:pStyle w:val="a4"/>
        <w:numPr>
          <w:ilvl w:val="0"/>
          <w:numId w:val="47"/>
        </w:numPr>
        <w:tabs>
          <w:tab w:val="left" w:pos="993"/>
        </w:tabs>
        <w:spacing w:before="0" w:beforeAutospacing="0" w:after="0" w:afterAutospacing="0"/>
        <w:ind w:left="0" w:firstLine="709"/>
        <w:contextualSpacing/>
        <w:jc w:val="both"/>
        <w:rPr>
          <w:color w:val="000000"/>
        </w:rPr>
      </w:pPr>
      <w:r>
        <w:rPr>
          <w:color w:val="000000"/>
          <w:lang w:eastAsia="en-US"/>
        </w:rPr>
        <w:t>возможность онлайн заключения договоров как в обязательном, так и в добровольном страховании;</w:t>
      </w:r>
    </w:p>
    <w:p w14:paraId="73D8B3D5" w14:textId="77777777" w:rsidR="0010332A" w:rsidRPr="00C37701" w:rsidRDefault="0010332A" w:rsidP="0010332A">
      <w:pPr>
        <w:pStyle w:val="a4"/>
        <w:numPr>
          <w:ilvl w:val="0"/>
          <w:numId w:val="47"/>
        </w:numPr>
        <w:tabs>
          <w:tab w:val="left" w:pos="993"/>
        </w:tabs>
        <w:spacing w:before="0" w:beforeAutospacing="0" w:after="0" w:afterAutospacing="0"/>
        <w:ind w:left="0" w:firstLine="709"/>
        <w:contextualSpacing/>
        <w:jc w:val="both"/>
        <w:rPr>
          <w:color w:val="000000"/>
          <w:lang w:eastAsia="en-US"/>
        </w:rPr>
      </w:pPr>
      <w:r>
        <w:rPr>
          <w:color w:val="000000"/>
          <w:lang w:eastAsia="en-US"/>
        </w:rPr>
        <w:t xml:space="preserve">круглосуточная </w:t>
      </w:r>
      <w:r w:rsidRPr="00C37701">
        <w:rPr>
          <w:color w:val="000000"/>
          <w:lang w:eastAsia="en-US"/>
        </w:rPr>
        <w:t xml:space="preserve">доступность </w:t>
      </w:r>
      <w:r>
        <w:rPr>
          <w:color w:val="000000"/>
          <w:lang w:eastAsia="en-US"/>
        </w:rPr>
        <w:t>сервиса</w:t>
      </w:r>
      <w:r w:rsidRPr="00C37701">
        <w:rPr>
          <w:color w:val="000000"/>
          <w:lang w:eastAsia="en-US"/>
        </w:rPr>
        <w:t>;</w:t>
      </w:r>
    </w:p>
    <w:p w14:paraId="5B77D908" w14:textId="77777777" w:rsidR="0010332A" w:rsidRPr="00C37701" w:rsidRDefault="0010332A" w:rsidP="0010332A">
      <w:pPr>
        <w:pStyle w:val="a4"/>
        <w:numPr>
          <w:ilvl w:val="0"/>
          <w:numId w:val="47"/>
        </w:numPr>
        <w:tabs>
          <w:tab w:val="left" w:pos="993"/>
        </w:tabs>
        <w:spacing w:before="0" w:beforeAutospacing="0" w:after="0" w:afterAutospacing="0"/>
        <w:ind w:left="0" w:firstLine="709"/>
        <w:contextualSpacing/>
        <w:jc w:val="both"/>
        <w:rPr>
          <w:color w:val="000000"/>
          <w:lang w:eastAsia="en-US"/>
        </w:rPr>
      </w:pPr>
      <w:r w:rsidRPr="00C37701">
        <w:rPr>
          <w:color w:val="000000"/>
          <w:lang w:eastAsia="en-US"/>
        </w:rPr>
        <w:t>повышение географической доступности и охвата регионов Казахстана страховыми услугами (жителям отдаленных регионов</w:t>
      </w:r>
      <w:r>
        <w:rPr>
          <w:color w:val="000000"/>
          <w:lang w:eastAsia="en-US"/>
        </w:rPr>
        <w:t xml:space="preserve"> и маломобильным гражданам</w:t>
      </w:r>
      <w:r w:rsidRPr="00C37701">
        <w:rPr>
          <w:color w:val="000000"/>
          <w:lang w:eastAsia="en-US"/>
        </w:rPr>
        <w:t xml:space="preserve"> нет необходимости ехать в офис страховой компании);</w:t>
      </w:r>
    </w:p>
    <w:p w14:paraId="1FCDDBE7" w14:textId="77777777" w:rsidR="0010332A" w:rsidRPr="00C37701" w:rsidRDefault="0010332A" w:rsidP="0010332A">
      <w:pPr>
        <w:pStyle w:val="a4"/>
        <w:numPr>
          <w:ilvl w:val="0"/>
          <w:numId w:val="47"/>
        </w:numPr>
        <w:tabs>
          <w:tab w:val="left" w:pos="993"/>
        </w:tabs>
        <w:spacing w:before="0" w:beforeAutospacing="0" w:after="0" w:afterAutospacing="0"/>
        <w:ind w:left="0" w:firstLine="709"/>
        <w:contextualSpacing/>
        <w:jc w:val="both"/>
        <w:rPr>
          <w:color w:val="000000"/>
          <w:lang w:eastAsia="en-US"/>
        </w:rPr>
      </w:pPr>
      <w:r w:rsidRPr="00C37701">
        <w:rPr>
          <w:color w:val="000000"/>
          <w:lang w:eastAsia="en-US"/>
        </w:rPr>
        <w:lastRenderedPageBreak/>
        <w:t xml:space="preserve">отмена бумажных и прочих подтверждающих документов в страховании (документы, удостоверяющие личность, водительское удостоверение и </w:t>
      </w:r>
      <w:r>
        <w:rPr>
          <w:color w:val="000000"/>
          <w:lang w:eastAsia="en-US"/>
        </w:rPr>
        <w:t>иные запрашиваемые страховыми компаниями документы</w:t>
      </w:r>
      <w:r w:rsidRPr="00C37701">
        <w:rPr>
          <w:color w:val="000000"/>
          <w:lang w:eastAsia="en-US"/>
        </w:rPr>
        <w:t>);</w:t>
      </w:r>
    </w:p>
    <w:p w14:paraId="3779F826" w14:textId="77777777" w:rsidR="0010332A" w:rsidRPr="00C37701" w:rsidRDefault="0010332A" w:rsidP="0010332A">
      <w:pPr>
        <w:pStyle w:val="a4"/>
        <w:numPr>
          <w:ilvl w:val="0"/>
          <w:numId w:val="47"/>
        </w:numPr>
        <w:tabs>
          <w:tab w:val="left" w:pos="993"/>
        </w:tabs>
        <w:spacing w:before="0" w:beforeAutospacing="0" w:after="0" w:afterAutospacing="0"/>
        <w:ind w:left="0" w:firstLine="709"/>
        <w:contextualSpacing/>
        <w:jc w:val="both"/>
        <w:rPr>
          <w:color w:val="000000"/>
          <w:lang w:eastAsia="en-US"/>
        </w:rPr>
      </w:pPr>
      <w:r w:rsidRPr="00C37701">
        <w:rPr>
          <w:color w:val="000000"/>
          <w:lang w:eastAsia="en-US"/>
        </w:rPr>
        <w:t>исключение участия страховых агентов в сделках по страхованию;</w:t>
      </w:r>
    </w:p>
    <w:p w14:paraId="5D318B5E" w14:textId="77777777" w:rsidR="0010332A" w:rsidRPr="00C37701" w:rsidRDefault="0010332A" w:rsidP="0010332A">
      <w:pPr>
        <w:pStyle w:val="a4"/>
        <w:numPr>
          <w:ilvl w:val="0"/>
          <w:numId w:val="47"/>
        </w:numPr>
        <w:tabs>
          <w:tab w:val="left" w:pos="993"/>
        </w:tabs>
        <w:spacing w:before="0" w:beforeAutospacing="0" w:after="0" w:afterAutospacing="0"/>
        <w:ind w:left="0" w:firstLine="709"/>
        <w:contextualSpacing/>
        <w:jc w:val="both"/>
        <w:rPr>
          <w:color w:val="000000"/>
          <w:lang w:eastAsia="en-US"/>
        </w:rPr>
      </w:pPr>
      <w:r w:rsidRPr="00C37701">
        <w:rPr>
          <w:color w:val="000000"/>
          <w:lang w:eastAsia="en-US"/>
        </w:rPr>
        <w:t>предоставление скидки до 10% на приобретение страхового полиса;</w:t>
      </w:r>
    </w:p>
    <w:p w14:paraId="50BC6C84" w14:textId="77777777" w:rsidR="0010332A" w:rsidRDefault="0010332A" w:rsidP="0010332A">
      <w:pPr>
        <w:pStyle w:val="a4"/>
        <w:numPr>
          <w:ilvl w:val="0"/>
          <w:numId w:val="47"/>
        </w:numPr>
        <w:tabs>
          <w:tab w:val="left" w:pos="993"/>
        </w:tabs>
        <w:spacing w:before="0" w:beforeAutospacing="0" w:after="0" w:afterAutospacing="0"/>
        <w:ind w:left="0" w:firstLine="709"/>
        <w:contextualSpacing/>
        <w:jc w:val="both"/>
        <w:rPr>
          <w:color w:val="000000"/>
          <w:lang w:eastAsia="en-US"/>
        </w:rPr>
      </w:pPr>
      <w:r w:rsidRPr="00C37701">
        <w:rPr>
          <w:color w:val="000000"/>
          <w:lang w:eastAsia="en-US"/>
        </w:rPr>
        <w:t>предотвращение рисков мошеннических действий, связанных с подделкой бланков страховых полисов или выдачей недействительных бланков</w:t>
      </w:r>
      <w:r>
        <w:rPr>
          <w:color w:val="000000"/>
          <w:lang w:eastAsia="en-US"/>
        </w:rPr>
        <w:t>;</w:t>
      </w:r>
    </w:p>
    <w:p w14:paraId="679BD5D9" w14:textId="77777777" w:rsidR="0010332A" w:rsidRDefault="0010332A" w:rsidP="0010332A">
      <w:pPr>
        <w:pStyle w:val="a4"/>
        <w:numPr>
          <w:ilvl w:val="0"/>
          <w:numId w:val="47"/>
        </w:numPr>
        <w:tabs>
          <w:tab w:val="left" w:pos="993"/>
        </w:tabs>
        <w:spacing w:before="0" w:beforeAutospacing="0" w:after="0" w:afterAutospacing="0"/>
        <w:ind w:left="0" w:firstLine="709"/>
        <w:contextualSpacing/>
        <w:jc w:val="both"/>
        <w:rPr>
          <w:color w:val="000000"/>
          <w:lang w:eastAsia="en-US"/>
        </w:rPr>
      </w:pPr>
      <w:r>
        <w:rPr>
          <w:color w:val="000000"/>
          <w:lang w:eastAsia="en-US"/>
        </w:rPr>
        <w:t>время заключения договора страхования сокращено до 3-5 минут;</w:t>
      </w:r>
    </w:p>
    <w:p w14:paraId="6067D420" w14:textId="77777777" w:rsidR="0010332A" w:rsidRDefault="0010332A" w:rsidP="0010332A">
      <w:pPr>
        <w:pStyle w:val="a4"/>
        <w:numPr>
          <w:ilvl w:val="0"/>
          <w:numId w:val="47"/>
        </w:numPr>
        <w:tabs>
          <w:tab w:val="left" w:pos="993"/>
        </w:tabs>
        <w:spacing w:before="0" w:beforeAutospacing="0" w:after="0" w:afterAutospacing="0"/>
        <w:ind w:left="0" w:firstLine="709"/>
        <w:contextualSpacing/>
        <w:jc w:val="both"/>
        <w:rPr>
          <w:color w:val="000000"/>
          <w:lang w:eastAsia="en-US"/>
        </w:rPr>
      </w:pPr>
      <w:r>
        <w:rPr>
          <w:color w:val="000000"/>
          <w:lang w:eastAsia="en-US"/>
        </w:rPr>
        <w:t>исключение хождения бумажных бланков страховых полисов (ежегодная экономия расходов страховых компаний на бланки строгой отчетности в размере 250 млн. тенге);</w:t>
      </w:r>
    </w:p>
    <w:p w14:paraId="0A41B7DB" w14:textId="77777777" w:rsidR="0010332A" w:rsidRDefault="0010332A" w:rsidP="0010332A">
      <w:pPr>
        <w:pStyle w:val="a4"/>
        <w:numPr>
          <w:ilvl w:val="0"/>
          <w:numId w:val="47"/>
        </w:numPr>
        <w:tabs>
          <w:tab w:val="left" w:pos="993"/>
        </w:tabs>
        <w:spacing w:before="0" w:beforeAutospacing="0" w:after="0" w:afterAutospacing="0"/>
        <w:ind w:left="0" w:firstLine="709"/>
        <w:contextualSpacing/>
        <w:jc w:val="both"/>
        <w:rPr>
          <w:color w:val="000000"/>
          <w:lang w:eastAsia="en-US"/>
        </w:rPr>
      </w:pPr>
      <w:r>
        <w:rPr>
          <w:color w:val="000000"/>
          <w:lang w:eastAsia="en-US"/>
        </w:rPr>
        <w:t>отмена необходимости ведения бумажного досье клиента и исключение соответствующих расходов страховых компаний на их сбор и хранение;</w:t>
      </w:r>
    </w:p>
    <w:p w14:paraId="1636F313" w14:textId="77777777" w:rsidR="0010332A" w:rsidRPr="00C37701" w:rsidRDefault="0010332A" w:rsidP="0010332A">
      <w:pPr>
        <w:pStyle w:val="a4"/>
        <w:numPr>
          <w:ilvl w:val="0"/>
          <w:numId w:val="47"/>
        </w:numPr>
        <w:tabs>
          <w:tab w:val="left" w:pos="993"/>
        </w:tabs>
        <w:spacing w:before="0" w:beforeAutospacing="0" w:after="0" w:afterAutospacing="0"/>
        <w:ind w:left="0" w:firstLine="709"/>
        <w:contextualSpacing/>
        <w:jc w:val="both"/>
        <w:rPr>
          <w:color w:val="000000"/>
          <w:lang w:eastAsia="en-US"/>
        </w:rPr>
      </w:pPr>
      <w:r>
        <w:rPr>
          <w:color w:val="000000"/>
          <w:lang w:eastAsia="en-US"/>
        </w:rPr>
        <w:t>г</w:t>
      </w:r>
      <w:r w:rsidRPr="00591D93">
        <w:rPr>
          <w:color w:val="000000"/>
          <w:lang w:eastAsia="en-US"/>
        </w:rPr>
        <w:t>осударственным органам, осуществляющим контрольные функции, предоставлена возможность проверки наличия страхового полиса путем направления электронного запроса в Единую страховую базу данных</w:t>
      </w:r>
      <w:r>
        <w:rPr>
          <w:color w:val="000000"/>
          <w:lang w:eastAsia="en-US"/>
        </w:rPr>
        <w:t xml:space="preserve"> (далее – ЕСБД)</w:t>
      </w:r>
      <w:r w:rsidRPr="00591D93">
        <w:rPr>
          <w:color w:val="000000"/>
          <w:lang w:eastAsia="en-US"/>
        </w:rPr>
        <w:t>.</w:t>
      </w:r>
      <w:r>
        <w:rPr>
          <w:color w:val="000000"/>
          <w:lang w:eastAsia="en-US"/>
        </w:rPr>
        <w:t xml:space="preserve"> Данная мера, в числе прочего, предоставила возможность водителям транспортных средств не иметь при себе бумажный бланк страхового полиса и предъявлять его сотрудникам дорожной полиции.</w:t>
      </w:r>
      <w:r w:rsidRPr="00591D93">
        <w:t xml:space="preserve"> </w:t>
      </w:r>
      <w:r w:rsidRPr="00591D93">
        <w:rPr>
          <w:color w:val="000000"/>
          <w:lang w:eastAsia="en-US"/>
        </w:rPr>
        <w:t xml:space="preserve">Наличие страхового полиса проверяется дорожной полицией путем запроса сведений в </w:t>
      </w:r>
      <w:r>
        <w:rPr>
          <w:color w:val="000000"/>
          <w:lang w:eastAsia="en-US"/>
        </w:rPr>
        <w:t>ЕСБД</w:t>
      </w:r>
      <w:r w:rsidRPr="00591D93">
        <w:rPr>
          <w:color w:val="000000"/>
          <w:lang w:eastAsia="en-US"/>
        </w:rPr>
        <w:t xml:space="preserve"> в режиме реального времени</w:t>
      </w:r>
      <w:r>
        <w:rPr>
          <w:color w:val="000000"/>
          <w:lang w:eastAsia="en-US"/>
        </w:rPr>
        <w:t>.</w:t>
      </w:r>
    </w:p>
    <w:p w14:paraId="762010B2" w14:textId="078252D6" w:rsidR="0010332A" w:rsidRPr="00C37701" w:rsidRDefault="0010332A" w:rsidP="00DD090A">
      <w:pPr>
        <w:pStyle w:val="a4"/>
        <w:spacing w:before="0" w:beforeAutospacing="0" w:after="0" w:afterAutospacing="0"/>
        <w:ind w:firstLine="709"/>
        <w:contextualSpacing/>
        <w:jc w:val="both"/>
        <w:rPr>
          <w:color w:val="000000"/>
          <w:lang w:eastAsia="en-US"/>
        </w:rPr>
      </w:pPr>
      <w:r>
        <w:rPr>
          <w:color w:val="000000"/>
          <w:lang w:eastAsia="en-US"/>
        </w:rPr>
        <w:t>В рамках дальнейшего развития онлайн-страхования в конце 2019 года был разработан п</w:t>
      </w:r>
      <w:r w:rsidRPr="00C37701">
        <w:rPr>
          <w:color w:val="000000"/>
          <w:lang w:eastAsia="en-US"/>
        </w:rPr>
        <w:t>роект постановления</w:t>
      </w:r>
      <w:r>
        <w:rPr>
          <w:color w:val="000000"/>
          <w:lang w:eastAsia="en-US"/>
        </w:rPr>
        <w:t xml:space="preserve"> Правления Национального Банка, который </w:t>
      </w:r>
      <w:r w:rsidRPr="00C37701">
        <w:rPr>
          <w:color w:val="000000"/>
          <w:lang w:eastAsia="en-US"/>
        </w:rPr>
        <w:t xml:space="preserve">предусматривает </w:t>
      </w:r>
      <w:r>
        <w:rPr>
          <w:color w:val="000000"/>
          <w:lang w:eastAsia="en-US"/>
        </w:rPr>
        <w:t xml:space="preserve">внесение </w:t>
      </w:r>
      <w:r w:rsidRPr="00C37701">
        <w:rPr>
          <w:color w:val="000000"/>
          <w:lang w:eastAsia="en-US"/>
        </w:rPr>
        <w:t>следующи</w:t>
      </w:r>
      <w:r>
        <w:rPr>
          <w:color w:val="000000"/>
          <w:lang w:eastAsia="en-US"/>
        </w:rPr>
        <w:t xml:space="preserve">х </w:t>
      </w:r>
      <w:r w:rsidRPr="00C37701">
        <w:rPr>
          <w:color w:val="000000"/>
          <w:lang w:eastAsia="en-US"/>
        </w:rPr>
        <w:t>изменени</w:t>
      </w:r>
      <w:r>
        <w:rPr>
          <w:color w:val="000000"/>
          <w:lang w:eastAsia="en-US"/>
        </w:rPr>
        <w:t>й</w:t>
      </w:r>
      <w:r w:rsidRPr="00C37701">
        <w:rPr>
          <w:color w:val="000000"/>
          <w:lang w:eastAsia="en-US"/>
        </w:rPr>
        <w:t xml:space="preserve"> и дополнени</w:t>
      </w:r>
      <w:r>
        <w:rPr>
          <w:color w:val="000000"/>
          <w:lang w:eastAsia="en-US"/>
        </w:rPr>
        <w:t>й в постановление по онлайн-страхованию</w:t>
      </w:r>
      <w:r w:rsidRPr="00C37701">
        <w:rPr>
          <w:color w:val="000000"/>
          <w:lang w:eastAsia="en-US"/>
        </w:rPr>
        <w:t>:</w:t>
      </w:r>
    </w:p>
    <w:p w14:paraId="472D6A36" w14:textId="77777777" w:rsidR="0010332A" w:rsidRPr="00C37701" w:rsidRDefault="0010332A" w:rsidP="0010332A">
      <w:pPr>
        <w:pStyle w:val="a4"/>
        <w:numPr>
          <w:ilvl w:val="0"/>
          <w:numId w:val="47"/>
        </w:numPr>
        <w:tabs>
          <w:tab w:val="left" w:pos="993"/>
        </w:tabs>
        <w:spacing w:before="0" w:beforeAutospacing="0" w:after="0" w:afterAutospacing="0"/>
        <w:ind w:left="0" w:firstLine="709"/>
        <w:contextualSpacing/>
        <w:jc w:val="both"/>
        <w:rPr>
          <w:color w:val="000000"/>
          <w:lang w:eastAsia="en-US"/>
        </w:rPr>
      </w:pPr>
      <w:r>
        <w:rPr>
          <w:color w:val="000000"/>
          <w:lang w:eastAsia="en-US"/>
        </w:rPr>
        <w:t>исключение случаев, связанных с невозможностью дистанционного заключения договоров страхования по причине недоступности (сбоев в работе) государственных баз данных и информационных систем</w:t>
      </w:r>
      <w:r w:rsidRPr="00C37701">
        <w:rPr>
          <w:color w:val="000000"/>
          <w:lang w:eastAsia="en-US"/>
        </w:rPr>
        <w:t>;</w:t>
      </w:r>
    </w:p>
    <w:p w14:paraId="34506286" w14:textId="77777777" w:rsidR="0010332A" w:rsidRPr="00C37701" w:rsidRDefault="0010332A" w:rsidP="0010332A">
      <w:pPr>
        <w:pStyle w:val="a4"/>
        <w:numPr>
          <w:ilvl w:val="0"/>
          <w:numId w:val="47"/>
        </w:numPr>
        <w:tabs>
          <w:tab w:val="left" w:pos="993"/>
        </w:tabs>
        <w:spacing w:before="0" w:beforeAutospacing="0" w:after="0" w:afterAutospacing="0"/>
        <w:ind w:left="0" w:firstLine="709"/>
        <w:contextualSpacing/>
        <w:jc w:val="both"/>
        <w:rPr>
          <w:color w:val="000000"/>
          <w:lang w:eastAsia="en-US"/>
        </w:rPr>
      </w:pPr>
      <w:r w:rsidRPr="00C37701">
        <w:rPr>
          <w:color w:val="000000"/>
          <w:lang w:eastAsia="en-US"/>
        </w:rPr>
        <w:t xml:space="preserve">в целях увеличения охвата онлайн-страхованием и повышения доступности электронных страховых услуг </w:t>
      </w:r>
      <w:r>
        <w:rPr>
          <w:color w:val="000000"/>
          <w:lang w:eastAsia="en-US"/>
        </w:rPr>
        <w:t>легализуется</w:t>
      </w:r>
      <w:r w:rsidRPr="00C37701">
        <w:rPr>
          <w:color w:val="000000"/>
          <w:lang w:eastAsia="en-US"/>
        </w:rPr>
        <w:t xml:space="preserve"> использовани</w:t>
      </w:r>
      <w:r>
        <w:rPr>
          <w:color w:val="000000"/>
          <w:lang w:eastAsia="en-US"/>
        </w:rPr>
        <w:t>е</w:t>
      </w:r>
      <w:r w:rsidRPr="00C37701">
        <w:rPr>
          <w:color w:val="000000"/>
          <w:lang w:eastAsia="en-US"/>
        </w:rPr>
        <w:t xml:space="preserve"> электронных терминалов самообслуживания для заключения договоров страхования в электронной форме;</w:t>
      </w:r>
    </w:p>
    <w:p w14:paraId="0AE07E68" w14:textId="77777777" w:rsidR="0010332A" w:rsidRPr="006A444C" w:rsidRDefault="0010332A" w:rsidP="0010332A">
      <w:pPr>
        <w:pStyle w:val="a4"/>
        <w:numPr>
          <w:ilvl w:val="0"/>
          <w:numId w:val="47"/>
        </w:numPr>
        <w:tabs>
          <w:tab w:val="left" w:pos="993"/>
        </w:tabs>
        <w:spacing w:before="0" w:beforeAutospacing="0" w:after="0" w:afterAutospacing="0"/>
        <w:ind w:left="0" w:firstLine="709"/>
        <w:contextualSpacing/>
        <w:jc w:val="both"/>
        <w:rPr>
          <w:color w:val="000000"/>
          <w:lang w:eastAsia="en-US"/>
        </w:rPr>
      </w:pPr>
      <w:r w:rsidRPr="006A444C">
        <w:rPr>
          <w:color w:val="000000"/>
          <w:lang w:eastAsia="en-US"/>
        </w:rPr>
        <w:t xml:space="preserve">меры, направленные на развитие </w:t>
      </w:r>
      <w:proofErr w:type="spellStart"/>
      <w:r w:rsidRPr="006A444C">
        <w:rPr>
          <w:color w:val="000000"/>
          <w:lang w:eastAsia="en-US"/>
        </w:rPr>
        <w:t>call</w:t>
      </w:r>
      <w:proofErr w:type="spellEnd"/>
      <w:r w:rsidRPr="006A444C">
        <w:rPr>
          <w:color w:val="000000"/>
          <w:lang w:eastAsia="en-US"/>
        </w:rPr>
        <w:t>-центров страховых организаций;</w:t>
      </w:r>
    </w:p>
    <w:p w14:paraId="615E1972" w14:textId="77777777" w:rsidR="0010332A" w:rsidRPr="004A1854" w:rsidRDefault="0010332A" w:rsidP="0010332A">
      <w:pPr>
        <w:pStyle w:val="a4"/>
        <w:numPr>
          <w:ilvl w:val="0"/>
          <w:numId w:val="47"/>
        </w:numPr>
        <w:tabs>
          <w:tab w:val="left" w:pos="993"/>
        </w:tabs>
        <w:spacing w:before="0" w:beforeAutospacing="0" w:after="0" w:afterAutospacing="0"/>
        <w:ind w:left="0" w:firstLine="709"/>
        <w:contextualSpacing/>
        <w:jc w:val="both"/>
      </w:pPr>
      <w:r w:rsidRPr="006A444C">
        <w:rPr>
          <w:color w:val="000000"/>
          <w:lang w:eastAsia="en-US"/>
        </w:rPr>
        <w:t xml:space="preserve"> </w:t>
      </w:r>
      <w:r>
        <w:rPr>
          <w:color w:val="000000"/>
          <w:lang w:eastAsia="en-US"/>
        </w:rPr>
        <w:t>повышение эффективности уведомлений страхователям в виде</w:t>
      </w:r>
      <w:r w:rsidRPr="006A444C">
        <w:rPr>
          <w:color w:val="000000"/>
          <w:lang w:eastAsia="en-US"/>
        </w:rPr>
        <w:t xml:space="preserve"> SMS и e-</w:t>
      </w:r>
      <w:proofErr w:type="spellStart"/>
      <w:r w:rsidRPr="006A444C">
        <w:rPr>
          <w:color w:val="000000"/>
          <w:lang w:eastAsia="en-US"/>
        </w:rPr>
        <w:t>mail</w:t>
      </w:r>
      <w:proofErr w:type="spellEnd"/>
      <w:r w:rsidRPr="006A444C">
        <w:rPr>
          <w:color w:val="000000"/>
          <w:lang w:eastAsia="en-US"/>
        </w:rPr>
        <w:t>-</w:t>
      </w:r>
      <w:r>
        <w:rPr>
          <w:color w:val="000000"/>
          <w:lang w:eastAsia="en-US"/>
        </w:rPr>
        <w:t>сообщений</w:t>
      </w:r>
      <w:r w:rsidRPr="006A444C">
        <w:rPr>
          <w:color w:val="000000"/>
          <w:lang w:eastAsia="en-US"/>
        </w:rPr>
        <w:t xml:space="preserve"> от страхов</w:t>
      </w:r>
      <w:r>
        <w:rPr>
          <w:color w:val="000000"/>
          <w:lang w:eastAsia="en-US"/>
        </w:rPr>
        <w:t>ых компаний</w:t>
      </w:r>
      <w:r w:rsidRPr="006A444C">
        <w:rPr>
          <w:color w:val="000000"/>
          <w:lang w:eastAsia="en-US"/>
        </w:rPr>
        <w:t xml:space="preserve"> и ЕСБД</w:t>
      </w:r>
      <w:r>
        <w:rPr>
          <w:color w:val="000000"/>
          <w:lang w:eastAsia="en-US"/>
        </w:rPr>
        <w:t>;</w:t>
      </w:r>
    </w:p>
    <w:p w14:paraId="7203170F" w14:textId="77777777" w:rsidR="0010332A" w:rsidRPr="006A444C" w:rsidRDefault="0010332A" w:rsidP="0010332A">
      <w:pPr>
        <w:pStyle w:val="a4"/>
        <w:numPr>
          <w:ilvl w:val="0"/>
          <w:numId w:val="47"/>
        </w:numPr>
        <w:tabs>
          <w:tab w:val="left" w:pos="993"/>
        </w:tabs>
        <w:spacing w:before="0" w:beforeAutospacing="0" w:after="0" w:afterAutospacing="0"/>
        <w:ind w:left="0" w:firstLine="709"/>
        <w:contextualSpacing/>
        <w:jc w:val="both"/>
      </w:pPr>
      <w:r>
        <w:rPr>
          <w:color w:val="000000"/>
          <w:lang w:eastAsia="en-US"/>
        </w:rPr>
        <w:t>запрет на навязывание потребителю дополнительных платных услуг, не предусмотренных законодательством Казахстана.</w:t>
      </w:r>
    </w:p>
    <w:p w14:paraId="54F30661" w14:textId="77777777" w:rsidR="00B11FFB" w:rsidRPr="00C37701" w:rsidRDefault="00B11FFB" w:rsidP="00DC002C">
      <w:pPr>
        <w:pStyle w:val="a4"/>
        <w:tabs>
          <w:tab w:val="left" w:pos="993"/>
        </w:tabs>
        <w:spacing w:before="0" w:beforeAutospacing="0" w:after="0" w:afterAutospacing="0"/>
        <w:ind w:left="709"/>
        <w:contextualSpacing/>
        <w:jc w:val="both"/>
        <w:rPr>
          <w:color w:val="000000"/>
          <w:lang w:eastAsia="en-US"/>
        </w:rPr>
      </w:pPr>
    </w:p>
    <w:p w14:paraId="0A489D98" w14:textId="77777777" w:rsidR="00895732" w:rsidRPr="00C37701" w:rsidRDefault="00895732"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Ухудшение инвестиционной позиции страховых организаций вследствие изменения ситуации на отечественном и международном финансовых рынках.</w:t>
      </w:r>
    </w:p>
    <w:p w14:paraId="1ED28858" w14:textId="6FCF884A" w:rsidR="00895732" w:rsidRPr="00C37701" w:rsidRDefault="00895732" w:rsidP="0097449D">
      <w:pPr>
        <w:spacing w:after="0" w:line="240" w:lineRule="auto"/>
        <w:ind w:firstLine="709"/>
        <w:contextualSpacing/>
        <w:jc w:val="both"/>
        <w:rPr>
          <w:rFonts w:ascii="Times New Roman" w:hAnsi="Times New Roman" w:cs="Times New Roman"/>
          <w:b/>
          <w:bCs/>
          <w:i/>
          <w:sz w:val="24"/>
          <w:szCs w:val="24"/>
        </w:rPr>
      </w:pPr>
      <w:r w:rsidRPr="00C37701">
        <w:rPr>
          <w:rFonts w:ascii="Times New Roman" w:hAnsi="Times New Roman" w:cs="Times New Roman"/>
          <w:b/>
          <w:bCs/>
          <w:i/>
          <w:sz w:val="24"/>
          <w:szCs w:val="24"/>
        </w:rPr>
        <w:t>Мероприятия</w:t>
      </w:r>
      <w:r w:rsidR="00F60949">
        <w:rPr>
          <w:rFonts w:ascii="Times New Roman" w:hAnsi="Times New Roman" w:cs="Times New Roman"/>
          <w:b/>
          <w:bCs/>
          <w:i/>
          <w:sz w:val="24"/>
          <w:szCs w:val="24"/>
        </w:rPr>
        <w:t xml:space="preserve"> по управлению возможным риском.</w:t>
      </w:r>
    </w:p>
    <w:p w14:paraId="0DC54D52" w14:textId="77777777" w:rsidR="002B52F9" w:rsidRPr="00C37701" w:rsidRDefault="00895732"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Пересмотр требований к инвестированию и диверсификации а</w:t>
      </w:r>
      <w:r w:rsidR="00D1437C" w:rsidRPr="00C37701">
        <w:rPr>
          <w:rFonts w:ascii="Times New Roman" w:hAnsi="Times New Roman" w:cs="Times New Roman"/>
          <w:i/>
          <w:sz w:val="24"/>
          <w:szCs w:val="24"/>
        </w:rPr>
        <w:t>ктивов страховых организаций.</w:t>
      </w:r>
    </w:p>
    <w:p w14:paraId="653402DA" w14:textId="7A1DEBF2" w:rsidR="001D4834" w:rsidRPr="00C37701" w:rsidRDefault="001D4834"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С целью расширения инвестиционных возможностей страховых (перестраховочных) организаци</w:t>
      </w:r>
      <w:r w:rsidR="00D811ED">
        <w:rPr>
          <w:rFonts w:ascii="Times New Roman" w:hAnsi="Times New Roman" w:cs="Times New Roman"/>
          <w:sz w:val="24"/>
          <w:szCs w:val="24"/>
        </w:rPr>
        <w:t>й</w:t>
      </w:r>
      <w:r w:rsidRPr="00C37701">
        <w:rPr>
          <w:rFonts w:ascii="Times New Roman" w:hAnsi="Times New Roman" w:cs="Times New Roman"/>
          <w:sz w:val="24"/>
          <w:szCs w:val="24"/>
        </w:rPr>
        <w:t xml:space="preserve"> и устранения препятствий, предусмотренных действующим законодательством в части возможности приобретения страховыми (перестраховочными) организациями ценных бумаг, торгуемых на фондовой бирже, функционирующей на территории МФЦА, </w:t>
      </w:r>
      <w:r w:rsidR="00D811ED">
        <w:rPr>
          <w:rFonts w:ascii="Times New Roman" w:hAnsi="Times New Roman" w:cs="Times New Roman"/>
          <w:sz w:val="24"/>
          <w:szCs w:val="24"/>
        </w:rPr>
        <w:t>п</w:t>
      </w:r>
      <w:r w:rsidRPr="00C37701">
        <w:rPr>
          <w:rFonts w:ascii="Times New Roman" w:hAnsi="Times New Roman" w:cs="Times New Roman"/>
          <w:sz w:val="24"/>
          <w:szCs w:val="24"/>
        </w:rPr>
        <w:t xml:space="preserve">остановлением </w:t>
      </w:r>
      <w:r w:rsidRPr="00C37701">
        <w:rPr>
          <w:rFonts w:ascii="Times New Roman" w:hAnsi="Times New Roman" w:cs="Times New Roman"/>
          <w:color w:val="000000"/>
          <w:sz w:val="24"/>
          <w:szCs w:val="24"/>
        </w:rPr>
        <w:t xml:space="preserve">Правления Национального Банка </w:t>
      </w:r>
      <w:r w:rsidRPr="00C37701">
        <w:rPr>
          <w:rFonts w:ascii="Times New Roman" w:hAnsi="Times New Roman" w:cs="Times New Roman"/>
          <w:sz w:val="24"/>
          <w:szCs w:val="24"/>
        </w:rPr>
        <w:t xml:space="preserve">от 10 сентября 2019 года № 151 «О внесении изменений и дополнений в некоторые нормативные правовые акты Республики Казахстан по вопросам регулирования финансового рынка» расширен список ценных бумаг, </w:t>
      </w:r>
      <w:r w:rsidR="00A37197">
        <w:rPr>
          <w:rFonts w:ascii="Times New Roman" w:hAnsi="Times New Roman" w:cs="Times New Roman"/>
          <w:sz w:val="24"/>
          <w:szCs w:val="24"/>
        </w:rPr>
        <w:t>разрешённых</w:t>
      </w:r>
      <w:r w:rsidR="00990697">
        <w:rPr>
          <w:rFonts w:ascii="Times New Roman" w:hAnsi="Times New Roman" w:cs="Times New Roman"/>
          <w:sz w:val="24"/>
          <w:szCs w:val="24"/>
        </w:rPr>
        <w:t xml:space="preserve"> для приобретения страховыми (перестраховочными) организациями, </w:t>
      </w:r>
      <w:r w:rsidRPr="00C37701">
        <w:rPr>
          <w:rFonts w:ascii="Times New Roman" w:hAnsi="Times New Roman" w:cs="Times New Roman"/>
          <w:sz w:val="24"/>
          <w:szCs w:val="24"/>
        </w:rPr>
        <w:t xml:space="preserve">снижен пороговый рейтинг БВУ для </w:t>
      </w:r>
      <w:r w:rsidR="00990697">
        <w:rPr>
          <w:rFonts w:ascii="Times New Roman" w:hAnsi="Times New Roman" w:cs="Times New Roman"/>
          <w:sz w:val="24"/>
          <w:szCs w:val="24"/>
        </w:rPr>
        <w:t>размещения</w:t>
      </w:r>
      <w:r w:rsidRPr="00C37701">
        <w:rPr>
          <w:rFonts w:ascii="Times New Roman" w:hAnsi="Times New Roman" w:cs="Times New Roman"/>
          <w:sz w:val="24"/>
          <w:szCs w:val="24"/>
        </w:rPr>
        <w:t xml:space="preserve"> вкладов</w:t>
      </w:r>
      <w:r w:rsidR="00990697">
        <w:rPr>
          <w:rFonts w:ascii="Times New Roman" w:hAnsi="Times New Roman" w:cs="Times New Roman"/>
          <w:sz w:val="24"/>
          <w:szCs w:val="24"/>
        </w:rPr>
        <w:t xml:space="preserve"> (депозитов)</w:t>
      </w:r>
      <w:r w:rsidRPr="00C37701">
        <w:rPr>
          <w:rFonts w:ascii="Times New Roman" w:hAnsi="Times New Roman" w:cs="Times New Roman"/>
          <w:sz w:val="24"/>
          <w:szCs w:val="24"/>
        </w:rPr>
        <w:t xml:space="preserve">, </w:t>
      </w:r>
      <w:r w:rsidR="00990697">
        <w:rPr>
          <w:rFonts w:ascii="Times New Roman" w:hAnsi="Times New Roman" w:cs="Times New Roman"/>
          <w:sz w:val="24"/>
          <w:szCs w:val="24"/>
        </w:rPr>
        <w:t xml:space="preserve">в расчет ликвидных активов включены </w:t>
      </w:r>
      <w:r w:rsidRPr="00C37701">
        <w:rPr>
          <w:rFonts w:ascii="Times New Roman" w:hAnsi="Times New Roman" w:cs="Times New Roman"/>
          <w:sz w:val="24"/>
          <w:szCs w:val="24"/>
        </w:rPr>
        <w:t>основны</w:t>
      </w:r>
      <w:r w:rsidR="00990697">
        <w:rPr>
          <w:rFonts w:ascii="Times New Roman" w:hAnsi="Times New Roman" w:cs="Times New Roman"/>
          <w:sz w:val="24"/>
          <w:szCs w:val="24"/>
        </w:rPr>
        <w:t>е</w:t>
      </w:r>
      <w:r w:rsidRPr="00C37701">
        <w:rPr>
          <w:rFonts w:ascii="Times New Roman" w:hAnsi="Times New Roman" w:cs="Times New Roman"/>
          <w:sz w:val="24"/>
          <w:szCs w:val="24"/>
        </w:rPr>
        <w:t xml:space="preserve"> средств</w:t>
      </w:r>
      <w:r w:rsidR="00990697">
        <w:rPr>
          <w:rFonts w:ascii="Times New Roman" w:hAnsi="Times New Roman" w:cs="Times New Roman"/>
          <w:sz w:val="24"/>
          <w:szCs w:val="24"/>
        </w:rPr>
        <w:t>а</w:t>
      </w:r>
      <w:r w:rsidRPr="00C37701">
        <w:rPr>
          <w:rFonts w:ascii="Times New Roman" w:hAnsi="Times New Roman" w:cs="Times New Roman"/>
          <w:sz w:val="24"/>
          <w:szCs w:val="24"/>
        </w:rPr>
        <w:t xml:space="preserve"> (</w:t>
      </w:r>
      <w:r w:rsidR="00990697">
        <w:rPr>
          <w:rFonts w:ascii="Times New Roman" w:hAnsi="Times New Roman" w:cs="Times New Roman"/>
          <w:sz w:val="24"/>
          <w:szCs w:val="24"/>
        </w:rPr>
        <w:t xml:space="preserve">в размере </w:t>
      </w:r>
      <w:r w:rsidRPr="00C37701">
        <w:rPr>
          <w:rFonts w:ascii="Times New Roman" w:hAnsi="Times New Roman" w:cs="Times New Roman"/>
          <w:sz w:val="24"/>
          <w:szCs w:val="24"/>
        </w:rPr>
        <w:t xml:space="preserve">не более 5% от </w:t>
      </w:r>
      <w:r w:rsidR="00990697">
        <w:rPr>
          <w:rFonts w:ascii="Times New Roman" w:hAnsi="Times New Roman" w:cs="Times New Roman"/>
          <w:sz w:val="24"/>
          <w:szCs w:val="24"/>
        </w:rPr>
        <w:t>высоколиквидных активов</w:t>
      </w:r>
      <w:r w:rsidRPr="00C37701">
        <w:rPr>
          <w:rFonts w:ascii="Times New Roman" w:hAnsi="Times New Roman" w:cs="Times New Roman"/>
          <w:sz w:val="24"/>
          <w:szCs w:val="24"/>
        </w:rPr>
        <w:t>)</w:t>
      </w:r>
      <w:r w:rsidR="00990697">
        <w:rPr>
          <w:rFonts w:ascii="Times New Roman" w:hAnsi="Times New Roman" w:cs="Times New Roman"/>
          <w:sz w:val="24"/>
          <w:szCs w:val="24"/>
        </w:rPr>
        <w:t>,</w:t>
      </w:r>
      <w:r w:rsidRPr="00C37701">
        <w:rPr>
          <w:rFonts w:ascii="Times New Roman" w:hAnsi="Times New Roman" w:cs="Times New Roman"/>
          <w:sz w:val="24"/>
          <w:szCs w:val="24"/>
        </w:rPr>
        <w:t xml:space="preserve"> операци</w:t>
      </w:r>
      <w:r w:rsidR="00990697">
        <w:rPr>
          <w:rFonts w:ascii="Times New Roman" w:hAnsi="Times New Roman" w:cs="Times New Roman"/>
          <w:sz w:val="24"/>
          <w:szCs w:val="24"/>
        </w:rPr>
        <w:t>и</w:t>
      </w:r>
      <w:r w:rsidRPr="00C37701">
        <w:rPr>
          <w:rFonts w:ascii="Times New Roman" w:hAnsi="Times New Roman" w:cs="Times New Roman"/>
          <w:sz w:val="24"/>
          <w:szCs w:val="24"/>
        </w:rPr>
        <w:t xml:space="preserve"> обратно</w:t>
      </w:r>
      <w:r w:rsidR="00990697">
        <w:rPr>
          <w:rFonts w:ascii="Times New Roman" w:hAnsi="Times New Roman" w:cs="Times New Roman"/>
          <w:sz w:val="24"/>
          <w:szCs w:val="24"/>
        </w:rPr>
        <w:t>е</w:t>
      </w:r>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Репо</w:t>
      </w:r>
      <w:proofErr w:type="spellEnd"/>
      <w:r w:rsidRPr="00C37701">
        <w:rPr>
          <w:rFonts w:ascii="Times New Roman" w:hAnsi="Times New Roman" w:cs="Times New Roman"/>
          <w:sz w:val="24"/>
          <w:szCs w:val="24"/>
        </w:rPr>
        <w:t>» в размере 100% признаны в качестве высоколиквидных активов.</w:t>
      </w:r>
    </w:p>
    <w:p w14:paraId="175E4AA7" w14:textId="6C2880AD" w:rsidR="001D4834" w:rsidRPr="00C37701" w:rsidRDefault="001D4834"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Также в </w:t>
      </w:r>
      <w:r w:rsidR="00990697">
        <w:rPr>
          <w:rFonts w:ascii="Times New Roman" w:hAnsi="Times New Roman" w:cs="Times New Roman"/>
          <w:sz w:val="24"/>
          <w:szCs w:val="24"/>
        </w:rPr>
        <w:t>расчет</w:t>
      </w:r>
      <w:r w:rsidR="00990697" w:rsidRPr="00C37701">
        <w:rPr>
          <w:rFonts w:ascii="Times New Roman" w:hAnsi="Times New Roman" w:cs="Times New Roman"/>
          <w:sz w:val="24"/>
          <w:szCs w:val="24"/>
        </w:rPr>
        <w:t xml:space="preserve"> </w:t>
      </w:r>
      <w:r w:rsidRPr="00C37701">
        <w:rPr>
          <w:rFonts w:ascii="Times New Roman" w:hAnsi="Times New Roman" w:cs="Times New Roman"/>
          <w:sz w:val="24"/>
          <w:szCs w:val="24"/>
        </w:rPr>
        <w:t xml:space="preserve">активов страховой (перестраховочной) организации по качеству и ликвидности и </w:t>
      </w:r>
      <w:r w:rsidR="00990697">
        <w:rPr>
          <w:rFonts w:ascii="Times New Roman" w:hAnsi="Times New Roman" w:cs="Times New Roman"/>
          <w:sz w:val="24"/>
          <w:szCs w:val="24"/>
        </w:rPr>
        <w:t xml:space="preserve">расчет </w:t>
      </w:r>
      <w:r w:rsidRPr="00C37701">
        <w:rPr>
          <w:rFonts w:ascii="Times New Roman" w:hAnsi="Times New Roman" w:cs="Times New Roman"/>
          <w:sz w:val="24"/>
          <w:szCs w:val="24"/>
        </w:rPr>
        <w:t>высоколиквидных активов страховой (перестраховочной) организации включен</w:t>
      </w:r>
      <w:r w:rsidR="00990697">
        <w:rPr>
          <w:rFonts w:ascii="Times New Roman" w:hAnsi="Times New Roman" w:cs="Times New Roman"/>
          <w:sz w:val="24"/>
          <w:szCs w:val="24"/>
        </w:rPr>
        <w:t>ы</w:t>
      </w:r>
      <w:r w:rsidRPr="00C37701">
        <w:rPr>
          <w:rFonts w:ascii="Times New Roman" w:hAnsi="Times New Roman" w:cs="Times New Roman"/>
          <w:sz w:val="24"/>
          <w:szCs w:val="24"/>
        </w:rPr>
        <w:t xml:space="preserve"> </w:t>
      </w:r>
      <w:r w:rsidR="00990697">
        <w:rPr>
          <w:rFonts w:ascii="Times New Roman" w:hAnsi="Times New Roman" w:cs="Times New Roman"/>
          <w:sz w:val="24"/>
          <w:szCs w:val="24"/>
        </w:rPr>
        <w:t>деньги и вклады</w:t>
      </w:r>
      <w:r w:rsidRPr="00C37701">
        <w:rPr>
          <w:rFonts w:ascii="Times New Roman" w:hAnsi="Times New Roman" w:cs="Times New Roman"/>
          <w:sz w:val="24"/>
          <w:szCs w:val="24"/>
        </w:rPr>
        <w:t xml:space="preserve"> в аффилированных банках и ценны</w:t>
      </w:r>
      <w:r w:rsidR="00990697">
        <w:rPr>
          <w:rFonts w:ascii="Times New Roman" w:hAnsi="Times New Roman" w:cs="Times New Roman"/>
          <w:sz w:val="24"/>
          <w:szCs w:val="24"/>
        </w:rPr>
        <w:t>е</w:t>
      </w:r>
      <w:r w:rsidRPr="00C37701">
        <w:rPr>
          <w:rFonts w:ascii="Times New Roman" w:hAnsi="Times New Roman" w:cs="Times New Roman"/>
          <w:sz w:val="24"/>
          <w:szCs w:val="24"/>
        </w:rPr>
        <w:t xml:space="preserve"> бумаг</w:t>
      </w:r>
      <w:r w:rsidR="00990697">
        <w:rPr>
          <w:rFonts w:ascii="Times New Roman" w:hAnsi="Times New Roman" w:cs="Times New Roman"/>
          <w:sz w:val="24"/>
          <w:szCs w:val="24"/>
        </w:rPr>
        <w:t>и</w:t>
      </w:r>
      <w:r w:rsidRPr="00C37701">
        <w:rPr>
          <w:rFonts w:ascii="Times New Roman" w:hAnsi="Times New Roman" w:cs="Times New Roman"/>
          <w:sz w:val="24"/>
          <w:szCs w:val="24"/>
        </w:rPr>
        <w:t xml:space="preserve"> аффилированных </w:t>
      </w:r>
      <w:r w:rsidRPr="00C37701">
        <w:rPr>
          <w:rFonts w:ascii="Times New Roman" w:hAnsi="Times New Roman" w:cs="Times New Roman"/>
          <w:sz w:val="24"/>
          <w:szCs w:val="24"/>
        </w:rPr>
        <w:lastRenderedPageBreak/>
        <w:t xml:space="preserve">юридических лиц. При этом кредитный риск </w:t>
      </w:r>
      <w:r w:rsidR="00990697">
        <w:rPr>
          <w:rFonts w:ascii="Times New Roman" w:hAnsi="Times New Roman" w:cs="Times New Roman"/>
          <w:sz w:val="24"/>
          <w:szCs w:val="24"/>
        </w:rPr>
        <w:t>по ним рассчитывается в соответствии с</w:t>
      </w:r>
      <w:r w:rsidR="00990697" w:rsidRPr="00C37701">
        <w:rPr>
          <w:rFonts w:ascii="Times New Roman" w:hAnsi="Times New Roman" w:cs="Times New Roman"/>
          <w:sz w:val="24"/>
          <w:szCs w:val="24"/>
        </w:rPr>
        <w:t xml:space="preserve"> </w:t>
      </w:r>
      <w:r w:rsidRPr="00C37701">
        <w:rPr>
          <w:rFonts w:ascii="Times New Roman" w:hAnsi="Times New Roman" w:cs="Times New Roman"/>
          <w:sz w:val="24"/>
          <w:szCs w:val="24"/>
        </w:rPr>
        <w:t>нормативами диверсификации активов.</w:t>
      </w:r>
    </w:p>
    <w:p w14:paraId="176299E6" w14:textId="77777777" w:rsidR="00D1437C" w:rsidRPr="00C37701" w:rsidRDefault="00D1437C" w:rsidP="0097449D">
      <w:pPr>
        <w:spacing w:after="0" w:line="240" w:lineRule="auto"/>
        <w:ind w:firstLine="709"/>
        <w:contextualSpacing/>
        <w:jc w:val="both"/>
        <w:rPr>
          <w:rFonts w:ascii="Times New Roman" w:hAnsi="Times New Roman" w:cs="Times New Roman"/>
          <w:i/>
          <w:sz w:val="24"/>
          <w:szCs w:val="24"/>
        </w:rPr>
      </w:pPr>
    </w:p>
    <w:p w14:paraId="3CB6CCFE" w14:textId="77777777" w:rsidR="002B52F9" w:rsidRPr="006A444C" w:rsidRDefault="002B52F9"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 xml:space="preserve">Цель </w:t>
      </w:r>
      <w:r w:rsidRPr="006A444C">
        <w:rPr>
          <w:rFonts w:ascii="Times New Roman" w:hAnsi="Times New Roman" w:cs="Times New Roman"/>
          <w:b/>
          <w:i/>
          <w:sz w:val="24"/>
          <w:szCs w:val="24"/>
        </w:rPr>
        <w:t>2.3. Создание необходимых условий для дальнейшего развития рынка ценных бумаг.</w:t>
      </w:r>
    </w:p>
    <w:p w14:paraId="60A4CA3D" w14:textId="397D7FB9" w:rsidR="00895732" w:rsidRPr="006A444C" w:rsidRDefault="00895732" w:rsidP="0097449D">
      <w:pPr>
        <w:spacing w:after="0" w:line="240" w:lineRule="auto"/>
        <w:ind w:firstLine="709"/>
        <w:contextualSpacing/>
        <w:jc w:val="both"/>
        <w:rPr>
          <w:rFonts w:ascii="Times New Roman" w:hAnsi="Times New Roman" w:cs="Times New Roman"/>
          <w:b/>
          <w:i/>
          <w:sz w:val="24"/>
          <w:szCs w:val="24"/>
        </w:rPr>
      </w:pPr>
      <w:r w:rsidRPr="006A444C">
        <w:rPr>
          <w:rFonts w:ascii="Times New Roman" w:hAnsi="Times New Roman" w:cs="Times New Roman"/>
          <w:b/>
          <w:i/>
          <w:sz w:val="24"/>
          <w:szCs w:val="24"/>
        </w:rPr>
        <w:t>Отток отечественных эмитентов на международные торговые площадки, в том числе стран - участниц ЕАЭС.</w:t>
      </w:r>
    </w:p>
    <w:p w14:paraId="2CEF6ED6" w14:textId="77777777" w:rsidR="00895732" w:rsidRPr="006A444C" w:rsidRDefault="00895732" w:rsidP="0097449D">
      <w:pPr>
        <w:spacing w:after="0" w:line="240" w:lineRule="auto"/>
        <w:ind w:firstLine="709"/>
        <w:contextualSpacing/>
        <w:jc w:val="both"/>
        <w:rPr>
          <w:rFonts w:ascii="Times New Roman" w:hAnsi="Times New Roman" w:cs="Times New Roman"/>
          <w:b/>
          <w:bCs/>
          <w:i/>
          <w:sz w:val="24"/>
          <w:szCs w:val="24"/>
        </w:rPr>
      </w:pPr>
      <w:r w:rsidRPr="006A444C">
        <w:rPr>
          <w:rFonts w:ascii="Times New Roman" w:hAnsi="Times New Roman" w:cs="Times New Roman"/>
          <w:b/>
          <w:bCs/>
          <w:i/>
          <w:sz w:val="24"/>
          <w:szCs w:val="24"/>
        </w:rPr>
        <w:t>Мероприятия по управлению возможным риском:</w:t>
      </w:r>
    </w:p>
    <w:p w14:paraId="787BD810" w14:textId="77777777" w:rsidR="002D3533" w:rsidRPr="006A444C" w:rsidRDefault="00895732" w:rsidP="002D3533">
      <w:pPr>
        <w:spacing w:after="0" w:line="240" w:lineRule="auto"/>
        <w:ind w:firstLine="709"/>
        <w:contextualSpacing/>
        <w:jc w:val="both"/>
        <w:rPr>
          <w:rFonts w:ascii="Times New Roman" w:hAnsi="Times New Roman" w:cs="Times New Roman"/>
          <w:bCs/>
          <w:i/>
          <w:sz w:val="24"/>
          <w:szCs w:val="24"/>
        </w:rPr>
      </w:pPr>
      <w:r w:rsidRPr="006A444C">
        <w:rPr>
          <w:rFonts w:ascii="Times New Roman" w:hAnsi="Times New Roman" w:cs="Times New Roman"/>
          <w:bCs/>
          <w:i/>
          <w:sz w:val="24"/>
          <w:szCs w:val="24"/>
        </w:rPr>
        <w:t>Принятие мер по повышению привлекательности отечественного фондового рынка, расширению инвесторской базы и повышению конкурентоспособности отечественных участников рынка.</w:t>
      </w:r>
    </w:p>
    <w:p w14:paraId="66E023D2" w14:textId="2EF35B6F" w:rsidR="002D3533" w:rsidRPr="006A444C" w:rsidRDefault="00006FD2" w:rsidP="00A775B6">
      <w:pPr>
        <w:tabs>
          <w:tab w:val="num" w:pos="720"/>
        </w:tabs>
        <w:spacing w:after="0" w:line="240" w:lineRule="auto"/>
        <w:ind w:firstLine="709"/>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За 2019 год</w:t>
      </w:r>
      <w:r w:rsidR="002D3533" w:rsidRPr="006A444C">
        <w:rPr>
          <w:rFonts w:ascii="Times New Roman" w:hAnsi="Times New Roman" w:cs="Times New Roman"/>
          <w:color w:val="000000" w:themeColor="text1"/>
          <w:sz w:val="24"/>
          <w:szCs w:val="24"/>
        </w:rPr>
        <w:t xml:space="preserve"> отме</w:t>
      </w:r>
      <w:r>
        <w:rPr>
          <w:rFonts w:ascii="Times New Roman" w:hAnsi="Times New Roman" w:cs="Times New Roman"/>
          <w:color w:val="000000" w:themeColor="text1"/>
          <w:sz w:val="24"/>
          <w:szCs w:val="24"/>
        </w:rPr>
        <w:t>чается</w:t>
      </w:r>
      <w:r w:rsidR="002D3533" w:rsidRPr="006A444C">
        <w:rPr>
          <w:rFonts w:ascii="Times New Roman" w:hAnsi="Times New Roman" w:cs="Times New Roman"/>
          <w:color w:val="000000" w:themeColor="text1"/>
          <w:sz w:val="24"/>
          <w:szCs w:val="24"/>
        </w:rPr>
        <w:t xml:space="preserve"> улучшение показателей казахстанского рынка ценных бумаг, так капитализация рынка акций выросла за год на 11</w:t>
      </w:r>
      <w:r>
        <w:rPr>
          <w:rFonts w:ascii="Times New Roman" w:hAnsi="Times New Roman" w:cs="Times New Roman"/>
          <w:color w:val="000000" w:themeColor="text1"/>
          <w:sz w:val="24"/>
          <w:szCs w:val="24"/>
        </w:rPr>
        <w:t>,2</w:t>
      </w:r>
      <w:r w:rsidR="002D3533" w:rsidRPr="006A444C">
        <w:rPr>
          <w:rFonts w:ascii="Times New Roman" w:hAnsi="Times New Roman" w:cs="Times New Roman"/>
          <w:color w:val="000000" w:themeColor="text1"/>
          <w:sz w:val="24"/>
          <w:szCs w:val="24"/>
        </w:rPr>
        <w:t>% и составила 17</w:t>
      </w:r>
      <w:r>
        <w:rPr>
          <w:rFonts w:ascii="Times New Roman" w:hAnsi="Times New Roman" w:cs="Times New Roman"/>
          <w:color w:val="000000" w:themeColor="text1"/>
          <w:sz w:val="24"/>
          <w:szCs w:val="24"/>
        </w:rPr>
        <w:t>,2</w:t>
      </w:r>
      <w:r w:rsidR="002D3533" w:rsidRPr="006A444C">
        <w:rPr>
          <w:rFonts w:ascii="Times New Roman" w:hAnsi="Times New Roman" w:cs="Times New Roman"/>
          <w:color w:val="000000" w:themeColor="text1"/>
          <w:sz w:val="24"/>
          <w:szCs w:val="24"/>
        </w:rPr>
        <w:t xml:space="preserve"> трлн</w:t>
      </w:r>
      <w:r w:rsidR="00D63474">
        <w:rPr>
          <w:rFonts w:ascii="Times New Roman" w:hAnsi="Times New Roman" w:cs="Times New Roman"/>
          <w:color w:val="000000" w:themeColor="text1"/>
          <w:sz w:val="24"/>
          <w:szCs w:val="24"/>
        </w:rPr>
        <w:t>.</w:t>
      </w:r>
      <w:r w:rsidR="002D3533" w:rsidRPr="006A444C">
        <w:rPr>
          <w:rFonts w:ascii="Times New Roman" w:hAnsi="Times New Roman" w:cs="Times New Roman"/>
          <w:color w:val="000000" w:themeColor="text1"/>
          <w:sz w:val="24"/>
          <w:szCs w:val="24"/>
        </w:rPr>
        <w:t xml:space="preserve"> тенге (</w:t>
      </w:r>
      <w:r w:rsidR="002D3533" w:rsidRPr="006A444C">
        <w:rPr>
          <w:rFonts w:ascii="Times New Roman" w:hAnsi="Times New Roman" w:cs="Times New Roman"/>
          <w:i/>
          <w:color w:val="000000" w:themeColor="text1"/>
          <w:sz w:val="24"/>
          <w:szCs w:val="24"/>
        </w:rPr>
        <w:t>изменение показателя произошло за счет включения в расчет данного индикатора акций ряда компаний и значительного роста цен на акции некоторых наименований</w:t>
      </w:r>
      <w:r w:rsidR="002D3533" w:rsidRPr="006A444C">
        <w:rPr>
          <w:rFonts w:ascii="Times New Roman" w:hAnsi="Times New Roman" w:cs="Times New Roman"/>
          <w:color w:val="000000" w:themeColor="text1"/>
          <w:sz w:val="24"/>
          <w:szCs w:val="24"/>
        </w:rPr>
        <w:t>), значение Индекса KASE выросло на 2,6% до 2 363,79 пунктов (</w:t>
      </w:r>
      <w:r w:rsidR="002D3533" w:rsidRPr="006A444C">
        <w:rPr>
          <w:rFonts w:ascii="Times New Roman" w:hAnsi="Times New Roman" w:cs="Times New Roman"/>
          <w:i/>
          <w:color w:val="000000" w:themeColor="text1"/>
          <w:sz w:val="24"/>
          <w:szCs w:val="24"/>
        </w:rPr>
        <w:t>в 2019 году в представительский список Индекса KASE включены акции АО «Национальная атомная компания «</w:t>
      </w:r>
      <w:proofErr w:type="spellStart"/>
      <w:r w:rsidR="002D3533" w:rsidRPr="006A444C">
        <w:rPr>
          <w:rFonts w:ascii="Times New Roman" w:hAnsi="Times New Roman" w:cs="Times New Roman"/>
          <w:i/>
          <w:color w:val="000000" w:themeColor="text1"/>
          <w:sz w:val="24"/>
          <w:szCs w:val="24"/>
        </w:rPr>
        <w:t>Казатомпром</w:t>
      </w:r>
      <w:proofErr w:type="spellEnd"/>
      <w:r w:rsidR="002D3533" w:rsidRPr="006A444C">
        <w:rPr>
          <w:rFonts w:ascii="Times New Roman" w:hAnsi="Times New Roman" w:cs="Times New Roman"/>
          <w:i/>
          <w:color w:val="000000" w:themeColor="text1"/>
          <w:sz w:val="24"/>
          <w:szCs w:val="24"/>
        </w:rPr>
        <w:t>». Лидером роста среди индексных акций стали бумаги АО «Народный сберегательный банк Казахстана» после приобретения АО «</w:t>
      </w:r>
      <w:proofErr w:type="spellStart"/>
      <w:r w:rsidR="002D3533" w:rsidRPr="006A444C">
        <w:rPr>
          <w:rFonts w:ascii="Times New Roman" w:hAnsi="Times New Roman" w:cs="Times New Roman"/>
          <w:i/>
          <w:color w:val="000000" w:themeColor="text1"/>
          <w:sz w:val="24"/>
          <w:szCs w:val="24"/>
        </w:rPr>
        <w:t>Казкоммерцбанк</w:t>
      </w:r>
      <w:proofErr w:type="spellEnd"/>
      <w:r w:rsidR="002D3533" w:rsidRPr="006A444C">
        <w:rPr>
          <w:rFonts w:ascii="Times New Roman" w:hAnsi="Times New Roman" w:cs="Times New Roman"/>
          <w:i/>
          <w:color w:val="000000" w:themeColor="text1"/>
          <w:sz w:val="24"/>
          <w:szCs w:val="24"/>
        </w:rPr>
        <w:t>»).</w:t>
      </w:r>
    </w:p>
    <w:p w14:paraId="428FF22A" w14:textId="77777777" w:rsidR="00006FD2" w:rsidRPr="00006FD2" w:rsidRDefault="00006FD2" w:rsidP="00006FD2">
      <w:pPr>
        <w:tabs>
          <w:tab w:val="num" w:pos="720"/>
        </w:tabs>
        <w:spacing w:after="0" w:line="240" w:lineRule="auto"/>
        <w:ind w:firstLine="709"/>
        <w:jc w:val="both"/>
        <w:rPr>
          <w:rFonts w:ascii="Times New Roman" w:hAnsi="Times New Roman" w:cs="Times New Roman"/>
          <w:color w:val="000000" w:themeColor="text1"/>
          <w:sz w:val="24"/>
          <w:szCs w:val="24"/>
        </w:rPr>
      </w:pPr>
      <w:r w:rsidRPr="00006FD2">
        <w:rPr>
          <w:rFonts w:ascii="Times New Roman" w:hAnsi="Times New Roman" w:cs="Times New Roman"/>
          <w:color w:val="000000" w:themeColor="text1"/>
          <w:sz w:val="24"/>
          <w:szCs w:val="24"/>
        </w:rPr>
        <w:t>Количество эмитентов негосударственных эмиссионных ценных бумаг на конец 2019 года составило 1 630, что на 27 единиц или 1,7% больше, чем на 01.01.2019г., из них на организованном рынке зарегистрировано 196 эмитентов.</w:t>
      </w:r>
    </w:p>
    <w:p w14:paraId="613D2C37" w14:textId="77777777" w:rsidR="00006FD2" w:rsidRDefault="00006FD2" w:rsidP="00006FD2">
      <w:pPr>
        <w:tabs>
          <w:tab w:val="num" w:pos="720"/>
        </w:tabs>
        <w:spacing w:after="0" w:line="240" w:lineRule="auto"/>
        <w:ind w:firstLine="709"/>
        <w:jc w:val="both"/>
        <w:rPr>
          <w:rFonts w:ascii="Times New Roman" w:hAnsi="Times New Roman" w:cs="Times New Roman"/>
          <w:color w:val="000000" w:themeColor="text1"/>
          <w:sz w:val="24"/>
          <w:szCs w:val="24"/>
        </w:rPr>
      </w:pPr>
      <w:r w:rsidRPr="00006FD2">
        <w:rPr>
          <w:rFonts w:ascii="Times New Roman" w:hAnsi="Times New Roman" w:cs="Times New Roman"/>
          <w:color w:val="000000" w:themeColor="text1"/>
          <w:sz w:val="24"/>
          <w:szCs w:val="24"/>
        </w:rPr>
        <w:t xml:space="preserve">Количество </w:t>
      </w:r>
      <w:proofErr w:type="spellStart"/>
      <w:r w:rsidRPr="00006FD2">
        <w:rPr>
          <w:rFonts w:ascii="Times New Roman" w:hAnsi="Times New Roman" w:cs="Times New Roman"/>
          <w:color w:val="000000" w:themeColor="text1"/>
          <w:sz w:val="24"/>
          <w:szCs w:val="24"/>
        </w:rPr>
        <w:t>субсчетов</w:t>
      </w:r>
      <w:proofErr w:type="spellEnd"/>
      <w:r w:rsidRPr="00006FD2">
        <w:rPr>
          <w:rFonts w:ascii="Times New Roman" w:hAnsi="Times New Roman" w:cs="Times New Roman"/>
          <w:color w:val="000000" w:themeColor="text1"/>
          <w:sz w:val="24"/>
          <w:szCs w:val="24"/>
        </w:rPr>
        <w:t xml:space="preserve"> в системе учета номинального держания на 01.01.2020г. составило 121 168 единиц, что на 475 единиц или 0,4% больше, чем на 01.01.2019г. </w:t>
      </w:r>
    </w:p>
    <w:p w14:paraId="6ED5FE5E" w14:textId="32B8251F" w:rsidR="002D3533" w:rsidRPr="006A444C" w:rsidRDefault="002D3533" w:rsidP="00A775B6">
      <w:pPr>
        <w:tabs>
          <w:tab w:val="num" w:pos="720"/>
        </w:tabs>
        <w:spacing w:after="0" w:line="240" w:lineRule="auto"/>
        <w:ind w:firstLine="709"/>
        <w:jc w:val="both"/>
        <w:rPr>
          <w:rFonts w:ascii="Times New Roman" w:hAnsi="Times New Roman" w:cs="Times New Roman"/>
          <w:color w:val="000000" w:themeColor="text1"/>
          <w:sz w:val="24"/>
          <w:szCs w:val="24"/>
        </w:rPr>
      </w:pPr>
      <w:r w:rsidRPr="006A444C">
        <w:rPr>
          <w:rFonts w:ascii="Times New Roman" w:hAnsi="Times New Roman" w:cs="Times New Roman"/>
          <w:color w:val="000000" w:themeColor="text1"/>
          <w:sz w:val="24"/>
          <w:szCs w:val="24"/>
        </w:rPr>
        <w:t>В рамках</w:t>
      </w:r>
      <w:r w:rsidR="00F60949">
        <w:rPr>
          <w:rFonts w:ascii="Times New Roman" w:hAnsi="Times New Roman" w:cs="Times New Roman"/>
          <w:color w:val="000000" w:themeColor="text1"/>
          <w:sz w:val="24"/>
          <w:szCs w:val="24"/>
        </w:rPr>
        <w:t xml:space="preserve"> </w:t>
      </w:r>
      <w:r w:rsidR="00006FD2" w:rsidRPr="00006FD2">
        <w:rPr>
          <w:rFonts w:ascii="Times New Roman" w:hAnsi="Times New Roman" w:cs="Times New Roman"/>
          <w:color w:val="000000" w:themeColor="text1"/>
          <w:sz w:val="24"/>
          <w:szCs w:val="24"/>
        </w:rPr>
        <w:t>повышения привлекательности отечественного фондового рынка</w:t>
      </w:r>
      <w:r w:rsidR="00006FD2" w:rsidRPr="00006FD2" w:rsidDel="00006FD2">
        <w:rPr>
          <w:rFonts w:ascii="Times New Roman" w:hAnsi="Times New Roman" w:cs="Times New Roman"/>
          <w:color w:val="000000" w:themeColor="text1"/>
          <w:sz w:val="24"/>
          <w:szCs w:val="24"/>
        </w:rPr>
        <w:t xml:space="preserve"> </w:t>
      </w:r>
      <w:r w:rsidR="00006FD2">
        <w:rPr>
          <w:rFonts w:ascii="Times New Roman" w:hAnsi="Times New Roman" w:cs="Times New Roman"/>
          <w:color w:val="000000" w:themeColor="text1"/>
          <w:sz w:val="24"/>
          <w:szCs w:val="24"/>
        </w:rPr>
        <w:t>в</w:t>
      </w:r>
      <w:r w:rsidR="00F94299">
        <w:rPr>
          <w:rFonts w:ascii="Times New Roman" w:hAnsi="Times New Roman" w:cs="Times New Roman"/>
          <w:color w:val="000000" w:themeColor="text1"/>
          <w:sz w:val="24"/>
          <w:szCs w:val="24"/>
        </w:rPr>
        <w:t xml:space="preserve"> </w:t>
      </w:r>
      <w:r w:rsidRPr="006A444C">
        <w:rPr>
          <w:rFonts w:ascii="Times New Roman" w:hAnsi="Times New Roman" w:cs="Times New Roman"/>
          <w:color w:val="000000" w:themeColor="text1"/>
          <w:sz w:val="24"/>
          <w:szCs w:val="24"/>
        </w:rPr>
        <w:t>2019 год</w:t>
      </w:r>
      <w:r w:rsidR="00006FD2">
        <w:rPr>
          <w:rFonts w:ascii="Times New Roman" w:hAnsi="Times New Roman" w:cs="Times New Roman"/>
          <w:color w:val="000000" w:themeColor="text1"/>
          <w:sz w:val="24"/>
          <w:szCs w:val="24"/>
        </w:rPr>
        <w:t xml:space="preserve">у </w:t>
      </w:r>
      <w:r w:rsidR="00006FD2">
        <w:rPr>
          <w:rFonts w:ascii="Times New Roman" w:hAnsi="Times New Roman" w:cs="Times New Roman"/>
          <w:color w:val="000000" w:themeColor="text1"/>
          <w:sz w:val="24"/>
          <w:szCs w:val="24"/>
          <w:lang w:val="en-US"/>
        </w:rPr>
        <w:t>KASE</w:t>
      </w:r>
      <w:r w:rsidRPr="006A444C">
        <w:rPr>
          <w:rFonts w:ascii="Times New Roman" w:hAnsi="Times New Roman" w:cs="Times New Roman"/>
          <w:color w:val="000000" w:themeColor="text1"/>
          <w:sz w:val="24"/>
          <w:szCs w:val="24"/>
        </w:rPr>
        <w:t xml:space="preserve"> были реализованы следующие проекты:</w:t>
      </w:r>
    </w:p>
    <w:p w14:paraId="228C5708" w14:textId="0A77EC25" w:rsidR="002D3533" w:rsidRPr="0072453D" w:rsidRDefault="002D3533" w:rsidP="0072453D">
      <w:pPr>
        <w:pStyle w:val="a6"/>
        <w:numPr>
          <w:ilvl w:val="0"/>
          <w:numId w:val="49"/>
        </w:numPr>
        <w:tabs>
          <w:tab w:val="num" w:pos="993"/>
        </w:tabs>
        <w:spacing w:after="0" w:line="240" w:lineRule="auto"/>
        <w:ind w:left="0" w:firstLine="709"/>
        <w:jc w:val="both"/>
        <w:rPr>
          <w:rFonts w:ascii="Times New Roman" w:hAnsi="Times New Roman" w:cs="Times New Roman"/>
          <w:color w:val="000000" w:themeColor="text1"/>
          <w:sz w:val="24"/>
          <w:szCs w:val="24"/>
        </w:rPr>
      </w:pPr>
      <w:r w:rsidRPr="0072453D">
        <w:rPr>
          <w:rFonts w:ascii="Times New Roman" w:hAnsi="Times New Roman" w:cs="Times New Roman"/>
          <w:color w:val="000000" w:themeColor="text1"/>
          <w:sz w:val="24"/>
          <w:szCs w:val="24"/>
        </w:rPr>
        <w:t>на фондовом рынке KASE внедрена торгово-клиринговая система ASTS+, разработанная на базе т</w:t>
      </w:r>
      <w:r w:rsidR="00BB14D3" w:rsidRPr="0072453D">
        <w:rPr>
          <w:rFonts w:ascii="Times New Roman" w:hAnsi="Times New Roman" w:cs="Times New Roman"/>
          <w:color w:val="000000" w:themeColor="text1"/>
          <w:sz w:val="24"/>
          <w:szCs w:val="24"/>
        </w:rPr>
        <w:t>оргово-клиринговой системы ПАО «</w:t>
      </w:r>
      <w:r w:rsidRPr="0072453D">
        <w:rPr>
          <w:rFonts w:ascii="Times New Roman" w:hAnsi="Times New Roman" w:cs="Times New Roman"/>
          <w:color w:val="000000" w:themeColor="text1"/>
          <w:sz w:val="24"/>
          <w:szCs w:val="24"/>
        </w:rPr>
        <w:t>Московская биржа</w:t>
      </w:r>
      <w:r w:rsidR="00BB14D3" w:rsidRPr="0072453D">
        <w:rPr>
          <w:rFonts w:ascii="Times New Roman" w:hAnsi="Times New Roman" w:cs="Times New Roman"/>
          <w:color w:val="000000" w:themeColor="text1"/>
          <w:sz w:val="24"/>
          <w:szCs w:val="24"/>
        </w:rPr>
        <w:t>»</w:t>
      </w:r>
      <w:r w:rsidRPr="0072453D">
        <w:rPr>
          <w:rFonts w:ascii="Times New Roman" w:hAnsi="Times New Roman" w:cs="Times New Roman"/>
          <w:color w:val="000000" w:themeColor="text1"/>
          <w:sz w:val="24"/>
          <w:szCs w:val="24"/>
        </w:rPr>
        <w:t xml:space="preserve"> (MOEX). KASE приступила к выполнению функций центрального контрагента (ЦК) по финансовым инструментам, торги которыми были открыты в новой торговой системе</w:t>
      </w:r>
      <w:r w:rsidR="00006FD2">
        <w:rPr>
          <w:rFonts w:ascii="Times New Roman" w:hAnsi="Times New Roman" w:cs="Times New Roman"/>
          <w:color w:val="000000" w:themeColor="text1"/>
          <w:sz w:val="24"/>
          <w:szCs w:val="24"/>
        </w:rPr>
        <w:t>;</w:t>
      </w:r>
      <w:r w:rsidRPr="0072453D">
        <w:rPr>
          <w:rFonts w:ascii="Times New Roman" w:hAnsi="Times New Roman" w:cs="Times New Roman"/>
          <w:color w:val="000000" w:themeColor="text1"/>
          <w:sz w:val="24"/>
          <w:szCs w:val="24"/>
        </w:rPr>
        <w:t xml:space="preserve"> </w:t>
      </w:r>
    </w:p>
    <w:p w14:paraId="7CF3A38C" w14:textId="262A08DD" w:rsidR="002D3533" w:rsidRPr="0072453D" w:rsidRDefault="00006FD2" w:rsidP="0072453D">
      <w:pPr>
        <w:pStyle w:val="a6"/>
        <w:numPr>
          <w:ilvl w:val="0"/>
          <w:numId w:val="49"/>
        </w:numPr>
        <w:tabs>
          <w:tab w:val="num" w:pos="993"/>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Pr="0072453D">
        <w:rPr>
          <w:rFonts w:ascii="Times New Roman" w:hAnsi="Times New Roman" w:cs="Times New Roman"/>
          <w:color w:val="000000" w:themeColor="text1"/>
          <w:sz w:val="24"/>
          <w:szCs w:val="24"/>
        </w:rPr>
        <w:t xml:space="preserve"> </w:t>
      </w:r>
      <w:r w:rsidR="002D3533" w:rsidRPr="0072453D">
        <w:rPr>
          <w:rFonts w:ascii="Times New Roman" w:hAnsi="Times New Roman" w:cs="Times New Roman"/>
          <w:color w:val="000000" w:themeColor="text1"/>
          <w:sz w:val="24"/>
          <w:szCs w:val="24"/>
        </w:rPr>
        <w:t xml:space="preserve">реализацию </w:t>
      </w:r>
      <w:r w:rsidRPr="008D203D">
        <w:rPr>
          <w:rFonts w:ascii="Times New Roman" w:hAnsi="Times New Roman" w:cs="Times New Roman"/>
          <w:color w:val="000000" w:themeColor="text1"/>
          <w:sz w:val="24"/>
          <w:szCs w:val="24"/>
        </w:rPr>
        <w:t>Соглашения о стратегическом партнерстве между KASE и MOEX</w:t>
      </w:r>
      <w:r w:rsidR="00CC0AF4">
        <w:rPr>
          <w:rFonts w:ascii="Times New Roman" w:hAnsi="Times New Roman" w:cs="Times New Roman"/>
          <w:color w:val="000000" w:themeColor="text1"/>
          <w:sz w:val="24"/>
          <w:szCs w:val="24"/>
        </w:rPr>
        <w:t xml:space="preserve">                  </w:t>
      </w:r>
      <w:r w:rsidR="002D3533" w:rsidRPr="0072453D">
        <w:rPr>
          <w:rFonts w:ascii="Times New Roman" w:hAnsi="Times New Roman" w:cs="Times New Roman"/>
          <w:color w:val="000000" w:themeColor="text1"/>
          <w:sz w:val="24"/>
          <w:szCs w:val="24"/>
        </w:rPr>
        <w:t>29 января 2019 года, KASE и MOEX заключили сделку по продаже 32 360 акций KASE. По итогам данной сделки доля MOEX в капитале KASE составила 3,37% от голосующих акций KASE</w:t>
      </w:r>
      <w:r>
        <w:rPr>
          <w:rFonts w:ascii="Times New Roman" w:hAnsi="Times New Roman" w:cs="Times New Roman"/>
          <w:color w:val="000000" w:themeColor="text1"/>
          <w:sz w:val="24"/>
          <w:szCs w:val="24"/>
        </w:rPr>
        <w:t>;</w:t>
      </w:r>
    </w:p>
    <w:p w14:paraId="1FBDEEB8" w14:textId="67CF158B" w:rsidR="002D3533" w:rsidRPr="0072453D" w:rsidRDefault="00006FD2" w:rsidP="0072453D">
      <w:pPr>
        <w:pStyle w:val="a6"/>
        <w:numPr>
          <w:ilvl w:val="0"/>
          <w:numId w:val="49"/>
        </w:numPr>
        <w:tabs>
          <w:tab w:val="num" w:pos="993"/>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w:t>
      </w:r>
      <w:r w:rsidR="002D3533" w:rsidRPr="0072453D">
        <w:rPr>
          <w:rFonts w:ascii="Times New Roman" w:hAnsi="Times New Roman" w:cs="Times New Roman"/>
          <w:color w:val="000000" w:themeColor="text1"/>
          <w:sz w:val="24"/>
          <w:szCs w:val="24"/>
        </w:rPr>
        <w:t xml:space="preserve"> 01 июля 2019 года при проведении торгов иностранными валютами на KASE увеличена продолжительность торгового дня: время окончания валютных торгов сместилось с 15:30 на 17:00. Данные изменения введены в целях удлинения торгового дня и повышения доступности торгов для их участников в рамках расширения возможностей расчетов в тенге для иностранных и международных участников</w:t>
      </w:r>
      <w:r>
        <w:rPr>
          <w:rFonts w:ascii="Times New Roman" w:hAnsi="Times New Roman" w:cs="Times New Roman"/>
          <w:color w:val="000000" w:themeColor="text1"/>
          <w:sz w:val="24"/>
          <w:szCs w:val="24"/>
        </w:rPr>
        <w:t>;</w:t>
      </w:r>
    </w:p>
    <w:p w14:paraId="2D2A827A" w14:textId="7BE5780B" w:rsidR="002D3533" w:rsidRPr="0072453D" w:rsidRDefault="00006FD2" w:rsidP="0072453D">
      <w:pPr>
        <w:pStyle w:val="a6"/>
        <w:numPr>
          <w:ilvl w:val="0"/>
          <w:numId w:val="49"/>
        </w:numPr>
        <w:tabs>
          <w:tab w:val="num" w:pos="993"/>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Pr="0072453D">
        <w:rPr>
          <w:rFonts w:ascii="Times New Roman" w:hAnsi="Times New Roman" w:cs="Times New Roman"/>
          <w:color w:val="000000" w:themeColor="text1"/>
          <w:sz w:val="24"/>
          <w:szCs w:val="24"/>
        </w:rPr>
        <w:t xml:space="preserve"> </w:t>
      </w:r>
      <w:r w:rsidR="002D3533" w:rsidRPr="0072453D">
        <w:rPr>
          <w:rFonts w:ascii="Times New Roman" w:hAnsi="Times New Roman" w:cs="Times New Roman"/>
          <w:color w:val="000000" w:themeColor="text1"/>
          <w:sz w:val="24"/>
          <w:szCs w:val="24"/>
        </w:rPr>
        <w:t>целях повышения осведомленности о деятельности биржевого рынка KASE, а также о возможностях привлечения капитала на казахстанский фондовой рынок</w:t>
      </w:r>
      <w:r w:rsidR="00B55290">
        <w:rPr>
          <w:rFonts w:ascii="Times New Roman" w:hAnsi="Times New Roman" w:cs="Times New Roman"/>
          <w:color w:val="000000" w:themeColor="text1"/>
          <w:sz w:val="24"/>
          <w:szCs w:val="24"/>
        </w:rPr>
        <w:t xml:space="preserve"> </w:t>
      </w:r>
      <w:r w:rsidR="002D3533" w:rsidRPr="0072453D">
        <w:rPr>
          <w:rFonts w:ascii="Times New Roman" w:hAnsi="Times New Roman" w:cs="Times New Roman"/>
          <w:color w:val="000000" w:themeColor="text1"/>
          <w:sz w:val="24"/>
          <w:szCs w:val="24"/>
        </w:rPr>
        <w:t>проведе</w:t>
      </w:r>
      <w:r w:rsidR="009C77E4" w:rsidRPr="0072453D">
        <w:rPr>
          <w:rFonts w:ascii="Times New Roman" w:hAnsi="Times New Roman" w:cs="Times New Roman"/>
          <w:color w:val="000000" w:themeColor="text1"/>
          <w:sz w:val="24"/>
          <w:szCs w:val="24"/>
        </w:rPr>
        <w:t>н ряд мероприятий «</w:t>
      </w:r>
      <w:r w:rsidR="002D3533" w:rsidRPr="0072453D">
        <w:rPr>
          <w:rFonts w:ascii="Times New Roman" w:hAnsi="Times New Roman" w:cs="Times New Roman"/>
          <w:color w:val="000000" w:themeColor="text1"/>
          <w:sz w:val="24"/>
          <w:szCs w:val="24"/>
        </w:rPr>
        <w:t xml:space="preserve">KASE </w:t>
      </w:r>
      <w:proofErr w:type="spellStart"/>
      <w:r w:rsidR="002D3533" w:rsidRPr="0072453D">
        <w:rPr>
          <w:rFonts w:ascii="Times New Roman" w:hAnsi="Times New Roman" w:cs="Times New Roman"/>
          <w:color w:val="000000" w:themeColor="text1"/>
          <w:sz w:val="24"/>
          <w:szCs w:val="24"/>
        </w:rPr>
        <w:t>Day</w:t>
      </w:r>
      <w:proofErr w:type="spellEnd"/>
      <w:r w:rsidR="009C77E4" w:rsidRPr="0072453D">
        <w:rPr>
          <w:rFonts w:ascii="Times New Roman" w:hAnsi="Times New Roman" w:cs="Times New Roman"/>
          <w:color w:val="000000" w:themeColor="text1"/>
          <w:sz w:val="24"/>
          <w:szCs w:val="24"/>
        </w:rPr>
        <w:t>»</w:t>
      </w:r>
      <w:r w:rsidR="00853C0B">
        <w:rPr>
          <w:rFonts w:ascii="Times New Roman" w:hAnsi="Times New Roman" w:cs="Times New Roman"/>
          <w:color w:val="000000" w:themeColor="text1"/>
          <w:sz w:val="24"/>
          <w:szCs w:val="24"/>
        </w:rPr>
        <w:t xml:space="preserve"> в городах</w:t>
      </w:r>
      <w:r w:rsidR="002D3533" w:rsidRPr="0072453D">
        <w:rPr>
          <w:rFonts w:ascii="Times New Roman" w:hAnsi="Times New Roman" w:cs="Times New Roman"/>
          <w:color w:val="000000" w:themeColor="text1"/>
          <w:sz w:val="24"/>
          <w:szCs w:val="24"/>
        </w:rPr>
        <w:t xml:space="preserve"> Москва (Россия), Минск (Беларусь), Ташкент (Узбекистан), Шымкент, </w:t>
      </w:r>
      <w:proofErr w:type="spellStart"/>
      <w:r w:rsidR="002D3533" w:rsidRPr="0072453D">
        <w:rPr>
          <w:rFonts w:ascii="Times New Roman" w:hAnsi="Times New Roman" w:cs="Times New Roman"/>
          <w:color w:val="000000" w:themeColor="text1"/>
          <w:sz w:val="24"/>
          <w:szCs w:val="24"/>
        </w:rPr>
        <w:t>Актобе</w:t>
      </w:r>
      <w:proofErr w:type="spellEnd"/>
      <w:r w:rsidR="002D3533" w:rsidRPr="0072453D">
        <w:rPr>
          <w:rFonts w:ascii="Times New Roman" w:hAnsi="Times New Roman" w:cs="Times New Roman"/>
          <w:color w:val="000000" w:themeColor="text1"/>
          <w:sz w:val="24"/>
          <w:szCs w:val="24"/>
        </w:rPr>
        <w:t xml:space="preserve">, </w:t>
      </w:r>
      <w:proofErr w:type="spellStart"/>
      <w:r w:rsidR="002D3533" w:rsidRPr="0072453D">
        <w:rPr>
          <w:rFonts w:ascii="Times New Roman" w:hAnsi="Times New Roman" w:cs="Times New Roman"/>
          <w:color w:val="000000" w:themeColor="text1"/>
          <w:sz w:val="24"/>
          <w:szCs w:val="24"/>
        </w:rPr>
        <w:t>Нур</w:t>
      </w:r>
      <w:proofErr w:type="spellEnd"/>
      <w:r w:rsidR="002D3533" w:rsidRPr="0072453D">
        <w:rPr>
          <w:rFonts w:ascii="Times New Roman" w:hAnsi="Times New Roman" w:cs="Times New Roman"/>
          <w:color w:val="000000" w:themeColor="text1"/>
          <w:sz w:val="24"/>
          <w:szCs w:val="24"/>
        </w:rPr>
        <w:t>-Султан и Алматы</w:t>
      </w:r>
      <w:r>
        <w:rPr>
          <w:rFonts w:ascii="Times New Roman" w:hAnsi="Times New Roman" w:cs="Times New Roman"/>
          <w:color w:val="000000" w:themeColor="text1"/>
          <w:sz w:val="24"/>
          <w:szCs w:val="24"/>
        </w:rPr>
        <w:t>;</w:t>
      </w:r>
    </w:p>
    <w:p w14:paraId="52DC3FFC" w14:textId="2E360B14" w:rsidR="002D3533" w:rsidRPr="0072453D" w:rsidRDefault="00006FD2" w:rsidP="0072453D">
      <w:pPr>
        <w:pStyle w:val="a6"/>
        <w:numPr>
          <w:ilvl w:val="0"/>
          <w:numId w:val="49"/>
        </w:numPr>
        <w:tabs>
          <w:tab w:val="num" w:pos="993"/>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Pr="0072453D">
        <w:rPr>
          <w:rFonts w:ascii="Times New Roman" w:hAnsi="Times New Roman" w:cs="Times New Roman"/>
          <w:color w:val="000000" w:themeColor="text1"/>
          <w:sz w:val="24"/>
          <w:szCs w:val="24"/>
        </w:rPr>
        <w:t xml:space="preserve"> </w:t>
      </w:r>
      <w:r w:rsidR="002D3533" w:rsidRPr="0072453D">
        <w:rPr>
          <w:rFonts w:ascii="Times New Roman" w:hAnsi="Times New Roman" w:cs="Times New Roman"/>
          <w:color w:val="000000" w:themeColor="text1"/>
          <w:sz w:val="24"/>
          <w:szCs w:val="24"/>
        </w:rPr>
        <w:t>целях информирования иностранных институциональных инвесторов о потенциале фондового рынка Казахстана и способах получения доступа к нему в</w:t>
      </w:r>
      <w:r w:rsidR="00CC0AF4">
        <w:rPr>
          <w:rFonts w:ascii="Times New Roman" w:hAnsi="Times New Roman" w:cs="Times New Roman"/>
          <w:color w:val="000000" w:themeColor="text1"/>
          <w:sz w:val="24"/>
          <w:szCs w:val="24"/>
        </w:rPr>
        <w:t xml:space="preserve"> </w:t>
      </w:r>
      <w:r w:rsidR="002D3533" w:rsidRPr="0072453D">
        <w:rPr>
          <w:rFonts w:ascii="Times New Roman" w:hAnsi="Times New Roman" w:cs="Times New Roman"/>
          <w:color w:val="000000" w:themeColor="text1"/>
          <w:sz w:val="24"/>
          <w:szCs w:val="24"/>
        </w:rPr>
        <w:t>г.</w:t>
      </w:r>
      <w:r w:rsidR="009C77E4" w:rsidRPr="0072453D">
        <w:rPr>
          <w:rFonts w:ascii="Times New Roman" w:hAnsi="Times New Roman" w:cs="Times New Roman"/>
          <w:color w:val="000000" w:themeColor="text1"/>
          <w:sz w:val="24"/>
          <w:szCs w:val="24"/>
        </w:rPr>
        <w:t xml:space="preserve"> Лондон состоялась конференция «</w:t>
      </w:r>
      <w:proofErr w:type="spellStart"/>
      <w:r w:rsidR="002D3533" w:rsidRPr="0072453D">
        <w:rPr>
          <w:rFonts w:ascii="Times New Roman" w:hAnsi="Times New Roman" w:cs="Times New Roman"/>
          <w:color w:val="000000" w:themeColor="text1"/>
          <w:sz w:val="24"/>
          <w:szCs w:val="24"/>
        </w:rPr>
        <w:t>Kazakhstan</w:t>
      </w:r>
      <w:proofErr w:type="spellEnd"/>
      <w:r w:rsidR="002D3533" w:rsidRPr="0072453D">
        <w:rPr>
          <w:rFonts w:ascii="Times New Roman" w:hAnsi="Times New Roman" w:cs="Times New Roman"/>
          <w:color w:val="000000" w:themeColor="text1"/>
          <w:sz w:val="24"/>
          <w:szCs w:val="24"/>
        </w:rPr>
        <w:t xml:space="preserve">: </w:t>
      </w:r>
      <w:proofErr w:type="spellStart"/>
      <w:r w:rsidR="002D3533" w:rsidRPr="0072453D">
        <w:rPr>
          <w:rFonts w:ascii="Times New Roman" w:hAnsi="Times New Roman" w:cs="Times New Roman"/>
          <w:color w:val="000000" w:themeColor="text1"/>
          <w:sz w:val="24"/>
          <w:szCs w:val="24"/>
        </w:rPr>
        <w:t>Local</w:t>
      </w:r>
      <w:proofErr w:type="spellEnd"/>
      <w:r w:rsidR="002D3533" w:rsidRPr="0072453D">
        <w:rPr>
          <w:rFonts w:ascii="Times New Roman" w:hAnsi="Times New Roman" w:cs="Times New Roman"/>
          <w:color w:val="000000" w:themeColor="text1"/>
          <w:sz w:val="24"/>
          <w:szCs w:val="24"/>
        </w:rPr>
        <w:t xml:space="preserve"> </w:t>
      </w:r>
      <w:proofErr w:type="spellStart"/>
      <w:r w:rsidR="002D3533" w:rsidRPr="0072453D">
        <w:rPr>
          <w:rFonts w:ascii="Times New Roman" w:hAnsi="Times New Roman" w:cs="Times New Roman"/>
          <w:color w:val="000000" w:themeColor="text1"/>
          <w:sz w:val="24"/>
          <w:szCs w:val="24"/>
        </w:rPr>
        <w:t>Markets</w:t>
      </w:r>
      <w:proofErr w:type="spellEnd"/>
      <w:r w:rsidR="002D3533" w:rsidRPr="0072453D">
        <w:rPr>
          <w:rFonts w:ascii="Times New Roman" w:hAnsi="Times New Roman" w:cs="Times New Roman"/>
          <w:color w:val="000000" w:themeColor="text1"/>
          <w:sz w:val="24"/>
          <w:szCs w:val="24"/>
        </w:rPr>
        <w:t xml:space="preserve"> </w:t>
      </w:r>
      <w:proofErr w:type="spellStart"/>
      <w:r w:rsidR="002D3533" w:rsidRPr="0072453D">
        <w:rPr>
          <w:rFonts w:ascii="Times New Roman" w:hAnsi="Times New Roman" w:cs="Times New Roman"/>
          <w:color w:val="000000" w:themeColor="text1"/>
          <w:sz w:val="24"/>
          <w:szCs w:val="24"/>
        </w:rPr>
        <w:t>Development</w:t>
      </w:r>
      <w:proofErr w:type="spellEnd"/>
      <w:r>
        <w:rPr>
          <w:rFonts w:ascii="Times New Roman" w:hAnsi="Times New Roman" w:cs="Times New Roman"/>
          <w:color w:val="000000" w:themeColor="text1"/>
          <w:sz w:val="24"/>
          <w:szCs w:val="24"/>
        </w:rPr>
        <w:t>;</w:t>
      </w:r>
    </w:p>
    <w:p w14:paraId="0CEE68B0" w14:textId="1DB84F3B" w:rsidR="002D3533" w:rsidRPr="0072453D" w:rsidRDefault="00006FD2" w:rsidP="0072453D">
      <w:pPr>
        <w:pStyle w:val="a6"/>
        <w:numPr>
          <w:ilvl w:val="0"/>
          <w:numId w:val="49"/>
        </w:numPr>
        <w:tabs>
          <w:tab w:val="num" w:pos="993"/>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Pr="0072453D">
        <w:rPr>
          <w:rFonts w:ascii="Times New Roman" w:hAnsi="Times New Roman" w:cs="Times New Roman"/>
          <w:color w:val="000000" w:themeColor="text1"/>
          <w:sz w:val="24"/>
          <w:szCs w:val="24"/>
        </w:rPr>
        <w:t xml:space="preserve"> целях повышения финансовой грамотности</w:t>
      </w:r>
      <w:r>
        <w:rPr>
          <w:rFonts w:ascii="Times New Roman" w:hAnsi="Times New Roman" w:cs="Times New Roman"/>
          <w:color w:val="000000" w:themeColor="text1"/>
          <w:sz w:val="24"/>
          <w:szCs w:val="24"/>
        </w:rPr>
        <w:t xml:space="preserve"> для предпринимателей и населения</w:t>
      </w:r>
      <w:r w:rsidR="0056518F">
        <w:rPr>
          <w:rFonts w:ascii="Times New Roman" w:hAnsi="Times New Roman" w:cs="Times New Roman"/>
          <w:color w:val="000000" w:themeColor="text1"/>
          <w:sz w:val="24"/>
          <w:szCs w:val="24"/>
        </w:rPr>
        <w:t xml:space="preserve"> </w:t>
      </w:r>
      <w:r w:rsidR="0056518F" w:rsidRPr="006A444C">
        <w:rPr>
          <w:rFonts w:ascii="Times New Roman" w:hAnsi="Times New Roman" w:cs="Times New Roman"/>
          <w:color w:val="000000" w:themeColor="text1"/>
          <w:sz w:val="24"/>
          <w:szCs w:val="24"/>
        </w:rPr>
        <w:t>KASE</w:t>
      </w:r>
      <w:r w:rsidR="002D3533" w:rsidRPr="0072453D">
        <w:rPr>
          <w:rFonts w:ascii="Times New Roman" w:hAnsi="Times New Roman" w:cs="Times New Roman"/>
          <w:color w:val="000000" w:themeColor="text1"/>
          <w:sz w:val="24"/>
          <w:szCs w:val="24"/>
        </w:rPr>
        <w:t xml:space="preserve"> проводила обучающие мероприятия</w:t>
      </w:r>
      <w:r>
        <w:rPr>
          <w:rFonts w:ascii="Times New Roman" w:hAnsi="Times New Roman" w:cs="Times New Roman"/>
          <w:color w:val="000000" w:themeColor="text1"/>
          <w:sz w:val="24"/>
          <w:szCs w:val="24"/>
        </w:rPr>
        <w:t>, которые</w:t>
      </w:r>
      <w:r w:rsidR="002D3533" w:rsidRPr="0072453D">
        <w:rPr>
          <w:rFonts w:ascii="Times New Roman" w:hAnsi="Times New Roman" w:cs="Times New Roman"/>
          <w:color w:val="000000" w:themeColor="text1"/>
          <w:sz w:val="24"/>
          <w:szCs w:val="24"/>
        </w:rPr>
        <w:t xml:space="preserve"> проводились совместно с Национа</w:t>
      </w:r>
      <w:r w:rsidR="009C77E4" w:rsidRPr="0072453D">
        <w:rPr>
          <w:rFonts w:ascii="Times New Roman" w:hAnsi="Times New Roman" w:cs="Times New Roman"/>
          <w:color w:val="000000" w:themeColor="text1"/>
          <w:sz w:val="24"/>
          <w:szCs w:val="24"/>
        </w:rPr>
        <w:t>льной палатой предпринимателей «</w:t>
      </w:r>
      <w:proofErr w:type="spellStart"/>
      <w:r w:rsidR="002D3533" w:rsidRPr="0072453D">
        <w:rPr>
          <w:rFonts w:ascii="Times New Roman" w:hAnsi="Times New Roman" w:cs="Times New Roman"/>
          <w:color w:val="000000" w:themeColor="text1"/>
          <w:sz w:val="24"/>
          <w:szCs w:val="24"/>
        </w:rPr>
        <w:t>Атамекен</w:t>
      </w:r>
      <w:proofErr w:type="spellEnd"/>
      <w:r w:rsidR="009C77E4" w:rsidRPr="0072453D">
        <w:rPr>
          <w:rFonts w:ascii="Times New Roman" w:hAnsi="Times New Roman" w:cs="Times New Roman"/>
          <w:color w:val="000000" w:themeColor="text1"/>
          <w:sz w:val="24"/>
          <w:szCs w:val="24"/>
        </w:rPr>
        <w:t>»</w:t>
      </w:r>
      <w:r w:rsidR="002D3533" w:rsidRPr="0072453D">
        <w:rPr>
          <w:rFonts w:ascii="Times New Roman" w:hAnsi="Times New Roman" w:cs="Times New Roman"/>
          <w:color w:val="000000" w:themeColor="text1"/>
          <w:sz w:val="24"/>
          <w:szCs w:val="24"/>
        </w:rPr>
        <w:t>, Фондо</w:t>
      </w:r>
      <w:r w:rsidR="009C77E4" w:rsidRPr="0072453D">
        <w:rPr>
          <w:rFonts w:ascii="Times New Roman" w:hAnsi="Times New Roman" w:cs="Times New Roman"/>
          <w:color w:val="000000" w:themeColor="text1"/>
          <w:sz w:val="24"/>
          <w:szCs w:val="24"/>
        </w:rPr>
        <w:t>м развития предпринимательства «</w:t>
      </w:r>
      <w:r w:rsidR="002D3533" w:rsidRPr="0072453D">
        <w:rPr>
          <w:rFonts w:ascii="Times New Roman" w:hAnsi="Times New Roman" w:cs="Times New Roman"/>
          <w:color w:val="000000" w:themeColor="text1"/>
          <w:sz w:val="24"/>
          <w:szCs w:val="24"/>
        </w:rPr>
        <w:t>Даму</w:t>
      </w:r>
      <w:r w:rsidR="009C77E4" w:rsidRPr="0072453D">
        <w:rPr>
          <w:rFonts w:ascii="Times New Roman" w:hAnsi="Times New Roman" w:cs="Times New Roman"/>
          <w:color w:val="000000" w:themeColor="text1"/>
          <w:sz w:val="24"/>
          <w:szCs w:val="24"/>
        </w:rPr>
        <w:t>»</w:t>
      </w:r>
      <w:r w:rsidR="002D3533" w:rsidRPr="0072453D">
        <w:rPr>
          <w:rFonts w:ascii="Times New Roman" w:hAnsi="Times New Roman" w:cs="Times New Roman"/>
          <w:color w:val="000000" w:themeColor="text1"/>
          <w:sz w:val="24"/>
          <w:szCs w:val="24"/>
        </w:rPr>
        <w:t>, Международной фи</w:t>
      </w:r>
      <w:r w:rsidR="009C77E4" w:rsidRPr="0072453D">
        <w:rPr>
          <w:rFonts w:ascii="Times New Roman" w:hAnsi="Times New Roman" w:cs="Times New Roman"/>
          <w:color w:val="000000" w:themeColor="text1"/>
          <w:sz w:val="24"/>
          <w:szCs w:val="24"/>
        </w:rPr>
        <w:t>нансовой корпорацией (IFC), АО «</w:t>
      </w:r>
      <w:proofErr w:type="spellStart"/>
      <w:r w:rsidR="002D3533" w:rsidRPr="0072453D">
        <w:rPr>
          <w:rFonts w:ascii="Times New Roman" w:hAnsi="Times New Roman" w:cs="Times New Roman"/>
          <w:color w:val="000000" w:themeColor="text1"/>
          <w:sz w:val="24"/>
          <w:szCs w:val="24"/>
        </w:rPr>
        <w:t>Казпочта</w:t>
      </w:r>
      <w:proofErr w:type="spellEnd"/>
      <w:r w:rsidR="009C77E4" w:rsidRPr="0072453D">
        <w:rPr>
          <w:rFonts w:ascii="Times New Roman" w:hAnsi="Times New Roman" w:cs="Times New Roman"/>
          <w:color w:val="000000" w:themeColor="text1"/>
          <w:sz w:val="24"/>
          <w:szCs w:val="24"/>
        </w:rPr>
        <w:t>»</w:t>
      </w:r>
      <w:r w:rsidR="002D3533" w:rsidRPr="0072453D">
        <w:rPr>
          <w:rFonts w:ascii="Times New Roman" w:hAnsi="Times New Roman" w:cs="Times New Roman"/>
          <w:color w:val="000000" w:themeColor="text1"/>
          <w:sz w:val="24"/>
          <w:szCs w:val="24"/>
        </w:rPr>
        <w:t xml:space="preserve"> и другими организациями. </w:t>
      </w:r>
    </w:p>
    <w:p w14:paraId="051E59F2" w14:textId="77777777" w:rsidR="002D3533" w:rsidRPr="006A444C" w:rsidRDefault="002D3533" w:rsidP="00A775B6">
      <w:pPr>
        <w:tabs>
          <w:tab w:val="num" w:pos="720"/>
        </w:tabs>
        <w:spacing w:after="0" w:line="240" w:lineRule="auto"/>
        <w:ind w:firstLine="709"/>
        <w:jc w:val="both"/>
        <w:rPr>
          <w:rFonts w:ascii="Times New Roman" w:hAnsi="Times New Roman" w:cs="Times New Roman"/>
          <w:color w:val="000000" w:themeColor="text1"/>
          <w:sz w:val="24"/>
          <w:szCs w:val="24"/>
        </w:rPr>
      </w:pPr>
      <w:r w:rsidRPr="006A444C">
        <w:rPr>
          <w:rFonts w:ascii="Times New Roman" w:hAnsi="Times New Roman" w:cs="Times New Roman"/>
          <w:color w:val="000000" w:themeColor="text1"/>
          <w:sz w:val="24"/>
          <w:szCs w:val="24"/>
        </w:rPr>
        <w:t xml:space="preserve">Внедрены расчеты по схеме т+2 для сделок с краткосрочными нотами Национального Банка и государственными ценными бумагами Министерства финансов РК. ГЦБ РК были включены в список ценных бумаг, рассчитываемых в международной расчетной системе </w:t>
      </w:r>
      <w:proofErr w:type="spellStart"/>
      <w:r w:rsidRPr="006A444C">
        <w:rPr>
          <w:rFonts w:ascii="Times New Roman" w:hAnsi="Times New Roman" w:cs="Times New Roman"/>
          <w:color w:val="000000" w:themeColor="text1"/>
          <w:sz w:val="24"/>
          <w:szCs w:val="24"/>
        </w:rPr>
        <w:t>Clearstream</w:t>
      </w:r>
      <w:proofErr w:type="spellEnd"/>
      <w:r w:rsidRPr="006A444C">
        <w:rPr>
          <w:rFonts w:ascii="Times New Roman" w:hAnsi="Times New Roman" w:cs="Times New Roman"/>
          <w:color w:val="000000" w:themeColor="text1"/>
          <w:sz w:val="24"/>
          <w:szCs w:val="24"/>
        </w:rPr>
        <w:t>.</w:t>
      </w:r>
    </w:p>
    <w:p w14:paraId="4BB8E971" w14:textId="77777777" w:rsidR="00006FD2" w:rsidRDefault="00006FD2" w:rsidP="00006FD2">
      <w:pPr>
        <w:tabs>
          <w:tab w:val="num" w:pos="720"/>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целях повышения конкурентоспособности </w:t>
      </w:r>
      <w:r w:rsidRPr="00751528">
        <w:rPr>
          <w:rFonts w:ascii="Times New Roman" w:hAnsi="Times New Roman" w:cs="Times New Roman"/>
          <w:color w:val="000000" w:themeColor="text1"/>
          <w:sz w:val="24"/>
          <w:szCs w:val="24"/>
        </w:rPr>
        <w:t>брокер</w:t>
      </w:r>
      <w:r>
        <w:rPr>
          <w:rFonts w:ascii="Times New Roman" w:hAnsi="Times New Roman" w:cs="Times New Roman"/>
          <w:color w:val="000000" w:themeColor="text1"/>
          <w:sz w:val="24"/>
          <w:szCs w:val="24"/>
        </w:rPr>
        <w:t>ов</w:t>
      </w:r>
      <w:r w:rsidRPr="00751528">
        <w:rPr>
          <w:rFonts w:ascii="Times New Roman" w:hAnsi="Times New Roman" w:cs="Times New Roman"/>
          <w:color w:val="000000" w:themeColor="text1"/>
          <w:sz w:val="24"/>
          <w:szCs w:val="24"/>
        </w:rPr>
        <w:t xml:space="preserve"> и (или) дилер</w:t>
      </w:r>
      <w:r>
        <w:rPr>
          <w:rFonts w:ascii="Times New Roman" w:hAnsi="Times New Roman" w:cs="Times New Roman"/>
          <w:color w:val="000000" w:themeColor="text1"/>
          <w:sz w:val="24"/>
          <w:szCs w:val="24"/>
        </w:rPr>
        <w:t>ов принимались следующие меры:</w:t>
      </w:r>
    </w:p>
    <w:p w14:paraId="0FE06520" w14:textId="5C80E3BA" w:rsidR="00006FD2" w:rsidRPr="00DD090A" w:rsidRDefault="00006FD2" w:rsidP="00DD090A">
      <w:pPr>
        <w:pStyle w:val="a6"/>
        <w:numPr>
          <w:ilvl w:val="0"/>
          <w:numId w:val="55"/>
        </w:numPr>
        <w:tabs>
          <w:tab w:val="left" w:pos="993"/>
        </w:tabs>
        <w:spacing w:after="0" w:line="240" w:lineRule="auto"/>
        <w:ind w:left="0" w:firstLine="709"/>
        <w:jc w:val="both"/>
        <w:rPr>
          <w:rFonts w:ascii="Times New Roman" w:hAnsi="Times New Roman" w:cs="Times New Roman"/>
          <w:color w:val="000000" w:themeColor="text1"/>
          <w:sz w:val="24"/>
          <w:szCs w:val="24"/>
        </w:rPr>
      </w:pPr>
      <w:r w:rsidRPr="00DD090A">
        <w:rPr>
          <w:rFonts w:ascii="Times New Roman" w:hAnsi="Times New Roman" w:cs="Times New Roman"/>
          <w:color w:val="000000" w:themeColor="text1"/>
          <w:sz w:val="24"/>
          <w:szCs w:val="24"/>
        </w:rPr>
        <w:lastRenderedPageBreak/>
        <w:t>предоставлено право на предоставление кредитного плеча клиентам (путем совершения маржинальных сделок);</w:t>
      </w:r>
    </w:p>
    <w:p w14:paraId="2E9444A2" w14:textId="2C4085A2" w:rsidR="00006FD2" w:rsidRPr="00DD090A" w:rsidRDefault="00006FD2" w:rsidP="00DD090A">
      <w:pPr>
        <w:pStyle w:val="a6"/>
        <w:numPr>
          <w:ilvl w:val="0"/>
          <w:numId w:val="55"/>
        </w:numPr>
        <w:tabs>
          <w:tab w:val="left" w:pos="993"/>
        </w:tabs>
        <w:spacing w:after="0" w:line="240" w:lineRule="auto"/>
        <w:ind w:left="0" w:firstLine="709"/>
        <w:jc w:val="both"/>
        <w:rPr>
          <w:rFonts w:ascii="Times New Roman" w:hAnsi="Times New Roman" w:cs="Times New Roman"/>
          <w:color w:val="000000" w:themeColor="text1"/>
          <w:sz w:val="24"/>
          <w:szCs w:val="24"/>
        </w:rPr>
      </w:pPr>
      <w:r w:rsidRPr="00DD090A">
        <w:rPr>
          <w:rFonts w:ascii="Times New Roman" w:hAnsi="Times New Roman" w:cs="Times New Roman"/>
          <w:color w:val="000000" w:themeColor="text1"/>
          <w:sz w:val="24"/>
          <w:szCs w:val="24"/>
        </w:rPr>
        <w:t>предоставлено право на организацию обменных операций с безналичной иностранной валютой за счет и поручению юридических лиц, за свой счет и в своих интересах, за счет активов, находящихся в управлении, снятие лимита по сделкам за счет физических лиц (ранее предусматривалось заключение сделок исключительно за счет физических лиц в рамках установленного лимита);</w:t>
      </w:r>
    </w:p>
    <w:p w14:paraId="3C74D955" w14:textId="15AACB92" w:rsidR="00006FD2" w:rsidRPr="00DD090A" w:rsidRDefault="00006FD2" w:rsidP="00DD090A">
      <w:pPr>
        <w:pStyle w:val="a6"/>
        <w:numPr>
          <w:ilvl w:val="0"/>
          <w:numId w:val="55"/>
        </w:numPr>
        <w:tabs>
          <w:tab w:val="left" w:pos="993"/>
        </w:tabs>
        <w:spacing w:after="0" w:line="240" w:lineRule="auto"/>
        <w:ind w:left="0" w:firstLine="709"/>
        <w:jc w:val="both"/>
        <w:rPr>
          <w:rFonts w:ascii="Times New Roman" w:hAnsi="Times New Roman" w:cs="Times New Roman"/>
          <w:color w:val="000000" w:themeColor="text1"/>
          <w:sz w:val="24"/>
          <w:szCs w:val="24"/>
        </w:rPr>
      </w:pPr>
      <w:r w:rsidRPr="00DD090A">
        <w:rPr>
          <w:rFonts w:ascii="Times New Roman" w:hAnsi="Times New Roman" w:cs="Times New Roman"/>
          <w:color w:val="000000" w:themeColor="text1"/>
          <w:sz w:val="24"/>
          <w:szCs w:val="24"/>
        </w:rPr>
        <w:t>снято ограничение по заключению сделок исключительно на фондовой бирже.</w:t>
      </w:r>
    </w:p>
    <w:p w14:paraId="137D30FD" w14:textId="77777777" w:rsidR="00D151A6" w:rsidRPr="006A444C" w:rsidRDefault="00D151A6" w:rsidP="0097449D">
      <w:pPr>
        <w:shd w:val="clear" w:color="auto" w:fill="FFFFFF"/>
        <w:tabs>
          <w:tab w:val="num" w:pos="720"/>
        </w:tabs>
        <w:spacing w:after="0" w:line="240" w:lineRule="auto"/>
        <w:ind w:firstLine="709"/>
        <w:jc w:val="both"/>
        <w:rPr>
          <w:rFonts w:ascii="Times New Roman" w:hAnsi="Times New Roman" w:cs="Times New Roman"/>
          <w:sz w:val="24"/>
          <w:szCs w:val="24"/>
        </w:rPr>
      </w:pPr>
    </w:p>
    <w:p w14:paraId="529CCB6C" w14:textId="77777777" w:rsidR="005134D6" w:rsidRPr="006A444C" w:rsidRDefault="00895732" w:rsidP="002078C2">
      <w:pPr>
        <w:ind w:firstLine="708"/>
        <w:contextualSpacing/>
        <w:rPr>
          <w:rFonts w:ascii="Times New Roman" w:hAnsi="Times New Roman" w:cs="Times New Roman"/>
          <w:b/>
          <w:i/>
          <w:sz w:val="24"/>
          <w:szCs w:val="24"/>
        </w:rPr>
      </w:pPr>
      <w:r w:rsidRPr="006A444C">
        <w:rPr>
          <w:rFonts w:ascii="Times New Roman" w:hAnsi="Times New Roman" w:cs="Times New Roman"/>
          <w:b/>
          <w:i/>
          <w:sz w:val="24"/>
          <w:szCs w:val="24"/>
        </w:rPr>
        <w:t>Регуляторный арбитраж между юрисдикциями Международного финансового центра «Астана» и Республики Казахстан.</w:t>
      </w:r>
      <w:r w:rsidR="005134D6" w:rsidRPr="006A444C">
        <w:rPr>
          <w:rFonts w:ascii="Times New Roman" w:hAnsi="Times New Roman" w:cs="Times New Roman"/>
          <w:b/>
          <w:i/>
          <w:sz w:val="24"/>
          <w:szCs w:val="24"/>
        </w:rPr>
        <w:t xml:space="preserve"> </w:t>
      </w:r>
    </w:p>
    <w:p w14:paraId="3FA5FDBE" w14:textId="690DD477" w:rsidR="005134D6" w:rsidRPr="006A444C" w:rsidRDefault="005134D6" w:rsidP="005134D6">
      <w:pPr>
        <w:ind w:firstLine="709"/>
        <w:contextualSpacing/>
        <w:rPr>
          <w:rFonts w:ascii="Times New Roman" w:hAnsi="Times New Roman" w:cs="Times New Roman"/>
          <w:b/>
          <w:i/>
          <w:sz w:val="24"/>
          <w:szCs w:val="24"/>
        </w:rPr>
      </w:pPr>
      <w:r w:rsidRPr="006A444C">
        <w:rPr>
          <w:rFonts w:ascii="Times New Roman" w:hAnsi="Times New Roman" w:cs="Times New Roman"/>
          <w:b/>
          <w:i/>
          <w:sz w:val="24"/>
          <w:szCs w:val="24"/>
        </w:rPr>
        <w:t>Возможные последствия в случае непринятия мер по управлению рисками:</w:t>
      </w:r>
    </w:p>
    <w:p w14:paraId="5E04320C" w14:textId="77777777" w:rsidR="005134D6" w:rsidRPr="00365D2B" w:rsidRDefault="005134D6" w:rsidP="005134D6">
      <w:pPr>
        <w:ind w:firstLine="709"/>
        <w:contextualSpacing/>
        <w:rPr>
          <w:rFonts w:ascii="Times New Roman" w:hAnsi="Times New Roman" w:cs="Times New Roman"/>
          <w:i/>
          <w:sz w:val="24"/>
          <w:szCs w:val="24"/>
        </w:rPr>
      </w:pPr>
      <w:r w:rsidRPr="006A444C">
        <w:rPr>
          <w:rFonts w:ascii="Times New Roman" w:hAnsi="Times New Roman" w:cs="Times New Roman"/>
          <w:i/>
          <w:sz w:val="24"/>
          <w:szCs w:val="24"/>
        </w:rPr>
        <w:t>Повышение риска регуляторного арбитража.</w:t>
      </w:r>
    </w:p>
    <w:p w14:paraId="0850EE9C" w14:textId="27D9A433" w:rsidR="00895732" w:rsidRPr="00C37701" w:rsidRDefault="00895732" w:rsidP="005134D6">
      <w:pPr>
        <w:spacing w:after="0" w:line="240" w:lineRule="auto"/>
        <w:ind w:firstLine="709"/>
        <w:contextualSpacing/>
        <w:jc w:val="both"/>
        <w:rPr>
          <w:rFonts w:ascii="Times New Roman" w:hAnsi="Times New Roman" w:cs="Times New Roman"/>
          <w:b/>
          <w:bCs/>
          <w:i/>
          <w:sz w:val="24"/>
          <w:szCs w:val="24"/>
        </w:rPr>
      </w:pPr>
      <w:r w:rsidRPr="00C37701">
        <w:rPr>
          <w:rFonts w:ascii="Times New Roman" w:hAnsi="Times New Roman" w:cs="Times New Roman"/>
          <w:b/>
          <w:bCs/>
          <w:i/>
          <w:sz w:val="24"/>
          <w:szCs w:val="24"/>
        </w:rPr>
        <w:t>Мероприятия по управлению возможным риском:</w:t>
      </w:r>
    </w:p>
    <w:p w14:paraId="23DE7A6A" w14:textId="77777777" w:rsidR="00781280" w:rsidRPr="00C37701" w:rsidRDefault="00895732"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Принятие превентивных мер по снижению рисков регуляторного арбитража.</w:t>
      </w:r>
    </w:p>
    <w:p w14:paraId="262435AC" w14:textId="1E87AF4B" w:rsidR="00D151A6" w:rsidRPr="00C37701" w:rsidRDefault="00781280" w:rsidP="003E676C">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sz w:val="24"/>
          <w:szCs w:val="24"/>
        </w:rPr>
        <w:t>На протяжении 2019 года Национальным Банком совместно с АО «Администрация МФЦА», государственными органами Республики Казахстан, общественными объединениями и т.д. проводилась работа по вопросу становления и развития М</w:t>
      </w:r>
      <w:r w:rsidR="00A04663">
        <w:rPr>
          <w:rFonts w:ascii="Times New Roman" w:hAnsi="Times New Roman" w:cs="Times New Roman"/>
          <w:sz w:val="24"/>
          <w:szCs w:val="24"/>
        </w:rPr>
        <w:t>ФЦА</w:t>
      </w:r>
      <w:r w:rsidRPr="00C37701">
        <w:rPr>
          <w:rFonts w:ascii="Times New Roman" w:hAnsi="Times New Roman" w:cs="Times New Roman"/>
          <w:sz w:val="24"/>
          <w:szCs w:val="24"/>
        </w:rPr>
        <w:t xml:space="preserve">. </w:t>
      </w:r>
    </w:p>
    <w:p w14:paraId="562BD3C3" w14:textId="3627C287" w:rsidR="00781280" w:rsidRPr="006A444C" w:rsidRDefault="00196A2B" w:rsidP="0097449D">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Б</w:t>
      </w:r>
      <w:r w:rsidR="00781280" w:rsidRPr="00C37701">
        <w:rPr>
          <w:rFonts w:ascii="Times New Roman" w:hAnsi="Times New Roman" w:cs="Times New Roman"/>
          <w:sz w:val="24"/>
          <w:szCs w:val="24"/>
        </w:rPr>
        <w:t xml:space="preserve">ыли инициированы изменения в нормативные правовые </w:t>
      </w:r>
      <w:r w:rsidR="00781280" w:rsidRPr="006A444C">
        <w:rPr>
          <w:rFonts w:ascii="Times New Roman" w:hAnsi="Times New Roman" w:cs="Times New Roman"/>
          <w:sz w:val="24"/>
          <w:szCs w:val="24"/>
        </w:rPr>
        <w:t>акты Национального Банка, предусматривающие допуск институциональных инвесторов на биржу МФЦА и признание ценных бумаг, включенных в официальный список Биржи МФЦА, в качестве высоколиквидных и разрешенных к инвестированию институциональными инвесторами.</w:t>
      </w:r>
    </w:p>
    <w:p w14:paraId="6A67B63B" w14:textId="77777777" w:rsidR="00D151A6" w:rsidRPr="00C37701" w:rsidRDefault="00D151A6" w:rsidP="0097449D">
      <w:pPr>
        <w:spacing w:after="0" w:line="240" w:lineRule="auto"/>
        <w:contextualSpacing/>
        <w:jc w:val="both"/>
        <w:rPr>
          <w:rFonts w:ascii="Times New Roman" w:hAnsi="Times New Roman" w:cs="Times New Roman"/>
          <w:sz w:val="24"/>
          <w:szCs w:val="24"/>
        </w:rPr>
      </w:pPr>
      <w:r w:rsidRPr="006A444C">
        <w:rPr>
          <w:rFonts w:ascii="Times New Roman" w:hAnsi="Times New Roman" w:cs="Times New Roman"/>
          <w:sz w:val="24"/>
          <w:szCs w:val="24"/>
        </w:rPr>
        <w:t xml:space="preserve">            </w:t>
      </w:r>
      <w:r w:rsidR="00781280" w:rsidRPr="006A444C">
        <w:rPr>
          <w:rFonts w:ascii="Times New Roman" w:hAnsi="Times New Roman" w:cs="Times New Roman"/>
          <w:sz w:val="24"/>
          <w:szCs w:val="24"/>
        </w:rPr>
        <w:t>В отношении открытия корреспондентского счета AIX CSD (депозитарий МФЦА) в Национальном Банке внесены изменения в пункт 7 статьи 30 Закона РК «О банках и банковской деятельности в Республике</w:t>
      </w:r>
      <w:r w:rsidR="00781280" w:rsidRPr="00C37701">
        <w:rPr>
          <w:rFonts w:ascii="Times New Roman" w:hAnsi="Times New Roman" w:cs="Times New Roman"/>
          <w:sz w:val="24"/>
          <w:szCs w:val="24"/>
        </w:rPr>
        <w:t xml:space="preserve"> Казахстан» (вступивши</w:t>
      </w:r>
      <w:r w:rsidRPr="00C37701">
        <w:rPr>
          <w:rFonts w:ascii="Times New Roman" w:hAnsi="Times New Roman" w:cs="Times New Roman"/>
          <w:sz w:val="24"/>
          <w:szCs w:val="24"/>
        </w:rPr>
        <w:t>е в силу с 1 января 2020 года).</w:t>
      </w:r>
    </w:p>
    <w:p w14:paraId="27C6DFD5" w14:textId="099EF5E9" w:rsidR="00781280" w:rsidRPr="00C37701" w:rsidRDefault="00781280" w:rsidP="00BB14D3">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В отношении закрепления порядка открытия корреспондентского счета в Национальном Банке иностранным банкам – участникам МФЦА принято постановление Правления Национального Банка от 28 ноября 2019</w:t>
      </w:r>
      <w:r w:rsidR="00D20529" w:rsidRPr="00C37701">
        <w:rPr>
          <w:rFonts w:ascii="Times New Roman" w:hAnsi="Times New Roman" w:cs="Times New Roman"/>
          <w:sz w:val="24"/>
          <w:szCs w:val="24"/>
        </w:rPr>
        <w:t xml:space="preserve"> </w:t>
      </w:r>
      <w:r w:rsidR="00853C0B">
        <w:rPr>
          <w:rFonts w:ascii="Times New Roman" w:hAnsi="Times New Roman" w:cs="Times New Roman"/>
          <w:sz w:val="24"/>
          <w:szCs w:val="24"/>
        </w:rPr>
        <w:t>года</w:t>
      </w:r>
      <w:r w:rsidRPr="00C37701">
        <w:rPr>
          <w:rFonts w:ascii="Times New Roman" w:hAnsi="Times New Roman" w:cs="Times New Roman"/>
          <w:sz w:val="24"/>
          <w:szCs w:val="24"/>
        </w:rPr>
        <w:t xml:space="preserve"> № 221 «О внесении изменений и дополнений в некоторые постановления Правления Национального Банка Республики Казахстан по вопросам функционирования платежных систем и регулирования рынка платежных услуг», в рамка</w:t>
      </w:r>
      <w:r w:rsidR="008A76F6">
        <w:rPr>
          <w:rFonts w:ascii="Times New Roman" w:hAnsi="Times New Roman" w:cs="Times New Roman"/>
          <w:sz w:val="24"/>
          <w:szCs w:val="24"/>
        </w:rPr>
        <w:t>х которого внесены изменения в п</w:t>
      </w:r>
      <w:r w:rsidRPr="00C37701">
        <w:rPr>
          <w:rFonts w:ascii="Times New Roman" w:hAnsi="Times New Roman" w:cs="Times New Roman"/>
          <w:sz w:val="24"/>
          <w:szCs w:val="24"/>
        </w:rPr>
        <w:t>остановление Правлен</w:t>
      </w:r>
      <w:r w:rsidR="00AB0EE6">
        <w:rPr>
          <w:rFonts w:ascii="Times New Roman" w:hAnsi="Times New Roman" w:cs="Times New Roman"/>
          <w:sz w:val="24"/>
          <w:szCs w:val="24"/>
        </w:rPr>
        <w:t xml:space="preserve">ия Национального Банка </w:t>
      </w:r>
      <w:r w:rsidR="00F94299">
        <w:rPr>
          <w:rFonts w:ascii="Times New Roman" w:hAnsi="Times New Roman" w:cs="Times New Roman"/>
          <w:sz w:val="24"/>
          <w:szCs w:val="24"/>
        </w:rPr>
        <w:t xml:space="preserve">                           </w:t>
      </w:r>
      <w:r w:rsidR="00AB0EE6">
        <w:rPr>
          <w:rFonts w:ascii="Times New Roman" w:hAnsi="Times New Roman" w:cs="Times New Roman"/>
          <w:sz w:val="24"/>
          <w:szCs w:val="24"/>
        </w:rPr>
        <w:t xml:space="preserve"> от 31 августа 2016 года </w:t>
      </w:r>
      <w:r w:rsidRPr="00C37701">
        <w:rPr>
          <w:rFonts w:ascii="Times New Roman" w:hAnsi="Times New Roman" w:cs="Times New Roman"/>
          <w:sz w:val="24"/>
          <w:szCs w:val="24"/>
        </w:rPr>
        <w:t>№</w:t>
      </w:r>
      <w:r w:rsidR="00AB0EE6">
        <w:rPr>
          <w:rFonts w:ascii="Times New Roman" w:hAnsi="Times New Roman" w:cs="Times New Roman"/>
          <w:sz w:val="24"/>
          <w:szCs w:val="24"/>
        </w:rPr>
        <w:t xml:space="preserve"> </w:t>
      </w:r>
      <w:r w:rsidRPr="00C37701">
        <w:rPr>
          <w:rFonts w:ascii="Times New Roman" w:hAnsi="Times New Roman" w:cs="Times New Roman"/>
          <w:sz w:val="24"/>
          <w:szCs w:val="24"/>
        </w:rPr>
        <w:t>209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w:t>
      </w:r>
    </w:p>
    <w:p w14:paraId="1385C586" w14:textId="77777777" w:rsidR="00D151A6" w:rsidRPr="00C37701" w:rsidRDefault="00781280" w:rsidP="005134D6">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Национальным Банком были организованы и проведены встречи с финансовыми регуляторами ОАЭ по вопросам параллельного функционирования двух правовых, регуляторных систем, целей и задач создания междунар</w:t>
      </w:r>
      <w:r w:rsidR="00D151A6" w:rsidRPr="00C37701">
        <w:rPr>
          <w:rFonts w:ascii="Times New Roman" w:hAnsi="Times New Roman" w:cs="Times New Roman"/>
          <w:sz w:val="24"/>
          <w:szCs w:val="24"/>
        </w:rPr>
        <w:t>одных финансовых центров в ОАЭ.</w:t>
      </w:r>
    </w:p>
    <w:p w14:paraId="669134C7" w14:textId="10257BCC" w:rsidR="00781280" w:rsidRPr="00C37701" w:rsidRDefault="00D151A6" w:rsidP="003E676C">
      <w:pPr>
        <w:spacing w:after="0" w:line="240" w:lineRule="auto"/>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           </w:t>
      </w:r>
      <w:r w:rsidR="00781280" w:rsidRPr="00C37701">
        <w:rPr>
          <w:rFonts w:ascii="Times New Roman" w:hAnsi="Times New Roman" w:cs="Times New Roman"/>
          <w:sz w:val="24"/>
          <w:szCs w:val="24"/>
        </w:rPr>
        <w:t xml:space="preserve">По итогам консультаций с представителями регуляторов ОАЭ Национальным Банком подготовлен проект поправок в Конституционный закон Республики Казахстан </w:t>
      </w:r>
      <w:r w:rsidR="00781280" w:rsidRPr="00C37701">
        <w:rPr>
          <w:rFonts w:ascii="Times New Roman" w:hAnsi="Times New Roman" w:cs="Times New Roman"/>
          <w:sz w:val="24"/>
          <w:szCs w:val="24"/>
        </w:rPr>
        <w:br/>
        <w:t>«О Международном финансовом центре «Астана»</w:t>
      </w:r>
      <w:r w:rsidR="00781280" w:rsidRPr="00C37701">
        <w:rPr>
          <w:rFonts w:ascii="Times New Roman" w:hAnsi="Times New Roman" w:cs="Times New Roman"/>
          <w:i/>
          <w:sz w:val="24"/>
          <w:szCs w:val="24"/>
        </w:rPr>
        <w:t xml:space="preserve">, </w:t>
      </w:r>
      <w:r w:rsidR="00781280" w:rsidRPr="00C37701">
        <w:rPr>
          <w:rFonts w:ascii="Times New Roman" w:hAnsi="Times New Roman" w:cs="Times New Roman"/>
          <w:sz w:val="24"/>
          <w:szCs w:val="24"/>
        </w:rPr>
        <w:t>находящийся на рассмотрении в Мажилисе Парламента РК (</w:t>
      </w:r>
      <w:r w:rsidR="00781280" w:rsidRPr="00C37701">
        <w:rPr>
          <w:rFonts w:ascii="Times New Roman" w:hAnsi="Times New Roman" w:cs="Times New Roman"/>
          <w:i/>
          <w:sz w:val="24"/>
          <w:szCs w:val="24"/>
        </w:rPr>
        <w:t>направлен 27.11.2019г.</w:t>
      </w:r>
      <w:r w:rsidRPr="00C37701">
        <w:rPr>
          <w:rFonts w:ascii="Times New Roman" w:hAnsi="Times New Roman" w:cs="Times New Roman"/>
          <w:sz w:val="24"/>
          <w:szCs w:val="24"/>
        </w:rPr>
        <w:t>)</w:t>
      </w:r>
      <w:r w:rsidR="00AA134E">
        <w:rPr>
          <w:rFonts w:ascii="Times New Roman" w:hAnsi="Times New Roman" w:cs="Times New Roman"/>
          <w:sz w:val="24"/>
          <w:szCs w:val="24"/>
        </w:rPr>
        <w:t xml:space="preserve"> и который </w:t>
      </w:r>
      <w:r w:rsidR="00781280" w:rsidRPr="00C37701">
        <w:rPr>
          <w:rFonts w:ascii="Times New Roman" w:hAnsi="Times New Roman" w:cs="Times New Roman"/>
          <w:sz w:val="24"/>
          <w:szCs w:val="24"/>
        </w:rPr>
        <w:t>предусматривает следующее:</w:t>
      </w:r>
    </w:p>
    <w:p w14:paraId="6BA29D64" w14:textId="77777777" w:rsidR="00781280" w:rsidRPr="00C37701" w:rsidRDefault="00781280" w:rsidP="005134D6">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1) запрет участникам МФЦА оказывать финансовые и профессиональные услуги гражданам Республики Казахстан и юридическим лицам, созданным в соответствии с законодательством Республики Казахстан и не являющимся участниками Центра (в </w:t>
      </w:r>
      <w:proofErr w:type="spellStart"/>
      <w:r w:rsidRPr="00C37701">
        <w:rPr>
          <w:rFonts w:ascii="Times New Roman" w:hAnsi="Times New Roman" w:cs="Times New Roman"/>
          <w:sz w:val="24"/>
          <w:szCs w:val="24"/>
        </w:rPr>
        <w:t>т.ч</w:t>
      </w:r>
      <w:proofErr w:type="spellEnd"/>
      <w:r w:rsidRPr="00C37701">
        <w:rPr>
          <w:rFonts w:ascii="Times New Roman" w:hAnsi="Times New Roman" w:cs="Times New Roman"/>
          <w:sz w:val="24"/>
          <w:szCs w:val="24"/>
        </w:rPr>
        <w:t xml:space="preserve">. прием депозитов, открытие и ведение банковских счетов), за исключением оказания услуг по: </w:t>
      </w:r>
    </w:p>
    <w:p w14:paraId="587D0322" w14:textId="77777777" w:rsidR="00781280" w:rsidRPr="00C37701" w:rsidRDefault="00781280" w:rsidP="005134D6">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 выдаче кредитов в иностранной валюте юридическим лицам; </w:t>
      </w:r>
    </w:p>
    <w:p w14:paraId="4EEE084A" w14:textId="77777777" w:rsidR="002F7156" w:rsidRPr="00C37701" w:rsidRDefault="00781280" w:rsidP="005134D6">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перестрахованию.</w:t>
      </w:r>
    </w:p>
    <w:p w14:paraId="1CC0F007" w14:textId="29109ECB" w:rsidR="00781280" w:rsidRPr="00C37701" w:rsidRDefault="00781280" w:rsidP="005134D6">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2) запрет участникам МФЦА оказыват</w:t>
      </w:r>
      <w:r w:rsidR="001430E8">
        <w:rPr>
          <w:rFonts w:ascii="Times New Roman" w:hAnsi="Times New Roman" w:cs="Times New Roman"/>
          <w:sz w:val="24"/>
          <w:szCs w:val="24"/>
        </w:rPr>
        <w:t>ь страховые услуги резидентам Р</w:t>
      </w:r>
      <w:r w:rsidRPr="00C37701">
        <w:rPr>
          <w:rFonts w:ascii="Times New Roman" w:hAnsi="Times New Roman" w:cs="Times New Roman"/>
          <w:sz w:val="24"/>
          <w:szCs w:val="24"/>
        </w:rPr>
        <w:t>К, не являющимся участниками Центра, а также осуществлять страхование в пользу</w:t>
      </w:r>
      <w:r w:rsidR="001430E8">
        <w:rPr>
          <w:rFonts w:ascii="Times New Roman" w:hAnsi="Times New Roman" w:cs="Times New Roman"/>
          <w:sz w:val="24"/>
          <w:szCs w:val="24"/>
        </w:rPr>
        <w:t xml:space="preserve"> третьих лиц – резидентов Р</w:t>
      </w:r>
      <w:r w:rsidRPr="00C37701">
        <w:rPr>
          <w:rFonts w:ascii="Times New Roman" w:hAnsi="Times New Roman" w:cs="Times New Roman"/>
          <w:sz w:val="24"/>
          <w:szCs w:val="24"/>
        </w:rPr>
        <w:t>К, не являющихся участниками Центра, оказание страховых услуг по обязательным классам страхования, установленным законодательством Республики Казахстан.</w:t>
      </w:r>
    </w:p>
    <w:p w14:paraId="30C4FAA9" w14:textId="77777777" w:rsidR="00781280" w:rsidRPr="00C37701" w:rsidRDefault="00781280" w:rsidP="005134D6">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3) требования о том, что денежные обязательства между участниками МФЦА должны выражаться и исполняться в валюте, отличной от тенге. Иные обязательства выражаются и </w:t>
      </w:r>
      <w:r w:rsidRPr="00C37701">
        <w:rPr>
          <w:rFonts w:ascii="Times New Roman" w:hAnsi="Times New Roman" w:cs="Times New Roman"/>
          <w:sz w:val="24"/>
          <w:szCs w:val="24"/>
        </w:rPr>
        <w:lastRenderedPageBreak/>
        <w:t>исполняются в иностранной/национальной валюте в соответствии с законодательством Республики Казахстан.</w:t>
      </w:r>
    </w:p>
    <w:p w14:paraId="0FD0EF21" w14:textId="77777777" w:rsidR="00781280" w:rsidRPr="00C37701" w:rsidRDefault="00781280" w:rsidP="005134D6">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Правительством Республики Казахстан проект поправок Национального Банка направлен на согласование в заинтересованные государственные органы и организации.</w:t>
      </w:r>
    </w:p>
    <w:p w14:paraId="5D726E46" w14:textId="3372475E" w:rsidR="009434E7" w:rsidRPr="00C37701" w:rsidRDefault="00781280" w:rsidP="005134D6">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Более того, проведена работа по разработке и заключению Соглашения между Комитетом </w:t>
      </w:r>
      <w:r w:rsidR="00CC0AF4" w:rsidRPr="00C37701">
        <w:rPr>
          <w:rFonts w:ascii="Times New Roman" w:hAnsi="Times New Roman" w:cs="Times New Roman"/>
          <w:sz w:val="24"/>
          <w:szCs w:val="24"/>
        </w:rPr>
        <w:t>МФЦА и Национальным</w:t>
      </w:r>
      <w:r w:rsidRPr="00C37701">
        <w:rPr>
          <w:rFonts w:ascii="Times New Roman" w:hAnsi="Times New Roman" w:cs="Times New Roman"/>
          <w:sz w:val="24"/>
          <w:szCs w:val="24"/>
        </w:rPr>
        <w:t xml:space="preserve"> Банком об оказании содействия и взаимного сотрудничества</w:t>
      </w:r>
      <w:r w:rsidR="00CC0AF4">
        <w:rPr>
          <w:rFonts w:ascii="Times New Roman" w:hAnsi="Times New Roman" w:cs="Times New Roman"/>
          <w:sz w:val="24"/>
          <w:szCs w:val="24"/>
        </w:rPr>
        <w:t xml:space="preserve">                       </w:t>
      </w:r>
      <w:r w:rsidRPr="00C37701">
        <w:rPr>
          <w:rFonts w:ascii="Times New Roman" w:hAnsi="Times New Roman" w:cs="Times New Roman"/>
          <w:sz w:val="24"/>
          <w:szCs w:val="24"/>
        </w:rPr>
        <w:t xml:space="preserve"> от 27 марта 2019 года №</w:t>
      </w:r>
      <w:r w:rsidR="00D20529" w:rsidRPr="00C37701">
        <w:rPr>
          <w:rFonts w:ascii="Times New Roman" w:hAnsi="Times New Roman" w:cs="Times New Roman"/>
          <w:sz w:val="24"/>
          <w:szCs w:val="24"/>
        </w:rPr>
        <w:t xml:space="preserve"> </w:t>
      </w:r>
      <w:r w:rsidRPr="00C37701">
        <w:rPr>
          <w:rFonts w:ascii="Times New Roman" w:hAnsi="Times New Roman" w:cs="Times New Roman"/>
          <w:sz w:val="24"/>
          <w:szCs w:val="24"/>
        </w:rPr>
        <w:t>105</w:t>
      </w:r>
      <w:r w:rsidR="00D20529" w:rsidRPr="00C37701">
        <w:rPr>
          <w:rFonts w:ascii="Times New Roman" w:hAnsi="Times New Roman" w:cs="Times New Roman"/>
          <w:sz w:val="24"/>
          <w:szCs w:val="24"/>
        </w:rPr>
        <w:t xml:space="preserve"> </w:t>
      </w:r>
      <w:r w:rsidRPr="00C37701">
        <w:rPr>
          <w:rFonts w:ascii="Times New Roman" w:hAnsi="Times New Roman" w:cs="Times New Roman"/>
          <w:sz w:val="24"/>
          <w:szCs w:val="24"/>
        </w:rPr>
        <w:t>НБ. Целью Соглашения является создание рамочных условий для взаимодействия двух регуляторов, в том числе для обсуждения вопросов, п</w:t>
      </w:r>
      <w:r w:rsidR="00D151A6" w:rsidRPr="00C37701">
        <w:rPr>
          <w:rFonts w:ascii="Times New Roman" w:hAnsi="Times New Roman" w:cs="Times New Roman"/>
          <w:sz w:val="24"/>
          <w:szCs w:val="24"/>
        </w:rPr>
        <w:t>редставляющих взаимный интерес.</w:t>
      </w:r>
    </w:p>
    <w:p w14:paraId="09FD507F" w14:textId="77777777" w:rsidR="009434E7" w:rsidRPr="006A444C" w:rsidRDefault="009434E7" w:rsidP="0097449D">
      <w:pPr>
        <w:spacing w:after="0" w:line="240" w:lineRule="auto"/>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           </w:t>
      </w:r>
      <w:r w:rsidR="00781280" w:rsidRPr="00C37701">
        <w:rPr>
          <w:rFonts w:ascii="Times New Roman" w:hAnsi="Times New Roman" w:cs="Times New Roman"/>
          <w:sz w:val="24"/>
          <w:szCs w:val="24"/>
        </w:rPr>
        <w:t xml:space="preserve">Также разработан проект Соглашения об обмене информацией, в том числе конфиденциальной, между Национальным Банком и Комитетом МФЦА по регулированию </w:t>
      </w:r>
      <w:r w:rsidR="00781280" w:rsidRPr="006A444C">
        <w:rPr>
          <w:rFonts w:ascii="Times New Roman" w:hAnsi="Times New Roman" w:cs="Times New Roman"/>
          <w:sz w:val="24"/>
          <w:szCs w:val="24"/>
        </w:rPr>
        <w:t>финансовых услуг. Соглашение об обмене информацией, в том числе конфиденциальной, позволяет обмениваться информацией для выполнения поставленных перед регуляторами задач, повышения эффективности надзора за финансовым рынком, недопущения вовлечения поднадзорных организ</w:t>
      </w:r>
      <w:r w:rsidRPr="006A444C">
        <w:rPr>
          <w:rFonts w:ascii="Times New Roman" w:hAnsi="Times New Roman" w:cs="Times New Roman"/>
          <w:sz w:val="24"/>
          <w:szCs w:val="24"/>
        </w:rPr>
        <w:t>аций в незаконную деятельность.</w:t>
      </w:r>
    </w:p>
    <w:p w14:paraId="5605BC2D" w14:textId="77777777" w:rsidR="00781280" w:rsidRPr="006A444C" w:rsidRDefault="009434E7" w:rsidP="0097449D">
      <w:pPr>
        <w:spacing w:after="0" w:line="240" w:lineRule="auto"/>
        <w:contextualSpacing/>
        <w:jc w:val="both"/>
        <w:rPr>
          <w:rFonts w:ascii="Times New Roman" w:hAnsi="Times New Roman" w:cs="Times New Roman"/>
          <w:sz w:val="24"/>
          <w:szCs w:val="24"/>
        </w:rPr>
      </w:pPr>
      <w:r w:rsidRPr="006A444C">
        <w:rPr>
          <w:rFonts w:ascii="Times New Roman" w:hAnsi="Times New Roman" w:cs="Times New Roman"/>
          <w:sz w:val="24"/>
          <w:szCs w:val="24"/>
        </w:rPr>
        <w:t xml:space="preserve">           </w:t>
      </w:r>
      <w:r w:rsidR="00781280" w:rsidRPr="006A444C">
        <w:rPr>
          <w:rFonts w:ascii="Times New Roman" w:hAnsi="Times New Roman" w:cs="Times New Roman"/>
          <w:sz w:val="24"/>
          <w:szCs w:val="24"/>
        </w:rPr>
        <w:t>На постоянной основе велась подготовка разъяснений по запросам СМИ, физических и юридических лиц и др. по вопросам функционирования и развития МФЦА.</w:t>
      </w:r>
    </w:p>
    <w:p w14:paraId="3510F259" w14:textId="77777777" w:rsidR="00781280" w:rsidRPr="006A444C" w:rsidRDefault="00781280" w:rsidP="0097449D">
      <w:pPr>
        <w:spacing w:after="0" w:line="240" w:lineRule="auto"/>
        <w:contextualSpacing/>
        <w:jc w:val="both"/>
        <w:rPr>
          <w:rFonts w:ascii="Times New Roman" w:hAnsi="Times New Roman" w:cs="Times New Roman"/>
          <w:sz w:val="24"/>
          <w:szCs w:val="24"/>
        </w:rPr>
      </w:pPr>
    </w:p>
    <w:p w14:paraId="662E1EAA" w14:textId="1CB2825D" w:rsidR="00895732" w:rsidRPr="006A444C" w:rsidRDefault="00895732" w:rsidP="0097449D">
      <w:pPr>
        <w:spacing w:after="0" w:line="240" w:lineRule="auto"/>
        <w:ind w:firstLine="709"/>
        <w:contextualSpacing/>
        <w:jc w:val="both"/>
        <w:rPr>
          <w:rFonts w:ascii="Times New Roman" w:hAnsi="Times New Roman" w:cs="Times New Roman"/>
          <w:b/>
          <w:i/>
          <w:sz w:val="24"/>
          <w:szCs w:val="24"/>
        </w:rPr>
      </w:pPr>
      <w:r w:rsidRPr="006A444C">
        <w:rPr>
          <w:rFonts w:ascii="Times New Roman" w:hAnsi="Times New Roman" w:cs="Times New Roman"/>
          <w:b/>
          <w:i/>
          <w:sz w:val="24"/>
          <w:szCs w:val="24"/>
        </w:rPr>
        <w:t>Недостаточный интерес эмитентов к привлечению средств посредством размещения ценных бумаг на организованном рынке ценных бумаг</w:t>
      </w:r>
    </w:p>
    <w:p w14:paraId="208D20E4" w14:textId="77777777" w:rsidR="005134D6" w:rsidRPr="006A444C" w:rsidRDefault="005134D6" w:rsidP="005134D6">
      <w:pPr>
        <w:ind w:firstLine="709"/>
        <w:contextualSpacing/>
        <w:rPr>
          <w:rFonts w:ascii="Times New Roman" w:hAnsi="Times New Roman" w:cs="Times New Roman"/>
          <w:b/>
          <w:i/>
          <w:sz w:val="24"/>
          <w:szCs w:val="24"/>
        </w:rPr>
      </w:pPr>
      <w:r w:rsidRPr="006A444C">
        <w:rPr>
          <w:rFonts w:ascii="Times New Roman" w:hAnsi="Times New Roman" w:cs="Times New Roman"/>
          <w:b/>
          <w:i/>
          <w:sz w:val="24"/>
          <w:szCs w:val="24"/>
        </w:rPr>
        <w:t>Возможные последствия в случае непринятия мер по управлению рисками:</w:t>
      </w:r>
    </w:p>
    <w:p w14:paraId="36C3548B" w14:textId="77777777" w:rsidR="005134D6" w:rsidRPr="006A444C" w:rsidRDefault="005134D6" w:rsidP="005134D6">
      <w:pPr>
        <w:ind w:firstLine="709"/>
        <w:contextualSpacing/>
        <w:rPr>
          <w:rFonts w:ascii="Times New Roman" w:hAnsi="Times New Roman" w:cs="Times New Roman"/>
          <w:i/>
          <w:sz w:val="24"/>
          <w:szCs w:val="24"/>
        </w:rPr>
      </w:pPr>
      <w:r w:rsidRPr="006A444C">
        <w:rPr>
          <w:rFonts w:ascii="Times New Roman" w:hAnsi="Times New Roman" w:cs="Times New Roman"/>
          <w:i/>
          <w:sz w:val="24"/>
          <w:szCs w:val="24"/>
        </w:rPr>
        <w:t>Снижение ликвидности фондового рынка.</w:t>
      </w:r>
    </w:p>
    <w:p w14:paraId="125B53E6" w14:textId="03C1A428" w:rsidR="00895732" w:rsidRPr="006A444C" w:rsidRDefault="00895732" w:rsidP="005134D6">
      <w:pPr>
        <w:ind w:firstLine="709"/>
        <w:contextualSpacing/>
        <w:rPr>
          <w:rFonts w:ascii="Times New Roman" w:hAnsi="Times New Roman" w:cs="Times New Roman"/>
          <w:i/>
          <w:sz w:val="24"/>
          <w:szCs w:val="24"/>
        </w:rPr>
      </w:pPr>
      <w:r w:rsidRPr="006A444C">
        <w:rPr>
          <w:rFonts w:ascii="Times New Roman" w:hAnsi="Times New Roman" w:cs="Times New Roman"/>
          <w:b/>
          <w:bCs/>
          <w:i/>
          <w:sz w:val="24"/>
          <w:szCs w:val="24"/>
        </w:rPr>
        <w:t>Мероприятия по управлению возможным риском:</w:t>
      </w:r>
    </w:p>
    <w:p w14:paraId="54AE66DC" w14:textId="77777777" w:rsidR="00931D92" w:rsidRPr="006A444C" w:rsidRDefault="00895732" w:rsidP="0097449D">
      <w:pPr>
        <w:spacing w:after="0" w:line="240" w:lineRule="auto"/>
        <w:ind w:firstLine="709"/>
        <w:contextualSpacing/>
        <w:jc w:val="both"/>
        <w:rPr>
          <w:rFonts w:ascii="Times New Roman" w:hAnsi="Times New Roman" w:cs="Times New Roman"/>
          <w:i/>
          <w:sz w:val="24"/>
          <w:szCs w:val="24"/>
        </w:rPr>
      </w:pPr>
      <w:r w:rsidRPr="006A444C">
        <w:rPr>
          <w:rFonts w:ascii="Times New Roman" w:hAnsi="Times New Roman" w:cs="Times New Roman"/>
          <w:i/>
          <w:sz w:val="24"/>
          <w:szCs w:val="24"/>
        </w:rPr>
        <w:t>Создание механизмов стимулирования выхода на рынок новых эмитентов и внедрение программ их поддержки.</w:t>
      </w:r>
    </w:p>
    <w:p w14:paraId="669328AF" w14:textId="7478B258" w:rsidR="00F50B22" w:rsidRPr="00C37701" w:rsidRDefault="00055A2B" w:rsidP="00E42DAC">
      <w:pPr>
        <w:pStyle w:val="a6"/>
        <w:tabs>
          <w:tab w:val="left" w:pos="1134"/>
        </w:tabs>
        <w:spacing w:after="0" w:line="240" w:lineRule="auto"/>
        <w:ind w:left="0" w:firstLine="709"/>
        <w:jc w:val="both"/>
        <w:rPr>
          <w:rStyle w:val="s0"/>
          <w:sz w:val="24"/>
          <w:szCs w:val="24"/>
        </w:rPr>
      </w:pPr>
      <w:r>
        <w:rPr>
          <w:rStyle w:val="s0"/>
          <w:sz w:val="24"/>
          <w:szCs w:val="24"/>
        </w:rPr>
        <w:t>О</w:t>
      </w:r>
      <w:r w:rsidR="00F50B22" w:rsidRPr="00C37701">
        <w:rPr>
          <w:rStyle w:val="s0"/>
          <w:sz w:val="24"/>
          <w:szCs w:val="24"/>
        </w:rPr>
        <w:t>существлен переход на удобный электронный формат оказания государственных услуг по государственной регистрации выпуска негосударственных ценных бумаг (акции, облигации, паи) и по утверждению отчета об итогах размещения акций.</w:t>
      </w:r>
    </w:p>
    <w:p w14:paraId="368CA741" w14:textId="3409CE8A" w:rsidR="00D20529" w:rsidRPr="00C37701" w:rsidRDefault="00931D92" w:rsidP="00E42DAC">
      <w:pPr>
        <w:spacing w:after="0" w:line="240" w:lineRule="auto"/>
        <w:ind w:firstLine="709"/>
        <w:contextualSpacing/>
        <w:jc w:val="both"/>
        <w:rPr>
          <w:rFonts w:ascii="Times New Roman" w:hAnsi="Times New Roman" w:cs="Times New Roman"/>
          <w:color w:val="000000"/>
          <w:sz w:val="24"/>
          <w:szCs w:val="24"/>
        </w:rPr>
      </w:pPr>
      <w:r w:rsidRPr="00C37701">
        <w:rPr>
          <w:rFonts w:ascii="Times New Roman" w:hAnsi="Times New Roman" w:cs="Times New Roman"/>
          <w:color w:val="000000"/>
          <w:sz w:val="24"/>
          <w:szCs w:val="24"/>
        </w:rPr>
        <w:t>На сегодняшний день созданы все условия для привлечения инвесторов на фондовый рынок, включая налоговое стимулирование. Имеется ряд существенных налоговых льгот, освобождающих доходы инвесторов, полученны</w:t>
      </w:r>
      <w:r w:rsidR="00055A2B">
        <w:rPr>
          <w:rFonts w:ascii="Times New Roman" w:hAnsi="Times New Roman" w:cs="Times New Roman"/>
          <w:color w:val="000000"/>
          <w:sz w:val="24"/>
          <w:szCs w:val="24"/>
        </w:rPr>
        <w:t>х</w:t>
      </w:r>
      <w:r w:rsidRPr="00C37701">
        <w:rPr>
          <w:rFonts w:ascii="Times New Roman" w:hAnsi="Times New Roman" w:cs="Times New Roman"/>
          <w:color w:val="000000"/>
          <w:sz w:val="24"/>
          <w:szCs w:val="24"/>
        </w:rPr>
        <w:t xml:space="preserve"> при совершении сделок с акциями и облигациям</w:t>
      </w:r>
      <w:r w:rsidR="00312279">
        <w:rPr>
          <w:rFonts w:ascii="Times New Roman" w:hAnsi="Times New Roman" w:cs="Times New Roman"/>
          <w:color w:val="000000"/>
          <w:sz w:val="24"/>
          <w:szCs w:val="24"/>
        </w:rPr>
        <w:t xml:space="preserve">и на </w:t>
      </w:r>
      <w:r w:rsidR="00312279" w:rsidRPr="006A444C">
        <w:rPr>
          <w:rFonts w:ascii="Times New Roman" w:hAnsi="Times New Roman" w:cs="Times New Roman"/>
          <w:color w:val="000000" w:themeColor="text1"/>
          <w:sz w:val="24"/>
          <w:szCs w:val="24"/>
        </w:rPr>
        <w:t>KASE</w:t>
      </w:r>
      <w:r w:rsidRPr="00C37701">
        <w:rPr>
          <w:rFonts w:ascii="Times New Roman" w:hAnsi="Times New Roman" w:cs="Times New Roman"/>
          <w:color w:val="000000"/>
          <w:sz w:val="24"/>
          <w:szCs w:val="24"/>
        </w:rPr>
        <w:t xml:space="preserve">. Также </w:t>
      </w:r>
      <w:r w:rsidR="00055A2B">
        <w:rPr>
          <w:rFonts w:ascii="Times New Roman" w:hAnsi="Times New Roman" w:cs="Times New Roman"/>
          <w:color w:val="000000"/>
          <w:sz w:val="24"/>
          <w:szCs w:val="24"/>
        </w:rPr>
        <w:t xml:space="preserve">предусмотрены налоговые </w:t>
      </w:r>
      <w:r w:rsidRPr="00C37701">
        <w:rPr>
          <w:rFonts w:ascii="Times New Roman" w:hAnsi="Times New Roman" w:cs="Times New Roman"/>
          <w:color w:val="000000"/>
          <w:sz w:val="24"/>
          <w:szCs w:val="24"/>
        </w:rPr>
        <w:t>льгот</w:t>
      </w:r>
      <w:r w:rsidR="00055A2B">
        <w:rPr>
          <w:rFonts w:ascii="Times New Roman" w:hAnsi="Times New Roman" w:cs="Times New Roman"/>
          <w:color w:val="000000"/>
          <w:sz w:val="24"/>
          <w:szCs w:val="24"/>
        </w:rPr>
        <w:t>ы</w:t>
      </w:r>
      <w:r w:rsidRPr="00C37701">
        <w:rPr>
          <w:rFonts w:ascii="Times New Roman" w:hAnsi="Times New Roman" w:cs="Times New Roman"/>
          <w:color w:val="000000"/>
          <w:sz w:val="24"/>
          <w:szCs w:val="24"/>
        </w:rPr>
        <w:t xml:space="preserve"> </w:t>
      </w:r>
      <w:r w:rsidR="00055A2B">
        <w:rPr>
          <w:rFonts w:ascii="Times New Roman" w:hAnsi="Times New Roman" w:cs="Times New Roman"/>
          <w:color w:val="000000"/>
          <w:sz w:val="24"/>
          <w:szCs w:val="24"/>
        </w:rPr>
        <w:t xml:space="preserve">на </w:t>
      </w:r>
      <w:r w:rsidRPr="00C37701">
        <w:rPr>
          <w:rFonts w:ascii="Times New Roman" w:hAnsi="Times New Roman" w:cs="Times New Roman"/>
          <w:color w:val="000000"/>
          <w:sz w:val="24"/>
          <w:szCs w:val="24"/>
        </w:rPr>
        <w:t xml:space="preserve">доходы физических лиц в виде дивидендов и вознаграждения по ценным бумагам. </w:t>
      </w:r>
    </w:p>
    <w:p w14:paraId="5408CBF0" w14:textId="77777777" w:rsidR="00E42DAC" w:rsidRDefault="00931D92" w:rsidP="00E42DAC">
      <w:pPr>
        <w:spacing w:after="0" w:line="240" w:lineRule="auto"/>
        <w:ind w:firstLine="709"/>
        <w:contextualSpacing/>
        <w:jc w:val="both"/>
        <w:rPr>
          <w:rFonts w:ascii="Times New Roman" w:hAnsi="Times New Roman" w:cs="Times New Roman"/>
          <w:color w:val="000000"/>
          <w:sz w:val="24"/>
          <w:szCs w:val="24"/>
        </w:rPr>
      </w:pPr>
      <w:r w:rsidRPr="00C37701">
        <w:rPr>
          <w:rFonts w:ascii="Times New Roman" w:hAnsi="Times New Roman" w:cs="Times New Roman"/>
          <w:sz w:val="24"/>
          <w:szCs w:val="24"/>
        </w:rPr>
        <w:t xml:space="preserve">Наряду с этим, </w:t>
      </w:r>
      <w:r w:rsidRPr="00C37701">
        <w:rPr>
          <w:rFonts w:ascii="Times New Roman" w:hAnsi="Times New Roman" w:cs="Times New Roman"/>
          <w:color w:val="000000"/>
          <w:sz w:val="24"/>
          <w:szCs w:val="24"/>
        </w:rPr>
        <w:t>Национальный Банк на постоянной основе осуществляет работу по повышению финансовой грамотности и расширению инвестиционных возможностей населения по вложению в различные финансовые инструменты, в том числе в ценные бумаги.</w:t>
      </w:r>
    </w:p>
    <w:p w14:paraId="589644E0" w14:textId="77777777" w:rsidR="00E42DAC" w:rsidRDefault="00931D92" w:rsidP="00E42DAC">
      <w:pPr>
        <w:spacing w:after="0" w:line="240" w:lineRule="auto"/>
        <w:ind w:firstLine="709"/>
        <w:contextualSpacing/>
        <w:jc w:val="both"/>
        <w:rPr>
          <w:rFonts w:ascii="Times New Roman" w:hAnsi="Times New Roman" w:cs="Times New Roman"/>
          <w:color w:val="000000"/>
          <w:sz w:val="24"/>
          <w:szCs w:val="24"/>
        </w:rPr>
      </w:pPr>
      <w:r w:rsidRPr="00C37701">
        <w:rPr>
          <w:rFonts w:ascii="Times New Roman" w:hAnsi="Times New Roman" w:cs="Times New Roman"/>
          <w:sz w:val="24"/>
          <w:szCs w:val="24"/>
        </w:rPr>
        <w:t>Сокращены контрольно-надзорные функции уполномоченного органа в отношении эмитентов. Оптимизированы разрешительные процедуры по выпуску и размещению ценных бумаг, что будет стимулировать эмитентов к выходу на фондовый рынок и повышению прозрачности их деятельности.</w:t>
      </w:r>
    </w:p>
    <w:p w14:paraId="710CE807" w14:textId="77777777" w:rsidR="00E42DAC" w:rsidRDefault="00931D92" w:rsidP="00E42DAC">
      <w:pPr>
        <w:spacing w:after="0" w:line="240" w:lineRule="auto"/>
        <w:ind w:firstLine="709"/>
        <w:contextualSpacing/>
        <w:jc w:val="both"/>
        <w:rPr>
          <w:rFonts w:ascii="Times New Roman" w:hAnsi="Times New Roman" w:cs="Times New Roman"/>
          <w:color w:val="000000"/>
          <w:sz w:val="24"/>
          <w:szCs w:val="24"/>
        </w:rPr>
      </w:pPr>
      <w:r w:rsidRPr="00C37701">
        <w:rPr>
          <w:rFonts w:ascii="Times New Roman" w:hAnsi="Times New Roman" w:cs="Times New Roman"/>
          <w:sz w:val="24"/>
          <w:szCs w:val="24"/>
        </w:rPr>
        <w:t>Реализованы меры, предусматривающие оптимизацию перечня раскрываемой эмитентами информации, а также исключение дублирования раскрываемой эмитентами информации в различных источниках средств массовой информации, определив единым источником – депозитарий финансовой отчетности.</w:t>
      </w:r>
      <w:r w:rsidR="009434E7" w:rsidRPr="00C37701">
        <w:rPr>
          <w:rFonts w:ascii="Times New Roman" w:hAnsi="Times New Roman" w:cs="Times New Roman"/>
          <w:sz w:val="24"/>
          <w:szCs w:val="24"/>
        </w:rPr>
        <w:t xml:space="preserve"> </w:t>
      </w:r>
      <w:r w:rsidRPr="00C37701">
        <w:rPr>
          <w:rFonts w:ascii="Times New Roman" w:hAnsi="Times New Roman" w:cs="Times New Roman"/>
          <w:color w:val="000000" w:themeColor="text1"/>
          <w:sz w:val="24"/>
          <w:szCs w:val="24"/>
        </w:rPr>
        <w:t>Поправки, внесенные Национальным Банком в некоторые законодательные акты в отношении эмитентов, согласуются с принципами корпоративного управления G20/ОЭСР по раскрытию информации, которые устанавливают, что каналы распространения информации должны обеспечивать равноправный, своевременный и не связанный с чрезмерными расходами доступ пользователей к необходимой информации.</w:t>
      </w:r>
    </w:p>
    <w:p w14:paraId="652BC289" w14:textId="48B8B537" w:rsidR="00931D92" w:rsidRPr="00E42DAC" w:rsidRDefault="00931D92" w:rsidP="00E42DAC">
      <w:pPr>
        <w:spacing w:after="0" w:line="240" w:lineRule="auto"/>
        <w:ind w:firstLine="709"/>
        <w:contextualSpacing/>
        <w:jc w:val="both"/>
        <w:rPr>
          <w:rFonts w:ascii="Times New Roman" w:hAnsi="Times New Roman" w:cs="Times New Roman"/>
          <w:color w:val="000000"/>
          <w:sz w:val="24"/>
          <w:szCs w:val="24"/>
        </w:rPr>
      </w:pPr>
      <w:r w:rsidRPr="00C37701">
        <w:rPr>
          <w:rFonts w:ascii="Times New Roman" w:hAnsi="Times New Roman" w:cs="Times New Roman"/>
          <w:color w:val="000000" w:themeColor="text1"/>
          <w:sz w:val="24"/>
          <w:szCs w:val="24"/>
        </w:rPr>
        <w:t xml:space="preserve">В структуре официального списка KASE создана альтернативная площадка для эмитентов малого и среднего бизнеса. К ценным бумагам, допускаемым на альтернативную площадку, применяется упрощённая процедура листинга, которая заключается в минимальных листинговых сборах (экономия на листинговых сборах свыше 30%), упрощённых требованиях по раскрытию информации, отсутствии требования по наличию финансового консультанта. При этом приоритет отдаётся компаниям нефинансового сектора для финансирования действующего бизнес-процесса </w:t>
      </w:r>
      <w:r w:rsidRPr="00C37701">
        <w:rPr>
          <w:rFonts w:ascii="Times New Roman" w:hAnsi="Times New Roman" w:cs="Times New Roman"/>
          <w:color w:val="000000" w:themeColor="text1"/>
          <w:sz w:val="24"/>
          <w:szCs w:val="24"/>
        </w:rPr>
        <w:lastRenderedPageBreak/>
        <w:t>и расширения бизнес-проекта.</w:t>
      </w:r>
      <w:r w:rsidR="008450B7" w:rsidRPr="00C37701">
        <w:rPr>
          <w:rFonts w:ascii="Times New Roman" w:hAnsi="Times New Roman" w:cs="Times New Roman"/>
          <w:color w:val="000000" w:themeColor="text1"/>
          <w:sz w:val="24"/>
          <w:szCs w:val="24"/>
        </w:rPr>
        <w:t xml:space="preserve"> </w:t>
      </w:r>
      <w:r w:rsidRPr="00C37701">
        <w:rPr>
          <w:rFonts w:ascii="Times New Roman" w:hAnsi="Times New Roman" w:cs="Times New Roman"/>
          <w:color w:val="000000" w:themeColor="text1"/>
          <w:sz w:val="24"/>
          <w:szCs w:val="24"/>
        </w:rPr>
        <w:t xml:space="preserve">Кроме того, на KASE функционируют площадка для старт-ап проектов и площадка </w:t>
      </w:r>
      <w:proofErr w:type="spellStart"/>
      <w:r w:rsidRPr="00C37701">
        <w:rPr>
          <w:rFonts w:ascii="Times New Roman" w:hAnsi="Times New Roman" w:cs="Times New Roman"/>
          <w:color w:val="000000" w:themeColor="text1"/>
          <w:sz w:val="24"/>
          <w:szCs w:val="24"/>
        </w:rPr>
        <w:t>Private</w:t>
      </w:r>
      <w:proofErr w:type="spellEnd"/>
      <w:r w:rsidRPr="00C37701">
        <w:rPr>
          <w:rFonts w:ascii="Times New Roman" w:hAnsi="Times New Roman" w:cs="Times New Roman"/>
          <w:color w:val="000000" w:themeColor="text1"/>
          <w:sz w:val="24"/>
          <w:szCs w:val="24"/>
        </w:rPr>
        <w:t xml:space="preserve"> </w:t>
      </w:r>
      <w:proofErr w:type="spellStart"/>
      <w:r w:rsidRPr="00C37701">
        <w:rPr>
          <w:rFonts w:ascii="Times New Roman" w:hAnsi="Times New Roman" w:cs="Times New Roman"/>
          <w:color w:val="000000" w:themeColor="text1"/>
          <w:sz w:val="24"/>
          <w:szCs w:val="24"/>
        </w:rPr>
        <w:t>Market</w:t>
      </w:r>
      <w:proofErr w:type="spellEnd"/>
      <w:r w:rsidRPr="00C37701">
        <w:rPr>
          <w:rFonts w:ascii="Times New Roman" w:hAnsi="Times New Roman" w:cs="Times New Roman"/>
          <w:color w:val="000000" w:themeColor="text1"/>
          <w:sz w:val="24"/>
          <w:szCs w:val="24"/>
        </w:rPr>
        <w:t>, предназначенные для предоставления субъектам малого и среднего бизнеса в организационно-правовой форме товарищества с ограниченной ответственности (ТОО) альтернативного источника финансирования (торговля долями в ТОО).</w:t>
      </w:r>
    </w:p>
    <w:p w14:paraId="5AD2F95B" w14:textId="77777777" w:rsidR="004C1806" w:rsidRPr="00C37701" w:rsidRDefault="004C1806" w:rsidP="0097449D">
      <w:pPr>
        <w:widowControl w:val="0"/>
        <w:spacing w:after="0" w:line="240" w:lineRule="auto"/>
        <w:ind w:firstLine="709"/>
        <w:jc w:val="both"/>
        <w:rPr>
          <w:rFonts w:ascii="Times New Roman" w:hAnsi="Times New Roman" w:cs="Times New Roman"/>
          <w:color w:val="000000" w:themeColor="text1"/>
          <w:sz w:val="24"/>
          <w:szCs w:val="24"/>
        </w:rPr>
      </w:pPr>
    </w:p>
    <w:p w14:paraId="6AB4EE00" w14:textId="77777777" w:rsidR="00F50B22" w:rsidRPr="00C37701" w:rsidRDefault="00F50B22"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Жесткость регуляторных требований к профессиональным участникам рынка ценных бумаг.</w:t>
      </w:r>
    </w:p>
    <w:p w14:paraId="3A1B5CF4" w14:textId="77777777" w:rsidR="00F50B22" w:rsidRPr="00C37701" w:rsidRDefault="00F50B22" w:rsidP="0097449D">
      <w:pPr>
        <w:spacing w:after="0" w:line="240" w:lineRule="auto"/>
        <w:ind w:firstLine="709"/>
        <w:contextualSpacing/>
        <w:jc w:val="both"/>
        <w:rPr>
          <w:rFonts w:ascii="Times New Roman" w:hAnsi="Times New Roman" w:cs="Times New Roman"/>
          <w:b/>
          <w:bCs/>
          <w:i/>
          <w:sz w:val="24"/>
          <w:szCs w:val="24"/>
        </w:rPr>
      </w:pPr>
      <w:r w:rsidRPr="00C37701">
        <w:rPr>
          <w:rFonts w:ascii="Times New Roman" w:hAnsi="Times New Roman" w:cs="Times New Roman"/>
          <w:b/>
          <w:bCs/>
          <w:i/>
          <w:sz w:val="24"/>
          <w:szCs w:val="24"/>
        </w:rPr>
        <w:t>Мероприятия по управлению возможным риско</w:t>
      </w:r>
      <w:r w:rsidR="00D20529" w:rsidRPr="00C37701">
        <w:rPr>
          <w:rFonts w:ascii="Times New Roman" w:hAnsi="Times New Roman" w:cs="Times New Roman"/>
          <w:b/>
          <w:bCs/>
          <w:i/>
          <w:sz w:val="24"/>
          <w:szCs w:val="24"/>
        </w:rPr>
        <w:t>м</w:t>
      </w:r>
    </w:p>
    <w:p w14:paraId="46C9C625" w14:textId="77777777" w:rsidR="00F50B22" w:rsidRPr="00C37701" w:rsidRDefault="00F50B22" w:rsidP="0097449D">
      <w:pPr>
        <w:spacing w:after="0" w:line="240" w:lineRule="auto"/>
        <w:ind w:firstLine="709"/>
        <w:contextualSpacing/>
        <w:jc w:val="both"/>
        <w:rPr>
          <w:rFonts w:ascii="Times New Roman" w:hAnsi="Times New Roman" w:cs="Times New Roman"/>
          <w:b/>
          <w:bCs/>
          <w:i/>
          <w:sz w:val="24"/>
          <w:szCs w:val="24"/>
        </w:rPr>
      </w:pPr>
      <w:r w:rsidRPr="00C37701">
        <w:rPr>
          <w:rFonts w:ascii="Times New Roman" w:hAnsi="Times New Roman" w:cs="Times New Roman"/>
          <w:sz w:val="24"/>
          <w:szCs w:val="24"/>
          <w:lang w:val="kk-KZ"/>
        </w:rPr>
        <w:t xml:space="preserve">В сентябре 2019 года Правлением Национального Банка  приняты поправки в ряд нормативных правовых актов, направленные на совершенствование пруденциального регулирования профессиональных участников рынка ценных бумаг. В частности, данные поправки предусматривают: </w:t>
      </w:r>
    </w:p>
    <w:p w14:paraId="45C35A8C" w14:textId="0326A4B3" w:rsidR="00F50B22" w:rsidRPr="00C37701" w:rsidRDefault="00F50B22" w:rsidP="0097449D">
      <w:pPr>
        <w:shd w:val="clear" w:color="auto" w:fill="FFFFFF"/>
        <w:tabs>
          <w:tab w:val="num" w:pos="720"/>
        </w:tabs>
        <w:spacing w:after="0" w:line="240" w:lineRule="auto"/>
        <w:ind w:firstLine="709"/>
        <w:jc w:val="both"/>
        <w:rPr>
          <w:rFonts w:ascii="Times New Roman" w:hAnsi="Times New Roman" w:cs="Times New Roman"/>
          <w:sz w:val="24"/>
          <w:szCs w:val="24"/>
          <w:lang w:val="kk-KZ"/>
        </w:rPr>
      </w:pPr>
      <w:r w:rsidRPr="00C37701">
        <w:rPr>
          <w:rFonts w:ascii="Times New Roman" w:hAnsi="Times New Roman" w:cs="Times New Roman"/>
          <w:sz w:val="24"/>
          <w:szCs w:val="24"/>
          <w:lang w:val="kk-KZ"/>
        </w:rPr>
        <w:t>- расширение перечня финансовых инструментов, входящих в расчет ликвидных активов, в том числе путем дополнения перечня ликвидных активов ценными бумагами, допущенными к публичным торгам на фондовой бирже М</w:t>
      </w:r>
      <w:r w:rsidR="00312279">
        <w:rPr>
          <w:rFonts w:ascii="Times New Roman" w:hAnsi="Times New Roman" w:cs="Times New Roman"/>
          <w:sz w:val="24"/>
          <w:szCs w:val="24"/>
          <w:lang w:val="kk-KZ"/>
        </w:rPr>
        <w:t>ФЦА</w:t>
      </w:r>
      <w:r w:rsidRPr="00C37701">
        <w:rPr>
          <w:rFonts w:ascii="Times New Roman" w:hAnsi="Times New Roman" w:cs="Times New Roman"/>
          <w:sz w:val="24"/>
          <w:szCs w:val="24"/>
          <w:lang w:val="kk-KZ"/>
        </w:rPr>
        <w:t xml:space="preserve">; </w:t>
      </w:r>
    </w:p>
    <w:p w14:paraId="72759648" w14:textId="77777777" w:rsidR="00F50B22" w:rsidRPr="00C37701" w:rsidRDefault="00F50B22" w:rsidP="0097449D">
      <w:pPr>
        <w:shd w:val="clear" w:color="auto" w:fill="FFFFFF"/>
        <w:tabs>
          <w:tab w:val="num" w:pos="720"/>
        </w:tabs>
        <w:spacing w:after="0" w:line="240" w:lineRule="auto"/>
        <w:ind w:firstLine="709"/>
        <w:jc w:val="both"/>
        <w:rPr>
          <w:rFonts w:ascii="Times New Roman" w:hAnsi="Times New Roman" w:cs="Times New Roman"/>
          <w:sz w:val="24"/>
          <w:szCs w:val="24"/>
          <w:lang w:val="kk-KZ"/>
        </w:rPr>
      </w:pPr>
      <w:r w:rsidRPr="00C37701">
        <w:rPr>
          <w:rFonts w:ascii="Times New Roman" w:hAnsi="Times New Roman" w:cs="Times New Roman"/>
          <w:sz w:val="24"/>
          <w:szCs w:val="24"/>
          <w:lang w:val="kk-KZ"/>
        </w:rPr>
        <w:t>- дифференцированное взвешивание стоимости финансовых инструментов, принимаемых в расчет ликвидных активов в зависимости от уровня присущих им рисков (то есть в зависимости от кредитного рейтинга и (или) категории листинга ценных бумаг).</w:t>
      </w:r>
    </w:p>
    <w:p w14:paraId="241337CD" w14:textId="77777777" w:rsidR="00F50B22" w:rsidRPr="00C37701" w:rsidRDefault="00F50B22" w:rsidP="0097449D">
      <w:pPr>
        <w:widowControl w:val="0"/>
        <w:spacing w:after="0" w:line="240" w:lineRule="auto"/>
        <w:jc w:val="both"/>
        <w:rPr>
          <w:rFonts w:ascii="Times New Roman" w:hAnsi="Times New Roman" w:cs="Times New Roman"/>
          <w:color w:val="000000" w:themeColor="text1"/>
          <w:sz w:val="24"/>
          <w:szCs w:val="24"/>
          <w:lang w:val="kk-KZ"/>
        </w:rPr>
      </w:pPr>
    </w:p>
    <w:p w14:paraId="10507FD4" w14:textId="7A49FDA7" w:rsidR="00895732" w:rsidRDefault="00895732"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Ограниченность инвесторской базы и низкая степень вовлеченности населения в фондовый рынок</w:t>
      </w:r>
    </w:p>
    <w:p w14:paraId="2F4D6D63" w14:textId="77777777" w:rsidR="003B2361" w:rsidRPr="00365D2B" w:rsidRDefault="003B2361" w:rsidP="003B2361">
      <w:pPr>
        <w:widowControl w:val="0"/>
        <w:spacing w:after="0" w:line="240" w:lineRule="auto"/>
        <w:ind w:firstLine="709"/>
        <w:rPr>
          <w:rFonts w:ascii="Times New Roman" w:hAnsi="Times New Roman" w:cs="Times New Roman"/>
          <w:b/>
          <w:i/>
          <w:sz w:val="24"/>
          <w:szCs w:val="24"/>
        </w:rPr>
      </w:pPr>
      <w:r w:rsidRPr="00365D2B">
        <w:rPr>
          <w:rFonts w:ascii="Times New Roman" w:hAnsi="Times New Roman" w:cs="Times New Roman"/>
          <w:b/>
          <w:i/>
          <w:sz w:val="24"/>
          <w:szCs w:val="24"/>
        </w:rPr>
        <w:t>Возможные последствия в случае непринятия мер по управлению рисками:</w:t>
      </w:r>
    </w:p>
    <w:p w14:paraId="0394E2FD" w14:textId="7254423B" w:rsidR="003B2361" w:rsidRPr="00C37701" w:rsidRDefault="003B2361" w:rsidP="003B2361">
      <w:pPr>
        <w:widowControl w:val="0"/>
        <w:spacing w:after="0" w:line="240" w:lineRule="auto"/>
        <w:ind w:firstLine="709"/>
        <w:rPr>
          <w:rFonts w:ascii="Times New Roman" w:hAnsi="Times New Roman" w:cs="Times New Roman"/>
          <w:b/>
          <w:i/>
          <w:sz w:val="24"/>
          <w:szCs w:val="24"/>
        </w:rPr>
      </w:pPr>
      <w:r w:rsidRPr="00365D2B">
        <w:rPr>
          <w:rFonts w:ascii="Times New Roman" w:hAnsi="Times New Roman" w:cs="Times New Roman"/>
          <w:i/>
          <w:sz w:val="24"/>
          <w:szCs w:val="24"/>
        </w:rPr>
        <w:t>Снижение ликвидности фондового рынка.</w:t>
      </w:r>
    </w:p>
    <w:p w14:paraId="7B449F02" w14:textId="77777777" w:rsidR="00895732" w:rsidRPr="00C37701" w:rsidRDefault="00895732"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bCs/>
          <w:i/>
          <w:sz w:val="24"/>
          <w:szCs w:val="24"/>
        </w:rPr>
        <w:t>Мероприятия по управлению возможным риском:</w:t>
      </w:r>
    </w:p>
    <w:p w14:paraId="12951C5F" w14:textId="77777777" w:rsidR="002C14DC" w:rsidRPr="00C37701" w:rsidRDefault="00895732" w:rsidP="0097449D">
      <w:pPr>
        <w:tabs>
          <w:tab w:val="num" w:pos="720"/>
        </w:tabs>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Расширение инвесторской базы посредством внедрения возможности предоставления брокерами электронных услуг, упрощения правил торговли ценными бумагами, либерализации процессов создания и функционирования коллективных форм инвестирования и построения системы, гарантирующей б</w:t>
      </w:r>
      <w:r w:rsidR="002C14DC" w:rsidRPr="00C37701">
        <w:rPr>
          <w:rFonts w:ascii="Times New Roman" w:hAnsi="Times New Roman" w:cs="Times New Roman"/>
          <w:i/>
          <w:sz w:val="24"/>
          <w:szCs w:val="24"/>
        </w:rPr>
        <w:t>езопасную среду для инвестиций.</w:t>
      </w:r>
    </w:p>
    <w:p w14:paraId="7D6E19BC" w14:textId="77777777" w:rsidR="002C14DC" w:rsidRPr="00C37701" w:rsidRDefault="002C14DC" w:rsidP="0097449D">
      <w:pPr>
        <w:tabs>
          <w:tab w:val="num" w:pos="720"/>
        </w:tabs>
        <w:spacing w:after="0" w:line="240" w:lineRule="auto"/>
        <w:ind w:firstLine="709"/>
        <w:contextualSpacing/>
        <w:jc w:val="both"/>
        <w:rPr>
          <w:rFonts w:ascii="Times New Roman" w:hAnsi="Times New Roman" w:cs="Times New Roman"/>
          <w:color w:val="000000" w:themeColor="text1"/>
          <w:sz w:val="24"/>
          <w:szCs w:val="24"/>
        </w:rPr>
      </w:pPr>
      <w:r w:rsidRPr="00C37701">
        <w:rPr>
          <w:rFonts w:ascii="Times New Roman" w:hAnsi="Times New Roman" w:cs="Times New Roman"/>
          <w:color w:val="000000" w:themeColor="text1"/>
          <w:sz w:val="24"/>
          <w:szCs w:val="24"/>
        </w:rPr>
        <w:t>В целях привлечения на фондовый рынок инвесторов с использованием систем дистанционного доступа и упрощения условий торговли внедрена возможность предоставления брокерами электронных услуг клиентам, включая проведение торговых операций на основании электронной цифровой подписи клиента и предоставление брокером электронных услуг клиенту через личный кабинет.</w:t>
      </w:r>
    </w:p>
    <w:p w14:paraId="03DE4E77" w14:textId="1E790D5E" w:rsidR="008E7577" w:rsidRPr="00C37701" w:rsidRDefault="008E7577" w:rsidP="0097449D">
      <w:pPr>
        <w:spacing w:after="0" w:line="240" w:lineRule="auto"/>
        <w:ind w:firstLine="709"/>
        <w:contextualSpacing/>
        <w:jc w:val="both"/>
        <w:rPr>
          <w:rFonts w:ascii="Times New Roman" w:hAnsi="Times New Roman" w:cs="Times New Roman"/>
          <w:sz w:val="24"/>
          <w:szCs w:val="24"/>
          <w:lang w:val="kk-KZ"/>
        </w:rPr>
      </w:pPr>
      <w:r w:rsidRPr="00C37701">
        <w:rPr>
          <w:rFonts w:ascii="Times New Roman" w:hAnsi="Times New Roman" w:cs="Times New Roman"/>
          <w:sz w:val="24"/>
          <w:szCs w:val="24"/>
          <w:lang w:val="kk-KZ"/>
        </w:rPr>
        <w:t xml:space="preserve">Брокерские организации активнее используют систему Direct Market Access (DMA) для оказания своим клиентам услуг прямого доступа к рынку ценных бумаг для участия в торгах с эмиссионными ценными бумагами и другими финансовыми инструментами. Растет количество клиентов брокеров, имеющих прямой доступ к торговым площадкам через торговые платформы (в т.ч. мобильные). На сегодняшний день почти половина (45,5%) совокупной клиентской базы приходится на клиентов, имеющих так называемый удаленный доступ к торгам </w:t>
      </w:r>
      <w:r w:rsidR="00CC0AF4">
        <w:rPr>
          <w:rFonts w:ascii="Times New Roman" w:hAnsi="Times New Roman" w:cs="Times New Roman"/>
          <w:sz w:val="24"/>
          <w:szCs w:val="24"/>
          <w:lang w:val="kk-KZ"/>
        </w:rPr>
        <w:t xml:space="preserve">                              </w:t>
      </w:r>
      <w:r w:rsidRPr="00C37701">
        <w:rPr>
          <w:rFonts w:ascii="Times New Roman" w:hAnsi="Times New Roman" w:cs="Times New Roman"/>
          <w:sz w:val="24"/>
          <w:szCs w:val="24"/>
          <w:lang w:val="kk-KZ"/>
        </w:rPr>
        <w:t>(20,7% - на 01.01.2017 года). Продолжает расти и количество сделок, заключаемых клиентами брокеров путем удаленного доступа к торгам. Так, по сравнению с 2017 годом количество таких сделок выросло практически в 4 раза и в среднем количество таких сделок за 2019 год</w:t>
      </w:r>
      <w:r w:rsidR="00CC0AF4">
        <w:rPr>
          <w:rFonts w:ascii="Times New Roman" w:hAnsi="Times New Roman" w:cs="Times New Roman"/>
          <w:sz w:val="24"/>
          <w:szCs w:val="24"/>
          <w:lang w:val="kk-KZ"/>
        </w:rPr>
        <w:t xml:space="preserve">         </w:t>
      </w:r>
      <w:r w:rsidRPr="00C37701">
        <w:rPr>
          <w:rFonts w:ascii="Times New Roman" w:hAnsi="Times New Roman" w:cs="Times New Roman"/>
          <w:sz w:val="24"/>
          <w:szCs w:val="24"/>
          <w:lang w:val="kk-KZ"/>
        </w:rPr>
        <w:t xml:space="preserve"> составляет 41 785 против</w:t>
      </w:r>
      <w:r w:rsidR="00E02AA6">
        <w:rPr>
          <w:rFonts w:ascii="Times New Roman" w:hAnsi="Times New Roman" w:cs="Times New Roman"/>
          <w:sz w:val="24"/>
          <w:szCs w:val="24"/>
          <w:lang w:val="kk-KZ"/>
        </w:rPr>
        <w:t xml:space="preserve">  </w:t>
      </w:r>
      <w:r w:rsidRPr="00C37701">
        <w:rPr>
          <w:rFonts w:ascii="Times New Roman" w:hAnsi="Times New Roman" w:cs="Times New Roman"/>
          <w:sz w:val="24"/>
          <w:szCs w:val="24"/>
          <w:lang w:val="kk-KZ"/>
        </w:rPr>
        <w:t xml:space="preserve"> 11 506 за 2017 год.</w:t>
      </w:r>
    </w:p>
    <w:p w14:paraId="0274E6CD" w14:textId="77777777" w:rsidR="008E7577" w:rsidRPr="00C37701" w:rsidRDefault="008E7577" w:rsidP="0097449D">
      <w:pPr>
        <w:spacing w:after="0" w:line="240" w:lineRule="auto"/>
        <w:ind w:firstLine="709"/>
        <w:contextualSpacing/>
        <w:jc w:val="both"/>
        <w:rPr>
          <w:rFonts w:ascii="Times New Roman" w:hAnsi="Times New Roman" w:cs="Times New Roman"/>
          <w:sz w:val="24"/>
          <w:szCs w:val="24"/>
          <w:lang w:val="kk-KZ"/>
        </w:rPr>
      </w:pPr>
      <w:r w:rsidRPr="00C37701">
        <w:rPr>
          <w:rFonts w:ascii="Times New Roman" w:hAnsi="Times New Roman" w:cs="Times New Roman"/>
          <w:sz w:val="24"/>
          <w:szCs w:val="24"/>
          <w:lang w:val="kk-KZ"/>
        </w:rPr>
        <w:t xml:space="preserve">В рамках работ по повышению возможностей клиентов KASE для доступа к секторам рынков разработана функция «SMA-клиент». «SMA-клиент» -  это лицо, заключившее договор с участником торгов на заключение последним сделок в торгово-клиринговой системе ASTS+ за счет и в интересах данного лица на основании его поручений, передаваемых указанному участнику торгов посредством подсистемы обработки поручений. Под клиентом спонсируемого доступа понимается юридическое или физическое лицо, по поручению которого участник торгов подает заявки в торгово-клиринговую систему с целью заключения сделок. Поручения клиентов спонсируемого доступа будут подаваться  участнику торгов посредством подсистемы обработки поручений. </w:t>
      </w:r>
    </w:p>
    <w:p w14:paraId="59C70975" w14:textId="77777777" w:rsidR="008E7577" w:rsidRPr="00C37701" w:rsidRDefault="008E7577"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lang w:val="kk-KZ"/>
        </w:rPr>
        <w:t>Таким образом</w:t>
      </w:r>
      <w:r w:rsidRPr="00C37701">
        <w:rPr>
          <w:rFonts w:ascii="Times New Roman" w:hAnsi="Times New Roman" w:cs="Times New Roman"/>
          <w:sz w:val="24"/>
          <w:szCs w:val="24"/>
        </w:rPr>
        <w:t xml:space="preserve">, основным преимуществом системы </w:t>
      </w:r>
      <w:r w:rsidRPr="00C37701">
        <w:rPr>
          <w:rFonts w:ascii="Times New Roman" w:hAnsi="Times New Roman" w:cs="Times New Roman"/>
          <w:sz w:val="24"/>
          <w:szCs w:val="24"/>
          <w:lang w:val="kk-KZ"/>
        </w:rPr>
        <w:t>SMA-клиент перед DMA является возможность получения клиентами и участниками торгов прямого доступа к подсистемам торгово-</w:t>
      </w:r>
      <w:r w:rsidRPr="00C37701">
        <w:rPr>
          <w:rFonts w:ascii="Times New Roman" w:hAnsi="Times New Roman" w:cs="Times New Roman"/>
          <w:sz w:val="24"/>
          <w:szCs w:val="24"/>
          <w:lang w:val="kk-KZ"/>
        </w:rPr>
        <w:lastRenderedPageBreak/>
        <w:t xml:space="preserve">клиринговой системы (подача заявок непосредственно в систему без использования программного обеспечения члена </w:t>
      </w:r>
      <w:r w:rsidRPr="00C37701">
        <w:rPr>
          <w:rFonts w:ascii="Times New Roman" w:hAnsi="Times New Roman" w:cs="Times New Roman"/>
          <w:sz w:val="24"/>
          <w:szCs w:val="24"/>
          <w:lang w:val="en-US"/>
        </w:rPr>
        <w:t>KASE</w:t>
      </w:r>
      <w:r w:rsidRPr="00C37701">
        <w:rPr>
          <w:rFonts w:ascii="Times New Roman" w:hAnsi="Times New Roman" w:cs="Times New Roman"/>
          <w:sz w:val="24"/>
          <w:szCs w:val="24"/>
          <w:lang w:val="kk-KZ"/>
        </w:rPr>
        <w:t xml:space="preserve">). </w:t>
      </w:r>
    </w:p>
    <w:p w14:paraId="1FD3EA0A" w14:textId="77777777" w:rsidR="002C14DC" w:rsidRPr="00C37701" w:rsidRDefault="002C14DC" w:rsidP="0097449D">
      <w:pPr>
        <w:tabs>
          <w:tab w:val="num" w:pos="720"/>
        </w:tabs>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color w:val="000000" w:themeColor="text1"/>
          <w:sz w:val="24"/>
          <w:szCs w:val="24"/>
        </w:rPr>
        <w:t xml:space="preserve">В рамках либерализации деятельности отечественных брокеров расширены их инвестиционные возможности, в частности предоставлена брокерам возможность открывать лицевые счета в иностранных расчетных организациях напрямую, минуя отечественных </w:t>
      </w:r>
      <w:proofErr w:type="spellStart"/>
      <w:r w:rsidRPr="00C37701">
        <w:rPr>
          <w:rFonts w:ascii="Times New Roman" w:hAnsi="Times New Roman" w:cs="Times New Roman"/>
          <w:color w:val="000000" w:themeColor="text1"/>
          <w:sz w:val="24"/>
          <w:szCs w:val="24"/>
        </w:rPr>
        <w:t>кастодианов</w:t>
      </w:r>
      <w:proofErr w:type="spellEnd"/>
      <w:r w:rsidRPr="00C37701">
        <w:rPr>
          <w:rFonts w:ascii="Times New Roman" w:hAnsi="Times New Roman" w:cs="Times New Roman"/>
          <w:color w:val="000000" w:themeColor="text1"/>
          <w:sz w:val="24"/>
          <w:szCs w:val="24"/>
        </w:rPr>
        <w:t>. Установлены требования к инвестиционной стратегии банковского холдинга и расширены инвестиционные возможности банковских холдингов на рынке облигаций, в результате которого на рынке появятся стратегические инвесторы в лице банковских холдингов.</w:t>
      </w:r>
    </w:p>
    <w:p w14:paraId="1FC6479E" w14:textId="77777777" w:rsidR="002C14DC" w:rsidRPr="00C37701" w:rsidRDefault="002C14DC" w:rsidP="0097449D">
      <w:pPr>
        <w:tabs>
          <w:tab w:val="num" w:pos="720"/>
        </w:tabs>
        <w:spacing w:after="0" w:line="240" w:lineRule="auto"/>
        <w:ind w:firstLine="709"/>
        <w:contextualSpacing/>
        <w:jc w:val="both"/>
        <w:rPr>
          <w:rFonts w:ascii="Times New Roman" w:hAnsi="Times New Roman" w:cs="Times New Roman"/>
          <w:color w:val="000000" w:themeColor="text1"/>
          <w:sz w:val="24"/>
          <w:szCs w:val="24"/>
        </w:rPr>
      </w:pPr>
      <w:r w:rsidRPr="00C37701">
        <w:rPr>
          <w:rFonts w:ascii="Times New Roman" w:hAnsi="Times New Roman" w:cs="Times New Roman"/>
          <w:color w:val="000000" w:themeColor="text1"/>
          <w:sz w:val="24"/>
          <w:szCs w:val="24"/>
        </w:rPr>
        <w:t>Внедрена возможность осуществления брокерами обменных операций с безналичной иностранной валютой за свой счет и в своих интересах, а также за счет и по поручению клиентов - физических и юридических лиц, а также за счет активов, находящихся в управлении.</w:t>
      </w:r>
    </w:p>
    <w:p w14:paraId="14B644E7" w14:textId="77777777" w:rsidR="008E7577" w:rsidRPr="00C37701" w:rsidRDefault="008E7577" w:rsidP="0097449D">
      <w:pPr>
        <w:tabs>
          <w:tab w:val="num" w:pos="720"/>
        </w:tabs>
        <w:spacing w:after="0" w:line="240" w:lineRule="auto"/>
        <w:ind w:firstLine="709"/>
        <w:contextualSpacing/>
        <w:jc w:val="both"/>
        <w:rPr>
          <w:rFonts w:ascii="Times New Roman" w:hAnsi="Times New Roman" w:cs="Times New Roman"/>
          <w:color w:val="000000" w:themeColor="text1"/>
          <w:sz w:val="24"/>
          <w:szCs w:val="24"/>
        </w:rPr>
      </w:pPr>
    </w:p>
    <w:p w14:paraId="2F7E16DA" w14:textId="77777777" w:rsidR="008E7577" w:rsidRPr="00C37701" w:rsidRDefault="008E7577" w:rsidP="0097449D">
      <w:pPr>
        <w:spacing w:after="0" w:line="240" w:lineRule="auto"/>
        <w:ind w:firstLine="709"/>
        <w:jc w:val="both"/>
        <w:rPr>
          <w:rFonts w:ascii="Times New Roman" w:hAnsi="Times New Roman" w:cs="Times New Roman"/>
          <w:b/>
          <w:i/>
          <w:sz w:val="24"/>
          <w:szCs w:val="24"/>
        </w:rPr>
      </w:pPr>
      <w:r w:rsidRPr="00C37701">
        <w:rPr>
          <w:rFonts w:ascii="Times New Roman" w:hAnsi="Times New Roman" w:cs="Times New Roman"/>
          <w:b/>
          <w:i/>
          <w:sz w:val="24"/>
          <w:szCs w:val="24"/>
        </w:rPr>
        <w:t>Ограничения инвестиционной политики банковских и страховых (финансовых) холдингов</w:t>
      </w:r>
    </w:p>
    <w:p w14:paraId="133F873C" w14:textId="77777777" w:rsidR="008E7577" w:rsidRPr="00C37701" w:rsidRDefault="008E7577"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bCs/>
          <w:i/>
          <w:sz w:val="24"/>
          <w:szCs w:val="24"/>
        </w:rPr>
        <w:t>Мероприятия по управлению возможным риском:</w:t>
      </w:r>
    </w:p>
    <w:p w14:paraId="0733BAB4" w14:textId="77777777" w:rsidR="008E7577" w:rsidRPr="00C37701" w:rsidRDefault="008E7577" w:rsidP="0097449D">
      <w:pPr>
        <w:spacing w:after="0" w:line="240" w:lineRule="auto"/>
        <w:ind w:firstLine="709"/>
        <w:jc w:val="both"/>
        <w:rPr>
          <w:rFonts w:ascii="Times New Roman" w:eastAsia="Times New Roman" w:hAnsi="Times New Roman" w:cs="Times New Roman"/>
          <w:b/>
          <w:i/>
          <w:sz w:val="24"/>
          <w:szCs w:val="24"/>
        </w:rPr>
      </w:pPr>
      <w:r w:rsidRPr="00C37701">
        <w:rPr>
          <w:rFonts w:ascii="Times New Roman" w:hAnsi="Times New Roman" w:cs="Times New Roman"/>
          <w:i/>
          <w:sz w:val="24"/>
          <w:szCs w:val="24"/>
        </w:rPr>
        <w:t>Расширение перечня разрешенных к приобретению финансовых инструментов.</w:t>
      </w:r>
    </w:p>
    <w:p w14:paraId="668E3DD1" w14:textId="1E9B8A50" w:rsidR="008E7577" w:rsidRPr="00C37701" w:rsidRDefault="008E7577" w:rsidP="0097449D">
      <w:pPr>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Постановлением Правлен</w:t>
      </w:r>
      <w:r w:rsidR="00166E1D">
        <w:rPr>
          <w:rFonts w:ascii="Times New Roman" w:hAnsi="Times New Roman" w:cs="Times New Roman"/>
          <w:sz w:val="24"/>
          <w:szCs w:val="24"/>
        </w:rPr>
        <w:t>ия Национального Банка от 10 сентября 2019 года</w:t>
      </w:r>
      <w:r w:rsidR="00CC0AF4">
        <w:rPr>
          <w:rFonts w:ascii="Times New Roman" w:hAnsi="Times New Roman" w:cs="Times New Roman"/>
          <w:sz w:val="24"/>
          <w:szCs w:val="24"/>
        </w:rPr>
        <w:t xml:space="preserve">                        </w:t>
      </w:r>
      <w:r w:rsidRPr="00C37701">
        <w:rPr>
          <w:rFonts w:ascii="Times New Roman" w:hAnsi="Times New Roman" w:cs="Times New Roman"/>
          <w:sz w:val="24"/>
          <w:szCs w:val="24"/>
        </w:rPr>
        <w:t xml:space="preserve"> № 151 «О внесении изменений и дополнений в некоторые нормативные правовые акты Республики Казахстан по вопросам регулирования финансового рынка» расширены инвестиционные возможности банковских и страховых холдингов.</w:t>
      </w:r>
    </w:p>
    <w:p w14:paraId="79E65E21" w14:textId="77777777" w:rsidR="00593DA1" w:rsidRPr="00C37701" w:rsidRDefault="00593DA1" w:rsidP="0097449D">
      <w:pPr>
        <w:spacing w:after="0" w:line="240" w:lineRule="auto"/>
        <w:ind w:firstLine="709"/>
        <w:jc w:val="both"/>
        <w:rPr>
          <w:rFonts w:ascii="Times New Roman" w:hAnsi="Times New Roman" w:cs="Times New Roman"/>
          <w:sz w:val="24"/>
          <w:szCs w:val="24"/>
        </w:rPr>
      </w:pPr>
    </w:p>
    <w:p w14:paraId="15B604B6" w14:textId="50263C90" w:rsidR="00895732" w:rsidRDefault="00895732" w:rsidP="003B2361">
      <w:pPr>
        <w:spacing w:after="0" w:line="240" w:lineRule="auto"/>
        <w:ind w:firstLine="709"/>
        <w:jc w:val="both"/>
        <w:rPr>
          <w:rFonts w:ascii="Times New Roman" w:hAnsi="Times New Roman" w:cs="Times New Roman"/>
          <w:b/>
          <w:i/>
          <w:sz w:val="24"/>
          <w:szCs w:val="24"/>
        </w:rPr>
      </w:pPr>
      <w:r w:rsidRPr="00C37701">
        <w:rPr>
          <w:rFonts w:ascii="Times New Roman" w:hAnsi="Times New Roman" w:cs="Times New Roman"/>
          <w:b/>
          <w:i/>
          <w:sz w:val="24"/>
          <w:szCs w:val="24"/>
        </w:rPr>
        <w:t xml:space="preserve">Неполное выполнение запланированных целей и задач по стимулированию развития рынка ценных бумаг, установленных Концепцией по развитию финансового сектора Республики Казахстан до 2030 года </w:t>
      </w:r>
    </w:p>
    <w:p w14:paraId="634D34EE" w14:textId="77777777" w:rsidR="003B2361" w:rsidRDefault="003B2361" w:rsidP="003B2361">
      <w:pPr>
        <w:widowControl w:val="0"/>
        <w:spacing w:after="0" w:line="240" w:lineRule="auto"/>
        <w:ind w:firstLine="709"/>
        <w:rPr>
          <w:rFonts w:ascii="Times New Roman" w:hAnsi="Times New Roman" w:cs="Times New Roman"/>
          <w:b/>
          <w:i/>
          <w:sz w:val="24"/>
          <w:szCs w:val="24"/>
        </w:rPr>
      </w:pPr>
      <w:r w:rsidRPr="00365D2B">
        <w:rPr>
          <w:rFonts w:ascii="Times New Roman" w:hAnsi="Times New Roman" w:cs="Times New Roman"/>
          <w:b/>
          <w:i/>
          <w:sz w:val="24"/>
          <w:szCs w:val="24"/>
        </w:rPr>
        <w:t>Возможные последствия в случае непринятия мер по управлению рисками:</w:t>
      </w:r>
    </w:p>
    <w:p w14:paraId="65EE3415" w14:textId="2D0CE8D6" w:rsidR="003B2361" w:rsidRPr="003B2361" w:rsidRDefault="003B2361" w:rsidP="003B2361">
      <w:pPr>
        <w:widowControl w:val="0"/>
        <w:spacing w:after="0" w:line="240" w:lineRule="auto"/>
        <w:ind w:firstLine="709"/>
        <w:rPr>
          <w:rFonts w:ascii="Times New Roman" w:hAnsi="Times New Roman" w:cs="Times New Roman"/>
          <w:b/>
          <w:i/>
          <w:sz w:val="24"/>
          <w:szCs w:val="24"/>
        </w:rPr>
      </w:pPr>
      <w:r w:rsidRPr="00365D2B">
        <w:rPr>
          <w:rFonts w:ascii="Times New Roman" w:hAnsi="Times New Roman" w:cs="Times New Roman"/>
          <w:i/>
          <w:sz w:val="24"/>
          <w:szCs w:val="24"/>
        </w:rPr>
        <w:t>Не достижение целей и задач по стимулированию развития рынка ценных бумаг.</w:t>
      </w:r>
    </w:p>
    <w:p w14:paraId="02DF832D" w14:textId="77777777" w:rsidR="00895732" w:rsidRPr="00C37701" w:rsidRDefault="00895732" w:rsidP="003B2361">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bCs/>
          <w:i/>
          <w:sz w:val="24"/>
          <w:szCs w:val="24"/>
        </w:rPr>
        <w:t>Мероприятия по управлению возможным риском:</w:t>
      </w:r>
    </w:p>
    <w:p w14:paraId="53B80CA5" w14:textId="77777777" w:rsidR="002C14DC" w:rsidRPr="00C37701" w:rsidRDefault="00895732"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Усиление межведомственной координации при проработке вопросов стимулирования развития рынка ценных бумаг, установленных Концепцией по развитию финан</w:t>
      </w:r>
      <w:r w:rsidR="002C14DC" w:rsidRPr="00C37701">
        <w:rPr>
          <w:rFonts w:ascii="Times New Roman" w:hAnsi="Times New Roman" w:cs="Times New Roman"/>
          <w:i/>
          <w:sz w:val="24"/>
          <w:szCs w:val="24"/>
        </w:rPr>
        <w:t>сового сектора РК до 2030 года.</w:t>
      </w:r>
    </w:p>
    <w:p w14:paraId="56C9F1BB" w14:textId="77777777" w:rsidR="008E7577" w:rsidRPr="00C37701" w:rsidRDefault="008E7577" w:rsidP="0097449D">
      <w:pPr>
        <w:tabs>
          <w:tab w:val="num" w:pos="720"/>
        </w:tabs>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 xml:space="preserve">Концепция развития финансового сектора Республики Казахстан до 2030 года предполагает несколько этапов, в связи с чем, реализация запланированных мероприятий будет осуществляться до 2030 года. </w:t>
      </w:r>
    </w:p>
    <w:p w14:paraId="6EFC7019" w14:textId="77777777" w:rsidR="002F7156" w:rsidRPr="00C37701" w:rsidRDefault="002F7156" w:rsidP="003B2361">
      <w:pPr>
        <w:widowControl w:val="0"/>
        <w:spacing w:after="0" w:line="240" w:lineRule="auto"/>
        <w:ind w:firstLine="709"/>
        <w:jc w:val="both"/>
        <w:rPr>
          <w:rFonts w:ascii="Times New Roman" w:hAnsi="Times New Roman" w:cs="Times New Roman"/>
          <w:i/>
          <w:sz w:val="24"/>
          <w:szCs w:val="24"/>
          <w:u w:val="single"/>
        </w:rPr>
      </w:pPr>
      <w:r w:rsidRPr="00C37701">
        <w:rPr>
          <w:rFonts w:ascii="Times New Roman" w:hAnsi="Times New Roman" w:cs="Times New Roman"/>
          <w:i/>
          <w:sz w:val="24"/>
          <w:szCs w:val="24"/>
          <w:u w:val="single"/>
        </w:rPr>
        <w:t>Касательно формирования единого финансового рынка в странах Евразийского экономического союза (ЕАЭС).</w:t>
      </w:r>
    </w:p>
    <w:p w14:paraId="65657161" w14:textId="5D25B40F" w:rsidR="002F7156" w:rsidRPr="00C37701" w:rsidRDefault="00C207AF" w:rsidP="0097449D">
      <w:pPr>
        <w:widowControl w:val="0"/>
        <w:spacing w:after="0" w:line="240" w:lineRule="auto"/>
        <w:ind w:firstLine="709"/>
        <w:jc w:val="both"/>
        <w:rPr>
          <w:rFonts w:ascii="Times New Roman" w:hAnsi="Times New Roman" w:cs="Times New Roman"/>
          <w:i/>
          <w:sz w:val="24"/>
          <w:szCs w:val="24"/>
          <w:u w:val="single"/>
        </w:rPr>
      </w:pPr>
      <w:r>
        <w:rPr>
          <w:rFonts w:ascii="Times New Roman" w:hAnsi="Times New Roman" w:cs="Times New Roman"/>
          <w:sz w:val="24"/>
          <w:szCs w:val="24"/>
        </w:rPr>
        <w:t xml:space="preserve">20 декабря </w:t>
      </w:r>
      <w:r w:rsidR="002F7156" w:rsidRPr="00C37701">
        <w:rPr>
          <w:rFonts w:ascii="Times New Roman" w:hAnsi="Times New Roman" w:cs="Times New Roman"/>
          <w:sz w:val="24"/>
          <w:szCs w:val="24"/>
        </w:rPr>
        <w:t>2019</w:t>
      </w:r>
      <w:r>
        <w:rPr>
          <w:rFonts w:ascii="Times New Roman" w:hAnsi="Times New Roman" w:cs="Times New Roman"/>
          <w:sz w:val="24"/>
          <w:szCs w:val="24"/>
        </w:rPr>
        <w:t xml:space="preserve"> </w:t>
      </w:r>
      <w:r w:rsidR="002F7156" w:rsidRPr="00C37701">
        <w:rPr>
          <w:rFonts w:ascii="Times New Roman" w:hAnsi="Times New Roman" w:cs="Times New Roman"/>
          <w:sz w:val="24"/>
          <w:szCs w:val="24"/>
        </w:rPr>
        <w:t>г</w:t>
      </w:r>
      <w:r>
        <w:rPr>
          <w:rFonts w:ascii="Times New Roman" w:hAnsi="Times New Roman" w:cs="Times New Roman"/>
          <w:sz w:val="24"/>
          <w:szCs w:val="24"/>
        </w:rPr>
        <w:t>ода</w:t>
      </w:r>
      <w:r w:rsidR="002F7156" w:rsidRPr="00C37701">
        <w:rPr>
          <w:rFonts w:ascii="Times New Roman" w:hAnsi="Times New Roman" w:cs="Times New Roman"/>
          <w:sz w:val="24"/>
          <w:szCs w:val="24"/>
        </w:rPr>
        <w:t xml:space="preserve"> ратифицировано Соглашение о гармонизации законодательства государств-членов ЕАЭС в области финансового рынка (далее – Соглашение). Соглашение разработано в соответствии с пунктом 3 статьи 70 Договора о ЕАЭС от 29.05.2014г., в целях создания в рамках ЕАЭС общего финансового рынка, обеспечения взаимного признания лицензий на осуществление видов деятельности в секторах услуг (банковском, страховом, на рынке ценных бумаг) и недискриминационного доступа на финансовые рынки государств - членов ЕАЭС, необходимости совершенствования государственного регулирования и осуществления контроля и надзора на финансовых рынках государств-членов ЕАЭС. </w:t>
      </w:r>
    </w:p>
    <w:p w14:paraId="7FBB91A4" w14:textId="77777777" w:rsidR="002F7156" w:rsidRPr="00C37701" w:rsidRDefault="002F7156" w:rsidP="0097449D">
      <w:pPr>
        <w:widowControl w:val="0"/>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В рамках Соглашения каждое из государств-членов принимает решения о том, какие нормативные правовые акты этого государства-члена подлежат сближению и об установлении последовательности реализации мер по гармонизации законодательства государств-членов в сфере финансового рынка.</w:t>
      </w:r>
    </w:p>
    <w:p w14:paraId="59CF4700" w14:textId="2748D764" w:rsidR="002F7156" w:rsidRPr="00C37701" w:rsidRDefault="002F7156" w:rsidP="0097449D">
      <w:pPr>
        <w:widowControl w:val="0"/>
        <w:spacing w:after="0" w:line="240" w:lineRule="auto"/>
        <w:ind w:firstLine="709"/>
        <w:jc w:val="both"/>
        <w:rPr>
          <w:rFonts w:ascii="Times New Roman" w:eastAsia="Arial" w:hAnsi="Times New Roman" w:cs="Times New Roman"/>
          <w:i/>
          <w:sz w:val="24"/>
          <w:szCs w:val="24"/>
          <w:lang w:eastAsia="ru-RU"/>
        </w:rPr>
      </w:pPr>
      <w:r w:rsidRPr="00C37701">
        <w:rPr>
          <w:rFonts w:ascii="Times New Roman" w:hAnsi="Times New Roman" w:cs="Times New Roman"/>
          <w:sz w:val="24"/>
          <w:szCs w:val="24"/>
        </w:rPr>
        <w:t>В настоящее время Национальным Банком осуществляется стадия разработки плана гармонизации законодательства государств-членов ЕАЭС, так как в соответствии</w:t>
      </w:r>
      <w:r w:rsidR="00CC0AF4">
        <w:rPr>
          <w:rFonts w:ascii="Times New Roman" w:hAnsi="Times New Roman" w:cs="Times New Roman"/>
          <w:sz w:val="24"/>
          <w:szCs w:val="24"/>
        </w:rPr>
        <w:t xml:space="preserve">                                     </w:t>
      </w:r>
      <w:r w:rsidRPr="00C37701">
        <w:rPr>
          <w:rFonts w:ascii="Times New Roman" w:hAnsi="Times New Roman" w:cs="Times New Roman"/>
          <w:sz w:val="24"/>
          <w:szCs w:val="24"/>
        </w:rPr>
        <w:t xml:space="preserve"> с пунктом 1 статьи 6 Соглашения предусмотрено, что в течение 9 месяцев со дня вступления в силу Соглашения, участники Соглашения разрабатывают план гармонизации законодательства государств-членов с указанием этапов и сроков проведения гармонизации законодательства государств-членов. Обращаем внимание, что Соглашение вступает в силу по истечении </w:t>
      </w:r>
      <w:r w:rsidR="00CC0AF4">
        <w:rPr>
          <w:rFonts w:ascii="Times New Roman" w:hAnsi="Times New Roman" w:cs="Times New Roman"/>
          <w:sz w:val="24"/>
          <w:szCs w:val="24"/>
        </w:rPr>
        <w:t xml:space="preserve">                      </w:t>
      </w:r>
      <w:r w:rsidRPr="00C37701">
        <w:rPr>
          <w:rFonts w:ascii="Times New Roman" w:hAnsi="Times New Roman" w:cs="Times New Roman"/>
          <w:sz w:val="24"/>
          <w:szCs w:val="24"/>
        </w:rPr>
        <w:t xml:space="preserve">30 календарных дней с даты получения депозитарием по дипломатическим каналам последнего </w:t>
      </w:r>
      <w:r w:rsidRPr="00C37701">
        <w:rPr>
          <w:rFonts w:ascii="Times New Roman" w:hAnsi="Times New Roman" w:cs="Times New Roman"/>
          <w:sz w:val="24"/>
          <w:szCs w:val="24"/>
        </w:rPr>
        <w:lastRenderedPageBreak/>
        <w:t>письменного уведомления о выполнении государствами-членами внутригосударственных процедур, необходимых для вступления Соглашения в силу (</w:t>
      </w:r>
      <w:r w:rsidRPr="00C37701">
        <w:rPr>
          <w:rFonts w:ascii="Times New Roman" w:eastAsia="Arial" w:hAnsi="Times New Roman" w:cs="Times New Roman"/>
          <w:i/>
          <w:sz w:val="24"/>
          <w:szCs w:val="24"/>
          <w:lang w:eastAsia="ru-RU"/>
        </w:rPr>
        <w:t xml:space="preserve">Внутригосударственные процедуры завершились в Российской Федерации и Республике Беларусь. В Армении и </w:t>
      </w:r>
      <w:proofErr w:type="spellStart"/>
      <w:r w:rsidRPr="00C37701">
        <w:rPr>
          <w:rFonts w:ascii="Times New Roman" w:eastAsia="Arial" w:hAnsi="Times New Roman" w:cs="Times New Roman"/>
          <w:i/>
          <w:sz w:val="24"/>
          <w:szCs w:val="24"/>
          <w:lang w:eastAsia="ru-RU"/>
        </w:rPr>
        <w:t>Кыргызской</w:t>
      </w:r>
      <w:proofErr w:type="spellEnd"/>
      <w:r w:rsidRPr="00C37701">
        <w:rPr>
          <w:rFonts w:ascii="Times New Roman" w:eastAsia="Arial" w:hAnsi="Times New Roman" w:cs="Times New Roman"/>
          <w:i/>
          <w:sz w:val="24"/>
          <w:szCs w:val="24"/>
          <w:lang w:eastAsia="ru-RU"/>
        </w:rPr>
        <w:t xml:space="preserve"> Республике процедуры продолжаются).</w:t>
      </w:r>
    </w:p>
    <w:p w14:paraId="7FE39FBE" w14:textId="77777777" w:rsidR="002F7156" w:rsidRPr="00C37701" w:rsidRDefault="002F7156" w:rsidP="0097449D">
      <w:pPr>
        <w:widowControl w:val="0"/>
        <w:spacing w:after="0" w:line="240" w:lineRule="auto"/>
        <w:ind w:firstLine="709"/>
        <w:jc w:val="both"/>
        <w:rPr>
          <w:rFonts w:ascii="Times New Roman" w:hAnsi="Times New Roman" w:cs="Times New Roman"/>
          <w:i/>
          <w:sz w:val="24"/>
          <w:szCs w:val="24"/>
          <w:u w:val="single"/>
        </w:rPr>
      </w:pPr>
      <w:r w:rsidRPr="00C37701">
        <w:rPr>
          <w:rFonts w:ascii="Times New Roman" w:hAnsi="Times New Roman" w:cs="Times New Roman"/>
          <w:i/>
          <w:sz w:val="24"/>
          <w:szCs w:val="24"/>
          <w:u w:val="single"/>
        </w:rPr>
        <w:t>Касательно создания механизма налоговых стимулов (льгот) для эмитентов и инвесторов.</w:t>
      </w:r>
    </w:p>
    <w:p w14:paraId="5A742692" w14:textId="77777777" w:rsidR="002F7156" w:rsidRPr="00C37701" w:rsidRDefault="002F7156" w:rsidP="0097449D">
      <w:pPr>
        <w:widowControl w:val="0"/>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 xml:space="preserve">Национальным Банком совместно с ОЮЛ «Ассоциация финансистов Казахстана» разработана поправка, предусматривающая исключение из доходов физических лиц, подлежащих налогообложению, доходов от прироста стоимости при реализации паев открытых и интервальных паевых инвестиционных фондов. Основной целью налоговой льготы является создание благоприятных условий для развития бизнеса и стимулирования спроса на тех рынках и в тех отраслях экономики, на которые эти льготы распространяются, стимулирование интереса к паевым инвестиционным фондам со стороны физических лиц. </w:t>
      </w:r>
    </w:p>
    <w:p w14:paraId="34F89445" w14:textId="77777777" w:rsidR="002F7156" w:rsidRPr="00C37701" w:rsidRDefault="002F7156" w:rsidP="0097449D">
      <w:pPr>
        <w:widowControl w:val="0"/>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Данная поправка поддержана Республиканской бюджетной комиссией и инициирована в рамках проекта Закона Республики Казахстан «О внесении изменений и дополнений в некоторые законодательные акты Республики Казахстан по вопросам налогообложения и совершенствования инвестиционного климата».</w:t>
      </w:r>
    </w:p>
    <w:p w14:paraId="3F5CDDC1" w14:textId="77777777" w:rsidR="002F7156" w:rsidRPr="00C37701" w:rsidRDefault="002F7156" w:rsidP="0097449D">
      <w:pPr>
        <w:tabs>
          <w:tab w:val="num" w:pos="720"/>
        </w:tabs>
        <w:spacing w:after="0" w:line="240" w:lineRule="auto"/>
        <w:ind w:firstLine="709"/>
        <w:jc w:val="both"/>
        <w:rPr>
          <w:rFonts w:ascii="Times New Roman" w:hAnsi="Times New Roman" w:cs="Times New Roman"/>
          <w:sz w:val="24"/>
          <w:szCs w:val="24"/>
        </w:rPr>
      </w:pPr>
    </w:p>
    <w:p w14:paraId="5CBA4ED0" w14:textId="7F29A359" w:rsidR="00535488" w:rsidRPr="00C37701" w:rsidRDefault="00B8527F" w:rsidP="006301B1">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Цель 2.4. Создание условий по дальнейшему развитию на</w:t>
      </w:r>
      <w:r w:rsidR="00535488" w:rsidRPr="00C37701">
        <w:rPr>
          <w:rFonts w:ascii="Times New Roman" w:hAnsi="Times New Roman" w:cs="Times New Roman"/>
          <w:b/>
          <w:i/>
          <w:sz w:val="24"/>
          <w:szCs w:val="24"/>
        </w:rPr>
        <w:t>копительной пенсионной системы.</w:t>
      </w:r>
    </w:p>
    <w:p w14:paraId="726E7579" w14:textId="5EA68450" w:rsidR="00F500E0" w:rsidRPr="00C37701" w:rsidRDefault="00F500E0"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Доходность пенсионных активов ЕНПФ (не менее 4%)</w:t>
      </w:r>
      <w:r w:rsidR="00CA5B89">
        <w:rPr>
          <w:rFonts w:ascii="Times New Roman" w:hAnsi="Times New Roman" w:cs="Times New Roman"/>
          <w:b/>
          <w:i/>
          <w:sz w:val="24"/>
          <w:szCs w:val="24"/>
        </w:rPr>
        <w:t>.</w:t>
      </w:r>
    </w:p>
    <w:p w14:paraId="129DA316" w14:textId="77777777" w:rsidR="00F500E0" w:rsidRPr="00C37701" w:rsidRDefault="00F500E0" w:rsidP="0097449D">
      <w:pPr>
        <w:spacing w:after="0" w:line="240" w:lineRule="auto"/>
        <w:ind w:firstLine="709"/>
        <w:contextualSpacing/>
        <w:jc w:val="both"/>
        <w:rPr>
          <w:rFonts w:ascii="Times New Roman" w:hAnsi="Times New Roman" w:cs="Times New Roman"/>
          <w:b/>
          <w:bCs/>
          <w:i/>
          <w:sz w:val="24"/>
          <w:szCs w:val="24"/>
        </w:rPr>
      </w:pPr>
      <w:r w:rsidRPr="00C37701">
        <w:rPr>
          <w:rFonts w:ascii="Times New Roman" w:hAnsi="Times New Roman" w:cs="Times New Roman"/>
          <w:b/>
          <w:bCs/>
          <w:i/>
          <w:sz w:val="24"/>
          <w:szCs w:val="24"/>
        </w:rPr>
        <w:t>Мероприятия по управлению возможным риском:</w:t>
      </w:r>
    </w:p>
    <w:p w14:paraId="44864DD8" w14:textId="0D36CA89" w:rsidR="00F500E0" w:rsidRPr="00C37701" w:rsidRDefault="00F500E0" w:rsidP="0097449D">
      <w:pPr>
        <w:spacing w:after="0" w:line="240" w:lineRule="auto"/>
        <w:ind w:firstLine="709"/>
        <w:contextualSpacing/>
        <w:jc w:val="both"/>
        <w:rPr>
          <w:rFonts w:ascii="Times New Roman" w:hAnsi="Times New Roman" w:cs="Times New Roman"/>
          <w:i/>
          <w:sz w:val="24"/>
          <w:szCs w:val="24"/>
          <w:lang w:eastAsia="ru-RU"/>
        </w:rPr>
      </w:pPr>
      <w:r w:rsidRPr="00C37701">
        <w:rPr>
          <w:rFonts w:ascii="Times New Roman" w:hAnsi="Times New Roman" w:cs="Times New Roman"/>
          <w:b/>
          <w:i/>
          <w:sz w:val="24"/>
          <w:szCs w:val="24"/>
        </w:rPr>
        <w:t>Осуществление инвестиционного управления пенсионными активами ЕНПФ</w:t>
      </w:r>
      <w:r w:rsidR="00CA5B89">
        <w:rPr>
          <w:rFonts w:ascii="Times New Roman" w:hAnsi="Times New Roman" w:cs="Times New Roman"/>
          <w:b/>
          <w:i/>
          <w:sz w:val="24"/>
          <w:szCs w:val="24"/>
        </w:rPr>
        <w:t>.</w:t>
      </w:r>
    </w:p>
    <w:p w14:paraId="6F6542EA" w14:textId="77777777" w:rsidR="00F500E0" w:rsidRPr="00C37701" w:rsidRDefault="00F500E0" w:rsidP="0097449D">
      <w:pPr>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По итогам 2019 года (за период с 01 января по 31 декабря 2019 года) доходность пенсионных активов ЕНПФ, распределенная на счета вкладчиков ЕНПФ, составила 6,57% при годовом уровне инфляции в размере 5,4%. Реальная доходность по пенсионным активам за 2019 год составила 1,17%.</w:t>
      </w:r>
    </w:p>
    <w:p w14:paraId="1AC4F6FB" w14:textId="77777777" w:rsidR="00F500E0" w:rsidRPr="00C37701" w:rsidRDefault="00F500E0" w:rsidP="0097449D">
      <w:pPr>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Таким образом, фактическая доходность пенсионных активов ЕНПФ в 2019 году превысила установленное целевое значение в размере не менее 4% на 2,57%.</w:t>
      </w:r>
    </w:p>
    <w:p w14:paraId="1143CB49" w14:textId="683A8528" w:rsidR="00F500E0" w:rsidRPr="00C37701" w:rsidRDefault="00F500E0" w:rsidP="0097449D">
      <w:pPr>
        <w:shd w:val="clear" w:color="auto" w:fill="FFFFFF" w:themeFill="background1"/>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Для достижения целевого индикатора в течение отчетного периода осуществлялась инвестиционная деятельность в отношении пенсионных активов. По состоянию</w:t>
      </w:r>
      <w:r w:rsidR="00CC0AF4">
        <w:rPr>
          <w:rFonts w:ascii="Times New Roman" w:hAnsi="Times New Roman" w:cs="Times New Roman"/>
          <w:sz w:val="24"/>
          <w:szCs w:val="24"/>
        </w:rPr>
        <w:t xml:space="preserve">                                      </w:t>
      </w:r>
      <w:r w:rsidRPr="00C37701">
        <w:rPr>
          <w:rFonts w:ascii="Times New Roman" w:hAnsi="Times New Roman" w:cs="Times New Roman"/>
          <w:sz w:val="24"/>
          <w:szCs w:val="24"/>
        </w:rPr>
        <w:t xml:space="preserve"> на 1 января 2020 года в рамках направлений, одобренных Советом по управлению Национальным фондом Республики Казахстан на 2019 год, пенсионные активы ЕНПФ </w:t>
      </w:r>
      <w:proofErr w:type="spellStart"/>
      <w:r w:rsidRPr="00C37701">
        <w:rPr>
          <w:rFonts w:ascii="Times New Roman" w:hAnsi="Times New Roman" w:cs="Times New Roman"/>
          <w:sz w:val="24"/>
          <w:szCs w:val="24"/>
        </w:rPr>
        <w:t>проинвестированы</w:t>
      </w:r>
      <w:proofErr w:type="spellEnd"/>
      <w:r w:rsidRPr="00C37701">
        <w:rPr>
          <w:rFonts w:ascii="Times New Roman" w:hAnsi="Times New Roman" w:cs="Times New Roman"/>
          <w:sz w:val="24"/>
          <w:szCs w:val="24"/>
        </w:rPr>
        <w:t xml:space="preserve"> следующим образом:</w:t>
      </w:r>
    </w:p>
    <w:p w14:paraId="70DA69A9" w14:textId="3D2A889B" w:rsidR="00F500E0" w:rsidRPr="00C37701" w:rsidRDefault="00F500E0" w:rsidP="0097449D">
      <w:pPr>
        <w:shd w:val="clear" w:color="auto" w:fill="FFFFFF" w:themeFill="background1"/>
        <w:tabs>
          <w:tab w:val="left" w:pos="1134"/>
        </w:tabs>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w:t>
      </w:r>
      <w:r w:rsidRPr="00C37701">
        <w:rPr>
          <w:rFonts w:ascii="Times New Roman" w:hAnsi="Times New Roman" w:cs="Times New Roman"/>
          <w:sz w:val="24"/>
          <w:szCs w:val="24"/>
        </w:rPr>
        <w:tab/>
        <w:t xml:space="preserve">приобретены государственные ценные бумаги Республики Казахстан </w:t>
      </w:r>
      <w:r w:rsidR="00CC0AF4">
        <w:rPr>
          <w:rFonts w:ascii="Times New Roman" w:hAnsi="Times New Roman" w:cs="Times New Roman"/>
          <w:sz w:val="24"/>
          <w:szCs w:val="24"/>
        </w:rPr>
        <w:t xml:space="preserve">                                     </w:t>
      </w:r>
      <w:r w:rsidRPr="00C37701">
        <w:rPr>
          <w:rFonts w:ascii="Times New Roman" w:hAnsi="Times New Roman" w:cs="Times New Roman"/>
          <w:sz w:val="24"/>
          <w:szCs w:val="24"/>
        </w:rPr>
        <w:t>на сумму 584,1 млрд. тенге со средневзвешенной доходностью 8,7% годовых;</w:t>
      </w:r>
    </w:p>
    <w:p w14:paraId="061476CD" w14:textId="77777777" w:rsidR="00F500E0" w:rsidRPr="00C37701" w:rsidRDefault="00F500E0" w:rsidP="0097449D">
      <w:pPr>
        <w:pStyle w:val="a6"/>
        <w:numPr>
          <w:ilvl w:val="0"/>
          <w:numId w:val="46"/>
        </w:numPr>
        <w:shd w:val="clear" w:color="auto" w:fill="FFFFFF" w:themeFill="background1"/>
        <w:tabs>
          <w:tab w:val="left" w:pos="1134"/>
        </w:tabs>
        <w:spacing w:after="0" w:line="240" w:lineRule="auto"/>
        <w:ind w:left="0" w:firstLine="709"/>
        <w:jc w:val="both"/>
        <w:rPr>
          <w:rFonts w:ascii="Times New Roman" w:hAnsi="Times New Roman" w:cs="Times New Roman"/>
          <w:sz w:val="24"/>
          <w:szCs w:val="24"/>
        </w:rPr>
      </w:pPr>
      <w:r w:rsidRPr="00C37701">
        <w:rPr>
          <w:rFonts w:ascii="Times New Roman" w:hAnsi="Times New Roman" w:cs="Times New Roman"/>
          <w:sz w:val="24"/>
          <w:szCs w:val="24"/>
        </w:rPr>
        <w:t xml:space="preserve">приобретены долговые ценные бумаги субъектов </w:t>
      </w:r>
      <w:proofErr w:type="spellStart"/>
      <w:r w:rsidRPr="00C37701">
        <w:rPr>
          <w:rFonts w:ascii="Times New Roman" w:hAnsi="Times New Roman" w:cs="Times New Roman"/>
          <w:sz w:val="24"/>
          <w:szCs w:val="24"/>
        </w:rPr>
        <w:t>квазигосударственного</w:t>
      </w:r>
      <w:proofErr w:type="spellEnd"/>
      <w:r w:rsidRPr="00C37701">
        <w:rPr>
          <w:rFonts w:ascii="Times New Roman" w:hAnsi="Times New Roman" w:cs="Times New Roman"/>
          <w:sz w:val="24"/>
          <w:szCs w:val="24"/>
        </w:rPr>
        <w:t xml:space="preserve"> сектора на сумму 337,2 млрд. тенге со средневзвешенной доходностью 11,1% годовых;</w:t>
      </w:r>
    </w:p>
    <w:p w14:paraId="5A1E5A6E" w14:textId="27FC61C6" w:rsidR="00F500E0" w:rsidRPr="00C37701" w:rsidRDefault="00F500E0" w:rsidP="0097449D">
      <w:pPr>
        <w:shd w:val="clear" w:color="auto" w:fill="FFFFFF" w:themeFill="background1"/>
        <w:tabs>
          <w:tab w:val="left" w:pos="1134"/>
        </w:tabs>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w:t>
      </w:r>
      <w:r w:rsidRPr="00C37701">
        <w:rPr>
          <w:rFonts w:ascii="Times New Roman" w:hAnsi="Times New Roman" w:cs="Times New Roman"/>
          <w:sz w:val="24"/>
          <w:szCs w:val="24"/>
        </w:rPr>
        <w:tab/>
        <w:t xml:space="preserve">приобретены облигации международных финансовых организаций </w:t>
      </w:r>
      <w:r w:rsidR="00CC0AF4">
        <w:rPr>
          <w:rFonts w:ascii="Times New Roman" w:hAnsi="Times New Roman" w:cs="Times New Roman"/>
          <w:sz w:val="24"/>
          <w:szCs w:val="24"/>
        </w:rPr>
        <w:t xml:space="preserve">                                         </w:t>
      </w:r>
      <w:r w:rsidRPr="00C37701">
        <w:rPr>
          <w:rFonts w:ascii="Times New Roman" w:hAnsi="Times New Roman" w:cs="Times New Roman"/>
          <w:sz w:val="24"/>
          <w:szCs w:val="24"/>
        </w:rPr>
        <w:t>на сумму 233,9 млрд. тенге с фиксированной и плавающей ставкой вознаграждения;</w:t>
      </w:r>
    </w:p>
    <w:p w14:paraId="5980247F" w14:textId="157894CB" w:rsidR="00F500E0" w:rsidRPr="00C37701" w:rsidRDefault="00F500E0" w:rsidP="0097449D">
      <w:pPr>
        <w:shd w:val="clear" w:color="auto" w:fill="FFFFFF" w:themeFill="background1"/>
        <w:tabs>
          <w:tab w:val="left" w:pos="1134"/>
        </w:tabs>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w:t>
      </w:r>
      <w:r w:rsidRPr="00C37701">
        <w:rPr>
          <w:rFonts w:ascii="Times New Roman" w:hAnsi="Times New Roman" w:cs="Times New Roman"/>
          <w:sz w:val="24"/>
          <w:szCs w:val="24"/>
        </w:rPr>
        <w:tab/>
        <w:t xml:space="preserve">приобретены облигации банков второго уровня на сумму 72,3 млрд. тенге </w:t>
      </w:r>
      <w:r w:rsidR="00CC0AF4">
        <w:rPr>
          <w:rFonts w:ascii="Times New Roman" w:hAnsi="Times New Roman" w:cs="Times New Roman"/>
          <w:sz w:val="24"/>
          <w:szCs w:val="24"/>
        </w:rPr>
        <w:t xml:space="preserve">                            </w:t>
      </w:r>
      <w:r w:rsidRPr="00C37701">
        <w:rPr>
          <w:rFonts w:ascii="Times New Roman" w:hAnsi="Times New Roman" w:cs="Times New Roman"/>
          <w:sz w:val="24"/>
          <w:szCs w:val="24"/>
        </w:rPr>
        <w:t>со средневзвешенной доходностью 10,9% годовых в рамках механизма кредитования приоритетных проектов на сумму 600 млрд. тенге («экономика простых вещей»).</w:t>
      </w:r>
    </w:p>
    <w:p w14:paraId="2405039D" w14:textId="77777777" w:rsidR="00F500E0" w:rsidRPr="00C37701" w:rsidRDefault="00F500E0" w:rsidP="0097449D">
      <w:pPr>
        <w:shd w:val="clear" w:color="auto" w:fill="FFFFFF" w:themeFill="background1"/>
        <w:tabs>
          <w:tab w:val="left" w:pos="1682"/>
        </w:tabs>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Пенсионные активы ЕНПФ, номинированные в иностранной валюте, инвестируются в соответствии с общей структурой и стратегией инвестирования валютных активов, установленных Инвестиционной декларацией ЕНПФ.</w:t>
      </w:r>
    </w:p>
    <w:p w14:paraId="6F6871F4" w14:textId="5414F7EB" w:rsidR="00F500E0" w:rsidRPr="00C37701" w:rsidRDefault="00F500E0" w:rsidP="0097449D">
      <w:pPr>
        <w:shd w:val="clear" w:color="auto" w:fill="FFFFFF" w:themeFill="background1"/>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 xml:space="preserve">В 2019 году в портфель пенсионных активов ЕНПФ приобретены государственные ценные бумаги Правительства Перу, Индонезии, Филиппин и России. Объем инвестиций по указанному направлению составил 197,5 млн. долларов США со средневзвешенной доходностью </w:t>
      </w:r>
      <w:r w:rsidR="00CC0AF4">
        <w:rPr>
          <w:rFonts w:ascii="Times New Roman" w:hAnsi="Times New Roman" w:cs="Times New Roman"/>
          <w:sz w:val="24"/>
          <w:szCs w:val="24"/>
        </w:rPr>
        <w:t xml:space="preserve">                      </w:t>
      </w:r>
      <w:r w:rsidRPr="00C37701">
        <w:rPr>
          <w:rFonts w:ascii="Times New Roman" w:hAnsi="Times New Roman" w:cs="Times New Roman"/>
          <w:sz w:val="24"/>
          <w:szCs w:val="24"/>
        </w:rPr>
        <w:t>2,8% годовых.</w:t>
      </w:r>
    </w:p>
    <w:p w14:paraId="14E88844" w14:textId="77777777" w:rsidR="00F500E0" w:rsidRPr="00C37701" w:rsidRDefault="00F500E0" w:rsidP="0097449D">
      <w:pPr>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Наряду с этим, для получения и поддержания доходности по пенсионным активам ЕНПФ имеющиеся свободные денежные остатки по пенсионным активам ежедневно инвестировались в инструменты денежного рынка.</w:t>
      </w:r>
    </w:p>
    <w:p w14:paraId="37C05E76" w14:textId="77777777" w:rsidR="00880646" w:rsidRPr="00C37701" w:rsidRDefault="00880646" w:rsidP="0097449D">
      <w:pPr>
        <w:widowControl w:val="0"/>
        <w:spacing w:after="0" w:line="240" w:lineRule="auto"/>
        <w:jc w:val="both"/>
        <w:rPr>
          <w:rFonts w:ascii="Times New Roman" w:hAnsi="Times New Roman" w:cs="Times New Roman"/>
          <w:sz w:val="24"/>
          <w:szCs w:val="24"/>
          <w:u w:val="single"/>
        </w:rPr>
      </w:pPr>
      <w:r w:rsidRPr="00C37701">
        <w:rPr>
          <w:rFonts w:ascii="Times New Roman" w:hAnsi="Times New Roman" w:cs="Times New Roman"/>
          <w:i/>
          <w:sz w:val="24"/>
          <w:szCs w:val="24"/>
        </w:rPr>
        <w:t xml:space="preserve">       </w:t>
      </w:r>
      <w:r w:rsidRPr="00C37701">
        <w:rPr>
          <w:rFonts w:ascii="Times New Roman" w:hAnsi="Times New Roman" w:cs="Times New Roman"/>
          <w:i/>
          <w:sz w:val="24"/>
          <w:szCs w:val="24"/>
          <w:u w:val="single"/>
        </w:rPr>
        <w:t>Касательно вопроса повышения эффективности управления пенсионными активами</w:t>
      </w:r>
    </w:p>
    <w:p w14:paraId="69F4B2D3" w14:textId="0A7992A5" w:rsidR="00880646" w:rsidRPr="00C37701" w:rsidRDefault="00880646" w:rsidP="00DD090A">
      <w:pPr>
        <w:widowControl w:val="0"/>
        <w:spacing w:after="0" w:line="240" w:lineRule="auto"/>
        <w:ind w:firstLine="709"/>
        <w:jc w:val="both"/>
        <w:rPr>
          <w:rFonts w:ascii="Times New Roman" w:hAnsi="Times New Roman" w:cs="Times New Roman"/>
          <w:sz w:val="24"/>
          <w:szCs w:val="24"/>
          <w:u w:val="single"/>
        </w:rPr>
      </w:pPr>
      <w:r w:rsidRPr="00C37701">
        <w:rPr>
          <w:rFonts w:ascii="Times New Roman" w:hAnsi="Times New Roman" w:cs="Times New Roman"/>
          <w:sz w:val="24"/>
          <w:szCs w:val="24"/>
        </w:rPr>
        <w:t xml:space="preserve">Национальным Банком разработан механизм передачи пенсионных активов в </w:t>
      </w:r>
      <w:r w:rsidRPr="00C37701">
        <w:rPr>
          <w:rFonts w:ascii="Times New Roman" w:hAnsi="Times New Roman" w:cs="Times New Roman"/>
          <w:sz w:val="24"/>
          <w:szCs w:val="24"/>
        </w:rPr>
        <w:lastRenderedPageBreak/>
        <w:t>конкурентную среду, предусматривающий следующее:</w:t>
      </w:r>
    </w:p>
    <w:p w14:paraId="6B7D404F" w14:textId="74FB8CB2" w:rsidR="00880646" w:rsidRPr="00DD090A" w:rsidRDefault="00880646" w:rsidP="00DD090A">
      <w:pPr>
        <w:pStyle w:val="a6"/>
        <w:widowControl w:val="0"/>
        <w:numPr>
          <w:ilvl w:val="0"/>
          <w:numId w:val="51"/>
        </w:numPr>
        <w:tabs>
          <w:tab w:val="left" w:pos="993"/>
        </w:tabs>
        <w:spacing w:after="0" w:line="240" w:lineRule="auto"/>
        <w:ind w:left="0" w:firstLine="709"/>
        <w:jc w:val="both"/>
        <w:rPr>
          <w:rFonts w:ascii="Times New Roman" w:hAnsi="Times New Roman" w:cs="Times New Roman"/>
          <w:sz w:val="24"/>
          <w:szCs w:val="24"/>
        </w:rPr>
      </w:pPr>
      <w:r w:rsidRPr="00DD090A">
        <w:rPr>
          <w:rFonts w:ascii="Times New Roman" w:hAnsi="Times New Roman" w:cs="Times New Roman"/>
          <w:sz w:val="24"/>
          <w:szCs w:val="24"/>
        </w:rPr>
        <w:t>предоставление вкладчикам права выбора управляющей компании для передачи части пенсионных накоплений, превышающей порог достаточности;</w:t>
      </w:r>
    </w:p>
    <w:p w14:paraId="3F1919F9" w14:textId="715170D0" w:rsidR="00880646" w:rsidRPr="00DD090A" w:rsidRDefault="00880646" w:rsidP="00DD090A">
      <w:pPr>
        <w:pStyle w:val="a6"/>
        <w:widowControl w:val="0"/>
        <w:numPr>
          <w:ilvl w:val="0"/>
          <w:numId w:val="51"/>
        </w:numPr>
        <w:tabs>
          <w:tab w:val="left" w:pos="993"/>
        </w:tabs>
        <w:spacing w:after="0" w:line="240" w:lineRule="auto"/>
        <w:ind w:left="0" w:firstLine="709"/>
        <w:jc w:val="both"/>
        <w:rPr>
          <w:rFonts w:ascii="Times New Roman" w:hAnsi="Times New Roman" w:cs="Times New Roman"/>
          <w:sz w:val="24"/>
          <w:szCs w:val="24"/>
        </w:rPr>
      </w:pPr>
      <w:r w:rsidRPr="00DD090A">
        <w:rPr>
          <w:rFonts w:ascii="Times New Roman" w:hAnsi="Times New Roman" w:cs="Times New Roman"/>
          <w:sz w:val="24"/>
          <w:szCs w:val="24"/>
        </w:rPr>
        <w:t>обеспечение доходности не ниже установленного минимального значения доходности по пенсионным активам;</w:t>
      </w:r>
    </w:p>
    <w:p w14:paraId="4106484A" w14:textId="5C61C7D5" w:rsidR="00880646" w:rsidRPr="00DD090A" w:rsidRDefault="00880646" w:rsidP="00DD090A">
      <w:pPr>
        <w:pStyle w:val="a6"/>
        <w:widowControl w:val="0"/>
        <w:numPr>
          <w:ilvl w:val="0"/>
          <w:numId w:val="51"/>
        </w:numPr>
        <w:tabs>
          <w:tab w:val="left" w:pos="993"/>
        </w:tabs>
        <w:spacing w:after="0" w:line="240" w:lineRule="auto"/>
        <w:ind w:left="0" w:firstLine="709"/>
        <w:jc w:val="both"/>
        <w:rPr>
          <w:rFonts w:ascii="Times New Roman" w:hAnsi="Times New Roman" w:cs="Times New Roman"/>
          <w:sz w:val="24"/>
          <w:szCs w:val="24"/>
        </w:rPr>
      </w:pPr>
      <w:r w:rsidRPr="00DD090A">
        <w:rPr>
          <w:rFonts w:ascii="Times New Roman" w:hAnsi="Times New Roman" w:cs="Times New Roman"/>
          <w:sz w:val="24"/>
          <w:szCs w:val="24"/>
        </w:rPr>
        <w:t>отсутствие гарантии государства по инфляции в отношении пенсионных накоплений под управлением частной управляющей компании;</w:t>
      </w:r>
    </w:p>
    <w:p w14:paraId="291008C4" w14:textId="2E3C225A" w:rsidR="00880646" w:rsidRPr="00DD090A" w:rsidRDefault="00880646" w:rsidP="00DD090A">
      <w:pPr>
        <w:pStyle w:val="a6"/>
        <w:widowControl w:val="0"/>
        <w:numPr>
          <w:ilvl w:val="0"/>
          <w:numId w:val="51"/>
        </w:numPr>
        <w:tabs>
          <w:tab w:val="left" w:pos="993"/>
        </w:tabs>
        <w:spacing w:after="0" w:line="240" w:lineRule="auto"/>
        <w:ind w:left="0" w:firstLine="709"/>
        <w:jc w:val="both"/>
        <w:rPr>
          <w:rFonts w:ascii="Times New Roman" w:hAnsi="Times New Roman" w:cs="Times New Roman"/>
          <w:sz w:val="24"/>
          <w:szCs w:val="24"/>
        </w:rPr>
      </w:pPr>
      <w:r w:rsidRPr="00DD090A">
        <w:rPr>
          <w:rFonts w:ascii="Times New Roman" w:hAnsi="Times New Roman" w:cs="Times New Roman"/>
          <w:sz w:val="24"/>
          <w:szCs w:val="24"/>
        </w:rPr>
        <w:t>сохранение ЕНПФ, как единого администратора «по принципу одного окна» в целом по накопительной пенсионной системе (ведение единой информационной системы, учет индивидуальных пенсионных счетов вкладчиков (получателей), единая оценка пенсионных активов).</w:t>
      </w:r>
    </w:p>
    <w:p w14:paraId="672CFE6C" w14:textId="77777777" w:rsidR="00880646" w:rsidRPr="00C37701" w:rsidRDefault="00880646" w:rsidP="0097449D">
      <w:pPr>
        <w:widowControl w:val="0"/>
        <w:spacing w:after="0" w:line="240" w:lineRule="auto"/>
        <w:jc w:val="both"/>
        <w:rPr>
          <w:rFonts w:ascii="Times New Roman" w:hAnsi="Times New Roman" w:cs="Times New Roman"/>
          <w:sz w:val="24"/>
          <w:szCs w:val="24"/>
        </w:rPr>
      </w:pPr>
      <w:r w:rsidRPr="00C37701">
        <w:rPr>
          <w:rFonts w:ascii="Times New Roman" w:hAnsi="Times New Roman" w:cs="Times New Roman"/>
          <w:sz w:val="24"/>
          <w:szCs w:val="24"/>
        </w:rPr>
        <w:t xml:space="preserve">           В ноябре 2019 года в рамках проводимой работы по диверсификации и повышению доходности пенсионных активов запущен процесс поэтапной передачи части валютного портфеля пенсионных активов зарубежным управляющим компаниям для индексного инвестирования в акции компаний развитых стран и корпоративные облигации инвестиционного уровня.</w:t>
      </w:r>
    </w:p>
    <w:p w14:paraId="4429706B" w14:textId="1D2F8B23" w:rsidR="00880646" w:rsidRPr="00C37701" w:rsidRDefault="00880646" w:rsidP="0097449D">
      <w:pPr>
        <w:widowControl w:val="0"/>
        <w:spacing w:after="0" w:line="240" w:lineRule="auto"/>
        <w:jc w:val="both"/>
        <w:rPr>
          <w:rFonts w:ascii="Times New Roman" w:hAnsi="Times New Roman" w:cs="Times New Roman"/>
          <w:sz w:val="24"/>
          <w:szCs w:val="24"/>
        </w:rPr>
      </w:pPr>
      <w:r w:rsidRPr="00C37701">
        <w:rPr>
          <w:rFonts w:ascii="Times New Roman" w:hAnsi="Times New Roman" w:cs="Times New Roman"/>
          <w:sz w:val="24"/>
          <w:szCs w:val="24"/>
        </w:rPr>
        <w:t xml:space="preserve">          Для инвестиций в акции развитых стран был привлечен внешний управляющий HSBC </w:t>
      </w:r>
      <w:proofErr w:type="spellStart"/>
      <w:r w:rsidRPr="00C37701">
        <w:rPr>
          <w:rFonts w:ascii="Times New Roman" w:hAnsi="Times New Roman" w:cs="Times New Roman"/>
          <w:sz w:val="24"/>
          <w:szCs w:val="24"/>
        </w:rPr>
        <w:t>Global</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Asset</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Management</w:t>
      </w:r>
      <w:proofErr w:type="spellEnd"/>
      <w:r w:rsidRPr="00C37701">
        <w:rPr>
          <w:rFonts w:ascii="Times New Roman" w:hAnsi="Times New Roman" w:cs="Times New Roman"/>
          <w:sz w:val="24"/>
          <w:szCs w:val="24"/>
        </w:rPr>
        <w:t xml:space="preserve"> (UK) </w:t>
      </w:r>
      <w:proofErr w:type="spellStart"/>
      <w:r w:rsidRPr="00C37701">
        <w:rPr>
          <w:rFonts w:ascii="Times New Roman" w:hAnsi="Times New Roman" w:cs="Times New Roman"/>
          <w:sz w:val="24"/>
          <w:szCs w:val="24"/>
        </w:rPr>
        <w:t>Limited</w:t>
      </w:r>
      <w:proofErr w:type="spellEnd"/>
      <w:r w:rsidRPr="00C37701">
        <w:rPr>
          <w:rFonts w:ascii="Times New Roman" w:hAnsi="Times New Roman" w:cs="Times New Roman"/>
          <w:sz w:val="24"/>
          <w:szCs w:val="24"/>
        </w:rPr>
        <w:t xml:space="preserve">, которому переданы денежные средства на </w:t>
      </w:r>
      <w:r w:rsidR="00CC0AF4">
        <w:rPr>
          <w:rFonts w:ascii="Times New Roman" w:hAnsi="Times New Roman" w:cs="Times New Roman"/>
          <w:sz w:val="24"/>
          <w:szCs w:val="24"/>
        </w:rPr>
        <w:t xml:space="preserve">                                         </w:t>
      </w:r>
      <w:r w:rsidRPr="00C37701">
        <w:rPr>
          <w:rFonts w:ascii="Times New Roman" w:hAnsi="Times New Roman" w:cs="Times New Roman"/>
          <w:sz w:val="24"/>
          <w:szCs w:val="24"/>
        </w:rPr>
        <w:t>сумму 100,0 млн. долларов США по мандату «Глобальные пассивные акции».</w:t>
      </w:r>
    </w:p>
    <w:p w14:paraId="04CA8407" w14:textId="77777777" w:rsidR="00880646" w:rsidRPr="00C37701" w:rsidRDefault="00880646" w:rsidP="0097449D">
      <w:pPr>
        <w:widowControl w:val="0"/>
        <w:spacing w:after="0" w:line="240" w:lineRule="auto"/>
        <w:jc w:val="both"/>
        <w:rPr>
          <w:rFonts w:ascii="Times New Roman" w:hAnsi="Times New Roman" w:cs="Times New Roman"/>
          <w:sz w:val="24"/>
          <w:szCs w:val="24"/>
        </w:rPr>
      </w:pPr>
      <w:r w:rsidRPr="00C37701">
        <w:rPr>
          <w:rFonts w:ascii="Times New Roman" w:hAnsi="Times New Roman" w:cs="Times New Roman"/>
          <w:sz w:val="24"/>
          <w:szCs w:val="24"/>
        </w:rPr>
        <w:t xml:space="preserve">           Для инвестиций в корпоративные облигации инвестиционного уровня были привлечены два внешних управляющих </w:t>
      </w:r>
      <w:proofErr w:type="spellStart"/>
      <w:r w:rsidRPr="00C37701">
        <w:rPr>
          <w:rFonts w:ascii="Times New Roman" w:hAnsi="Times New Roman" w:cs="Times New Roman"/>
          <w:sz w:val="24"/>
          <w:szCs w:val="24"/>
        </w:rPr>
        <w:t>Principal</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Global</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Investors</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Europe</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Limited</w:t>
      </w:r>
      <w:proofErr w:type="spellEnd"/>
      <w:r w:rsidRPr="00C37701">
        <w:rPr>
          <w:rFonts w:ascii="Times New Roman" w:hAnsi="Times New Roman" w:cs="Times New Roman"/>
          <w:sz w:val="24"/>
          <w:szCs w:val="24"/>
        </w:rPr>
        <w:t xml:space="preserve"> и PGIM </w:t>
      </w:r>
      <w:proofErr w:type="spellStart"/>
      <w:r w:rsidRPr="00C37701">
        <w:rPr>
          <w:rFonts w:ascii="Times New Roman" w:hAnsi="Times New Roman" w:cs="Times New Roman"/>
          <w:sz w:val="24"/>
          <w:szCs w:val="24"/>
        </w:rPr>
        <w:t>Fixed</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Income</w:t>
      </w:r>
      <w:proofErr w:type="spellEnd"/>
      <w:r w:rsidRPr="00C37701">
        <w:rPr>
          <w:rFonts w:ascii="Times New Roman" w:hAnsi="Times New Roman" w:cs="Times New Roman"/>
          <w:sz w:val="24"/>
          <w:szCs w:val="24"/>
        </w:rPr>
        <w:t>, которым переданы денежные средства на общую сумму 200,0 млн. долларов (по 100,0 млн. долларов США) по мандату «Глобальные корпоративные облигации инвестиционного уровня с высокой капитализацией, номинированные в долларах США».</w:t>
      </w:r>
    </w:p>
    <w:p w14:paraId="6837BB23" w14:textId="77777777" w:rsidR="00880646" w:rsidRPr="00C37701" w:rsidRDefault="00880646" w:rsidP="0097449D">
      <w:pPr>
        <w:widowControl w:val="0"/>
        <w:spacing w:after="0" w:line="240" w:lineRule="auto"/>
        <w:jc w:val="both"/>
        <w:rPr>
          <w:rFonts w:ascii="Times New Roman" w:hAnsi="Times New Roman" w:cs="Times New Roman"/>
          <w:sz w:val="24"/>
          <w:szCs w:val="24"/>
        </w:rPr>
      </w:pPr>
      <w:r w:rsidRPr="00C37701">
        <w:rPr>
          <w:rFonts w:ascii="Times New Roman" w:hAnsi="Times New Roman" w:cs="Times New Roman"/>
          <w:sz w:val="24"/>
          <w:szCs w:val="24"/>
        </w:rPr>
        <w:t xml:space="preserve">           В результате по состоянию на 1 января 2020 года доля валютного портфеля пенсионных активов, находящаяся во внешнем управлении, была увеличена до 2,0% от размера пенсионных активов ЕНПФ (211,9 млрд. тенге или 553,8 млн. долларов США).</w:t>
      </w:r>
    </w:p>
    <w:p w14:paraId="3D130934" w14:textId="77777777" w:rsidR="00880646" w:rsidRPr="00C37701" w:rsidRDefault="00880646" w:rsidP="0097449D">
      <w:pPr>
        <w:widowControl w:val="0"/>
        <w:spacing w:after="0" w:line="240" w:lineRule="auto"/>
        <w:jc w:val="both"/>
        <w:rPr>
          <w:rFonts w:ascii="Times New Roman" w:hAnsi="Times New Roman" w:cs="Times New Roman"/>
          <w:sz w:val="24"/>
          <w:szCs w:val="24"/>
        </w:rPr>
      </w:pPr>
      <w:r w:rsidRPr="00C37701">
        <w:rPr>
          <w:rFonts w:ascii="Times New Roman" w:hAnsi="Times New Roman" w:cs="Times New Roman"/>
          <w:sz w:val="24"/>
          <w:szCs w:val="24"/>
        </w:rPr>
        <w:t xml:space="preserve">          Согласно текущему целевому распределению валютного портфеля пенсионных активов, установленному Инвестиционной декларацией ЕНПФ, общий объем средств, планируемых к передаче зарубежным управляющим компаниям, составляет 2,8 млрд. долларов США, в том числе по мандатам глобальных акций на сумму 1,3 млрд. долларов США, по мандату корпоративных облигаций инвестиционного уровня на сумму 1,5 млрд. долларов США. В целях снижения рисков неблагоприятного момента вхождения в рынки акций и облигаций привлечение и передача пенсионных активов во внешнее управление будет осуществляться поэтапно в течение 2 лет. </w:t>
      </w:r>
    </w:p>
    <w:p w14:paraId="1E54E16A" w14:textId="77777777" w:rsidR="00880646" w:rsidRPr="00C37701" w:rsidRDefault="00880646" w:rsidP="0097449D">
      <w:pPr>
        <w:widowControl w:val="0"/>
        <w:spacing w:after="0" w:line="240" w:lineRule="auto"/>
        <w:jc w:val="both"/>
        <w:rPr>
          <w:rFonts w:ascii="Times New Roman" w:hAnsi="Times New Roman" w:cs="Times New Roman"/>
          <w:sz w:val="24"/>
          <w:szCs w:val="24"/>
        </w:rPr>
      </w:pPr>
      <w:r w:rsidRPr="00C37701">
        <w:rPr>
          <w:rFonts w:ascii="Times New Roman" w:hAnsi="Times New Roman" w:cs="Times New Roman"/>
          <w:sz w:val="24"/>
          <w:szCs w:val="24"/>
        </w:rPr>
        <w:t xml:space="preserve">           Вышеуказанная проводимая работа направлена на повышение эффективности управления пенсионными активами и, как следствие, увеличение доходности пенсионных накоплений в долгосрочной перспективе.</w:t>
      </w:r>
    </w:p>
    <w:p w14:paraId="39586AF6" w14:textId="77777777" w:rsidR="00880646" w:rsidRPr="00C37701" w:rsidRDefault="00880646" w:rsidP="0097449D">
      <w:pPr>
        <w:spacing w:after="0" w:line="240" w:lineRule="auto"/>
        <w:ind w:firstLine="709"/>
        <w:jc w:val="both"/>
        <w:rPr>
          <w:rFonts w:ascii="Times New Roman" w:hAnsi="Times New Roman" w:cs="Times New Roman"/>
          <w:sz w:val="24"/>
          <w:szCs w:val="24"/>
        </w:rPr>
      </w:pPr>
    </w:p>
    <w:p w14:paraId="4AD3FB68" w14:textId="77777777" w:rsidR="00895732" w:rsidRPr="00C37701" w:rsidRDefault="00895732"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Недоверие населения накопительной пенсионной системе.</w:t>
      </w:r>
    </w:p>
    <w:p w14:paraId="4160A883" w14:textId="77777777" w:rsidR="00895732" w:rsidRPr="00C37701" w:rsidRDefault="00895732" w:rsidP="0097449D">
      <w:pPr>
        <w:spacing w:after="0" w:line="240" w:lineRule="auto"/>
        <w:ind w:firstLine="709"/>
        <w:contextualSpacing/>
        <w:jc w:val="both"/>
        <w:rPr>
          <w:rFonts w:ascii="Times New Roman" w:hAnsi="Times New Roman" w:cs="Times New Roman"/>
          <w:b/>
          <w:bCs/>
          <w:i/>
          <w:sz w:val="24"/>
          <w:szCs w:val="24"/>
        </w:rPr>
      </w:pPr>
      <w:r w:rsidRPr="00C37701">
        <w:rPr>
          <w:rFonts w:ascii="Times New Roman" w:hAnsi="Times New Roman" w:cs="Times New Roman"/>
          <w:b/>
          <w:bCs/>
          <w:i/>
          <w:sz w:val="24"/>
          <w:szCs w:val="24"/>
        </w:rPr>
        <w:t>Мероприятия по управлению возможным риском:</w:t>
      </w:r>
    </w:p>
    <w:p w14:paraId="342D7A5D" w14:textId="77777777" w:rsidR="00545402" w:rsidRPr="00C37701" w:rsidRDefault="00895732"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Тщательная информационно-разъяснительная работа среди населения по актуальным вопросам на</w:t>
      </w:r>
      <w:r w:rsidR="00545402" w:rsidRPr="00C37701">
        <w:rPr>
          <w:rFonts w:ascii="Times New Roman" w:hAnsi="Times New Roman" w:cs="Times New Roman"/>
          <w:i/>
          <w:sz w:val="24"/>
          <w:szCs w:val="24"/>
        </w:rPr>
        <w:t>копительной пенсионной системы.</w:t>
      </w:r>
    </w:p>
    <w:p w14:paraId="4FBC1448" w14:textId="77777777" w:rsidR="00545402" w:rsidRPr="00C37701" w:rsidRDefault="002C14DC" w:rsidP="00FA3A35">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sz w:val="24"/>
          <w:szCs w:val="24"/>
        </w:rPr>
        <w:t xml:space="preserve">В целях повышения доверия населения к накопительной пенсионной системе Национальным Банком и </w:t>
      </w:r>
      <w:r w:rsidR="005A56FC" w:rsidRPr="00C37701">
        <w:rPr>
          <w:rFonts w:ascii="Times New Roman" w:hAnsi="Times New Roman" w:cs="Times New Roman"/>
          <w:sz w:val="24"/>
          <w:szCs w:val="24"/>
        </w:rPr>
        <w:t>ЕНПФ</w:t>
      </w:r>
      <w:r w:rsidRPr="00C37701">
        <w:rPr>
          <w:rFonts w:ascii="Times New Roman" w:hAnsi="Times New Roman" w:cs="Times New Roman"/>
          <w:sz w:val="24"/>
          <w:szCs w:val="24"/>
        </w:rPr>
        <w:t xml:space="preserve"> на постоянной основе проводится активная работа со средствами массовой информации и в социальных сетях.</w:t>
      </w:r>
    </w:p>
    <w:p w14:paraId="7D62E778" w14:textId="77777777" w:rsidR="002C14DC" w:rsidRPr="00C37701" w:rsidRDefault="002C14DC" w:rsidP="00FA3A35">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sz w:val="24"/>
          <w:szCs w:val="24"/>
        </w:rPr>
        <w:t>Организовывается участие руководителей Национального Банка и ЕНПФ в телевизионных программах на телеканалах, республиканских радио и периодических печатных изданиях.</w:t>
      </w:r>
    </w:p>
    <w:p w14:paraId="5656D436" w14:textId="77777777" w:rsidR="00545402" w:rsidRPr="00C37701" w:rsidRDefault="002C14DC" w:rsidP="00FA3A35">
      <w:pPr>
        <w:widowControl w:val="0"/>
        <w:spacing w:after="0" w:line="240" w:lineRule="auto"/>
        <w:ind w:firstLine="709"/>
        <w:jc w:val="both"/>
        <w:rPr>
          <w:rFonts w:ascii="Times New Roman" w:hAnsi="Times New Roman" w:cs="Times New Roman"/>
          <w:b/>
          <w:i/>
          <w:sz w:val="24"/>
          <w:szCs w:val="24"/>
        </w:rPr>
      </w:pPr>
      <w:r w:rsidRPr="00C37701">
        <w:rPr>
          <w:rFonts w:ascii="Times New Roman" w:hAnsi="Times New Roman" w:cs="Times New Roman"/>
          <w:sz w:val="24"/>
          <w:szCs w:val="24"/>
        </w:rPr>
        <w:t xml:space="preserve">Ежеквартально проводятся пресс-конференции и брифинги руководства ЕНПФ по вопросам выплат из ЕНПФ, гарантии сохранности пенсионных накоплений, новых электронных сервисов, механизма начисления инвестиционного дохода и по работе с проблемными активами. На страницах республиканских и областных газет, интернет-порталов и в телевизионном эфире размещаются соответствующие материалы. </w:t>
      </w:r>
    </w:p>
    <w:p w14:paraId="5C1811ED" w14:textId="53FEA6B8" w:rsidR="00545402" w:rsidRPr="00C37701" w:rsidRDefault="002C14DC" w:rsidP="00FA3A35">
      <w:pPr>
        <w:widowControl w:val="0"/>
        <w:spacing w:after="0" w:line="240" w:lineRule="auto"/>
        <w:ind w:firstLine="709"/>
        <w:jc w:val="both"/>
        <w:rPr>
          <w:rFonts w:ascii="Times New Roman" w:hAnsi="Times New Roman" w:cs="Times New Roman"/>
          <w:b/>
          <w:i/>
          <w:sz w:val="24"/>
          <w:szCs w:val="24"/>
        </w:rPr>
      </w:pPr>
      <w:r w:rsidRPr="00C37701">
        <w:rPr>
          <w:rFonts w:ascii="Times New Roman" w:hAnsi="Times New Roman" w:cs="Times New Roman"/>
          <w:sz w:val="24"/>
          <w:szCs w:val="24"/>
        </w:rPr>
        <w:t xml:space="preserve">В целях усиления информационно-разъяснительной работы для вовлечения населения в накопительную пенсионную систему, а также с целью повышения финансовой-правовой грамотности населения Республики Казахстан, работники ЕНПФ осуществляют выездные </w:t>
      </w:r>
      <w:r w:rsidRPr="00C37701">
        <w:rPr>
          <w:rFonts w:ascii="Times New Roman" w:hAnsi="Times New Roman" w:cs="Times New Roman"/>
          <w:sz w:val="24"/>
          <w:szCs w:val="24"/>
        </w:rPr>
        <w:lastRenderedPageBreak/>
        <w:t xml:space="preserve">мероприятия на предприятия и организации, в том числе и по регионам республики. Местными исполнительными органами совместно с филиалами ЕНПФ в рамках Меморандума о сотрудничестве и взаимодействии по вопросам реализации социальных задач за 2019 год проведено 34,9 тыс. презентаций с участием свыше 1 млн. человек. </w:t>
      </w:r>
    </w:p>
    <w:p w14:paraId="2274AA09" w14:textId="6B4EBA61" w:rsidR="0050235E" w:rsidRPr="00C37701" w:rsidRDefault="002C14DC" w:rsidP="00FA3A35">
      <w:pPr>
        <w:widowControl w:val="0"/>
        <w:spacing w:after="0" w:line="240" w:lineRule="auto"/>
        <w:ind w:firstLine="709"/>
        <w:jc w:val="both"/>
        <w:rPr>
          <w:rFonts w:ascii="Times New Roman" w:hAnsi="Times New Roman" w:cs="Times New Roman"/>
          <w:b/>
          <w:i/>
          <w:sz w:val="24"/>
          <w:szCs w:val="24"/>
        </w:rPr>
      </w:pPr>
      <w:r w:rsidRPr="00C37701">
        <w:rPr>
          <w:rFonts w:ascii="Times New Roman" w:hAnsi="Times New Roman" w:cs="Times New Roman"/>
          <w:sz w:val="24"/>
          <w:szCs w:val="24"/>
        </w:rPr>
        <w:t>Филиалами ЕНПФ на ежеквартальной основе проводились мероприятия «День открытых дверей», в рамках которых предоставлялась актуальная информация о накопительной пенсионной системе, а также проводились квалифицированные консультации по вопросам пенсионного обеспечения. За 2019 год количество участников составило 13,9 тыс.</w:t>
      </w:r>
    </w:p>
    <w:p w14:paraId="70ABD530" w14:textId="46511DC3" w:rsidR="0050235E" w:rsidRPr="00C37701" w:rsidRDefault="002C14DC" w:rsidP="00FA3A35">
      <w:pPr>
        <w:widowControl w:val="0"/>
        <w:spacing w:after="0" w:line="240" w:lineRule="auto"/>
        <w:ind w:firstLine="709"/>
        <w:jc w:val="both"/>
        <w:rPr>
          <w:rFonts w:ascii="Times New Roman" w:hAnsi="Times New Roman" w:cs="Times New Roman"/>
          <w:b/>
          <w:i/>
          <w:sz w:val="24"/>
          <w:szCs w:val="24"/>
        </w:rPr>
      </w:pPr>
      <w:r w:rsidRPr="00C37701">
        <w:rPr>
          <w:rFonts w:ascii="Times New Roman" w:hAnsi="Times New Roman" w:cs="Times New Roman"/>
          <w:sz w:val="24"/>
          <w:szCs w:val="24"/>
        </w:rPr>
        <w:t>Кроме того, ЕНПФ проводит активную разъяснительную работу со СМИ. На страницах республиканских и областных газет, интернет-порталов и в телевизионном эфире за 2019 год всего размещено свыше 39,4 тыс. публикаций с упоминанием ЕНПФ. При этом по информации, предоставленной ЕНПФ по различным каналам СМИ, вышло более 34,5 тыс. материалов. Таким образом, информационный поток, инициируемый ЕНПФ, занимает порядка 88% всего информационного поля о пенсионной системе.</w:t>
      </w:r>
    </w:p>
    <w:p w14:paraId="0B1E7BF1" w14:textId="25210593" w:rsidR="0050235E" w:rsidRPr="00C37701" w:rsidRDefault="002C14DC" w:rsidP="00FA3A35">
      <w:pPr>
        <w:widowControl w:val="0"/>
        <w:spacing w:after="0" w:line="240" w:lineRule="auto"/>
        <w:ind w:firstLine="709"/>
        <w:jc w:val="both"/>
        <w:rPr>
          <w:rFonts w:ascii="Times New Roman" w:hAnsi="Times New Roman" w:cs="Times New Roman"/>
          <w:b/>
          <w:i/>
          <w:sz w:val="24"/>
          <w:szCs w:val="24"/>
        </w:rPr>
      </w:pPr>
      <w:r w:rsidRPr="00C37701">
        <w:rPr>
          <w:rFonts w:ascii="Times New Roman" w:hAnsi="Times New Roman" w:cs="Times New Roman"/>
          <w:sz w:val="24"/>
          <w:szCs w:val="24"/>
        </w:rPr>
        <w:t xml:space="preserve">В течение 2019 года работниками филиалов ЕНПФ с использованием модели индивидуального пенсионного калькулятора осуществлено персональное консультирование </w:t>
      </w:r>
      <w:r w:rsidR="00CC0AF4">
        <w:rPr>
          <w:rFonts w:ascii="Times New Roman" w:hAnsi="Times New Roman" w:cs="Times New Roman"/>
          <w:sz w:val="24"/>
          <w:szCs w:val="24"/>
        </w:rPr>
        <w:t xml:space="preserve">   </w:t>
      </w:r>
      <w:r w:rsidRPr="00C37701">
        <w:rPr>
          <w:rFonts w:ascii="Times New Roman" w:hAnsi="Times New Roman" w:cs="Times New Roman"/>
          <w:sz w:val="24"/>
          <w:szCs w:val="24"/>
        </w:rPr>
        <w:t>470,4 тыс. консультаций.</w:t>
      </w:r>
    </w:p>
    <w:p w14:paraId="2B857670" w14:textId="759B5834" w:rsidR="002C14DC" w:rsidRPr="00C37701" w:rsidRDefault="002C14DC" w:rsidP="00FA3A35">
      <w:pPr>
        <w:widowControl w:val="0"/>
        <w:spacing w:after="0" w:line="240" w:lineRule="auto"/>
        <w:ind w:firstLine="709"/>
        <w:jc w:val="both"/>
        <w:rPr>
          <w:rFonts w:ascii="Times New Roman" w:hAnsi="Times New Roman" w:cs="Times New Roman"/>
          <w:b/>
          <w:i/>
          <w:sz w:val="24"/>
          <w:szCs w:val="24"/>
        </w:rPr>
      </w:pPr>
      <w:r w:rsidRPr="00C37701">
        <w:rPr>
          <w:rFonts w:ascii="Times New Roman" w:hAnsi="Times New Roman" w:cs="Times New Roman"/>
          <w:sz w:val="24"/>
          <w:szCs w:val="24"/>
        </w:rPr>
        <w:t>В качестве коммуникационных каналов для информационно-разъяснительной работы используются:</w:t>
      </w:r>
    </w:p>
    <w:p w14:paraId="3A1D6EC5" w14:textId="6393C317" w:rsidR="002C14DC" w:rsidRPr="00C37701" w:rsidRDefault="002C14DC" w:rsidP="00FA3A35">
      <w:pPr>
        <w:widowControl w:val="0"/>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 Информагентства и интернет-порталы. Всего на этих каналах, как наиболее оперативных и цитируемых, вышло свыше 33,5 тыс. публикаций с упоминанием ЕНПФ</w:t>
      </w:r>
      <w:r w:rsidR="00730DD1">
        <w:rPr>
          <w:rFonts w:ascii="Times New Roman" w:hAnsi="Times New Roman" w:cs="Times New Roman"/>
          <w:sz w:val="24"/>
          <w:szCs w:val="24"/>
        </w:rPr>
        <w:t>.</w:t>
      </w:r>
    </w:p>
    <w:p w14:paraId="162F4B5E" w14:textId="628C41B9" w:rsidR="0050235E" w:rsidRPr="00C37701" w:rsidRDefault="002C14DC" w:rsidP="00FA3A35">
      <w:pPr>
        <w:widowControl w:val="0"/>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w:t>
      </w:r>
      <w:r w:rsidR="0050235E" w:rsidRPr="00C37701">
        <w:rPr>
          <w:rFonts w:ascii="Times New Roman" w:hAnsi="Times New Roman" w:cs="Times New Roman"/>
          <w:sz w:val="24"/>
          <w:szCs w:val="24"/>
        </w:rPr>
        <w:t xml:space="preserve"> </w:t>
      </w:r>
      <w:r w:rsidRPr="00C37701">
        <w:rPr>
          <w:rFonts w:ascii="Times New Roman" w:hAnsi="Times New Roman" w:cs="Times New Roman"/>
          <w:sz w:val="24"/>
          <w:szCs w:val="24"/>
        </w:rPr>
        <w:t xml:space="preserve">Телевидение. На телеканалах вышло свыше 1,7 тыс. материалов: новостных, аналитических сюжетов, ток-шоу с участием спикеров ЕНПФ, специальных программ. С сентября по декабрь на 31 канале выходила программа «Zeinet.kz» / «Пенсия.kz». Спикерами в выпусках программы в основном были директора филиалов, что способствовало повышению популярности программы в регионах республики. Всего вышло 15 программ на казахском и 15 программ на русском языке. Информационно-аналитическая программа получила широкий охват зрительской аудитории, имея рейтинг на уровне рейтинга главной программы канала «Информбюро» и превышала средний рейтинг канала. На республиканских (НТК, 31 канал) и региональных каналах осуществлялась ротация роликов «Электронные сервисы ЕНПФ» и «Из чего состоит пенсионная система». В общей сложности в эфир вышло 21 250 роликов (19 920 на региональных </w:t>
      </w:r>
      <w:proofErr w:type="gramStart"/>
      <w:r w:rsidR="00CC0AF4" w:rsidRPr="00C37701">
        <w:rPr>
          <w:rFonts w:ascii="Times New Roman" w:hAnsi="Times New Roman" w:cs="Times New Roman"/>
          <w:sz w:val="24"/>
          <w:szCs w:val="24"/>
        </w:rPr>
        <w:t xml:space="preserve">каналах, </w:t>
      </w:r>
      <w:r w:rsidR="00CC0AF4">
        <w:rPr>
          <w:rFonts w:ascii="Times New Roman" w:hAnsi="Times New Roman" w:cs="Times New Roman"/>
          <w:sz w:val="24"/>
          <w:szCs w:val="24"/>
        </w:rPr>
        <w:t xml:space="preserve">  </w:t>
      </w:r>
      <w:proofErr w:type="gramEnd"/>
      <w:r w:rsidR="00CC0AF4">
        <w:rPr>
          <w:rFonts w:ascii="Times New Roman" w:hAnsi="Times New Roman" w:cs="Times New Roman"/>
          <w:sz w:val="24"/>
          <w:szCs w:val="24"/>
        </w:rPr>
        <w:t xml:space="preserve"> 1585</w:t>
      </w:r>
      <w:r w:rsidRPr="00C37701">
        <w:rPr>
          <w:rFonts w:ascii="Times New Roman" w:hAnsi="Times New Roman" w:cs="Times New Roman"/>
          <w:sz w:val="24"/>
          <w:szCs w:val="24"/>
        </w:rPr>
        <w:t xml:space="preserve"> – на республиканских).</w:t>
      </w:r>
    </w:p>
    <w:p w14:paraId="2F6B19C9" w14:textId="78C84697" w:rsidR="0050235E" w:rsidRPr="00C37701" w:rsidRDefault="002C14DC" w:rsidP="00FA3A35">
      <w:pPr>
        <w:widowControl w:val="0"/>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 xml:space="preserve">– Печатные СМИ. Всего по инициативе ЕНПФ в печатных СМИ вышло порядка </w:t>
      </w:r>
      <w:r w:rsidR="00CC0AF4">
        <w:rPr>
          <w:rFonts w:ascii="Times New Roman" w:hAnsi="Times New Roman" w:cs="Times New Roman"/>
          <w:sz w:val="24"/>
          <w:szCs w:val="24"/>
        </w:rPr>
        <w:t xml:space="preserve">                     </w:t>
      </w:r>
      <w:r w:rsidRPr="00C37701">
        <w:rPr>
          <w:rFonts w:ascii="Times New Roman" w:hAnsi="Times New Roman" w:cs="Times New Roman"/>
          <w:sz w:val="24"/>
          <w:szCs w:val="24"/>
        </w:rPr>
        <w:t xml:space="preserve">2,9 тыс. материалов, поскольку этот канал информации уступает позиции более оперативным СМИ. Тем не менее посредством печатных СМИ были охвачены все целевые аудитории как по возрастным группам, так и по месту проживания (республиканские/региональные СМИ), а также по типу и уровню образования (общественно-политические газеты с большим тиражом, деловые СМИ для экспертного круга). </w:t>
      </w:r>
    </w:p>
    <w:p w14:paraId="3AC8F62F" w14:textId="6BAC917C" w:rsidR="0050235E" w:rsidRPr="00C37701" w:rsidRDefault="002C14DC" w:rsidP="00FA3A35">
      <w:pPr>
        <w:widowControl w:val="0"/>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 Радио. Всего в радиоэфир вышло свыше 1,2 тыс. материалов. На радио «Ретро» выходила специализированная программа «</w:t>
      </w:r>
      <w:proofErr w:type="spellStart"/>
      <w:r w:rsidRPr="00C37701">
        <w:rPr>
          <w:rFonts w:ascii="Times New Roman" w:hAnsi="Times New Roman" w:cs="Times New Roman"/>
          <w:sz w:val="24"/>
          <w:szCs w:val="24"/>
        </w:rPr>
        <w:t>Зейнетақы</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туралы</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ойлан</w:t>
      </w:r>
      <w:proofErr w:type="spellEnd"/>
      <w:r w:rsidRPr="00C37701">
        <w:rPr>
          <w:rFonts w:ascii="Times New Roman" w:hAnsi="Times New Roman" w:cs="Times New Roman"/>
          <w:sz w:val="24"/>
          <w:szCs w:val="24"/>
        </w:rPr>
        <w:t xml:space="preserve">»/ «С чего начинается пенсия», где ведущие доступным языком рассказывали о том, как устроена казахстанская пенсионная система и почему необходимо формировать пенсионный капитал. Всего в эфир вышло 12 программ на казахском и 12 программ </w:t>
      </w:r>
      <w:r w:rsidR="00F46196">
        <w:rPr>
          <w:rFonts w:ascii="Times New Roman" w:hAnsi="Times New Roman" w:cs="Times New Roman"/>
          <w:sz w:val="24"/>
          <w:szCs w:val="24"/>
        </w:rPr>
        <w:t xml:space="preserve">на </w:t>
      </w:r>
      <w:r w:rsidRPr="00C37701">
        <w:rPr>
          <w:rFonts w:ascii="Times New Roman" w:hAnsi="Times New Roman" w:cs="Times New Roman"/>
          <w:sz w:val="24"/>
          <w:szCs w:val="24"/>
        </w:rPr>
        <w:t>русском языках с повторами (Итого 48 выходов).</w:t>
      </w:r>
    </w:p>
    <w:p w14:paraId="4A992B76" w14:textId="11C18D7F" w:rsidR="0050235E" w:rsidRPr="00C37701" w:rsidRDefault="002C14DC" w:rsidP="00FA3A35">
      <w:pPr>
        <w:widowControl w:val="0"/>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На «Казахском радио» осуществлена трансляция программы «</w:t>
      </w:r>
      <w:proofErr w:type="spellStart"/>
      <w:r w:rsidRPr="00C37701">
        <w:rPr>
          <w:rFonts w:ascii="Times New Roman" w:hAnsi="Times New Roman" w:cs="Times New Roman"/>
          <w:sz w:val="24"/>
          <w:szCs w:val="24"/>
        </w:rPr>
        <w:t>Еңбек</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түбі</w:t>
      </w:r>
      <w:proofErr w:type="spellEnd"/>
      <w:r w:rsidRPr="00C37701">
        <w:rPr>
          <w:rFonts w:ascii="Times New Roman" w:hAnsi="Times New Roman" w:cs="Times New Roman"/>
          <w:sz w:val="24"/>
          <w:szCs w:val="24"/>
        </w:rPr>
        <w:t xml:space="preserve"> – </w:t>
      </w:r>
      <w:proofErr w:type="spellStart"/>
      <w:r w:rsidRPr="00C37701">
        <w:rPr>
          <w:rFonts w:ascii="Times New Roman" w:hAnsi="Times New Roman" w:cs="Times New Roman"/>
          <w:sz w:val="24"/>
          <w:szCs w:val="24"/>
        </w:rPr>
        <w:t>береке</w:t>
      </w:r>
      <w:proofErr w:type="spellEnd"/>
      <w:r w:rsidRPr="00C37701">
        <w:rPr>
          <w:rFonts w:ascii="Times New Roman" w:hAnsi="Times New Roman" w:cs="Times New Roman"/>
          <w:sz w:val="24"/>
          <w:szCs w:val="24"/>
        </w:rPr>
        <w:t>». Также вышло 12 программ на государственном языке с повторами. Данная программа особенно важна, поскольку распространяется в тех регионах, где незначительно покрытие другими СМИ, нет интернета.</w:t>
      </w:r>
    </w:p>
    <w:p w14:paraId="71252528" w14:textId="495E0998" w:rsidR="0050235E" w:rsidRPr="00C37701" w:rsidRDefault="002C14DC" w:rsidP="00FA3A35">
      <w:pPr>
        <w:widowControl w:val="0"/>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 xml:space="preserve">На республиканских радиостанциях («Русском радио» и «Казахском радио») транслировались </w:t>
      </w:r>
      <w:proofErr w:type="spellStart"/>
      <w:r w:rsidRPr="00C37701">
        <w:rPr>
          <w:rFonts w:ascii="Times New Roman" w:hAnsi="Times New Roman" w:cs="Times New Roman"/>
          <w:sz w:val="24"/>
          <w:szCs w:val="24"/>
        </w:rPr>
        <w:t>аудиоролики</w:t>
      </w:r>
      <w:proofErr w:type="spellEnd"/>
      <w:r w:rsidRPr="00C37701">
        <w:rPr>
          <w:rFonts w:ascii="Times New Roman" w:hAnsi="Times New Roman" w:cs="Times New Roman"/>
          <w:sz w:val="24"/>
          <w:szCs w:val="24"/>
        </w:rPr>
        <w:t xml:space="preserve"> «Электронные сервисы ЕНПФ» и «Из чего состоит пенсионная система».</w:t>
      </w:r>
    </w:p>
    <w:p w14:paraId="390F60D3" w14:textId="15F2262B" w:rsidR="002C14DC" w:rsidRPr="00C37701" w:rsidRDefault="002C14DC" w:rsidP="00FA3A35">
      <w:pPr>
        <w:widowControl w:val="0"/>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 xml:space="preserve">Мероприятия для СМИ. Одним из ключевых PR-проектов 2019 года стало проведение Школы финансовой журналистики «Все, что нужно знать о накопительной пенсионной системе Республики Казахстан» в столице </w:t>
      </w:r>
      <w:proofErr w:type="spellStart"/>
      <w:r w:rsidRPr="00C37701">
        <w:rPr>
          <w:rFonts w:ascii="Times New Roman" w:hAnsi="Times New Roman" w:cs="Times New Roman"/>
          <w:sz w:val="24"/>
          <w:szCs w:val="24"/>
        </w:rPr>
        <w:t>Нур</w:t>
      </w:r>
      <w:proofErr w:type="spellEnd"/>
      <w:r w:rsidRPr="00C37701">
        <w:rPr>
          <w:rFonts w:ascii="Times New Roman" w:hAnsi="Times New Roman" w:cs="Times New Roman"/>
          <w:sz w:val="24"/>
          <w:szCs w:val="24"/>
        </w:rPr>
        <w:t xml:space="preserve">-Султан, городах Шымкент, </w:t>
      </w:r>
      <w:proofErr w:type="spellStart"/>
      <w:r w:rsidRPr="00C37701">
        <w:rPr>
          <w:rFonts w:ascii="Times New Roman" w:hAnsi="Times New Roman" w:cs="Times New Roman"/>
          <w:sz w:val="24"/>
          <w:szCs w:val="24"/>
        </w:rPr>
        <w:t>Акто</w:t>
      </w:r>
      <w:r w:rsidR="00F46196">
        <w:rPr>
          <w:rFonts w:ascii="Times New Roman" w:hAnsi="Times New Roman" w:cs="Times New Roman"/>
          <w:sz w:val="24"/>
          <w:szCs w:val="24"/>
        </w:rPr>
        <w:t>бе</w:t>
      </w:r>
      <w:proofErr w:type="spellEnd"/>
      <w:r w:rsidR="00F46196">
        <w:rPr>
          <w:rFonts w:ascii="Times New Roman" w:hAnsi="Times New Roman" w:cs="Times New Roman"/>
          <w:sz w:val="24"/>
          <w:szCs w:val="24"/>
        </w:rPr>
        <w:t xml:space="preserve">, Караганда, </w:t>
      </w:r>
      <w:proofErr w:type="spellStart"/>
      <w:r w:rsidR="00F46196">
        <w:rPr>
          <w:rFonts w:ascii="Times New Roman" w:hAnsi="Times New Roman" w:cs="Times New Roman"/>
          <w:sz w:val="24"/>
          <w:szCs w:val="24"/>
        </w:rPr>
        <w:t>Кызылорда</w:t>
      </w:r>
      <w:proofErr w:type="spellEnd"/>
      <w:r w:rsidR="00F46196">
        <w:rPr>
          <w:rFonts w:ascii="Times New Roman" w:hAnsi="Times New Roman" w:cs="Times New Roman"/>
          <w:sz w:val="24"/>
          <w:szCs w:val="24"/>
        </w:rPr>
        <w:t>, Усть-К</w:t>
      </w:r>
      <w:r w:rsidRPr="00C37701">
        <w:rPr>
          <w:rFonts w:ascii="Times New Roman" w:hAnsi="Times New Roman" w:cs="Times New Roman"/>
          <w:sz w:val="24"/>
          <w:szCs w:val="24"/>
        </w:rPr>
        <w:t xml:space="preserve">аменогорск. В результате проведенных 6 школ в 2019 году 203 действующих и будущих </w:t>
      </w:r>
      <w:r w:rsidRPr="00C37701">
        <w:rPr>
          <w:rFonts w:ascii="Times New Roman" w:hAnsi="Times New Roman" w:cs="Times New Roman"/>
          <w:sz w:val="24"/>
          <w:szCs w:val="24"/>
        </w:rPr>
        <w:lastRenderedPageBreak/>
        <w:t>журналиста столичных и региональных СМИ узнали азы накопительной пенсионной системы, освоили навыки получения и работы с информацией о системе и ЕНПФ, познакомились со специалистами ЕНПФ, увидели их высокий профессиональный уровень.</w:t>
      </w:r>
    </w:p>
    <w:p w14:paraId="1E024AB5" w14:textId="7D585687" w:rsidR="002C14DC" w:rsidRPr="00C37701" w:rsidRDefault="002C14DC" w:rsidP="00FA3A35">
      <w:pPr>
        <w:widowControl w:val="0"/>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 xml:space="preserve">С целью повышения финансовой грамотности в сфере пенсионного обеспечения среди будущих вкладчиков – студентов - были проведены лекции в </w:t>
      </w:r>
      <w:proofErr w:type="spellStart"/>
      <w:r w:rsidRPr="00C37701">
        <w:rPr>
          <w:rFonts w:ascii="Times New Roman" w:hAnsi="Times New Roman" w:cs="Times New Roman"/>
          <w:sz w:val="24"/>
          <w:szCs w:val="24"/>
        </w:rPr>
        <w:t>Кызылординском</w:t>
      </w:r>
      <w:proofErr w:type="spellEnd"/>
      <w:r w:rsidRPr="00C37701">
        <w:rPr>
          <w:rFonts w:ascii="Times New Roman" w:hAnsi="Times New Roman" w:cs="Times New Roman"/>
          <w:sz w:val="24"/>
          <w:szCs w:val="24"/>
        </w:rPr>
        <w:t xml:space="preserve"> Государственном университете имени </w:t>
      </w:r>
      <w:proofErr w:type="spellStart"/>
      <w:r w:rsidRPr="00C37701">
        <w:rPr>
          <w:rFonts w:ascii="Times New Roman" w:hAnsi="Times New Roman" w:cs="Times New Roman"/>
          <w:sz w:val="24"/>
          <w:szCs w:val="24"/>
        </w:rPr>
        <w:t>Коркыт</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ата</w:t>
      </w:r>
      <w:proofErr w:type="spellEnd"/>
      <w:r w:rsidRPr="00C37701">
        <w:rPr>
          <w:rFonts w:ascii="Times New Roman" w:hAnsi="Times New Roman" w:cs="Times New Roman"/>
          <w:sz w:val="24"/>
          <w:szCs w:val="24"/>
        </w:rPr>
        <w:t>, в Алматы Менеджмент Университет (</w:t>
      </w:r>
      <w:proofErr w:type="spellStart"/>
      <w:r w:rsidRPr="00C37701">
        <w:rPr>
          <w:rFonts w:ascii="Times New Roman" w:hAnsi="Times New Roman" w:cs="Times New Roman"/>
          <w:sz w:val="24"/>
          <w:szCs w:val="24"/>
        </w:rPr>
        <w:t>AlmaU</w:t>
      </w:r>
      <w:proofErr w:type="spellEnd"/>
      <w:r w:rsidRPr="00C37701">
        <w:rPr>
          <w:rFonts w:ascii="Times New Roman" w:hAnsi="Times New Roman" w:cs="Times New Roman"/>
          <w:sz w:val="24"/>
          <w:szCs w:val="24"/>
        </w:rPr>
        <w:t xml:space="preserve">), Восточно-Казахстанском государственном университете имени </w:t>
      </w:r>
      <w:proofErr w:type="spellStart"/>
      <w:r w:rsidRPr="00C37701">
        <w:rPr>
          <w:rFonts w:ascii="Times New Roman" w:hAnsi="Times New Roman" w:cs="Times New Roman"/>
          <w:sz w:val="24"/>
          <w:szCs w:val="24"/>
        </w:rPr>
        <w:t>Сарсена</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Аманжолова</w:t>
      </w:r>
      <w:proofErr w:type="spellEnd"/>
      <w:r w:rsidRPr="00C37701">
        <w:rPr>
          <w:rFonts w:ascii="Times New Roman" w:hAnsi="Times New Roman" w:cs="Times New Roman"/>
          <w:sz w:val="24"/>
          <w:szCs w:val="24"/>
        </w:rPr>
        <w:t xml:space="preserve"> в г. Усть-Каменогорск. Всего мероприятия посетили 180 студентов и преподавателей.</w:t>
      </w:r>
    </w:p>
    <w:p w14:paraId="58F8C33D" w14:textId="40FC6371" w:rsidR="002C14DC" w:rsidRPr="00C37701" w:rsidRDefault="002C14DC" w:rsidP="00FA3A35">
      <w:pPr>
        <w:widowControl w:val="0"/>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В рамках работы с молодежной аудиторией в 2019 году была разработана и реализована Концепция конкурса студенческих проектов о накопительной пенсионной системе «</w:t>
      </w:r>
      <w:proofErr w:type="spellStart"/>
      <w:r w:rsidRPr="00C37701">
        <w:rPr>
          <w:rFonts w:ascii="Times New Roman" w:hAnsi="Times New Roman" w:cs="Times New Roman"/>
          <w:sz w:val="24"/>
          <w:szCs w:val="24"/>
        </w:rPr>
        <w:t>Болашағың</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өз</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қолында</w:t>
      </w:r>
      <w:proofErr w:type="spellEnd"/>
      <w:r w:rsidRPr="00C37701">
        <w:rPr>
          <w:rFonts w:ascii="Times New Roman" w:hAnsi="Times New Roman" w:cs="Times New Roman"/>
          <w:sz w:val="24"/>
          <w:szCs w:val="24"/>
        </w:rPr>
        <w:t>»/ «Твое будущее в твоих руках». Условием конкурса было определено получение готового эффективного решения по донесению информации населению с помощью коммуникаций (например, разработка проекта по работе со СМИ, включая механику работы, создание сценария видеоролика, телепроекта и т.д.), IT- решения (игры, специальные приложения и т.д.) и иное. В конкурсе принял участие 21 студент, представлено 9 необычных проектов, которые продемонстрировали интерес молодого поколения к пенсионной системе.</w:t>
      </w:r>
    </w:p>
    <w:p w14:paraId="5A66F1EC" w14:textId="322F2CE9" w:rsidR="0050235E" w:rsidRPr="00C37701" w:rsidRDefault="002C14DC" w:rsidP="00FA3A35">
      <w:pPr>
        <w:widowControl w:val="0"/>
        <w:spacing w:after="0" w:line="240" w:lineRule="auto"/>
        <w:ind w:firstLine="709"/>
        <w:jc w:val="both"/>
        <w:rPr>
          <w:rFonts w:ascii="Times New Roman" w:hAnsi="Times New Roman" w:cs="Times New Roman"/>
          <w:sz w:val="24"/>
          <w:szCs w:val="24"/>
        </w:rPr>
      </w:pPr>
      <w:proofErr w:type="spellStart"/>
      <w:r w:rsidRPr="00C37701">
        <w:rPr>
          <w:rFonts w:ascii="Times New Roman" w:hAnsi="Times New Roman" w:cs="Times New Roman"/>
          <w:sz w:val="24"/>
          <w:szCs w:val="24"/>
        </w:rPr>
        <w:t>Digital</w:t>
      </w:r>
      <w:proofErr w:type="spellEnd"/>
      <w:r w:rsidRPr="00C37701">
        <w:rPr>
          <w:rFonts w:ascii="Times New Roman" w:hAnsi="Times New Roman" w:cs="Times New Roman"/>
          <w:sz w:val="24"/>
          <w:szCs w:val="24"/>
        </w:rPr>
        <w:t xml:space="preserve">-коммуникации.  Всего за 12 месяцев 2019 года количество просмотров сайта ЕНПФ составило 44 млн. При этом количество посетителей составило порядка 2,9 млн. Продолжает активно работать официальная блог-платформа Председателя Правления ЕНПФ, с целью обеспечения свободного доступа пользователей к интересующей его информации о деятельности ЕНПФ. С начала года было отработано 420 обращений, а с периода запуска данного канала коммуникаций (27 марта 2017 года) до 31 декабря 2019 года предоставлены ответы на </w:t>
      </w:r>
      <w:r w:rsidR="00CC0AF4">
        <w:rPr>
          <w:rFonts w:ascii="Times New Roman" w:hAnsi="Times New Roman" w:cs="Times New Roman"/>
          <w:sz w:val="24"/>
          <w:szCs w:val="24"/>
        </w:rPr>
        <w:t xml:space="preserve">                            </w:t>
      </w:r>
      <w:r w:rsidRPr="00C37701">
        <w:rPr>
          <w:rFonts w:ascii="Times New Roman" w:hAnsi="Times New Roman" w:cs="Times New Roman"/>
          <w:sz w:val="24"/>
          <w:szCs w:val="24"/>
        </w:rPr>
        <w:t>2 179 обращений. Сохраняется положительный тренд по повышению значимости сайта как достоверного источника информации не только для СМИ и экспертов, но и для вкладчиков (получателей) за счет повышения позиций в поисковой выдаче, увеличения ключевых запросов и внешнего трафика.</w:t>
      </w:r>
    </w:p>
    <w:p w14:paraId="3A5BC0C1" w14:textId="178DC237" w:rsidR="002C14DC" w:rsidRPr="00C37701" w:rsidRDefault="002C14DC" w:rsidP="00FA3A35">
      <w:pPr>
        <w:widowControl w:val="0"/>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 xml:space="preserve">Активным каналом распространения информации ЕНПФ в интернете служат страницы и группы ЕНПФ в социальных сетях </w:t>
      </w:r>
      <w:proofErr w:type="spellStart"/>
      <w:r w:rsidRPr="00C37701">
        <w:rPr>
          <w:rFonts w:ascii="Times New Roman" w:hAnsi="Times New Roman" w:cs="Times New Roman"/>
          <w:sz w:val="24"/>
          <w:szCs w:val="24"/>
        </w:rPr>
        <w:t>Facebook</w:t>
      </w:r>
      <w:proofErr w:type="spellEnd"/>
      <w:r w:rsidRPr="00C37701">
        <w:rPr>
          <w:rFonts w:ascii="Times New Roman" w:hAnsi="Times New Roman" w:cs="Times New Roman"/>
          <w:sz w:val="24"/>
          <w:szCs w:val="24"/>
        </w:rPr>
        <w:t>, «</w:t>
      </w:r>
      <w:proofErr w:type="spellStart"/>
      <w:r w:rsidRPr="00C37701">
        <w:rPr>
          <w:rFonts w:ascii="Times New Roman" w:hAnsi="Times New Roman" w:cs="Times New Roman"/>
          <w:sz w:val="24"/>
          <w:szCs w:val="24"/>
        </w:rPr>
        <w:t>Вконтакте</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Twitter</w:t>
      </w:r>
      <w:proofErr w:type="spellEnd"/>
      <w:r w:rsidRPr="00C37701">
        <w:rPr>
          <w:rFonts w:ascii="Times New Roman" w:hAnsi="Times New Roman" w:cs="Times New Roman"/>
          <w:sz w:val="24"/>
          <w:szCs w:val="24"/>
        </w:rPr>
        <w:t xml:space="preserve">, «Одноклассники» и </w:t>
      </w:r>
      <w:proofErr w:type="spellStart"/>
      <w:r w:rsidRPr="00C37701">
        <w:rPr>
          <w:rFonts w:ascii="Times New Roman" w:hAnsi="Times New Roman" w:cs="Times New Roman"/>
          <w:sz w:val="24"/>
          <w:szCs w:val="24"/>
        </w:rPr>
        <w:t>Instagram</w:t>
      </w:r>
      <w:proofErr w:type="spellEnd"/>
      <w:r w:rsidRPr="00C37701">
        <w:rPr>
          <w:rFonts w:ascii="Times New Roman" w:hAnsi="Times New Roman" w:cs="Times New Roman"/>
          <w:sz w:val="24"/>
          <w:szCs w:val="24"/>
        </w:rPr>
        <w:t>. Общая аудитория подписчиков страниц ЕНПФ по состоянию на 31.12.2019</w:t>
      </w:r>
      <w:r w:rsidR="00CC6EA2">
        <w:rPr>
          <w:rFonts w:ascii="Times New Roman" w:hAnsi="Times New Roman" w:cs="Times New Roman"/>
          <w:sz w:val="24"/>
          <w:szCs w:val="24"/>
        </w:rPr>
        <w:t>г</w:t>
      </w:r>
      <w:r w:rsidR="00FA3A35">
        <w:rPr>
          <w:rFonts w:ascii="Times New Roman" w:hAnsi="Times New Roman" w:cs="Times New Roman"/>
          <w:sz w:val="24"/>
          <w:szCs w:val="24"/>
        </w:rPr>
        <w:t>.</w:t>
      </w:r>
      <w:r w:rsidRPr="00C37701">
        <w:rPr>
          <w:rFonts w:ascii="Times New Roman" w:hAnsi="Times New Roman" w:cs="Times New Roman"/>
          <w:sz w:val="24"/>
          <w:szCs w:val="24"/>
        </w:rPr>
        <w:t xml:space="preserve"> составила </w:t>
      </w:r>
      <w:r w:rsidR="00A35C7B">
        <w:rPr>
          <w:rFonts w:ascii="Times New Roman" w:hAnsi="Times New Roman" w:cs="Times New Roman"/>
          <w:sz w:val="24"/>
          <w:szCs w:val="24"/>
        </w:rPr>
        <w:t xml:space="preserve">                       </w:t>
      </w:r>
      <w:r w:rsidRPr="00C37701">
        <w:rPr>
          <w:rFonts w:ascii="Times New Roman" w:hAnsi="Times New Roman" w:cs="Times New Roman"/>
          <w:sz w:val="24"/>
          <w:szCs w:val="24"/>
        </w:rPr>
        <w:t>40 161 подписчика. За 2019 год на социальных площадках размещено порядка 250 тем на двух языках, в том числе видеоролики, предоставлены ответы на 2 137 обращений и получено свыше 219 благодарностей.</w:t>
      </w:r>
    </w:p>
    <w:p w14:paraId="6CFE73AB" w14:textId="77777777" w:rsidR="00895732" w:rsidRPr="00C37701" w:rsidRDefault="00895732" w:rsidP="0097449D">
      <w:pPr>
        <w:spacing w:after="0" w:line="240" w:lineRule="auto"/>
        <w:ind w:firstLine="709"/>
        <w:contextualSpacing/>
        <w:jc w:val="both"/>
        <w:rPr>
          <w:rFonts w:ascii="Times New Roman" w:hAnsi="Times New Roman" w:cs="Times New Roman"/>
          <w:b/>
          <w:i/>
          <w:sz w:val="24"/>
          <w:szCs w:val="24"/>
        </w:rPr>
      </w:pPr>
    </w:p>
    <w:p w14:paraId="78A852DD" w14:textId="77777777" w:rsidR="00895732" w:rsidRPr="00C37701" w:rsidRDefault="00895732"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Низкая ликвидность отечественного фондового рынка как основной площадки для инвестирования пенсионных активов.</w:t>
      </w:r>
    </w:p>
    <w:p w14:paraId="6C7FF047" w14:textId="77777777" w:rsidR="00895732" w:rsidRPr="00C37701" w:rsidRDefault="00895732" w:rsidP="0097449D">
      <w:pPr>
        <w:spacing w:after="0" w:line="240" w:lineRule="auto"/>
        <w:ind w:firstLine="709"/>
        <w:contextualSpacing/>
        <w:jc w:val="both"/>
        <w:rPr>
          <w:rFonts w:ascii="Times New Roman" w:hAnsi="Times New Roman" w:cs="Times New Roman"/>
          <w:b/>
          <w:bCs/>
          <w:i/>
          <w:sz w:val="24"/>
          <w:szCs w:val="24"/>
        </w:rPr>
      </w:pPr>
      <w:r w:rsidRPr="00C37701">
        <w:rPr>
          <w:rFonts w:ascii="Times New Roman" w:hAnsi="Times New Roman" w:cs="Times New Roman"/>
          <w:b/>
          <w:bCs/>
          <w:i/>
          <w:sz w:val="24"/>
          <w:szCs w:val="24"/>
        </w:rPr>
        <w:t>Мероприятия по управлению возможным риском:</w:t>
      </w:r>
    </w:p>
    <w:p w14:paraId="0331C7B6" w14:textId="77777777" w:rsidR="00895732" w:rsidRPr="00C37701" w:rsidRDefault="00895732"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Принятие мер, направленных на создание стимулов для выхода эмитентов на фондовый рынок, упрощение доступа инвесторов, в том числе иностранных, на отечественный фондовый рынок.</w:t>
      </w:r>
    </w:p>
    <w:p w14:paraId="27C74498" w14:textId="77777777" w:rsidR="00D05052" w:rsidRPr="00C37701" w:rsidRDefault="00895732"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 xml:space="preserve">Возобновление программы «Народное IPO» по выводу компаний </w:t>
      </w:r>
      <w:proofErr w:type="spellStart"/>
      <w:r w:rsidRPr="00C37701">
        <w:rPr>
          <w:rFonts w:ascii="Times New Roman" w:hAnsi="Times New Roman" w:cs="Times New Roman"/>
          <w:i/>
          <w:sz w:val="24"/>
          <w:szCs w:val="24"/>
        </w:rPr>
        <w:t>квазигосударственного</w:t>
      </w:r>
      <w:proofErr w:type="spellEnd"/>
      <w:r w:rsidRPr="00C37701">
        <w:rPr>
          <w:rFonts w:ascii="Times New Roman" w:hAnsi="Times New Roman" w:cs="Times New Roman"/>
          <w:i/>
          <w:sz w:val="24"/>
          <w:szCs w:val="24"/>
        </w:rPr>
        <w:t xml:space="preserve"> сектора на торговую площадку АО «Казахстанская фондовая биржа».</w:t>
      </w:r>
    </w:p>
    <w:p w14:paraId="229F4CE5" w14:textId="77777777" w:rsidR="00D05052" w:rsidRPr="00C37701" w:rsidRDefault="00D537AE"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sz w:val="24"/>
          <w:szCs w:val="24"/>
        </w:rPr>
        <w:t>Меры, направленные на создание стимулов для выхода эмитентов на фондовый рынок, упрощение доступа инвесторов, в том числе иностранных, на отечественный фондовый рынок, указаны в разделе возможные риски «</w:t>
      </w:r>
      <w:r w:rsidRPr="00C37701">
        <w:rPr>
          <w:rFonts w:ascii="Times New Roman" w:hAnsi="Times New Roman" w:cs="Times New Roman"/>
          <w:i/>
          <w:sz w:val="24"/>
          <w:szCs w:val="24"/>
        </w:rPr>
        <w:t>Недостаточный интерес эмитентов к привлечению средств посредством размещения ценных бумаг на организованном рынке ценных бумаг</w:t>
      </w:r>
      <w:r w:rsidRPr="00C37701">
        <w:rPr>
          <w:rFonts w:ascii="Times New Roman" w:hAnsi="Times New Roman" w:cs="Times New Roman"/>
          <w:sz w:val="24"/>
          <w:szCs w:val="24"/>
        </w:rPr>
        <w:t>».</w:t>
      </w:r>
    </w:p>
    <w:p w14:paraId="5455B738" w14:textId="77777777" w:rsidR="00D05052" w:rsidRPr="00C37701" w:rsidRDefault="00D537AE"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В соответствии с Комплексным планом приватизации на 2016 - 2020 годы, предусматривался поэтапный вывод крупных компаний </w:t>
      </w:r>
      <w:proofErr w:type="spellStart"/>
      <w:r w:rsidRPr="00C37701">
        <w:rPr>
          <w:rFonts w:ascii="Times New Roman" w:hAnsi="Times New Roman" w:cs="Times New Roman"/>
          <w:sz w:val="24"/>
          <w:szCs w:val="24"/>
        </w:rPr>
        <w:t>квазигосударственного</w:t>
      </w:r>
      <w:proofErr w:type="spellEnd"/>
      <w:r w:rsidRPr="00C37701">
        <w:rPr>
          <w:rFonts w:ascii="Times New Roman" w:hAnsi="Times New Roman" w:cs="Times New Roman"/>
          <w:sz w:val="24"/>
          <w:szCs w:val="24"/>
        </w:rPr>
        <w:t xml:space="preserve"> сектора в конкурентную среду посредством реализации программы «Народное IPO» параллельно на двух биржевых площадках, функционирующих на территории Казахстана. Целью реализации данной программы являлось обеспечение граждан Республики Казахстан возможностью приобрести акции ведущих отечественных компаний и способствовать развитию Казахстанского рынка ценных бумаг.</w:t>
      </w:r>
    </w:p>
    <w:p w14:paraId="7762CADD" w14:textId="77777777" w:rsidR="00D05052" w:rsidRPr="00C37701" w:rsidRDefault="00D537AE"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sz w:val="24"/>
          <w:szCs w:val="24"/>
        </w:rPr>
        <w:lastRenderedPageBreak/>
        <w:t>Возобновление программы «Народное IPO» и появление на рынке новых институциональных инвесторов в лице частных управляющих компаний пенсионными активами предполагало задать импульс для оживления фондового рынка в Казахстане.</w:t>
      </w:r>
    </w:p>
    <w:p w14:paraId="240D733A" w14:textId="2BD9D39E" w:rsidR="00D537AE" w:rsidRPr="00C37701" w:rsidRDefault="005A64D1" w:rsidP="0097449D">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Вместе с тем, в 2019 году</w:t>
      </w:r>
      <w:r w:rsidR="00D537AE" w:rsidRPr="00C37701">
        <w:rPr>
          <w:rFonts w:ascii="Times New Roman" w:hAnsi="Times New Roman" w:cs="Times New Roman"/>
          <w:sz w:val="24"/>
          <w:szCs w:val="24"/>
        </w:rPr>
        <w:t xml:space="preserve"> запланированное размещение на казахстанской фондовой бирже акций таких компаний как: АО «</w:t>
      </w:r>
      <w:proofErr w:type="spellStart"/>
      <w:r w:rsidR="00D537AE" w:rsidRPr="00C37701">
        <w:rPr>
          <w:rFonts w:ascii="Times New Roman" w:hAnsi="Times New Roman" w:cs="Times New Roman"/>
          <w:sz w:val="24"/>
          <w:szCs w:val="24"/>
        </w:rPr>
        <w:t>Казахтелеком</w:t>
      </w:r>
      <w:proofErr w:type="spellEnd"/>
      <w:r w:rsidR="00D537AE" w:rsidRPr="00C37701">
        <w:rPr>
          <w:rFonts w:ascii="Times New Roman" w:hAnsi="Times New Roman" w:cs="Times New Roman"/>
          <w:sz w:val="24"/>
          <w:szCs w:val="24"/>
        </w:rPr>
        <w:t>», АО «Эйр Астана» и АО «НК «</w:t>
      </w:r>
      <w:proofErr w:type="spellStart"/>
      <w:r w:rsidR="00D537AE" w:rsidRPr="00C37701">
        <w:rPr>
          <w:rFonts w:ascii="Times New Roman" w:hAnsi="Times New Roman" w:cs="Times New Roman"/>
          <w:sz w:val="24"/>
          <w:szCs w:val="24"/>
        </w:rPr>
        <w:t>КазМунайГаз</w:t>
      </w:r>
      <w:proofErr w:type="spellEnd"/>
      <w:r w:rsidR="00D537AE" w:rsidRPr="00C37701">
        <w:rPr>
          <w:rFonts w:ascii="Times New Roman" w:hAnsi="Times New Roman" w:cs="Times New Roman"/>
          <w:sz w:val="24"/>
          <w:szCs w:val="24"/>
        </w:rPr>
        <w:t>» в рамках «Народное IPO» не осуществилось.</w:t>
      </w:r>
    </w:p>
    <w:p w14:paraId="330A4420" w14:textId="77777777" w:rsidR="00F056E8" w:rsidRPr="00C37701" w:rsidRDefault="00F056E8" w:rsidP="0097449D">
      <w:pPr>
        <w:spacing w:after="0" w:line="240" w:lineRule="auto"/>
        <w:ind w:firstLine="709"/>
        <w:contextualSpacing/>
        <w:jc w:val="both"/>
        <w:rPr>
          <w:rFonts w:ascii="Times New Roman" w:hAnsi="Times New Roman" w:cs="Times New Roman"/>
          <w:b/>
          <w:i/>
          <w:sz w:val="24"/>
          <w:szCs w:val="24"/>
        </w:rPr>
      </w:pPr>
    </w:p>
    <w:p w14:paraId="2BE4411D" w14:textId="77777777" w:rsidR="00256AED" w:rsidRPr="00C37701" w:rsidRDefault="00F056E8"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Цель 2.5. Обеспечение эффективного валютного регулирования и валютного контроля</w:t>
      </w:r>
    </w:p>
    <w:p w14:paraId="759037D7" w14:textId="5DD92D88" w:rsidR="00445DDD" w:rsidRPr="00C37701" w:rsidRDefault="00445DDD" w:rsidP="00EE6A30">
      <w:pPr>
        <w:spacing w:after="0" w:line="240" w:lineRule="auto"/>
        <w:ind w:firstLine="709"/>
        <w:contextualSpacing/>
        <w:jc w:val="both"/>
        <w:rPr>
          <w:rFonts w:ascii="Times New Roman" w:hAnsi="Times New Roman" w:cs="Times New Roman"/>
          <w:b/>
          <w:i/>
          <w:sz w:val="24"/>
          <w:szCs w:val="24"/>
        </w:rPr>
      </w:pPr>
      <w:proofErr w:type="spellStart"/>
      <w:r w:rsidRPr="00C37701">
        <w:rPr>
          <w:rFonts w:ascii="Times New Roman" w:hAnsi="Times New Roman" w:cs="Times New Roman"/>
          <w:b/>
          <w:i/>
          <w:sz w:val="24"/>
          <w:szCs w:val="24"/>
        </w:rPr>
        <w:t>Нескоординированность</w:t>
      </w:r>
      <w:proofErr w:type="spellEnd"/>
      <w:r w:rsidRPr="00C37701">
        <w:rPr>
          <w:rFonts w:ascii="Times New Roman" w:hAnsi="Times New Roman" w:cs="Times New Roman"/>
          <w:b/>
          <w:i/>
          <w:sz w:val="24"/>
          <w:szCs w:val="24"/>
        </w:rPr>
        <w:t xml:space="preserve"> действий государственных органов в части мер, влияющих на мобильность капитала.</w:t>
      </w:r>
    </w:p>
    <w:p w14:paraId="38BB2107" w14:textId="77777777" w:rsidR="00445DDD" w:rsidRPr="00C37701" w:rsidRDefault="00445DDD"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bCs/>
          <w:i/>
          <w:sz w:val="24"/>
          <w:szCs w:val="24"/>
        </w:rPr>
        <w:t>Мероприятия по управлению возможным риском:</w:t>
      </w:r>
    </w:p>
    <w:p w14:paraId="7DEECEFF" w14:textId="77777777" w:rsidR="00445DDD" w:rsidRPr="00C37701" w:rsidRDefault="00445DDD"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Усиление межведомственной координации при разработке нормативной базы, принятие согласованных решений по мерам, влияющим на мобильность капитала.</w:t>
      </w:r>
    </w:p>
    <w:p w14:paraId="4D881B73" w14:textId="77777777" w:rsidR="002077CE" w:rsidRPr="00C37701" w:rsidRDefault="002077CE" w:rsidP="0097449D">
      <w:pPr>
        <w:spacing w:after="0" w:line="240" w:lineRule="auto"/>
        <w:ind w:firstLine="709"/>
        <w:contextualSpacing/>
        <w:jc w:val="both"/>
        <w:rPr>
          <w:rFonts w:ascii="Times New Roman" w:eastAsia="Calibri" w:hAnsi="Times New Roman" w:cs="Times New Roman"/>
          <w:sz w:val="24"/>
          <w:szCs w:val="24"/>
        </w:rPr>
      </w:pPr>
      <w:r w:rsidRPr="00C37701">
        <w:rPr>
          <w:rFonts w:ascii="Times New Roman" w:eastAsia="Calibri" w:hAnsi="Times New Roman" w:cs="Times New Roman"/>
          <w:sz w:val="24"/>
          <w:szCs w:val="24"/>
        </w:rPr>
        <w:t>Специальные меры не были востребованы. Вместе с тем, проведены следующие мероприятия:</w:t>
      </w:r>
    </w:p>
    <w:p w14:paraId="7991ECB5" w14:textId="07544BBB" w:rsidR="002C4811" w:rsidRPr="00C37701" w:rsidRDefault="002C4811" w:rsidP="0097449D">
      <w:pPr>
        <w:spacing w:after="0" w:line="240" w:lineRule="auto"/>
        <w:ind w:firstLine="709"/>
        <w:contextualSpacing/>
        <w:jc w:val="both"/>
        <w:rPr>
          <w:rFonts w:ascii="Times New Roman" w:eastAsia="Calibri" w:hAnsi="Times New Roman" w:cs="Times New Roman"/>
          <w:sz w:val="24"/>
          <w:szCs w:val="24"/>
        </w:rPr>
      </w:pPr>
      <w:r w:rsidRPr="00C37701">
        <w:rPr>
          <w:rFonts w:ascii="Times New Roman" w:eastAsia="Calibri" w:hAnsi="Times New Roman" w:cs="Times New Roman"/>
          <w:sz w:val="24"/>
          <w:szCs w:val="24"/>
        </w:rPr>
        <w:t>В течение 2019 года проводилась работа по взаимодействию с Комитетом государственных доходов Министерства финансов РК, в частности</w:t>
      </w:r>
      <w:r w:rsidR="00E42DAC">
        <w:rPr>
          <w:rFonts w:ascii="Times New Roman" w:eastAsia="Calibri" w:hAnsi="Times New Roman" w:cs="Times New Roman"/>
          <w:sz w:val="24"/>
          <w:szCs w:val="24"/>
        </w:rPr>
        <w:t>,</w:t>
      </w:r>
      <w:r w:rsidRPr="00C37701">
        <w:rPr>
          <w:rFonts w:ascii="Times New Roman" w:eastAsia="Calibri" w:hAnsi="Times New Roman" w:cs="Times New Roman"/>
          <w:sz w:val="24"/>
          <w:szCs w:val="24"/>
        </w:rPr>
        <w:t xml:space="preserve"> в рамках согласования Правил осуществления экспортно-импортного валютного контроля в Республике Казахстан, а также отработки вопросов взаимодействия в рамках Совместных приказов:</w:t>
      </w:r>
    </w:p>
    <w:p w14:paraId="6E32C51A" w14:textId="12625886" w:rsidR="002C4811" w:rsidRPr="00C37701" w:rsidRDefault="002C4811" w:rsidP="0097449D">
      <w:pPr>
        <w:spacing w:after="0" w:line="240" w:lineRule="auto"/>
        <w:ind w:firstLine="709"/>
        <w:contextualSpacing/>
        <w:jc w:val="both"/>
        <w:rPr>
          <w:rFonts w:ascii="Times New Roman" w:eastAsia="Calibri" w:hAnsi="Times New Roman" w:cs="Times New Roman"/>
          <w:sz w:val="24"/>
          <w:szCs w:val="24"/>
        </w:rPr>
      </w:pPr>
      <w:r w:rsidRPr="00C37701">
        <w:rPr>
          <w:rFonts w:ascii="Times New Roman" w:eastAsia="Calibri" w:hAnsi="Times New Roman" w:cs="Times New Roman"/>
          <w:sz w:val="24"/>
          <w:szCs w:val="24"/>
        </w:rPr>
        <w:t>– Министра финансов РК от 14 декабря 2018 года №1090 и Председателя Национального Банка РК от 25 декабря 2018 года №527 «Об утверждении Правил предоставления Национальным Банком Республики Казахстан Министерству финансов Республики Казахстан полученной от уполномоченных банков информации о платежах и (или) переводах денег из Республики Казахстан и в Республику Казахстан по валютным операциям на сумму свыше 50 000 долларов Соединенных Штатов Америки в эквиваленте»;</w:t>
      </w:r>
    </w:p>
    <w:p w14:paraId="2CC05F46" w14:textId="422098FD" w:rsidR="002C4811" w:rsidRPr="00C37701" w:rsidRDefault="002C4811" w:rsidP="0097449D">
      <w:pPr>
        <w:spacing w:after="0" w:line="240" w:lineRule="auto"/>
        <w:ind w:firstLine="709"/>
        <w:contextualSpacing/>
        <w:jc w:val="both"/>
        <w:rPr>
          <w:rFonts w:ascii="Times New Roman" w:eastAsia="Calibri" w:hAnsi="Times New Roman" w:cs="Times New Roman"/>
          <w:sz w:val="24"/>
          <w:szCs w:val="24"/>
        </w:rPr>
      </w:pPr>
      <w:r w:rsidRPr="00C37701">
        <w:rPr>
          <w:rFonts w:ascii="Times New Roman" w:eastAsia="Calibri" w:hAnsi="Times New Roman" w:cs="Times New Roman"/>
          <w:sz w:val="24"/>
          <w:szCs w:val="24"/>
        </w:rPr>
        <w:softHyphen/>
        <w:t>– Министра финансов РК от 21 декабря 2018 года №1098 и Председателя Национального Банка РК от 25 декабря 2018 года №528 «Об утверждении Перечня и Правил представления Министерством финансов Р</w:t>
      </w:r>
      <w:r w:rsidR="005A64D1">
        <w:rPr>
          <w:rFonts w:ascii="Times New Roman" w:eastAsia="Calibri" w:hAnsi="Times New Roman" w:cs="Times New Roman"/>
          <w:sz w:val="24"/>
          <w:szCs w:val="24"/>
        </w:rPr>
        <w:t xml:space="preserve">еспублики </w:t>
      </w:r>
      <w:r w:rsidRPr="00C37701">
        <w:rPr>
          <w:rFonts w:ascii="Times New Roman" w:eastAsia="Calibri" w:hAnsi="Times New Roman" w:cs="Times New Roman"/>
          <w:sz w:val="24"/>
          <w:szCs w:val="24"/>
        </w:rPr>
        <w:t>К</w:t>
      </w:r>
      <w:r w:rsidR="005A64D1">
        <w:rPr>
          <w:rFonts w:ascii="Times New Roman" w:eastAsia="Calibri" w:hAnsi="Times New Roman" w:cs="Times New Roman"/>
          <w:sz w:val="24"/>
          <w:szCs w:val="24"/>
        </w:rPr>
        <w:t>азахстан</w:t>
      </w:r>
      <w:r w:rsidRPr="00C37701">
        <w:rPr>
          <w:rFonts w:ascii="Times New Roman" w:eastAsia="Calibri" w:hAnsi="Times New Roman" w:cs="Times New Roman"/>
          <w:sz w:val="24"/>
          <w:szCs w:val="24"/>
        </w:rPr>
        <w:t xml:space="preserve"> Национальному Банку Р</w:t>
      </w:r>
      <w:r w:rsidR="005A64D1">
        <w:rPr>
          <w:rFonts w:ascii="Times New Roman" w:eastAsia="Calibri" w:hAnsi="Times New Roman" w:cs="Times New Roman"/>
          <w:sz w:val="24"/>
          <w:szCs w:val="24"/>
        </w:rPr>
        <w:t xml:space="preserve">еспублики </w:t>
      </w:r>
      <w:r w:rsidRPr="00C37701">
        <w:rPr>
          <w:rFonts w:ascii="Times New Roman" w:eastAsia="Calibri" w:hAnsi="Times New Roman" w:cs="Times New Roman"/>
          <w:sz w:val="24"/>
          <w:szCs w:val="24"/>
        </w:rPr>
        <w:t>К</w:t>
      </w:r>
      <w:r w:rsidR="005A64D1">
        <w:rPr>
          <w:rFonts w:ascii="Times New Roman" w:eastAsia="Calibri" w:hAnsi="Times New Roman" w:cs="Times New Roman"/>
          <w:sz w:val="24"/>
          <w:szCs w:val="24"/>
        </w:rPr>
        <w:t>азахстан</w:t>
      </w:r>
      <w:r w:rsidRPr="00C37701">
        <w:rPr>
          <w:rFonts w:ascii="Times New Roman" w:eastAsia="Calibri" w:hAnsi="Times New Roman" w:cs="Times New Roman"/>
          <w:sz w:val="24"/>
          <w:szCs w:val="24"/>
        </w:rPr>
        <w:t xml:space="preserve"> сведений, необходимых для осуществления валютного контроля, и последующей их передачи уполномоченным банкам, являющимся агентами валютного контроля».</w:t>
      </w:r>
    </w:p>
    <w:p w14:paraId="6B13B866" w14:textId="7F9A2BB9" w:rsidR="002C4811" w:rsidRPr="00C37701" w:rsidRDefault="005A64D1" w:rsidP="0097449D">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Министра финансов Р</w:t>
      </w:r>
      <w:r w:rsidR="002C4811" w:rsidRPr="00C37701">
        <w:rPr>
          <w:rFonts w:ascii="Times New Roman" w:eastAsia="Calibri" w:hAnsi="Times New Roman" w:cs="Times New Roman"/>
          <w:sz w:val="24"/>
          <w:szCs w:val="24"/>
        </w:rPr>
        <w:t>К от 21 декабря 2018 года №1101 и Председателя Национального Банка РК</w:t>
      </w:r>
      <w:r>
        <w:rPr>
          <w:rFonts w:ascii="Times New Roman" w:eastAsia="Calibri" w:hAnsi="Times New Roman" w:cs="Times New Roman"/>
          <w:sz w:val="24"/>
          <w:szCs w:val="24"/>
        </w:rPr>
        <w:t xml:space="preserve"> </w:t>
      </w:r>
      <w:r w:rsidR="002C4811" w:rsidRPr="00C37701">
        <w:rPr>
          <w:rFonts w:ascii="Times New Roman" w:eastAsia="Calibri" w:hAnsi="Times New Roman" w:cs="Times New Roman"/>
          <w:sz w:val="24"/>
          <w:szCs w:val="24"/>
        </w:rPr>
        <w:t>от 25 декабря 2018 года №529 «Об утверждении Правил взаимодействия Министерства финансов Республики Казахстан и Национального Банка Республики Казахстан в целях осуществления валютного контроля, предупреждения, выявления, пресечения, раскрытия и расследования фактов невозвращения из-за границы средств в национальной и (или) иностранной валюте».</w:t>
      </w:r>
    </w:p>
    <w:p w14:paraId="6E961531" w14:textId="77777777" w:rsidR="00F056E8" w:rsidRPr="00C37701" w:rsidRDefault="00F056E8" w:rsidP="0097449D">
      <w:pPr>
        <w:spacing w:after="0" w:line="240" w:lineRule="auto"/>
        <w:ind w:firstLine="709"/>
        <w:contextualSpacing/>
        <w:jc w:val="both"/>
        <w:rPr>
          <w:rFonts w:ascii="Times New Roman" w:hAnsi="Times New Roman" w:cs="Times New Roman"/>
          <w:sz w:val="24"/>
          <w:szCs w:val="24"/>
        </w:rPr>
      </w:pPr>
    </w:p>
    <w:p w14:paraId="0EB7E7A0" w14:textId="77777777" w:rsidR="001F4F33" w:rsidRPr="00C37701" w:rsidRDefault="00445DDD"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Цель 2.6. Обеспечение надлежащего уровня защиты прав и законных интересов</w:t>
      </w:r>
      <w:r w:rsidR="001F4F33" w:rsidRPr="00C37701">
        <w:rPr>
          <w:rFonts w:ascii="Times New Roman" w:hAnsi="Times New Roman" w:cs="Times New Roman"/>
          <w:b/>
          <w:i/>
          <w:sz w:val="24"/>
          <w:szCs w:val="24"/>
        </w:rPr>
        <w:t xml:space="preserve"> потребителей финансовых услуг.</w:t>
      </w:r>
    </w:p>
    <w:p w14:paraId="140EB4E6" w14:textId="1D9B4B52" w:rsidR="00895732" w:rsidRPr="00C37701" w:rsidRDefault="00895732" w:rsidP="00EE6A30">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 xml:space="preserve">Нестабильная ценовая ситуация на мировых рынках нефти, </w:t>
      </w:r>
      <w:r w:rsidR="008729E5" w:rsidRPr="00C37701">
        <w:rPr>
          <w:rFonts w:ascii="Times New Roman" w:hAnsi="Times New Roman" w:cs="Times New Roman"/>
          <w:b/>
          <w:i/>
          <w:sz w:val="24"/>
          <w:szCs w:val="24"/>
        </w:rPr>
        <w:t>обесценение национальной</w:t>
      </w:r>
      <w:r w:rsidRPr="00C37701">
        <w:rPr>
          <w:rFonts w:ascii="Times New Roman" w:hAnsi="Times New Roman" w:cs="Times New Roman"/>
          <w:b/>
          <w:i/>
          <w:sz w:val="24"/>
          <w:szCs w:val="24"/>
        </w:rPr>
        <w:t xml:space="preserve"> валюты, снижение темпов развития экономики, рост безработицы могут привести к дальнейшему усугублению положения заемщиков, в том числе валютных, снижению их возможности обслуживать и погашать займы.</w:t>
      </w:r>
    </w:p>
    <w:p w14:paraId="133E9B79" w14:textId="77777777" w:rsidR="00895732" w:rsidRPr="00C37701" w:rsidRDefault="00895732" w:rsidP="0097449D">
      <w:pPr>
        <w:spacing w:after="0" w:line="240" w:lineRule="auto"/>
        <w:ind w:firstLine="709"/>
        <w:contextualSpacing/>
        <w:jc w:val="both"/>
        <w:rPr>
          <w:rFonts w:ascii="Times New Roman" w:hAnsi="Times New Roman" w:cs="Times New Roman"/>
          <w:b/>
          <w:bCs/>
          <w:i/>
          <w:sz w:val="24"/>
          <w:szCs w:val="24"/>
        </w:rPr>
      </w:pPr>
      <w:r w:rsidRPr="00C37701">
        <w:rPr>
          <w:rFonts w:ascii="Times New Roman" w:hAnsi="Times New Roman" w:cs="Times New Roman"/>
          <w:b/>
          <w:bCs/>
          <w:i/>
          <w:sz w:val="24"/>
          <w:szCs w:val="24"/>
        </w:rPr>
        <w:t>Мероприятия по управлению возможным риском:</w:t>
      </w:r>
    </w:p>
    <w:p w14:paraId="63DF221C" w14:textId="13309984" w:rsidR="001F4F33" w:rsidRPr="00C37701" w:rsidRDefault="001F4F33" w:rsidP="0097449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C37701">
        <w:rPr>
          <w:rFonts w:ascii="Times New Roman" w:eastAsia="Times New Roman" w:hAnsi="Times New Roman" w:cs="Times New Roman"/>
          <w:color w:val="000000"/>
          <w:sz w:val="24"/>
          <w:szCs w:val="24"/>
          <w:lang w:eastAsia="ru-RU"/>
        </w:rPr>
        <w:t>Постановлением Правления На</w:t>
      </w:r>
      <w:r w:rsidR="0018755E">
        <w:rPr>
          <w:rFonts w:ascii="Times New Roman" w:eastAsia="Times New Roman" w:hAnsi="Times New Roman" w:cs="Times New Roman"/>
          <w:color w:val="000000"/>
          <w:sz w:val="24"/>
          <w:szCs w:val="24"/>
          <w:lang w:eastAsia="ru-RU"/>
        </w:rPr>
        <w:t xml:space="preserve">ционального Банка от 24апреля </w:t>
      </w:r>
      <w:r w:rsidR="00256AED" w:rsidRPr="00C37701">
        <w:rPr>
          <w:rFonts w:ascii="Times New Roman" w:eastAsia="Times New Roman" w:hAnsi="Times New Roman" w:cs="Times New Roman"/>
          <w:color w:val="000000"/>
          <w:sz w:val="24"/>
          <w:szCs w:val="24"/>
          <w:lang w:eastAsia="ru-RU"/>
        </w:rPr>
        <w:t>2015</w:t>
      </w:r>
      <w:r w:rsidR="0018755E">
        <w:rPr>
          <w:rFonts w:ascii="Times New Roman" w:eastAsia="Times New Roman" w:hAnsi="Times New Roman" w:cs="Times New Roman"/>
          <w:color w:val="000000"/>
          <w:sz w:val="24"/>
          <w:szCs w:val="24"/>
          <w:lang w:eastAsia="ru-RU"/>
        </w:rPr>
        <w:t xml:space="preserve"> года</w:t>
      </w:r>
      <w:r w:rsidRPr="00C37701">
        <w:rPr>
          <w:rFonts w:ascii="Times New Roman" w:eastAsia="Times New Roman" w:hAnsi="Times New Roman" w:cs="Times New Roman"/>
          <w:color w:val="000000"/>
          <w:sz w:val="24"/>
          <w:szCs w:val="24"/>
          <w:lang w:eastAsia="ru-RU"/>
        </w:rPr>
        <w:t xml:space="preserve"> № 69 утверждена Программа рефинансирования ипотечных жилищных займов (ипотечных займов) (далее – Программа). </w:t>
      </w:r>
    </w:p>
    <w:p w14:paraId="022C6C02" w14:textId="77777777" w:rsidR="001F4F33" w:rsidRPr="00C37701" w:rsidRDefault="001F4F33" w:rsidP="0097449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C37701">
        <w:rPr>
          <w:rFonts w:ascii="Times New Roman" w:eastAsia="Times New Roman" w:hAnsi="Times New Roman" w:cs="Times New Roman"/>
          <w:color w:val="000000"/>
          <w:sz w:val="24"/>
          <w:szCs w:val="24"/>
          <w:lang w:eastAsia="ru-RU"/>
        </w:rPr>
        <w:t xml:space="preserve">Выделенные Национальным Банком 130 млрд. тенге были направлены на рефинансирование займов, выданных банками в период с 2004 по 2009 годы, и обеспеченных единственным жильем. </w:t>
      </w:r>
    </w:p>
    <w:p w14:paraId="7D38486A" w14:textId="33662B6F" w:rsidR="001F4F33" w:rsidRPr="00C37701" w:rsidRDefault="001F4F33" w:rsidP="0097449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C37701">
        <w:rPr>
          <w:rFonts w:ascii="Times New Roman" w:eastAsia="Times New Roman" w:hAnsi="Times New Roman" w:cs="Times New Roman"/>
          <w:color w:val="000000"/>
          <w:sz w:val="24"/>
          <w:szCs w:val="24"/>
          <w:lang w:eastAsia="ru-RU"/>
        </w:rPr>
        <w:t>В соответствии с поручением Главы государства, постановлением Правления Национального Банка от 27 марта 2018 года №</w:t>
      </w:r>
      <w:r w:rsidR="0018755E">
        <w:rPr>
          <w:rFonts w:ascii="Times New Roman" w:eastAsia="Times New Roman" w:hAnsi="Times New Roman" w:cs="Times New Roman"/>
          <w:color w:val="000000"/>
          <w:sz w:val="24"/>
          <w:szCs w:val="24"/>
          <w:lang w:eastAsia="ru-RU"/>
        </w:rPr>
        <w:t xml:space="preserve"> </w:t>
      </w:r>
      <w:r w:rsidRPr="00C37701">
        <w:rPr>
          <w:rFonts w:ascii="Times New Roman" w:eastAsia="Times New Roman" w:hAnsi="Times New Roman" w:cs="Times New Roman"/>
          <w:color w:val="000000"/>
          <w:sz w:val="24"/>
          <w:szCs w:val="24"/>
          <w:lang w:eastAsia="ru-RU"/>
        </w:rPr>
        <w:t xml:space="preserve">59 внесены поправки в Программу, предусматривающие рефинансирование валютных ипотечных займов физических лиц, выданных до 1 января 2016 года. Займы подлежат рефинансированию в тенге по курсу Национального Банка </w:t>
      </w:r>
      <w:r w:rsidRPr="00C37701">
        <w:rPr>
          <w:rFonts w:ascii="Times New Roman" w:eastAsia="Times New Roman" w:hAnsi="Times New Roman" w:cs="Times New Roman"/>
          <w:color w:val="000000"/>
          <w:sz w:val="24"/>
          <w:szCs w:val="24"/>
          <w:lang w:eastAsia="ru-RU"/>
        </w:rPr>
        <w:lastRenderedPageBreak/>
        <w:t>на 18 августа 2015 года (188,35 тенге за долл. США).</w:t>
      </w:r>
      <w:r w:rsidRPr="00C37701">
        <w:rPr>
          <w:rFonts w:ascii="Times New Roman" w:eastAsia="Times New Roman" w:hAnsi="Times New Roman" w:cs="Times New Roman"/>
          <w:sz w:val="24"/>
          <w:szCs w:val="24"/>
          <w:lang w:eastAsia="ru-RU"/>
        </w:rPr>
        <w:t xml:space="preserve"> В целях максимального охвата Программой валютных ипотечных заемщиков, Правлением Национального Банка 23 декабря 2019 года срок рефинансирования валютных ипотечных займов продлен до 31 декабря 2020 года.</w:t>
      </w:r>
    </w:p>
    <w:p w14:paraId="733EF37B" w14:textId="60B5358F" w:rsidR="001F4F33" w:rsidRPr="00C37701" w:rsidRDefault="001F4F33" w:rsidP="0097449D">
      <w:pPr>
        <w:autoSpaceDE w:val="0"/>
        <w:autoSpaceDN w:val="0"/>
        <w:adjustRightInd w:val="0"/>
        <w:spacing w:after="0" w:line="240" w:lineRule="auto"/>
        <w:ind w:firstLine="709"/>
        <w:jc w:val="both"/>
        <w:rPr>
          <w:rFonts w:ascii="Times New Roman" w:hAnsi="Times New Roman" w:cs="Times New Roman"/>
          <w:bCs/>
          <w:sz w:val="24"/>
          <w:szCs w:val="24"/>
        </w:rPr>
      </w:pPr>
      <w:r w:rsidRPr="00C37701">
        <w:rPr>
          <w:rFonts w:ascii="Times New Roman" w:hAnsi="Times New Roman" w:cs="Times New Roman"/>
          <w:bCs/>
          <w:sz w:val="24"/>
          <w:szCs w:val="24"/>
        </w:rPr>
        <w:t xml:space="preserve">На 1 января 2020 года банками в рамках Программы на рефинансирование одобрено </w:t>
      </w:r>
      <w:r w:rsidR="0018755E">
        <w:rPr>
          <w:rFonts w:ascii="Times New Roman" w:hAnsi="Times New Roman" w:cs="Times New Roman"/>
          <w:bCs/>
          <w:sz w:val="24"/>
          <w:szCs w:val="24"/>
        </w:rPr>
        <w:t xml:space="preserve">         </w:t>
      </w:r>
      <w:r w:rsidRPr="00C37701">
        <w:rPr>
          <w:rFonts w:ascii="Times New Roman" w:hAnsi="Times New Roman" w:cs="Times New Roman"/>
          <w:bCs/>
          <w:sz w:val="24"/>
          <w:szCs w:val="24"/>
        </w:rPr>
        <w:t>36,7 тыс. займов на сумму 251,8 млрд. тенге, из которых рефинансировано 34,2 тыс. займа на сумму 223,8 млрд. тенге.</w:t>
      </w:r>
    </w:p>
    <w:p w14:paraId="510FB8E2" w14:textId="7DDFF12E" w:rsidR="001F4F33" w:rsidRPr="00C37701" w:rsidRDefault="001F4F33" w:rsidP="0097449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701">
        <w:rPr>
          <w:rFonts w:ascii="Times New Roman" w:hAnsi="Times New Roman" w:cs="Times New Roman"/>
          <w:sz w:val="24"/>
          <w:szCs w:val="24"/>
        </w:rPr>
        <w:t xml:space="preserve">Анализ реализации Программы показал, что в дополнительной государственной поддержке нуждаются заемщики, относящиеся к социально уязвимым слоям населения, а также заемщики, чье единственное имущество перешло на баланс банков в счет исполнения обязательств по займам. В этой связи, постановлением Правления Национального Банка </w:t>
      </w:r>
      <w:r w:rsidR="00A561A6">
        <w:rPr>
          <w:rFonts w:ascii="Times New Roman" w:hAnsi="Times New Roman" w:cs="Times New Roman"/>
          <w:sz w:val="24"/>
          <w:szCs w:val="24"/>
        </w:rPr>
        <w:t xml:space="preserve">от 23 декабря 2019 года </w:t>
      </w:r>
      <w:r w:rsidR="00A561A6" w:rsidRPr="00C37701">
        <w:rPr>
          <w:rFonts w:ascii="Times New Roman" w:hAnsi="Times New Roman" w:cs="Times New Roman"/>
          <w:sz w:val="24"/>
          <w:szCs w:val="24"/>
        </w:rPr>
        <w:t>№</w:t>
      </w:r>
      <w:r w:rsidR="00A561A6">
        <w:rPr>
          <w:rFonts w:ascii="Times New Roman" w:hAnsi="Times New Roman" w:cs="Times New Roman"/>
          <w:sz w:val="24"/>
          <w:szCs w:val="24"/>
        </w:rPr>
        <w:t xml:space="preserve"> </w:t>
      </w:r>
      <w:r w:rsidR="00A561A6" w:rsidRPr="00C37701">
        <w:rPr>
          <w:rFonts w:ascii="Times New Roman" w:hAnsi="Times New Roman" w:cs="Times New Roman"/>
          <w:sz w:val="24"/>
          <w:szCs w:val="24"/>
        </w:rPr>
        <w:t xml:space="preserve">250 </w:t>
      </w:r>
      <w:r w:rsidRPr="00C37701">
        <w:rPr>
          <w:rFonts w:ascii="Times New Roman" w:hAnsi="Times New Roman" w:cs="Times New Roman"/>
          <w:sz w:val="24"/>
          <w:szCs w:val="24"/>
        </w:rPr>
        <w:t>в Программу внесены изменения и дополнения, предусматривающие предоставление банкам права оказания дополнительной помощи указанным категориям заемщиков.</w:t>
      </w:r>
      <w:r w:rsidRPr="00C37701">
        <w:rPr>
          <w:rFonts w:ascii="Times New Roman" w:eastAsia="Times New Roman" w:hAnsi="Times New Roman" w:cs="Times New Roman"/>
          <w:sz w:val="24"/>
          <w:szCs w:val="24"/>
          <w:lang w:eastAsia="ru-RU"/>
        </w:rPr>
        <w:t xml:space="preserve"> </w:t>
      </w:r>
    </w:p>
    <w:p w14:paraId="63349209" w14:textId="77777777" w:rsidR="005D7DA0" w:rsidRPr="00C37701" w:rsidRDefault="005D7DA0" w:rsidP="0097449D">
      <w:pPr>
        <w:tabs>
          <w:tab w:val="left" w:pos="993"/>
        </w:tabs>
        <w:spacing w:after="0" w:line="240" w:lineRule="auto"/>
        <w:ind w:firstLine="709"/>
        <w:contextualSpacing/>
        <w:jc w:val="both"/>
        <w:rPr>
          <w:rFonts w:ascii="Times New Roman" w:hAnsi="Times New Roman" w:cs="Times New Roman"/>
          <w:sz w:val="24"/>
          <w:szCs w:val="24"/>
        </w:rPr>
      </w:pPr>
    </w:p>
    <w:p w14:paraId="31E11309" w14:textId="1A2E5F82" w:rsidR="005D7DA0" w:rsidRPr="00C37701" w:rsidRDefault="005D7DA0" w:rsidP="00EE6A30">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Цель 2.7. Обеспечение функционирования платежных систем.</w:t>
      </w:r>
    </w:p>
    <w:p w14:paraId="0C6237A8" w14:textId="6C16264A" w:rsidR="00895732" w:rsidRPr="00C37701" w:rsidRDefault="00895732"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Возникновение чрезвычайных ситуаций, в том числе, природные катаклизмы, нарушение работоспособности третьих лиц, оказывающих услуги, для функционирования платежной системы (к примеру, услуги энергоснабжения и связи).</w:t>
      </w:r>
    </w:p>
    <w:p w14:paraId="2EFDEE64" w14:textId="77777777" w:rsidR="00895732" w:rsidRPr="00C37701" w:rsidRDefault="00895732" w:rsidP="0097449D">
      <w:pPr>
        <w:spacing w:after="0" w:line="240" w:lineRule="auto"/>
        <w:ind w:firstLine="709"/>
        <w:contextualSpacing/>
        <w:jc w:val="both"/>
        <w:rPr>
          <w:rFonts w:ascii="Times New Roman" w:hAnsi="Times New Roman" w:cs="Times New Roman"/>
          <w:b/>
          <w:bCs/>
          <w:i/>
          <w:sz w:val="24"/>
          <w:szCs w:val="24"/>
        </w:rPr>
      </w:pPr>
      <w:r w:rsidRPr="00C37701">
        <w:rPr>
          <w:rFonts w:ascii="Times New Roman" w:hAnsi="Times New Roman" w:cs="Times New Roman"/>
          <w:b/>
          <w:bCs/>
          <w:i/>
          <w:sz w:val="24"/>
          <w:szCs w:val="24"/>
        </w:rPr>
        <w:t>Мероприятия по управлению возможным риском:</w:t>
      </w:r>
    </w:p>
    <w:p w14:paraId="5EAF3B4F" w14:textId="77777777" w:rsidR="00895732" w:rsidRPr="00C37701" w:rsidRDefault="00895732" w:rsidP="0097449D">
      <w:pPr>
        <w:spacing w:after="0" w:line="240" w:lineRule="auto"/>
        <w:ind w:firstLine="709"/>
        <w:jc w:val="both"/>
        <w:rPr>
          <w:rFonts w:ascii="Times New Roman" w:hAnsi="Times New Roman" w:cs="Times New Roman"/>
          <w:b/>
          <w:bCs/>
          <w:i/>
          <w:sz w:val="24"/>
          <w:szCs w:val="24"/>
        </w:rPr>
      </w:pPr>
      <w:r w:rsidRPr="00C37701">
        <w:rPr>
          <w:rFonts w:ascii="Times New Roman" w:hAnsi="Times New Roman" w:cs="Times New Roman"/>
          <w:i/>
          <w:sz w:val="24"/>
          <w:szCs w:val="24"/>
        </w:rPr>
        <w:t xml:space="preserve">Поддержание работы резервного центра платежных систем, на серверы которого может быть переведена работа систем в случае возникновения чрезвычайных ситуаций в целях управления данными рисками в «горячем» режиме. </w:t>
      </w:r>
      <w:r w:rsidR="008C2682" w:rsidRPr="00C37701">
        <w:rPr>
          <w:rFonts w:ascii="Times New Roman" w:hAnsi="Times New Roman" w:cs="Times New Roman"/>
          <w:i/>
          <w:sz w:val="24"/>
          <w:szCs w:val="24"/>
        </w:rPr>
        <w:t>Программно</w:t>
      </w:r>
      <w:r w:rsidR="000658E9" w:rsidRPr="00C37701">
        <w:rPr>
          <w:rFonts w:ascii="Times New Roman" w:hAnsi="Times New Roman" w:cs="Times New Roman"/>
          <w:i/>
          <w:sz w:val="24"/>
          <w:szCs w:val="24"/>
        </w:rPr>
        <w:t>-технический комплекс</w:t>
      </w:r>
      <w:r w:rsidR="008C2682" w:rsidRPr="00C37701">
        <w:rPr>
          <w:rFonts w:ascii="Times New Roman" w:hAnsi="Times New Roman" w:cs="Times New Roman"/>
          <w:i/>
          <w:sz w:val="24"/>
          <w:szCs w:val="24"/>
        </w:rPr>
        <w:t xml:space="preserve"> платежных систем имеет двойную систему гарантированного энергоснабжения, а также резервные каналы связи.</w:t>
      </w:r>
    </w:p>
    <w:p w14:paraId="03831C65" w14:textId="77777777" w:rsidR="005C657A" w:rsidRPr="00C37701" w:rsidRDefault="005C657A" w:rsidP="0097449D">
      <w:pPr>
        <w:spacing w:after="0" w:line="240" w:lineRule="auto"/>
        <w:ind w:firstLine="709"/>
        <w:contextualSpacing/>
        <w:jc w:val="both"/>
        <w:rPr>
          <w:rFonts w:ascii="Times New Roman" w:hAnsi="Times New Roman" w:cs="Times New Roman"/>
          <w:spacing w:val="-6"/>
          <w:sz w:val="24"/>
          <w:szCs w:val="24"/>
        </w:rPr>
      </w:pPr>
      <w:r w:rsidRPr="00C37701">
        <w:rPr>
          <w:rFonts w:ascii="Times New Roman" w:hAnsi="Times New Roman" w:cs="Times New Roman"/>
          <w:sz w:val="24"/>
          <w:szCs w:val="24"/>
        </w:rPr>
        <w:t>В целях обеспечения беспрерывного функционирования платежных систем и поддержания резервного центра в постоянной готовности КЦМР за 201</w:t>
      </w:r>
      <w:r w:rsidR="008C2682" w:rsidRPr="00C37701">
        <w:rPr>
          <w:rFonts w:ascii="Times New Roman" w:hAnsi="Times New Roman" w:cs="Times New Roman"/>
          <w:sz w:val="24"/>
          <w:szCs w:val="24"/>
        </w:rPr>
        <w:t>9</w:t>
      </w:r>
      <w:r w:rsidRPr="00C37701">
        <w:rPr>
          <w:rFonts w:ascii="Times New Roman" w:hAnsi="Times New Roman" w:cs="Times New Roman"/>
          <w:sz w:val="24"/>
          <w:szCs w:val="24"/>
        </w:rPr>
        <w:t xml:space="preserve"> </w:t>
      </w:r>
      <w:r w:rsidR="007D60D2" w:rsidRPr="00C37701">
        <w:rPr>
          <w:rFonts w:ascii="Times New Roman" w:hAnsi="Times New Roman" w:cs="Times New Roman"/>
          <w:sz w:val="24"/>
          <w:szCs w:val="24"/>
        </w:rPr>
        <w:t xml:space="preserve">год </w:t>
      </w:r>
      <w:r w:rsidR="007D60D2" w:rsidRPr="00C37701">
        <w:rPr>
          <w:rFonts w:ascii="Times New Roman" w:hAnsi="Times New Roman" w:cs="Times New Roman"/>
          <w:sz w:val="24"/>
          <w:szCs w:val="24"/>
          <w:lang w:val="kk-KZ"/>
        </w:rPr>
        <w:t xml:space="preserve">дважды </w:t>
      </w:r>
      <w:r w:rsidRPr="00C37701">
        <w:rPr>
          <w:rFonts w:ascii="Times New Roman" w:hAnsi="Times New Roman" w:cs="Times New Roman"/>
          <w:sz w:val="24"/>
          <w:szCs w:val="24"/>
        </w:rPr>
        <w:t>был осуществлен плановый перевод работы платежных систем на программно-технический комплекс резервного центра.</w:t>
      </w:r>
    </w:p>
    <w:p w14:paraId="57E5083C" w14:textId="77777777" w:rsidR="005C657A" w:rsidRPr="00C37701" w:rsidRDefault="005C657A"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spacing w:val="-6"/>
          <w:sz w:val="24"/>
          <w:szCs w:val="24"/>
        </w:rPr>
        <w:t>При этом в течение 201</w:t>
      </w:r>
      <w:r w:rsidR="008C2682" w:rsidRPr="00C37701">
        <w:rPr>
          <w:rFonts w:ascii="Times New Roman" w:hAnsi="Times New Roman" w:cs="Times New Roman"/>
          <w:spacing w:val="-6"/>
          <w:sz w:val="24"/>
          <w:szCs w:val="24"/>
        </w:rPr>
        <w:t>9</w:t>
      </w:r>
      <w:r w:rsidRPr="00C37701">
        <w:rPr>
          <w:rFonts w:ascii="Times New Roman" w:hAnsi="Times New Roman" w:cs="Times New Roman"/>
          <w:spacing w:val="-6"/>
          <w:sz w:val="24"/>
          <w:szCs w:val="24"/>
        </w:rPr>
        <w:t xml:space="preserve"> года проводился мониторинг программно-технического комплекса платежных систем, оборудования и каналов связи в основном и резервных серверах.</w:t>
      </w:r>
    </w:p>
    <w:p w14:paraId="0879D2D2" w14:textId="77777777" w:rsidR="00895732" w:rsidRPr="00C37701" w:rsidRDefault="00895732" w:rsidP="0097449D">
      <w:pPr>
        <w:spacing w:after="0" w:line="240" w:lineRule="auto"/>
        <w:ind w:firstLine="709"/>
        <w:contextualSpacing/>
        <w:jc w:val="both"/>
        <w:rPr>
          <w:rFonts w:ascii="Times New Roman" w:hAnsi="Times New Roman" w:cs="Times New Roman"/>
          <w:b/>
          <w:i/>
          <w:sz w:val="24"/>
          <w:szCs w:val="24"/>
        </w:rPr>
      </w:pPr>
    </w:p>
    <w:p w14:paraId="449980C8" w14:textId="77777777" w:rsidR="00895732" w:rsidRPr="00C37701" w:rsidRDefault="00895732" w:rsidP="0097449D">
      <w:pPr>
        <w:spacing w:after="0" w:line="240" w:lineRule="auto"/>
        <w:ind w:firstLine="709"/>
        <w:contextualSpacing/>
        <w:jc w:val="both"/>
        <w:rPr>
          <w:rFonts w:ascii="Times New Roman" w:hAnsi="Times New Roman" w:cs="Times New Roman"/>
          <w:b/>
          <w:bCs/>
          <w:i/>
          <w:sz w:val="24"/>
          <w:szCs w:val="24"/>
        </w:rPr>
      </w:pPr>
      <w:r w:rsidRPr="00C37701">
        <w:rPr>
          <w:rFonts w:ascii="Times New Roman" w:hAnsi="Times New Roman" w:cs="Times New Roman"/>
          <w:b/>
          <w:i/>
          <w:sz w:val="24"/>
          <w:szCs w:val="24"/>
        </w:rPr>
        <w:t>Операционные риски (сбой оборудования, ошибки персонала, нарушение физической и информационной безопасности).</w:t>
      </w:r>
    </w:p>
    <w:p w14:paraId="4FEE3EDD" w14:textId="77777777" w:rsidR="00895732" w:rsidRPr="00C37701" w:rsidRDefault="00895732"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bCs/>
          <w:i/>
          <w:sz w:val="24"/>
          <w:szCs w:val="24"/>
        </w:rPr>
        <w:t>Мероприятия по управлению возможным риском:</w:t>
      </w:r>
    </w:p>
    <w:p w14:paraId="01EE85B2" w14:textId="77777777" w:rsidR="00895732" w:rsidRPr="00C37701" w:rsidRDefault="00895732"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Применение комплекса мер (в том числе, действуют внутренние документы по управлению рисками), предусматривающих проведение плановых (тестовых) мероприятий по переводу платежных систем на программно-технический комплекс резервного центра; постоянный мониторинг работоспособности оборудования; обеспечение необходимого уровня квалификации персонала, его обучение; защита от несанкционированного доступа; обеспечение информационной безопасности посредством ряда установленных мероприятий; управление физическим доступом посредства ряда мер и иные меры.</w:t>
      </w:r>
    </w:p>
    <w:p w14:paraId="368BB63C" w14:textId="77777777" w:rsidR="005C657A" w:rsidRPr="00C37701" w:rsidRDefault="005C657A" w:rsidP="0097449D">
      <w:pPr>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В течение 201</w:t>
      </w:r>
      <w:r w:rsidR="008C2682" w:rsidRPr="00C37701">
        <w:rPr>
          <w:rFonts w:ascii="Times New Roman" w:hAnsi="Times New Roman" w:cs="Times New Roman"/>
          <w:sz w:val="24"/>
          <w:szCs w:val="24"/>
        </w:rPr>
        <w:t>9</w:t>
      </w:r>
      <w:r w:rsidRPr="00C37701">
        <w:rPr>
          <w:rFonts w:ascii="Times New Roman" w:hAnsi="Times New Roman" w:cs="Times New Roman"/>
          <w:sz w:val="24"/>
          <w:szCs w:val="24"/>
        </w:rPr>
        <w:t xml:space="preserve"> года проводился постоянный мониторинг оборудования, профилактические работы и администрирование систем, в том числе, систем безопасности. Ошибки персонала, нарушения физической и информационной безопасности отсутствовали.</w:t>
      </w:r>
    </w:p>
    <w:p w14:paraId="28DAFAF6" w14:textId="77777777" w:rsidR="00895732" w:rsidRPr="00C37701" w:rsidRDefault="00895732" w:rsidP="0097449D">
      <w:pPr>
        <w:spacing w:after="0" w:line="240" w:lineRule="auto"/>
        <w:ind w:firstLine="709"/>
        <w:contextualSpacing/>
        <w:jc w:val="both"/>
        <w:rPr>
          <w:rFonts w:ascii="Times New Roman" w:hAnsi="Times New Roman" w:cs="Times New Roman"/>
          <w:b/>
          <w:sz w:val="24"/>
          <w:szCs w:val="24"/>
        </w:rPr>
      </w:pPr>
    </w:p>
    <w:p w14:paraId="2BF47946" w14:textId="77777777" w:rsidR="00F35DFB" w:rsidRDefault="00F35DFB">
      <w:pPr>
        <w:rPr>
          <w:rFonts w:ascii="Times New Roman" w:hAnsi="Times New Roman" w:cs="Times New Roman"/>
          <w:b/>
          <w:sz w:val="24"/>
          <w:szCs w:val="24"/>
        </w:rPr>
      </w:pPr>
      <w:r>
        <w:rPr>
          <w:rFonts w:ascii="Times New Roman" w:hAnsi="Times New Roman" w:cs="Times New Roman"/>
          <w:b/>
          <w:sz w:val="24"/>
          <w:szCs w:val="24"/>
        </w:rPr>
        <w:br w:type="page"/>
      </w:r>
    </w:p>
    <w:p w14:paraId="73DA6DB4" w14:textId="11956947" w:rsidR="006346A7" w:rsidRPr="00C37701" w:rsidRDefault="006346A7" w:rsidP="0097449D">
      <w:pPr>
        <w:spacing w:after="0" w:line="240" w:lineRule="auto"/>
        <w:ind w:firstLine="709"/>
        <w:contextualSpacing/>
        <w:jc w:val="center"/>
        <w:rPr>
          <w:rFonts w:ascii="Times New Roman" w:hAnsi="Times New Roman" w:cs="Times New Roman"/>
          <w:b/>
          <w:sz w:val="24"/>
          <w:szCs w:val="24"/>
        </w:rPr>
      </w:pPr>
      <w:r w:rsidRPr="00C37701">
        <w:rPr>
          <w:rFonts w:ascii="Times New Roman" w:hAnsi="Times New Roman" w:cs="Times New Roman"/>
          <w:b/>
          <w:sz w:val="24"/>
          <w:szCs w:val="24"/>
        </w:rPr>
        <w:lastRenderedPageBreak/>
        <w:t>Раздел 2. Достижение целей и целевых индикаторов</w:t>
      </w:r>
    </w:p>
    <w:p w14:paraId="1DAF9764" w14:textId="77777777" w:rsidR="006346A7" w:rsidRPr="00C37701" w:rsidRDefault="006346A7" w:rsidP="0097449D">
      <w:pPr>
        <w:spacing w:after="0" w:line="240" w:lineRule="auto"/>
        <w:ind w:firstLine="709"/>
        <w:contextualSpacing/>
        <w:jc w:val="center"/>
        <w:rPr>
          <w:rFonts w:ascii="Times New Roman" w:hAnsi="Times New Roman" w:cs="Times New Roman"/>
          <w:b/>
          <w:sz w:val="24"/>
          <w:szCs w:val="24"/>
        </w:rPr>
      </w:pPr>
    </w:p>
    <w:p w14:paraId="744F9AB0" w14:textId="4C383F30" w:rsidR="006346A7" w:rsidRPr="00C37701" w:rsidRDefault="0040052C" w:rsidP="0097449D">
      <w:pPr>
        <w:spacing w:after="0" w:line="240" w:lineRule="auto"/>
        <w:ind w:firstLine="709"/>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Стратегическое направление 1</w:t>
      </w:r>
      <w:r w:rsidR="00D9626D">
        <w:rPr>
          <w:rFonts w:ascii="Times New Roman" w:hAnsi="Times New Roman" w:cs="Times New Roman"/>
          <w:b/>
          <w:sz w:val="24"/>
          <w:szCs w:val="24"/>
          <w:u w:val="single"/>
        </w:rPr>
        <w:t>.</w:t>
      </w:r>
    </w:p>
    <w:p w14:paraId="2CEE3718" w14:textId="77777777" w:rsidR="006346A7" w:rsidRPr="00C37701" w:rsidRDefault="006346A7" w:rsidP="0097449D">
      <w:pPr>
        <w:spacing w:after="0" w:line="240" w:lineRule="auto"/>
        <w:ind w:firstLine="709"/>
        <w:contextualSpacing/>
        <w:jc w:val="center"/>
        <w:rPr>
          <w:rFonts w:ascii="Times New Roman" w:hAnsi="Times New Roman" w:cs="Times New Roman"/>
          <w:b/>
          <w:sz w:val="24"/>
          <w:szCs w:val="24"/>
          <w:u w:val="single"/>
        </w:rPr>
      </w:pPr>
      <w:r w:rsidRPr="00C37701">
        <w:rPr>
          <w:rFonts w:ascii="Times New Roman" w:hAnsi="Times New Roman" w:cs="Times New Roman"/>
          <w:b/>
          <w:sz w:val="24"/>
          <w:szCs w:val="24"/>
          <w:u w:val="single"/>
        </w:rPr>
        <w:t>Обеспечение стабильности цен</w:t>
      </w:r>
    </w:p>
    <w:p w14:paraId="49C44F96" w14:textId="77777777" w:rsidR="006346A7" w:rsidRPr="00C37701" w:rsidRDefault="006346A7" w:rsidP="0097449D">
      <w:pPr>
        <w:spacing w:after="0" w:line="240" w:lineRule="auto"/>
        <w:ind w:firstLine="709"/>
        <w:contextualSpacing/>
        <w:jc w:val="both"/>
        <w:rPr>
          <w:rFonts w:ascii="Times New Roman" w:hAnsi="Times New Roman" w:cs="Times New Roman"/>
          <w:b/>
          <w:i/>
          <w:sz w:val="24"/>
          <w:szCs w:val="24"/>
        </w:rPr>
      </w:pPr>
    </w:p>
    <w:p w14:paraId="0B2E0C5B" w14:textId="1D0224D6" w:rsidR="00F2659C" w:rsidRPr="00C37701" w:rsidRDefault="00F2659C"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Цель 1.1. Разработка и проведение денежно-кредитной политики государства. Удержание инфляции в целевом коридоре</w:t>
      </w:r>
      <w:r w:rsidR="0040052C">
        <w:rPr>
          <w:rFonts w:ascii="Times New Roman" w:hAnsi="Times New Roman" w:cs="Times New Roman"/>
          <w:b/>
          <w:i/>
          <w:sz w:val="24"/>
          <w:szCs w:val="24"/>
        </w:rPr>
        <w:t>.</w:t>
      </w:r>
    </w:p>
    <w:p w14:paraId="163AC64A" w14:textId="22E8A13A" w:rsidR="00F2659C" w:rsidRDefault="00F2659C"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Целевой индикатор: Годовой уровень инфляции (декабрь к декабрю</w:t>
      </w:r>
      <w:r w:rsidR="00EE6A30">
        <w:rPr>
          <w:rFonts w:ascii="Times New Roman" w:hAnsi="Times New Roman" w:cs="Times New Roman"/>
          <w:b/>
          <w:i/>
          <w:sz w:val="24"/>
          <w:szCs w:val="24"/>
        </w:rPr>
        <w:t xml:space="preserve">                   </w:t>
      </w:r>
      <w:r w:rsidRPr="00C37701">
        <w:rPr>
          <w:rFonts w:ascii="Times New Roman" w:hAnsi="Times New Roman" w:cs="Times New Roman"/>
          <w:b/>
          <w:i/>
          <w:sz w:val="24"/>
          <w:szCs w:val="24"/>
        </w:rPr>
        <w:t xml:space="preserve"> предыдущего года)</w:t>
      </w:r>
      <w:r w:rsidR="00D9626D">
        <w:rPr>
          <w:rFonts w:ascii="Times New Roman" w:hAnsi="Times New Roman" w:cs="Times New Roman"/>
          <w:b/>
          <w:i/>
          <w:sz w:val="24"/>
          <w:szCs w:val="24"/>
        </w:rPr>
        <w:t>–</w:t>
      </w:r>
      <w:r w:rsidRPr="00C37701">
        <w:rPr>
          <w:rFonts w:ascii="Times New Roman" w:hAnsi="Times New Roman" w:cs="Times New Roman"/>
          <w:b/>
          <w:i/>
          <w:sz w:val="24"/>
          <w:szCs w:val="24"/>
        </w:rPr>
        <w:t xml:space="preserve"> </w:t>
      </w:r>
      <w:r w:rsidR="00200032">
        <w:rPr>
          <w:rFonts w:ascii="Times New Roman" w:hAnsi="Times New Roman" w:cs="Times New Roman"/>
          <w:b/>
          <w:i/>
          <w:sz w:val="24"/>
          <w:szCs w:val="24"/>
        </w:rPr>
        <w:t>4</w:t>
      </w:r>
      <w:r w:rsidR="00200032">
        <w:rPr>
          <w:rFonts w:ascii="Times New Roman" w:hAnsi="Times New Roman" w:cs="Times New Roman"/>
          <w:i/>
          <w:sz w:val="24"/>
          <w:szCs w:val="24"/>
        </w:rPr>
        <w:t>-</w:t>
      </w:r>
      <w:r w:rsidR="00200032" w:rsidRPr="00F46196">
        <w:rPr>
          <w:rFonts w:ascii="Times New Roman" w:hAnsi="Times New Roman" w:cs="Times New Roman"/>
          <w:b/>
          <w:i/>
          <w:sz w:val="24"/>
          <w:szCs w:val="24"/>
        </w:rPr>
        <w:t>6</w:t>
      </w:r>
      <w:r w:rsidRPr="00F46196">
        <w:rPr>
          <w:rFonts w:ascii="Times New Roman" w:hAnsi="Times New Roman" w:cs="Times New Roman"/>
          <w:b/>
          <w:i/>
          <w:sz w:val="24"/>
          <w:szCs w:val="24"/>
        </w:rPr>
        <w:t>%</w:t>
      </w:r>
      <w:r w:rsidR="0040052C" w:rsidRPr="00F46196">
        <w:rPr>
          <w:rFonts w:ascii="Times New Roman" w:hAnsi="Times New Roman" w:cs="Times New Roman"/>
          <w:b/>
          <w:i/>
          <w:sz w:val="24"/>
          <w:szCs w:val="24"/>
        </w:rPr>
        <w:t>.</w:t>
      </w:r>
      <w:r w:rsidRPr="00C37701">
        <w:rPr>
          <w:rFonts w:ascii="Times New Roman" w:hAnsi="Times New Roman" w:cs="Times New Roman"/>
          <w:b/>
          <w:i/>
          <w:sz w:val="24"/>
          <w:szCs w:val="24"/>
        </w:rPr>
        <w:t xml:space="preserve"> </w:t>
      </w:r>
    </w:p>
    <w:p w14:paraId="4D24F1F4" w14:textId="6861DA34" w:rsidR="00200032" w:rsidRPr="00200032" w:rsidRDefault="00200032" w:rsidP="00200032">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В декабре 2019 года годовая инфляция составила 5,4%, что соответствует целевому коридору, установленному на конец 2019 года, 4-6%.</w:t>
      </w:r>
    </w:p>
    <w:p w14:paraId="67D5C5D8" w14:textId="77777777" w:rsidR="00495F3E" w:rsidRPr="00C37701" w:rsidRDefault="00495F3E"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bCs/>
          <w:i/>
          <w:iCs/>
          <w:sz w:val="24"/>
          <w:szCs w:val="24"/>
        </w:rPr>
        <w:t xml:space="preserve">Мероприятия для </w:t>
      </w:r>
      <w:r w:rsidR="006524F9" w:rsidRPr="00C37701">
        <w:rPr>
          <w:rFonts w:ascii="Times New Roman" w:hAnsi="Times New Roman" w:cs="Times New Roman"/>
          <w:b/>
          <w:bCs/>
          <w:i/>
          <w:iCs/>
          <w:sz w:val="24"/>
          <w:szCs w:val="24"/>
        </w:rPr>
        <w:t>достижения целевого</w:t>
      </w:r>
      <w:r w:rsidRPr="00C37701">
        <w:rPr>
          <w:rFonts w:ascii="Times New Roman" w:hAnsi="Times New Roman" w:cs="Times New Roman"/>
          <w:b/>
          <w:bCs/>
          <w:i/>
          <w:iCs/>
          <w:sz w:val="24"/>
          <w:szCs w:val="24"/>
        </w:rPr>
        <w:t xml:space="preserve"> индикатора:</w:t>
      </w:r>
    </w:p>
    <w:p w14:paraId="0F13E752" w14:textId="7E87C30C" w:rsidR="00495F3E" w:rsidRPr="00C37701" w:rsidRDefault="00495F3E"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Изменение нормативов минимальных резервных требований</w:t>
      </w:r>
      <w:r w:rsidR="0040052C">
        <w:rPr>
          <w:rFonts w:ascii="Times New Roman" w:hAnsi="Times New Roman" w:cs="Times New Roman"/>
          <w:i/>
          <w:sz w:val="24"/>
          <w:szCs w:val="24"/>
        </w:rPr>
        <w:t>.</w:t>
      </w:r>
    </w:p>
    <w:p w14:paraId="099DE98B" w14:textId="517DF374" w:rsidR="00495F3E" w:rsidRPr="00C37701" w:rsidRDefault="00495F3E"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2 июля 2019</w:t>
      </w:r>
      <w:r w:rsidR="00785E24" w:rsidRPr="00C37701">
        <w:rPr>
          <w:rFonts w:ascii="Times New Roman" w:hAnsi="Times New Roman" w:cs="Times New Roman"/>
          <w:sz w:val="24"/>
          <w:szCs w:val="24"/>
        </w:rPr>
        <w:t xml:space="preserve"> г</w:t>
      </w:r>
      <w:r w:rsidR="00964EB0">
        <w:rPr>
          <w:rFonts w:ascii="Times New Roman" w:hAnsi="Times New Roman" w:cs="Times New Roman"/>
          <w:sz w:val="24"/>
          <w:szCs w:val="24"/>
        </w:rPr>
        <w:t>ода</w:t>
      </w:r>
      <w:r w:rsidR="00785E24" w:rsidRPr="00C37701">
        <w:rPr>
          <w:rFonts w:ascii="Times New Roman" w:hAnsi="Times New Roman" w:cs="Times New Roman"/>
          <w:sz w:val="24"/>
          <w:szCs w:val="24"/>
        </w:rPr>
        <w:t xml:space="preserve"> были приняты</w:t>
      </w:r>
      <w:r w:rsidRPr="00C37701">
        <w:rPr>
          <w:rFonts w:ascii="Times New Roman" w:hAnsi="Times New Roman" w:cs="Times New Roman"/>
          <w:sz w:val="24"/>
          <w:szCs w:val="24"/>
        </w:rPr>
        <w:t xml:space="preserve"> следующие постановления Правления Национального Банка:</w:t>
      </w:r>
    </w:p>
    <w:p w14:paraId="0A15282E" w14:textId="00208212" w:rsidR="00495F3E" w:rsidRPr="00C37701" w:rsidRDefault="00495F3E"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1. «О внесении изменений и дополнения в постановление Правления Национального Банка Республики Казахстан</w:t>
      </w:r>
      <w:r w:rsidR="00DD7DCB">
        <w:rPr>
          <w:rFonts w:ascii="Times New Roman" w:hAnsi="Times New Roman" w:cs="Times New Roman"/>
          <w:sz w:val="24"/>
          <w:szCs w:val="24"/>
        </w:rPr>
        <w:t>»</w:t>
      </w:r>
      <w:r w:rsidRPr="00C37701">
        <w:rPr>
          <w:rFonts w:ascii="Times New Roman" w:hAnsi="Times New Roman" w:cs="Times New Roman"/>
          <w:sz w:val="24"/>
          <w:szCs w:val="24"/>
        </w:rPr>
        <w:t xml:space="preserve"> от 20 марта 2015 года №</w:t>
      </w:r>
      <w:r w:rsidR="00735A35">
        <w:rPr>
          <w:rFonts w:ascii="Times New Roman" w:hAnsi="Times New Roman" w:cs="Times New Roman"/>
          <w:sz w:val="24"/>
          <w:szCs w:val="24"/>
        </w:rPr>
        <w:t xml:space="preserve"> </w:t>
      </w:r>
      <w:r w:rsidRPr="00C37701">
        <w:rPr>
          <w:rFonts w:ascii="Times New Roman" w:hAnsi="Times New Roman" w:cs="Times New Roman"/>
          <w:sz w:val="24"/>
          <w:szCs w:val="24"/>
        </w:rPr>
        <w:t>38 «Об утверждении Правил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w:t>
      </w:r>
      <w:r w:rsidR="00200032">
        <w:rPr>
          <w:rFonts w:ascii="Times New Roman" w:hAnsi="Times New Roman" w:cs="Times New Roman"/>
          <w:sz w:val="24"/>
          <w:szCs w:val="24"/>
        </w:rPr>
        <w:t>ервирования и осуществления кон</w:t>
      </w:r>
      <w:r w:rsidRPr="00C37701">
        <w:rPr>
          <w:rFonts w:ascii="Times New Roman" w:hAnsi="Times New Roman" w:cs="Times New Roman"/>
          <w:sz w:val="24"/>
          <w:szCs w:val="24"/>
        </w:rPr>
        <w:t>троля за выполнением нормативов минимальных резервных требований», вступившие в силу 16 июля 2019 года;</w:t>
      </w:r>
    </w:p>
    <w:p w14:paraId="68B32667" w14:textId="77777777" w:rsidR="00495F3E" w:rsidRPr="00C37701" w:rsidRDefault="00495F3E"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2. «Об установлении нормативов минимальных резервных требований», вступающие в силу 13 августа 2019 года.</w:t>
      </w:r>
    </w:p>
    <w:p w14:paraId="3BD53860" w14:textId="7EFD3679" w:rsidR="00495F3E" w:rsidRPr="00C37701" w:rsidRDefault="00495F3E"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sz w:val="24"/>
          <w:szCs w:val="24"/>
        </w:rPr>
        <w:t>В 4 к</w:t>
      </w:r>
      <w:r w:rsidR="00964EB0">
        <w:rPr>
          <w:rFonts w:ascii="Times New Roman" w:hAnsi="Times New Roman" w:cs="Times New Roman"/>
          <w:sz w:val="24"/>
          <w:szCs w:val="24"/>
        </w:rPr>
        <w:t>вартале 2019 года было принято п</w:t>
      </w:r>
      <w:r w:rsidRPr="00C37701">
        <w:rPr>
          <w:rFonts w:ascii="Times New Roman" w:hAnsi="Times New Roman" w:cs="Times New Roman"/>
          <w:sz w:val="24"/>
          <w:szCs w:val="24"/>
        </w:rPr>
        <w:t xml:space="preserve">остановление Правления НБРК </w:t>
      </w:r>
      <w:r w:rsidR="00A35C7B">
        <w:rPr>
          <w:rFonts w:ascii="Times New Roman" w:hAnsi="Times New Roman" w:cs="Times New Roman"/>
          <w:sz w:val="24"/>
          <w:szCs w:val="24"/>
        </w:rPr>
        <w:t xml:space="preserve">                                             </w:t>
      </w:r>
      <w:r w:rsidRPr="00C37701">
        <w:rPr>
          <w:rFonts w:ascii="Times New Roman" w:hAnsi="Times New Roman" w:cs="Times New Roman"/>
          <w:sz w:val="24"/>
          <w:szCs w:val="24"/>
        </w:rPr>
        <w:t>от 29 ноября</w:t>
      </w:r>
      <w:r w:rsidR="00A35C7B">
        <w:rPr>
          <w:rFonts w:ascii="Times New Roman" w:hAnsi="Times New Roman" w:cs="Times New Roman"/>
          <w:sz w:val="24"/>
          <w:szCs w:val="24"/>
        </w:rPr>
        <w:t xml:space="preserve"> </w:t>
      </w:r>
      <w:r w:rsidR="00486159">
        <w:rPr>
          <w:rFonts w:ascii="Times New Roman" w:hAnsi="Times New Roman" w:cs="Times New Roman"/>
          <w:sz w:val="24"/>
          <w:szCs w:val="24"/>
        </w:rPr>
        <w:t>2019 года</w:t>
      </w:r>
      <w:r w:rsidRPr="00C37701">
        <w:rPr>
          <w:rFonts w:ascii="Times New Roman" w:hAnsi="Times New Roman" w:cs="Times New Roman"/>
          <w:sz w:val="24"/>
          <w:szCs w:val="24"/>
        </w:rPr>
        <w:t xml:space="preserve"> № 229 «Об утверждении Правил о минимальных требованиях».</w:t>
      </w:r>
    </w:p>
    <w:p w14:paraId="7DE0977C" w14:textId="77777777" w:rsidR="00495F3E" w:rsidRPr="00C37701" w:rsidRDefault="00495F3E" w:rsidP="0097449D">
      <w:pPr>
        <w:shd w:val="clear" w:color="auto" w:fill="FFFFFF"/>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Регулирование уровня базовой ставки Национального Банка РК</w:t>
      </w:r>
    </w:p>
    <w:p w14:paraId="2C205D5E" w14:textId="77777777" w:rsidR="00495F3E" w:rsidRPr="00C37701" w:rsidRDefault="00495F3E" w:rsidP="0097449D">
      <w:pPr>
        <w:shd w:val="clear" w:color="auto" w:fill="FFFFFF"/>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Национальный Банк продолжает практику установления базовой ставки и проведения ежедневных операций постоянного доступа и открытого рынка для регулирования ликвидности банковской системы, а также влияния на </w:t>
      </w:r>
      <w:proofErr w:type="spellStart"/>
      <w:r w:rsidRPr="00C37701">
        <w:rPr>
          <w:rFonts w:ascii="Times New Roman" w:hAnsi="Times New Roman" w:cs="Times New Roman"/>
          <w:sz w:val="24"/>
          <w:szCs w:val="24"/>
        </w:rPr>
        <w:t>таргетируемую</w:t>
      </w:r>
      <w:proofErr w:type="spellEnd"/>
      <w:r w:rsidRPr="00C37701">
        <w:rPr>
          <w:rFonts w:ascii="Times New Roman" w:hAnsi="Times New Roman" w:cs="Times New Roman"/>
          <w:sz w:val="24"/>
          <w:szCs w:val="24"/>
        </w:rPr>
        <w:t xml:space="preserve"> ставку.</w:t>
      </w:r>
    </w:p>
    <w:p w14:paraId="70AAB996" w14:textId="67F18A9F" w:rsidR="00495F3E" w:rsidRPr="00C37701" w:rsidRDefault="00495F3E" w:rsidP="0097449D">
      <w:pPr>
        <w:shd w:val="clear" w:color="auto" w:fill="FFFFFF"/>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Были приняты следующие постановления Совета директоров Национального Банка:</w:t>
      </w:r>
    </w:p>
    <w:p w14:paraId="609E928C" w14:textId="507AE3CC" w:rsidR="00495F3E" w:rsidRPr="00C37701" w:rsidRDefault="00CF309F" w:rsidP="00DD090A">
      <w:pPr>
        <w:pStyle w:val="a6"/>
        <w:numPr>
          <w:ilvl w:val="0"/>
          <w:numId w:val="52"/>
        </w:numPr>
        <w:shd w:val="clear" w:color="auto" w:fill="FFFFFF"/>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от 14 января </w:t>
      </w:r>
      <w:r w:rsidR="00495F3E" w:rsidRPr="00C37701">
        <w:rPr>
          <w:rFonts w:ascii="Times New Roman" w:hAnsi="Times New Roman" w:cs="Times New Roman"/>
          <w:sz w:val="24"/>
          <w:szCs w:val="24"/>
        </w:rPr>
        <w:t>2019</w:t>
      </w:r>
      <w:r>
        <w:rPr>
          <w:rFonts w:ascii="Times New Roman" w:hAnsi="Times New Roman" w:cs="Times New Roman"/>
          <w:sz w:val="24"/>
          <w:szCs w:val="24"/>
        </w:rPr>
        <w:t xml:space="preserve"> </w:t>
      </w:r>
      <w:r w:rsidR="00495F3E" w:rsidRPr="00C37701">
        <w:rPr>
          <w:rFonts w:ascii="Times New Roman" w:hAnsi="Times New Roman" w:cs="Times New Roman"/>
          <w:sz w:val="24"/>
          <w:szCs w:val="24"/>
        </w:rPr>
        <w:t>г</w:t>
      </w:r>
      <w:r>
        <w:rPr>
          <w:rFonts w:ascii="Times New Roman" w:hAnsi="Times New Roman" w:cs="Times New Roman"/>
          <w:sz w:val="24"/>
          <w:szCs w:val="24"/>
        </w:rPr>
        <w:t>ода № 1</w:t>
      </w:r>
      <w:r w:rsidR="00495F3E" w:rsidRPr="00C37701">
        <w:rPr>
          <w:rFonts w:ascii="Times New Roman" w:hAnsi="Times New Roman" w:cs="Times New Roman"/>
          <w:sz w:val="24"/>
          <w:szCs w:val="24"/>
        </w:rPr>
        <w:t xml:space="preserve"> «Об установлении базовой ставки Национального Банка </w:t>
      </w:r>
      <w:r w:rsidR="00E42DAC" w:rsidRPr="00C37701">
        <w:rPr>
          <w:rFonts w:ascii="Times New Roman" w:hAnsi="Times New Roman" w:cs="Times New Roman"/>
          <w:sz w:val="24"/>
          <w:szCs w:val="24"/>
        </w:rPr>
        <w:t>Республики Казахстан</w:t>
      </w:r>
      <w:r w:rsidR="00495F3E" w:rsidRPr="00C37701">
        <w:rPr>
          <w:rFonts w:ascii="Times New Roman" w:hAnsi="Times New Roman" w:cs="Times New Roman"/>
          <w:sz w:val="24"/>
          <w:szCs w:val="24"/>
        </w:rPr>
        <w:t>» (сохранение на уровне 9,25%);</w:t>
      </w:r>
    </w:p>
    <w:p w14:paraId="3E68E3CB" w14:textId="1581D730" w:rsidR="00495F3E" w:rsidRPr="00C37701" w:rsidRDefault="00495F3E" w:rsidP="00DD090A">
      <w:pPr>
        <w:pStyle w:val="a6"/>
        <w:numPr>
          <w:ilvl w:val="0"/>
          <w:numId w:val="52"/>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C37701">
        <w:rPr>
          <w:rFonts w:ascii="Times New Roman" w:hAnsi="Times New Roman" w:cs="Times New Roman"/>
          <w:sz w:val="24"/>
          <w:szCs w:val="24"/>
        </w:rPr>
        <w:t>от 04</w:t>
      </w:r>
      <w:r w:rsidR="00CF309F">
        <w:rPr>
          <w:rFonts w:ascii="Times New Roman" w:hAnsi="Times New Roman" w:cs="Times New Roman"/>
          <w:sz w:val="24"/>
          <w:szCs w:val="24"/>
        </w:rPr>
        <w:t xml:space="preserve"> марта </w:t>
      </w:r>
      <w:r w:rsidRPr="00C37701">
        <w:rPr>
          <w:rFonts w:ascii="Times New Roman" w:hAnsi="Times New Roman" w:cs="Times New Roman"/>
          <w:sz w:val="24"/>
          <w:szCs w:val="24"/>
        </w:rPr>
        <w:t>2019</w:t>
      </w:r>
      <w:r w:rsidR="00CF309F">
        <w:rPr>
          <w:rFonts w:ascii="Times New Roman" w:hAnsi="Times New Roman" w:cs="Times New Roman"/>
          <w:sz w:val="24"/>
          <w:szCs w:val="24"/>
        </w:rPr>
        <w:t xml:space="preserve"> </w:t>
      </w:r>
      <w:r w:rsidRPr="00C37701">
        <w:rPr>
          <w:rFonts w:ascii="Times New Roman" w:hAnsi="Times New Roman" w:cs="Times New Roman"/>
          <w:sz w:val="24"/>
          <w:szCs w:val="24"/>
        </w:rPr>
        <w:t>г</w:t>
      </w:r>
      <w:r w:rsidR="00CF309F">
        <w:rPr>
          <w:rFonts w:ascii="Times New Roman" w:hAnsi="Times New Roman" w:cs="Times New Roman"/>
          <w:sz w:val="24"/>
          <w:szCs w:val="24"/>
        </w:rPr>
        <w:t xml:space="preserve">ода </w:t>
      </w:r>
      <w:r w:rsidR="00CF309F" w:rsidRPr="00C37701">
        <w:rPr>
          <w:rFonts w:ascii="Times New Roman" w:hAnsi="Times New Roman" w:cs="Times New Roman"/>
          <w:sz w:val="24"/>
          <w:szCs w:val="24"/>
        </w:rPr>
        <w:t>№</w:t>
      </w:r>
      <w:r w:rsidR="00CF309F">
        <w:rPr>
          <w:rFonts w:ascii="Times New Roman" w:hAnsi="Times New Roman" w:cs="Times New Roman"/>
          <w:sz w:val="24"/>
          <w:szCs w:val="24"/>
        </w:rPr>
        <w:t xml:space="preserve"> </w:t>
      </w:r>
      <w:r w:rsidR="00CF309F" w:rsidRPr="00C37701">
        <w:rPr>
          <w:rFonts w:ascii="Times New Roman" w:hAnsi="Times New Roman" w:cs="Times New Roman"/>
          <w:sz w:val="24"/>
          <w:szCs w:val="24"/>
        </w:rPr>
        <w:t>16</w:t>
      </w:r>
      <w:r w:rsidRPr="00C37701">
        <w:rPr>
          <w:rFonts w:ascii="Times New Roman" w:hAnsi="Times New Roman" w:cs="Times New Roman"/>
          <w:sz w:val="24"/>
          <w:szCs w:val="24"/>
        </w:rPr>
        <w:t xml:space="preserve"> «Об установлении базовой ставки Национального Банка </w:t>
      </w:r>
      <w:r w:rsidR="00E42DAC" w:rsidRPr="00C37701">
        <w:rPr>
          <w:rFonts w:ascii="Times New Roman" w:hAnsi="Times New Roman" w:cs="Times New Roman"/>
          <w:sz w:val="24"/>
          <w:szCs w:val="24"/>
        </w:rPr>
        <w:t>Республики Казахстан</w:t>
      </w:r>
      <w:r w:rsidRPr="00C37701">
        <w:rPr>
          <w:rFonts w:ascii="Times New Roman" w:hAnsi="Times New Roman" w:cs="Times New Roman"/>
          <w:sz w:val="24"/>
          <w:szCs w:val="24"/>
        </w:rPr>
        <w:t>» (сохранение на уровне 9,25%);</w:t>
      </w:r>
    </w:p>
    <w:p w14:paraId="58F7C1E7" w14:textId="0E7B33D6" w:rsidR="00495F3E" w:rsidRPr="00C37701" w:rsidRDefault="00E42DAC" w:rsidP="00DD090A">
      <w:pPr>
        <w:pStyle w:val="a6"/>
        <w:numPr>
          <w:ilvl w:val="0"/>
          <w:numId w:val="52"/>
        </w:numPr>
        <w:shd w:val="clear" w:color="auto" w:fill="FFFFFF"/>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 15 апреля 2019 года №</w:t>
      </w:r>
      <w:r w:rsidR="00CF309F">
        <w:rPr>
          <w:rFonts w:ascii="Times New Roman" w:hAnsi="Times New Roman" w:cs="Times New Roman"/>
          <w:sz w:val="24"/>
          <w:szCs w:val="24"/>
        </w:rPr>
        <w:t xml:space="preserve"> </w:t>
      </w:r>
      <w:r>
        <w:rPr>
          <w:rFonts w:ascii="Times New Roman" w:hAnsi="Times New Roman" w:cs="Times New Roman"/>
          <w:sz w:val="24"/>
          <w:szCs w:val="24"/>
        </w:rPr>
        <w:t>21 «</w:t>
      </w:r>
      <w:r w:rsidR="00495F3E" w:rsidRPr="00C37701">
        <w:rPr>
          <w:rFonts w:ascii="Times New Roman" w:hAnsi="Times New Roman" w:cs="Times New Roman"/>
          <w:sz w:val="24"/>
          <w:szCs w:val="24"/>
        </w:rPr>
        <w:t>Об установлении базовой ставки Националь</w:t>
      </w:r>
      <w:r>
        <w:rPr>
          <w:rFonts w:ascii="Times New Roman" w:hAnsi="Times New Roman" w:cs="Times New Roman"/>
          <w:sz w:val="24"/>
          <w:szCs w:val="24"/>
        </w:rPr>
        <w:t>ного Банка Республики Казахстан»</w:t>
      </w:r>
      <w:r w:rsidR="00495F3E" w:rsidRPr="00C37701">
        <w:rPr>
          <w:rFonts w:ascii="Times New Roman" w:hAnsi="Times New Roman" w:cs="Times New Roman"/>
          <w:sz w:val="24"/>
          <w:szCs w:val="24"/>
        </w:rPr>
        <w:t xml:space="preserve"> (снижение до уровня 9,00%); </w:t>
      </w:r>
    </w:p>
    <w:p w14:paraId="33D6AEFC" w14:textId="00EA4728" w:rsidR="00495F3E" w:rsidRPr="00C37701" w:rsidRDefault="00DD7DCB" w:rsidP="00DD090A">
      <w:pPr>
        <w:pStyle w:val="a6"/>
        <w:numPr>
          <w:ilvl w:val="0"/>
          <w:numId w:val="52"/>
        </w:numPr>
        <w:shd w:val="clear" w:color="auto" w:fill="FFFFFF"/>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 3 июня 2019 года №</w:t>
      </w:r>
      <w:r w:rsidR="00CF309F">
        <w:rPr>
          <w:rFonts w:ascii="Times New Roman" w:hAnsi="Times New Roman" w:cs="Times New Roman"/>
          <w:sz w:val="24"/>
          <w:szCs w:val="24"/>
        </w:rPr>
        <w:t xml:space="preserve"> </w:t>
      </w:r>
      <w:r>
        <w:rPr>
          <w:rFonts w:ascii="Times New Roman" w:hAnsi="Times New Roman" w:cs="Times New Roman"/>
          <w:sz w:val="24"/>
          <w:szCs w:val="24"/>
        </w:rPr>
        <w:t>44 «</w:t>
      </w:r>
      <w:r w:rsidR="00495F3E" w:rsidRPr="00C37701">
        <w:rPr>
          <w:rFonts w:ascii="Times New Roman" w:hAnsi="Times New Roman" w:cs="Times New Roman"/>
          <w:sz w:val="24"/>
          <w:szCs w:val="24"/>
        </w:rPr>
        <w:t>Об установлении базовой ставки Националь</w:t>
      </w:r>
      <w:r>
        <w:rPr>
          <w:rFonts w:ascii="Times New Roman" w:hAnsi="Times New Roman" w:cs="Times New Roman"/>
          <w:sz w:val="24"/>
          <w:szCs w:val="24"/>
        </w:rPr>
        <w:t>ного Банка Республики Казахстан»</w:t>
      </w:r>
      <w:r w:rsidR="00495F3E" w:rsidRPr="00C37701">
        <w:rPr>
          <w:rFonts w:ascii="Times New Roman" w:hAnsi="Times New Roman" w:cs="Times New Roman"/>
          <w:sz w:val="24"/>
          <w:szCs w:val="24"/>
        </w:rPr>
        <w:t xml:space="preserve"> (сохранение на уровне 9,00%);</w:t>
      </w:r>
    </w:p>
    <w:p w14:paraId="4E03BAE2" w14:textId="0E83C6E1" w:rsidR="00495F3E" w:rsidRPr="00C37701" w:rsidRDefault="00E42DAC" w:rsidP="00DD090A">
      <w:pPr>
        <w:pStyle w:val="a6"/>
        <w:numPr>
          <w:ilvl w:val="0"/>
          <w:numId w:val="52"/>
        </w:numPr>
        <w:shd w:val="clear" w:color="auto" w:fill="FFFFFF"/>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 15 июля 2019 года №</w:t>
      </w:r>
      <w:r w:rsidR="00CF309F">
        <w:rPr>
          <w:rFonts w:ascii="Times New Roman" w:hAnsi="Times New Roman" w:cs="Times New Roman"/>
          <w:sz w:val="24"/>
          <w:szCs w:val="24"/>
        </w:rPr>
        <w:t xml:space="preserve"> </w:t>
      </w:r>
      <w:r>
        <w:rPr>
          <w:rFonts w:ascii="Times New Roman" w:hAnsi="Times New Roman" w:cs="Times New Roman"/>
          <w:sz w:val="24"/>
          <w:szCs w:val="24"/>
        </w:rPr>
        <w:t>54 «</w:t>
      </w:r>
      <w:r w:rsidR="00495F3E" w:rsidRPr="00C37701">
        <w:rPr>
          <w:rFonts w:ascii="Times New Roman" w:hAnsi="Times New Roman" w:cs="Times New Roman"/>
          <w:sz w:val="24"/>
          <w:szCs w:val="24"/>
        </w:rPr>
        <w:t>Об установлении базовой ставки Националь</w:t>
      </w:r>
      <w:r>
        <w:rPr>
          <w:rFonts w:ascii="Times New Roman" w:hAnsi="Times New Roman" w:cs="Times New Roman"/>
          <w:sz w:val="24"/>
          <w:szCs w:val="24"/>
        </w:rPr>
        <w:t>ного Банка Республики Казахстан»</w:t>
      </w:r>
      <w:r w:rsidR="00495F3E" w:rsidRPr="00C37701">
        <w:rPr>
          <w:rFonts w:ascii="Times New Roman" w:hAnsi="Times New Roman" w:cs="Times New Roman"/>
          <w:sz w:val="24"/>
          <w:szCs w:val="24"/>
        </w:rPr>
        <w:t xml:space="preserve"> (сохранение на уровне 9,00%); </w:t>
      </w:r>
    </w:p>
    <w:p w14:paraId="002558EE" w14:textId="5CBC6290" w:rsidR="00495F3E" w:rsidRPr="00C37701" w:rsidRDefault="00495F3E" w:rsidP="00DD090A">
      <w:pPr>
        <w:pStyle w:val="a6"/>
        <w:numPr>
          <w:ilvl w:val="0"/>
          <w:numId w:val="52"/>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C37701">
        <w:rPr>
          <w:rFonts w:ascii="Times New Roman" w:hAnsi="Times New Roman" w:cs="Times New Roman"/>
          <w:sz w:val="24"/>
          <w:szCs w:val="24"/>
        </w:rPr>
        <w:t>о</w:t>
      </w:r>
      <w:r w:rsidR="00E42DAC">
        <w:rPr>
          <w:rFonts w:ascii="Times New Roman" w:hAnsi="Times New Roman" w:cs="Times New Roman"/>
          <w:sz w:val="24"/>
          <w:szCs w:val="24"/>
        </w:rPr>
        <w:t>т 9 сентября 2019 года №</w:t>
      </w:r>
      <w:r w:rsidR="00CF309F">
        <w:rPr>
          <w:rFonts w:ascii="Times New Roman" w:hAnsi="Times New Roman" w:cs="Times New Roman"/>
          <w:sz w:val="24"/>
          <w:szCs w:val="24"/>
        </w:rPr>
        <w:t xml:space="preserve"> </w:t>
      </w:r>
      <w:r w:rsidR="00E42DAC">
        <w:rPr>
          <w:rFonts w:ascii="Times New Roman" w:hAnsi="Times New Roman" w:cs="Times New Roman"/>
          <w:sz w:val="24"/>
          <w:szCs w:val="24"/>
        </w:rPr>
        <w:t>63 «</w:t>
      </w:r>
      <w:r w:rsidRPr="00C37701">
        <w:rPr>
          <w:rFonts w:ascii="Times New Roman" w:hAnsi="Times New Roman" w:cs="Times New Roman"/>
          <w:sz w:val="24"/>
          <w:szCs w:val="24"/>
        </w:rPr>
        <w:t>Об установлении базовой ставки Национальн</w:t>
      </w:r>
      <w:r w:rsidR="00E42DAC">
        <w:rPr>
          <w:rFonts w:ascii="Times New Roman" w:hAnsi="Times New Roman" w:cs="Times New Roman"/>
          <w:sz w:val="24"/>
          <w:szCs w:val="24"/>
        </w:rPr>
        <w:t xml:space="preserve">ого Банка Республики Казахстан» </w:t>
      </w:r>
      <w:r w:rsidRPr="00C37701">
        <w:rPr>
          <w:rFonts w:ascii="Times New Roman" w:hAnsi="Times New Roman" w:cs="Times New Roman"/>
          <w:sz w:val="24"/>
          <w:szCs w:val="24"/>
        </w:rPr>
        <w:t>(повышение до уровня 9,25%);</w:t>
      </w:r>
    </w:p>
    <w:p w14:paraId="33D15A5C" w14:textId="59EC8754" w:rsidR="00495F3E" w:rsidRPr="00C37701" w:rsidRDefault="00495F3E" w:rsidP="00DD090A">
      <w:pPr>
        <w:pStyle w:val="a6"/>
        <w:numPr>
          <w:ilvl w:val="0"/>
          <w:numId w:val="52"/>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C37701">
        <w:rPr>
          <w:rFonts w:ascii="Times New Roman" w:hAnsi="Times New Roman" w:cs="Times New Roman"/>
          <w:sz w:val="24"/>
          <w:szCs w:val="24"/>
        </w:rPr>
        <w:t>от 28 октября 2019 года №</w:t>
      </w:r>
      <w:r w:rsidR="00CF309F">
        <w:rPr>
          <w:rFonts w:ascii="Times New Roman" w:hAnsi="Times New Roman" w:cs="Times New Roman"/>
          <w:sz w:val="24"/>
          <w:szCs w:val="24"/>
        </w:rPr>
        <w:t xml:space="preserve"> </w:t>
      </w:r>
      <w:r w:rsidRPr="00C37701">
        <w:rPr>
          <w:rFonts w:ascii="Times New Roman" w:hAnsi="Times New Roman" w:cs="Times New Roman"/>
          <w:sz w:val="24"/>
          <w:szCs w:val="24"/>
        </w:rPr>
        <w:t xml:space="preserve">73 </w:t>
      </w:r>
      <w:r w:rsidR="00E42DAC">
        <w:rPr>
          <w:rFonts w:ascii="Times New Roman" w:hAnsi="Times New Roman" w:cs="Times New Roman"/>
          <w:sz w:val="24"/>
          <w:szCs w:val="24"/>
        </w:rPr>
        <w:t>«</w:t>
      </w:r>
      <w:r w:rsidRPr="00C37701">
        <w:rPr>
          <w:rFonts w:ascii="Times New Roman" w:hAnsi="Times New Roman" w:cs="Times New Roman"/>
          <w:sz w:val="24"/>
          <w:szCs w:val="24"/>
        </w:rPr>
        <w:t>Об установлении базовой ставки Националь</w:t>
      </w:r>
      <w:r w:rsidR="00E42DAC">
        <w:rPr>
          <w:rFonts w:ascii="Times New Roman" w:hAnsi="Times New Roman" w:cs="Times New Roman"/>
          <w:sz w:val="24"/>
          <w:szCs w:val="24"/>
        </w:rPr>
        <w:t>ного Банка Республики Казахстан»</w:t>
      </w:r>
      <w:r w:rsidRPr="00C37701">
        <w:rPr>
          <w:rFonts w:ascii="Times New Roman" w:hAnsi="Times New Roman" w:cs="Times New Roman"/>
          <w:sz w:val="24"/>
          <w:szCs w:val="24"/>
        </w:rPr>
        <w:t xml:space="preserve"> (сохранение на уровне 9,25%);</w:t>
      </w:r>
    </w:p>
    <w:p w14:paraId="0184423C" w14:textId="5C8FB860" w:rsidR="00495F3E" w:rsidRPr="00C37701" w:rsidRDefault="00E42DAC" w:rsidP="00DD090A">
      <w:pPr>
        <w:pStyle w:val="a6"/>
        <w:numPr>
          <w:ilvl w:val="0"/>
          <w:numId w:val="52"/>
        </w:numPr>
        <w:shd w:val="clear" w:color="auto" w:fill="FFFFFF"/>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 9 декабря 2019 года №</w:t>
      </w:r>
      <w:r w:rsidR="00CF309F">
        <w:rPr>
          <w:rFonts w:ascii="Times New Roman" w:hAnsi="Times New Roman" w:cs="Times New Roman"/>
          <w:sz w:val="24"/>
          <w:szCs w:val="24"/>
        </w:rPr>
        <w:t xml:space="preserve"> </w:t>
      </w:r>
      <w:r>
        <w:rPr>
          <w:rFonts w:ascii="Times New Roman" w:hAnsi="Times New Roman" w:cs="Times New Roman"/>
          <w:sz w:val="24"/>
          <w:szCs w:val="24"/>
        </w:rPr>
        <w:t>92 «</w:t>
      </w:r>
      <w:r w:rsidR="00495F3E" w:rsidRPr="00C37701">
        <w:rPr>
          <w:rFonts w:ascii="Times New Roman" w:hAnsi="Times New Roman" w:cs="Times New Roman"/>
          <w:sz w:val="24"/>
          <w:szCs w:val="24"/>
        </w:rPr>
        <w:t>Об установлении базовой ставки Национальн</w:t>
      </w:r>
      <w:r>
        <w:rPr>
          <w:rFonts w:ascii="Times New Roman" w:hAnsi="Times New Roman" w:cs="Times New Roman"/>
          <w:sz w:val="24"/>
          <w:szCs w:val="24"/>
        </w:rPr>
        <w:t xml:space="preserve">ого Банка Республики Казахстан» </w:t>
      </w:r>
      <w:r w:rsidR="00495F3E" w:rsidRPr="00C37701">
        <w:rPr>
          <w:rFonts w:ascii="Times New Roman" w:hAnsi="Times New Roman" w:cs="Times New Roman"/>
          <w:sz w:val="24"/>
          <w:szCs w:val="24"/>
        </w:rPr>
        <w:t>(сохранение на уровне 9,25%).</w:t>
      </w:r>
    </w:p>
    <w:p w14:paraId="49EDAC3F" w14:textId="77777777" w:rsidR="00495F3E" w:rsidRPr="00DD090A" w:rsidRDefault="00495F3E" w:rsidP="00DD090A">
      <w:pPr>
        <w:shd w:val="clear" w:color="auto" w:fill="FFFFFF"/>
        <w:spacing w:after="0" w:line="240" w:lineRule="auto"/>
        <w:ind w:firstLine="709"/>
        <w:jc w:val="both"/>
        <w:rPr>
          <w:rFonts w:ascii="Times New Roman" w:hAnsi="Times New Roman" w:cs="Times New Roman"/>
          <w:sz w:val="24"/>
          <w:szCs w:val="24"/>
        </w:rPr>
      </w:pPr>
      <w:r w:rsidRPr="00DD090A">
        <w:rPr>
          <w:rFonts w:ascii="Times New Roman" w:hAnsi="Times New Roman" w:cs="Times New Roman"/>
          <w:sz w:val="24"/>
          <w:szCs w:val="24"/>
        </w:rPr>
        <w:t xml:space="preserve">Денежный рынок функционировал в условиях структурного профицита </w:t>
      </w:r>
      <w:proofErr w:type="spellStart"/>
      <w:r w:rsidRPr="00DD090A">
        <w:rPr>
          <w:rFonts w:ascii="Times New Roman" w:hAnsi="Times New Roman" w:cs="Times New Roman"/>
          <w:sz w:val="24"/>
          <w:szCs w:val="24"/>
        </w:rPr>
        <w:t>тенговой</w:t>
      </w:r>
      <w:proofErr w:type="spellEnd"/>
      <w:r w:rsidRPr="00DD090A">
        <w:rPr>
          <w:rFonts w:ascii="Times New Roman" w:hAnsi="Times New Roman" w:cs="Times New Roman"/>
          <w:sz w:val="24"/>
          <w:szCs w:val="24"/>
        </w:rPr>
        <w:t xml:space="preserve"> ликвидности. Основной объем изымался посредством краткосрочных нот Национального Банка. </w:t>
      </w:r>
    </w:p>
    <w:p w14:paraId="3DF5CC6C" w14:textId="77777777" w:rsidR="00F2659C" w:rsidRPr="00C37701" w:rsidRDefault="00F2659C" w:rsidP="0097449D">
      <w:pPr>
        <w:shd w:val="clear" w:color="auto" w:fill="FFFFFF"/>
        <w:spacing w:after="0" w:line="240" w:lineRule="auto"/>
        <w:ind w:firstLine="709"/>
        <w:contextualSpacing/>
        <w:jc w:val="both"/>
        <w:rPr>
          <w:rFonts w:ascii="Times New Roman" w:hAnsi="Times New Roman" w:cs="Times New Roman"/>
          <w:b/>
          <w:i/>
          <w:sz w:val="24"/>
          <w:szCs w:val="24"/>
        </w:rPr>
      </w:pPr>
    </w:p>
    <w:p w14:paraId="19B020E1" w14:textId="77777777" w:rsidR="00782142" w:rsidRPr="00C37701" w:rsidRDefault="00782142" w:rsidP="0097449D">
      <w:pPr>
        <w:shd w:val="clear" w:color="auto" w:fill="FFFFFF"/>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Цель 1.2. Обеспечение сохранности золотовалютных активов Национального Банка</w:t>
      </w:r>
    </w:p>
    <w:p w14:paraId="14EA22D2" w14:textId="77777777" w:rsidR="00782142" w:rsidRPr="00C37701" w:rsidRDefault="00782142"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Целевой индикатор: Объем золотовалютных резервов Национального Банка</w:t>
      </w:r>
    </w:p>
    <w:p w14:paraId="754685E9" w14:textId="10A13011" w:rsidR="00782142" w:rsidRPr="00C37701" w:rsidRDefault="00782142" w:rsidP="0097449D">
      <w:pPr>
        <w:spacing w:after="0" w:line="240" w:lineRule="auto"/>
        <w:ind w:firstLine="709"/>
        <w:contextualSpacing/>
        <w:jc w:val="both"/>
        <w:rPr>
          <w:rFonts w:ascii="Times New Roman" w:hAnsi="Times New Roman" w:cs="Times New Roman"/>
          <w:color w:val="000000"/>
          <w:sz w:val="24"/>
          <w:szCs w:val="24"/>
          <w:lang w:eastAsia="ru-RU"/>
        </w:rPr>
      </w:pPr>
      <w:r w:rsidRPr="00C37701">
        <w:rPr>
          <w:rFonts w:ascii="Times New Roman" w:hAnsi="Times New Roman" w:cs="Times New Roman"/>
          <w:color w:val="000000"/>
          <w:sz w:val="24"/>
          <w:szCs w:val="24"/>
          <w:lang w:eastAsia="ru-RU"/>
        </w:rPr>
        <w:t>(покрытие объема трех месяцев импорта товаров и услуг («1» покрывает, «0» не покрывает).</w:t>
      </w:r>
    </w:p>
    <w:p w14:paraId="2D8C419E" w14:textId="12BDB2F4" w:rsidR="00782142" w:rsidRPr="00C37701" w:rsidRDefault="00782142" w:rsidP="0097449D">
      <w:pPr>
        <w:spacing w:after="0" w:line="240" w:lineRule="auto"/>
        <w:ind w:firstLine="709"/>
        <w:contextualSpacing/>
        <w:jc w:val="both"/>
        <w:rPr>
          <w:rFonts w:ascii="Times New Roman" w:hAnsi="Times New Roman" w:cs="Times New Roman"/>
          <w:color w:val="000000"/>
          <w:sz w:val="24"/>
          <w:szCs w:val="24"/>
          <w:lang w:eastAsia="ru-RU"/>
        </w:rPr>
      </w:pPr>
      <w:r w:rsidRPr="00C37701">
        <w:rPr>
          <w:rFonts w:ascii="Times New Roman" w:hAnsi="Times New Roman" w:cs="Times New Roman"/>
          <w:color w:val="000000"/>
          <w:sz w:val="24"/>
          <w:szCs w:val="24"/>
          <w:lang w:eastAsia="ru-RU"/>
        </w:rPr>
        <w:lastRenderedPageBreak/>
        <w:t xml:space="preserve">Объем валовых международных резервов Национального Банка (без учета активов Национального фонда) по состоянию на </w:t>
      </w:r>
      <w:r w:rsidR="00086AD4" w:rsidRPr="00086AD4">
        <w:rPr>
          <w:rFonts w:ascii="Times New Roman" w:hAnsi="Times New Roman" w:cs="Times New Roman"/>
          <w:color w:val="000000"/>
          <w:sz w:val="24"/>
          <w:szCs w:val="24"/>
          <w:lang w:eastAsia="ru-RU"/>
        </w:rPr>
        <w:t>31 декабря 2019 года оценивался в 29,</w:t>
      </w:r>
      <w:proofErr w:type="gramStart"/>
      <w:r w:rsidR="00086AD4" w:rsidRPr="00086AD4">
        <w:rPr>
          <w:rFonts w:ascii="Times New Roman" w:hAnsi="Times New Roman" w:cs="Times New Roman"/>
          <w:color w:val="000000"/>
          <w:sz w:val="24"/>
          <w:szCs w:val="24"/>
          <w:lang w:eastAsia="ru-RU"/>
        </w:rPr>
        <w:t xml:space="preserve">0 </w:t>
      </w:r>
      <w:r w:rsidRPr="00C37701">
        <w:rPr>
          <w:rFonts w:ascii="Times New Roman" w:hAnsi="Times New Roman" w:cs="Times New Roman"/>
          <w:color w:val="000000"/>
          <w:sz w:val="24"/>
          <w:szCs w:val="24"/>
          <w:lang w:eastAsia="ru-RU"/>
        </w:rPr>
        <w:t xml:space="preserve"> млрд.</w:t>
      </w:r>
      <w:proofErr w:type="gramEnd"/>
      <w:r w:rsidRPr="00C37701">
        <w:rPr>
          <w:rFonts w:ascii="Times New Roman" w:hAnsi="Times New Roman" w:cs="Times New Roman"/>
          <w:color w:val="000000"/>
          <w:sz w:val="24"/>
          <w:szCs w:val="24"/>
          <w:lang w:eastAsia="ru-RU"/>
        </w:rPr>
        <w:t xml:space="preserve"> долларов США (30,9 млрд. долл. США на начало 2019 года), что обеспечивало финансирование 7,1 месяцев казахстанского импорта товаров и услуг. Таким образом, значение целевого индикатора соответствует «1».</w:t>
      </w:r>
    </w:p>
    <w:p w14:paraId="78BE1B8B" w14:textId="77777777" w:rsidR="00782142" w:rsidRPr="00C37701" w:rsidRDefault="00782142"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i/>
          <w:sz w:val="24"/>
          <w:szCs w:val="24"/>
        </w:rPr>
        <w:t>Мероприятия для достижения целевого индикатора:</w:t>
      </w:r>
    </w:p>
    <w:p w14:paraId="303398D6" w14:textId="77777777" w:rsidR="00782142" w:rsidRPr="00DD090A" w:rsidRDefault="00782142" w:rsidP="0097449D">
      <w:pPr>
        <w:autoSpaceDE w:val="0"/>
        <w:autoSpaceDN w:val="0"/>
        <w:adjustRightInd w:val="0"/>
        <w:spacing w:after="0" w:line="240" w:lineRule="auto"/>
        <w:ind w:firstLine="709"/>
        <w:contextualSpacing/>
        <w:jc w:val="both"/>
        <w:rPr>
          <w:rFonts w:ascii="Times New Roman" w:hAnsi="Times New Roman" w:cs="Times New Roman"/>
          <w:i/>
          <w:color w:val="000000"/>
          <w:sz w:val="24"/>
          <w:szCs w:val="24"/>
          <w:lang w:eastAsia="ru-RU"/>
        </w:rPr>
      </w:pPr>
      <w:r w:rsidRPr="00DD090A">
        <w:rPr>
          <w:rFonts w:ascii="Times New Roman" w:hAnsi="Times New Roman" w:cs="Times New Roman"/>
          <w:i/>
          <w:color w:val="000000"/>
          <w:sz w:val="24"/>
          <w:szCs w:val="24"/>
          <w:lang w:eastAsia="ru-RU"/>
        </w:rPr>
        <w:t>Расчет объема портфеля ликвидности к объему платежей по обслуживанию внешнего государственного долга на предстоящие 6 месяцев.</w:t>
      </w:r>
    </w:p>
    <w:p w14:paraId="467B0E9A" w14:textId="77777777" w:rsidR="00782142" w:rsidRPr="00C37701" w:rsidRDefault="00782142" w:rsidP="0097449D">
      <w:pPr>
        <w:autoSpaceDE w:val="0"/>
        <w:autoSpaceDN w:val="0"/>
        <w:adjustRightInd w:val="0"/>
        <w:spacing w:after="0" w:line="240" w:lineRule="auto"/>
        <w:ind w:firstLine="709"/>
        <w:contextualSpacing/>
        <w:jc w:val="both"/>
        <w:rPr>
          <w:rFonts w:ascii="Times New Roman" w:hAnsi="Times New Roman" w:cs="Times New Roman"/>
          <w:color w:val="000000"/>
          <w:sz w:val="24"/>
          <w:szCs w:val="24"/>
          <w:lang w:eastAsia="ru-RU"/>
        </w:rPr>
      </w:pPr>
      <w:r w:rsidRPr="00C37701">
        <w:rPr>
          <w:rFonts w:ascii="Times New Roman" w:hAnsi="Times New Roman" w:cs="Times New Roman"/>
          <w:color w:val="000000"/>
          <w:sz w:val="24"/>
          <w:szCs w:val="24"/>
          <w:lang w:eastAsia="ru-RU"/>
        </w:rPr>
        <w:t>По итогам 2019 года объем портфеля ликвидности золотовалютных резервов в 3,5 раза превосходил размер платежей по обслуживанию внешнего государственного долга на предстоящие 6 месяцев.</w:t>
      </w:r>
    </w:p>
    <w:p w14:paraId="79EC0102" w14:textId="77777777" w:rsidR="00782142" w:rsidRPr="00DD090A" w:rsidRDefault="00782142" w:rsidP="0097449D">
      <w:pPr>
        <w:spacing w:after="0" w:line="240" w:lineRule="auto"/>
        <w:ind w:firstLine="709"/>
        <w:contextualSpacing/>
        <w:jc w:val="both"/>
        <w:rPr>
          <w:rFonts w:ascii="Times New Roman" w:hAnsi="Times New Roman" w:cs="Times New Roman"/>
          <w:i/>
          <w:color w:val="000000"/>
          <w:sz w:val="24"/>
          <w:szCs w:val="24"/>
          <w:lang w:eastAsia="ru-RU"/>
        </w:rPr>
      </w:pPr>
      <w:r w:rsidRPr="00DD090A">
        <w:rPr>
          <w:rFonts w:ascii="Times New Roman" w:hAnsi="Times New Roman" w:cs="Times New Roman"/>
          <w:i/>
          <w:color w:val="000000"/>
          <w:sz w:val="24"/>
          <w:szCs w:val="24"/>
          <w:lang w:eastAsia="ru-RU"/>
        </w:rPr>
        <w:t>Совершение операций с активами для поддержания на должном уровне объема портфеля ликвидности.</w:t>
      </w:r>
    </w:p>
    <w:p w14:paraId="6DEFAC79" w14:textId="77777777" w:rsidR="00782142" w:rsidRPr="00C37701" w:rsidRDefault="00782142" w:rsidP="0097449D">
      <w:pPr>
        <w:spacing w:after="0" w:line="240" w:lineRule="auto"/>
        <w:ind w:firstLine="709"/>
        <w:contextualSpacing/>
        <w:jc w:val="both"/>
        <w:rPr>
          <w:rFonts w:ascii="Times New Roman" w:hAnsi="Times New Roman" w:cs="Times New Roman"/>
          <w:color w:val="000000"/>
          <w:sz w:val="24"/>
          <w:szCs w:val="24"/>
          <w:lang w:eastAsia="ru-RU"/>
        </w:rPr>
      </w:pPr>
      <w:r w:rsidRPr="00C37701">
        <w:rPr>
          <w:rFonts w:ascii="Times New Roman" w:hAnsi="Times New Roman" w:cs="Times New Roman"/>
          <w:color w:val="000000"/>
          <w:sz w:val="24"/>
          <w:szCs w:val="24"/>
          <w:lang w:eastAsia="ru-RU"/>
        </w:rPr>
        <w:t>Портфель ликвидности предназначен для проведения операций в целях реализации денежно-кредитной политики, поддержания высокого уровня ликвидности, удовлетворения краткосрочного спроса на валюту и обслуживания внешнего государственного долга. В течение отчетного периода Национальный Банк проводил операции для обеспечения ликвидности средств портфеля ликвидности, в том числе для поддержания на должном уровне объема портфеля ликвидности.</w:t>
      </w:r>
    </w:p>
    <w:p w14:paraId="1EB89CD0" w14:textId="2F2B5EC0" w:rsidR="00782142" w:rsidRPr="00DD090A" w:rsidRDefault="00782142" w:rsidP="0097449D">
      <w:pPr>
        <w:spacing w:after="0" w:line="240" w:lineRule="auto"/>
        <w:ind w:firstLine="709"/>
        <w:contextualSpacing/>
        <w:jc w:val="both"/>
        <w:rPr>
          <w:rFonts w:ascii="Times New Roman" w:hAnsi="Times New Roman" w:cs="Times New Roman"/>
          <w:i/>
          <w:color w:val="000000"/>
          <w:sz w:val="24"/>
          <w:szCs w:val="24"/>
          <w:lang w:eastAsia="ru-RU"/>
        </w:rPr>
      </w:pPr>
      <w:r w:rsidRPr="00DD090A">
        <w:rPr>
          <w:rFonts w:ascii="Times New Roman" w:hAnsi="Times New Roman" w:cs="Times New Roman"/>
          <w:i/>
          <w:color w:val="000000"/>
          <w:sz w:val="24"/>
          <w:szCs w:val="24"/>
          <w:lang w:eastAsia="ru-RU"/>
        </w:rPr>
        <w:t>Осуществление доверительного управления активами Национального фонда Республики Казахстан</w:t>
      </w:r>
      <w:r w:rsidR="00067FC8" w:rsidRPr="00DD090A">
        <w:rPr>
          <w:rFonts w:ascii="Times New Roman" w:hAnsi="Times New Roman" w:cs="Times New Roman"/>
          <w:i/>
          <w:color w:val="000000"/>
          <w:sz w:val="24"/>
          <w:szCs w:val="24"/>
          <w:lang w:eastAsia="ru-RU"/>
        </w:rPr>
        <w:t>.</w:t>
      </w:r>
    </w:p>
    <w:p w14:paraId="2B649EF9" w14:textId="77777777" w:rsidR="00593DA1" w:rsidRPr="00C37701" w:rsidRDefault="00782142" w:rsidP="0097449D">
      <w:pPr>
        <w:autoSpaceDE w:val="0"/>
        <w:autoSpaceDN w:val="0"/>
        <w:adjustRightInd w:val="0"/>
        <w:spacing w:after="0" w:line="240" w:lineRule="auto"/>
        <w:ind w:firstLine="709"/>
        <w:contextualSpacing/>
        <w:jc w:val="both"/>
        <w:rPr>
          <w:rFonts w:ascii="Times New Roman" w:hAnsi="Times New Roman" w:cs="Times New Roman"/>
          <w:color w:val="000000"/>
          <w:sz w:val="24"/>
          <w:szCs w:val="24"/>
          <w:lang w:eastAsia="ru-RU"/>
        </w:rPr>
      </w:pPr>
      <w:r w:rsidRPr="00C37701">
        <w:rPr>
          <w:rFonts w:ascii="Times New Roman" w:hAnsi="Times New Roman" w:cs="Times New Roman"/>
          <w:color w:val="000000"/>
          <w:sz w:val="24"/>
          <w:szCs w:val="24"/>
          <w:lang w:eastAsia="ru-RU"/>
        </w:rPr>
        <w:t>Национальный Банк в отчетном периоде осуществлял доверительное управление активами Национального фонда. Активы Национального фонда инвестированы в высоколиквидные ценные бумаги развитых и развивающихся рынков. По предварительным данным, по состоянию на 31 декабря 2019 года активы Национального фонда составили 61,7 млрд. долларов США (по сравнению с началом</w:t>
      </w:r>
      <w:r w:rsidR="008729E5" w:rsidRPr="00C37701">
        <w:rPr>
          <w:rFonts w:ascii="Times New Roman" w:hAnsi="Times New Roman" w:cs="Times New Roman"/>
          <w:color w:val="000000"/>
          <w:sz w:val="24"/>
          <w:szCs w:val="24"/>
          <w:lang w:eastAsia="ru-RU"/>
        </w:rPr>
        <w:t xml:space="preserve"> 2019 года увеличились на 6,4%).</w:t>
      </w:r>
    </w:p>
    <w:p w14:paraId="4E336DE7" w14:textId="77777777" w:rsidR="00F2659C" w:rsidRPr="00C37701" w:rsidRDefault="00F2659C" w:rsidP="0097449D">
      <w:pPr>
        <w:autoSpaceDE w:val="0"/>
        <w:autoSpaceDN w:val="0"/>
        <w:adjustRightInd w:val="0"/>
        <w:spacing w:after="0" w:line="240" w:lineRule="auto"/>
        <w:ind w:firstLine="709"/>
        <w:contextualSpacing/>
        <w:jc w:val="both"/>
        <w:rPr>
          <w:rFonts w:ascii="Times New Roman" w:eastAsia="SimSun" w:hAnsi="Times New Roman" w:cs="Times New Roman"/>
          <w:sz w:val="24"/>
          <w:szCs w:val="24"/>
          <w:lang w:eastAsia="ru-RU"/>
        </w:rPr>
      </w:pPr>
    </w:p>
    <w:p w14:paraId="260C20A5" w14:textId="77777777" w:rsidR="00F2659C" w:rsidRPr="00C37701" w:rsidRDefault="00F2659C" w:rsidP="0097449D">
      <w:pPr>
        <w:spacing w:after="0" w:line="240" w:lineRule="auto"/>
        <w:ind w:firstLine="709"/>
        <w:contextualSpacing/>
        <w:jc w:val="center"/>
        <w:rPr>
          <w:rFonts w:ascii="Times New Roman" w:hAnsi="Times New Roman" w:cs="Times New Roman"/>
          <w:b/>
          <w:sz w:val="24"/>
          <w:szCs w:val="24"/>
          <w:u w:val="single"/>
        </w:rPr>
      </w:pPr>
      <w:r w:rsidRPr="00C37701">
        <w:rPr>
          <w:rFonts w:ascii="Times New Roman" w:hAnsi="Times New Roman" w:cs="Times New Roman"/>
          <w:b/>
          <w:sz w:val="24"/>
          <w:szCs w:val="24"/>
          <w:u w:val="single"/>
        </w:rPr>
        <w:t>Стратегическое направление 2.</w:t>
      </w:r>
    </w:p>
    <w:p w14:paraId="3A4D18BB" w14:textId="77777777" w:rsidR="00F2659C" w:rsidRPr="00C37701" w:rsidRDefault="00F2659C" w:rsidP="0097449D">
      <w:pPr>
        <w:spacing w:after="0" w:line="240" w:lineRule="auto"/>
        <w:ind w:firstLine="709"/>
        <w:contextualSpacing/>
        <w:jc w:val="center"/>
        <w:rPr>
          <w:rFonts w:ascii="Times New Roman" w:hAnsi="Times New Roman" w:cs="Times New Roman"/>
          <w:b/>
          <w:sz w:val="24"/>
          <w:szCs w:val="24"/>
          <w:u w:val="single"/>
        </w:rPr>
      </w:pPr>
      <w:r w:rsidRPr="00C37701">
        <w:rPr>
          <w:rFonts w:ascii="Times New Roman" w:hAnsi="Times New Roman" w:cs="Times New Roman"/>
          <w:b/>
          <w:sz w:val="24"/>
          <w:szCs w:val="24"/>
          <w:u w:val="single"/>
        </w:rPr>
        <w:t>Обеспечение финансовой стабильности</w:t>
      </w:r>
    </w:p>
    <w:p w14:paraId="3ABAA004" w14:textId="77777777" w:rsidR="00F2659C" w:rsidRPr="00C37701" w:rsidRDefault="00F2659C" w:rsidP="0097449D">
      <w:pPr>
        <w:spacing w:after="0" w:line="240" w:lineRule="auto"/>
        <w:ind w:firstLine="709"/>
        <w:contextualSpacing/>
        <w:jc w:val="both"/>
        <w:rPr>
          <w:rFonts w:ascii="Times New Roman" w:hAnsi="Times New Roman" w:cs="Times New Roman"/>
          <w:b/>
          <w:i/>
          <w:color w:val="000000"/>
          <w:sz w:val="24"/>
          <w:szCs w:val="24"/>
        </w:rPr>
      </w:pPr>
    </w:p>
    <w:p w14:paraId="24998A61" w14:textId="77777777" w:rsidR="00F2659C" w:rsidRPr="00C37701" w:rsidRDefault="00F2659C" w:rsidP="0097449D">
      <w:pPr>
        <w:spacing w:after="0" w:line="240" w:lineRule="auto"/>
        <w:ind w:firstLine="709"/>
        <w:contextualSpacing/>
        <w:jc w:val="both"/>
        <w:rPr>
          <w:rFonts w:ascii="Times New Roman" w:hAnsi="Times New Roman" w:cs="Times New Roman"/>
          <w:i/>
          <w:color w:val="000000"/>
          <w:sz w:val="24"/>
          <w:szCs w:val="24"/>
        </w:rPr>
      </w:pPr>
      <w:r w:rsidRPr="00C37701">
        <w:rPr>
          <w:rFonts w:ascii="Times New Roman" w:hAnsi="Times New Roman" w:cs="Times New Roman"/>
          <w:b/>
          <w:i/>
          <w:color w:val="000000"/>
          <w:sz w:val="24"/>
          <w:szCs w:val="24"/>
        </w:rPr>
        <w:t>Цель 2.1.</w:t>
      </w:r>
      <w:r w:rsidRPr="00C37701">
        <w:rPr>
          <w:rFonts w:ascii="Times New Roman" w:hAnsi="Times New Roman" w:cs="Times New Roman"/>
          <w:i/>
          <w:color w:val="000000"/>
          <w:sz w:val="24"/>
          <w:szCs w:val="24"/>
        </w:rPr>
        <w:t xml:space="preserve"> </w:t>
      </w:r>
      <w:r w:rsidRPr="00C37701">
        <w:rPr>
          <w:rFonts w:ascii="Times New Roman" w:hAnsi="Times New Roman" w:cs="Times New Roman"/>
          <w:b/>
          <w:i/>
          <w:color w:val="000000"/>
          <w:sz w:val="24"/>
          <w:szCs w:val="24"/>
        </w:rPr>
        <w:t>Повышение финансовой устойчивости и конкурентоспособности банковского сектора</w:t>
      </w:r>
    </w:p>
    <w:p w14:paraId="0D6158C6" w14:textId="7342635D" w:rsidR="00F2659C" w:rsidRPr="00C37701" w:rsidRDefault="00F2659C" w:rsidP="0097449D">
      <w:pPr>
        <w:spacing w:after="0" w:line="240" w:lineRule="auto"/>
        <w:ind w:firstLine="709"/>
        <w:contextualSpacing/>
        <w:jc w:val="both"/>
        <w:rPr>
          <w:rFonts w:ascii="Times New Roman" w:hAnsi="Times New Roman" w:cs="Times New Roman"/>
          <w:i/>
          <w:sz w:val="24"/>
          <w:szCs w:val="24"/>
          <w:lang w:val="kk-KZ"/>
        </w:rPr>
      </w:pPr>
      <w:r w:rsidRPr="00C37701">
        <w:rPr>
          <w:rFonts w:ascii="Times New Roman" w:hAnsi="Times New Roman" w:cs="Times New Roman"/>
          <w:b/>
          <w:i/>
          <w:sz w:val="24"/>
          <w:szCs w:val="24"/>
        </w:rPr>
        <w:t>Целевой индикатор 1:</w:t>
      </w:r>
      <w:r w:rsidRPr="00C37701">
        <w:rPr>
          <w:rFonts w:ascii="Times New Roman" w:hAnsi="Times New Roman" w:cs="Times New Roman"/>
          <w:i/>
          <w:sz w:val="24"/>
          <w:szCs w:val="24"/>
        </w:rPr>
        <w:t xml:space="preserve"> </w:t>
      </w:r>
      <w:r w:rsidRPr="00C37701">
        <w:rPr>
          <w:rFonts w:ascii="Times New Roman" w:hAnsi="Times New Roman" w:cs="Times New Roman"/>
          <w:b/>
          <w:i/>
          <w:sz w:val="24"/>
          <w:szCs w:val="24"/>
          <w:lang w:val="kk-KZ"/>
        </w:rPr>
        <w:t xml:space="preserve">Показатель «Надежность банков» Глобального индекса конкурентоспособности </w:t>
      </w:r>
      <w:r w:rsidR="00FB241C" w:rsidRPr="00C37701">
        <w:rPr>
          <w:rFonts w:ascii="Times New Roman" w:hAnsi="Times New Roman" w:cs="Times New Roman"/>
          <w:i/>
          <w:sz w:val="24"/>
          <w:szCs w:val="24"/>
          <w:lang w:val="kk-KZ"/>
        </w:rPr>
        <w:t>(12</w:t>
      </w:r>
      <w:r w:rsidRPr="00C37701">
        <w:rPr>
          <w:rFonts w:ascii="Times New Roman" w:hAnsi="Times New Roman" w:cs="Times New Roman"/>
          <w:i/>
          <w:sz w:val="24"/>
          <w:szCs w:val="24"/>
          <w:lang w:val="kk-KZ"/>
        </w:rPr>
        <w:t>1 место в рейтинге ГИК ВЭФ)</w:t>
      </w:r>
    </w:p>
    <w:p w14:paraId="6A976BEF" w14:textId="77777777" w:rsidR="00F2659C" w:rsidRPr="00C37701" w:rsidRDefault="008729E5" w:rsidP="0097449D">
      <w:pPr>
        <w:spacing w:after="0" w:line="240" w:lineRule="auto"/>
        <w:ind w:firstLine="709"/>
        <w:contextualSpacing/>
        <w:jc w:val="both"/>
        <w:rPr>
          <w:rFonts w:ascii="Times New Roman" w:hAnsi="Times New Roman" w:cs="Times New Roman"/>
          <w:b/>
          <w:bCs/>
          <w:i/>
          <w:iCs/>
          <w:sz w:val="24"/>
          <w:szCs w:val="24"/>
        </w:rPr>
      </w:pPr>
      <w:r w:rsidRPr="00C37701">
        <w:rPr>
          <w:rFonts w:ascii="Times New Roman" w:hAnsi="Times New Roman" w:cs="Times New Roman"/>
          <w:b/>
          <w:bCs/>
          <w:i/>
          <w:iCs/>
          <w:sz w:val="24"/>
          <w:szCs w:val="24"/>
        </w:rPr>
        <w:t>Мероприятия для достижения</w:t>
      </w:r>
      <w:r w:rsidR="00F2659C" w:rsidRPr="00C37701">
        <w:rPr>
          <w:rFonts w:ascii="Times New Roman" w:hAnsi="Times New Roman" w:cs="Times New Roman"/>
          <w:b/>
          <w:bCs/>
          <w:i/>
          <w:iCs/>
          <w:sz w:val="24"/>
          <w:szCs w:val="24"/>
        </w:rPr>
        <w:t xml:space="preserve"> целевого индикатора:</w:t>
      </w:r>
    </w:p>
    <w:p w14:paraId="4E149F04" w14:textId="77777777" w:rsidR="00F2659C" w:rsidRPr="00C37701" w:rsidRDefault="00F2659C" w:rsidP="0097449D">
      <w:pPr>
        <w:spacing w:after="0" w:line="240" w:lineRule="auto"/>
        <w:ind w:firstLine="709"/>
        <w:contextualSpacing/>
        <w:jc w:val="both"/>
        <w:rPr>
          <w:rFonts w:ascii="Times New Roman" w:hAnsi="Times New Roman" w:cs="Times New Roman"/>
          <w:color w:val="000000"/>
          <w:sz w:val="24"/>
          <w:szCs w:val="24"/>
          <w:lang w:eastAsia="ru-RU"/>
        </w:rPr>
      </w:pPr>
      <w:r w:rsidRPr="00C37701">
        <w:rPr>
          <w:rFonts w:ascii="Times New Roman" w:hAnsi="Times New Roman" w:cs="Times New Roman"/>
          <w:i/>
          <w:sz w:val="24"/>
          <w:szCs w:val="24"/>
        </w:rPr>
        <w:t>Проведение обследования параметров кредитного рынка.</w:t>
      </w:r>
    </w:p>
    <w:p w14:paraId="08254B93" w14:textId="77777777" w:rsidR="00DA3614" w:rsidRPr="00C37701" w:rsidRDefault="00DA3614"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Для достижения основных целей денежно-кредитной политики и финансовой стабильности Национальный Банк Республики Казахстан производит мониторинг развития кредитного рынка посредством проведения ежеквартального обследования банков второго уровня. </w:t>
      </w:r>
    </w:p>
    <w:p w14:paraId="19D10831" w14:textId="5C6FCFAF" w:rsidR="00DA3614" w:rsidRPr="00C37701" w:rsidRDefault="00DA3614"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В 2019 года было проведено 4 квартальных обследования параметров кредитования, по итогам которых были размещены публикации на официальном сайте Н</w:t>
      </w:r>
      <w:r w:rsidR="00D4012D">
        <w:rPr>
          <w:rFonts w:ascii="Times New Roman" w:hAnsi="Times New Roman" w:cs="Times New Roman"/>
          <w:sz w:val="24"/>
          <w:szCs w:val="24"/>
        </w:rPr>
        <w:t xml:space="preserve">ационального </w:t>
      </w:r>
      <w:r w:rsidRPr="00C37701">
        <w:rPr>
          <w:rFonts w:ascii="Times New Roman" w:hAnsi="Times New Roman" w:cs="Times New Roman"/>
          <w:sz w:val="24"/>
          <w:szCs w:val="24"/>
        </w:rPr>
        <w:t>Б</w:t>
      </w:r>
      <w:r w:rsidR="00D4012D">
        <w:rPr>
          <w:rFonts w:ascii="Times New Roman" w:hAnsi="Times New Roman" w:cs="Times New Roman"/>
          <w:sz w:val="24"/>
          <w:szCs w:val="24"/>
        </w:rPr>
        <w:t>анка</w:t>
      </w:r>
      <w:r w:rsidRPr="00C37701">
        <w:rPr>
          <w:rFonts w:ascii="Times New Roman" w:hAnsi="Times New Roman" w:cs="Times New Roman"/>
          <w:sz w:val="24"/>
          <w:szCs w:val="24"/>
        </w:rPr>
        <w:t xml:space="preserve">. </w:t>
      </w:r>
    </w:p>
    <w:p w14:paraId="033405B7" w14:textId="77777777" w:rsidR="00DA3614" w:rsidRPr="00C37701" w:rsidRDefault="00DA3614" w:rsidP="0097449D">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7701">
        <w:rPr>
          <w:rFonts w:ascii="Times New Roman" w:hAnsi="Times New Roman" w:cs="Times New Roman"/>
          <w:i/>
          <w:sz w:val="24"/>
          <w:szCs w:val="24"/>
        </w:rPr>
        <w:t>Корпоративный сектор.</w:t>
      </w:r>
      <w:r w:rsidRPr="00C37701">
        <w:rPr>
          <w:rFonts w:ascii="Times New Roman" w:hAnsi="Times New Roman" w:cs="Times New Roman"/>
          <w:sz w:val="24"/>
          <w:szCs w:val="24"/>
        </w:rPr>
        <w:t xml:space="preserve"> 2019 год </w:t>
      </w:r>
      <w:r w:rsidRPr="00C37701">
        <w:rPr>
          <w:rFonts w:ascii="Times New Roman" w:eastAsia="Times New Roman" w:hAnsi="Times New Roman" w:cs="Times New Roman"/>
          <w:color w:val="000000"/>
          <w:sz w:val="24"/>
          <w:szCs w:val="24"/>
          <w:lang w:eastAsia="ru-RU"/>
        </w:rPr>
        <w:t xml:space="preserve">банки начали с ужесточения требований к корпоративному </w:t>
      </w:r>
      <w:proofErr w:type="spellStart"/>
      <w:r w:rsidRPr="00C37701">
        <w:rPr>
          <w:rFonts w:ascii="Times New Roman" w:eastAsia="Times New Roman" w:hAnsi="Times New Roman" w:cs="Times New Roman"/>
          <w:color w:val="000000"/>
          <w:sz w:val="24"/>
          <w:szCs w:val="24"/>
          <w:lang w:eastAsia="ru-RU"/>
        </w:rPr>
        <w:t>андеррайтингу</w:t>
      </w:r>
      <w:proofErr w:type="spellEnd"/>
      <w:r w:rsidRPr="00C37701">
        <w:rPr>
          <w:rFonts w:ascii="Times New Roman" w:eastAsia="Times New Roman" w:hAnsi="Times New Roman" w:cs="Times New Roman"/>
          <w:color w:val="000000"/>
          <w:sz w:val="24"/>
          <w:szCs w:val="24"/>
          <w:lang w:eastAsia="ru-RU"/>
        </w:rPr>
        <w:t>, в частности, повышались требования к залогу и финансовому положению заемщика, что снижало спрос по системе. После незначительного ужесточения банки напротив смягчали условия корпоративного кредитования во втором квартале 2019 года на фоне усилившейся конкуренции за качественных заемщиков, что привело к снижению ставок и сужению маржи. Снижение процентных ставок и возросшая потребность в оборотном капитале повышали спрос на кредит. Также возрастала готовность банков предоставлять займы в рамках Программы льготного кредитования приоритетных отраслей экономики в связи со смягчением требований по целевому назначению.</w:t>
      </w:r>
    </w:p>
    <w:p w14:paraId="7DCBDCA6" w14:textId="2221BD1D" w:rsidR="00DA3614" w:rsidRPr="00C37701" w:rsidRDefault="00DA3614"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eastAsia="Times New Roman" w:hAnsi="Times New Roman" w:cs="Times New Roman"/>
          <w:color w:val="000000"/>
          <w:sz w:val="24"/>
          <w:szCs w:val="24"/>
          <w:lang w:eastAsia="ru-RU"/>
        </w:rPr>
        <w:t xml:space="preserve">В условиях продолжающейся конкуренции за качественных заемщиков </w:t>
      </w:r>
      <w:r w:rsidR="00A35C7B">
        <w:rPr>
          <w:rFonts w:ascii="Times New Roman" w:eastAsia="Times New Roman" w:hAnsi="Times New Roman" w:cs="Times New Roman"/>
          <w:color w:val="000000"/>
          <w:sz w:val="24"/>
          <w:szCs w:val="24"/>
          <w:lang w:eastAsia="ru-RU"/>
        </w:rPr>
        <w:t xml:space="preserve">                                         </w:t>
      </w:r>
      <w:r w:rsidR="002A26FE" w:rsidRPr="002A26FE">
        <w:rPr>
          <w:rFonts w:ascii="Times New Roman" w:eastAsia="Times New Roman" w:hAnsi="Times New Roman" w:cs="Times New Roman"/>
          <w:color w:val="000000"/>
          <w:sz w:val="24"/>
          <w:szCs w:val="24"/>
          <w:lang w:eastAsia="ru-RU"/>
        </w:rPr>
        <w:t xml:space="preserve">во </w:t>
      </w:r>
      <w:r w:rsidR="007D7DE4">
        <w:rPr>
          <w:rFonts w:ascii="Times New Roman" w:eastAsia="Times New Roman" w:hAnsi="Times New Roman" w:cs="Times New Roman"/>
          <w:color w:val="000000"/>
          <w:sz w:val="24"/>
          <w:szCs w:val="24"/>
          <w:lang w:val="en-US" w:eastAsia="ru-RU"/>
        </w:rPr>
        <w:t>II</w:t>
      </w:r>
      <w:r w:rsidR="002A26FE" w:rsidRPr="002A26FE">
        <w:rPr>
          <w:rFonts w:ascii="Times New Roman" w:eastAsia="Times New Roman" w:hAnsi="Times New Roman" w:cs="Times New Roman"/>
          <w:color w:val="000000"/>
          <w:sz w:val="24"/>
          <w:szCs w:val="24"/>
          <w:lang w:eastAsia="ru-RU"/>
        </w:rPr>
        <w:t xml:space="preserve"> полугодии </w:t>
      </w:r>
      <w:r w:rsidRPr="002A26FE">
        <w:rPr>
          <w:rFonts w:ascii="Times New Roman" w:eastAsia="Times New Roman" w:hAnsi="Times New Roman" w:cs="Times New Roman"/>
          <w:color w:val="000000"/>
          <w:sz w:val="24"/>
          <w:szCs w:val="24"/>
          <w:lang w:eastAsia="ru-RU"/>
        </w:rPr>
        <w:t>2019</w:t>
      </w:r>
      <w:r w:rsidR="002A26FE" w:rsidRPr="002A26FE">
        <w:rPr>
          <w:rFonts w:ascii="Times New Roman" w:eastAsia="Times New Roman" w:hAnsi="Times New Roman" w:cs="Times New Roman"/>
          <w:color w:val="000000"/>
          <w:sz w:val="24"/>
          <w:szCs w:val="24"/>
          <w:lang w:eastAsia="ru-RU"/>
        </w:rPr>
        <w:t xml:space="preserve"> года</w:t>
      </w:r>
      <w:r w:rsidRPr="002A26FE">
        <w:rPr>
          <w:rFonts w:ascii="Times New Roman" w:eastAsia="Times New Roman" w:hAnsi="Times New Roman" w:cs="Times New Roman"/>
          <w:color w:val="000000"/>
          <w:sz w:val="24"/>
          <w:szCs w:val="24"/>
          <w:lang w:eastAsia="ru-RU"/>
        </w:rPr>
        <w:t xml:space="preserve"> банки продолжали снижать ставки по займам для крупного бизнеса, что</w:t>
      </w:r>
      <w:r w:rsidRPr="00C37701">
        <w:rPr>
          <w:rFonts w:ascii="Times New Roman" w:eastAsia="Times New Roman" w:hAnsi="Times New Roman" w:cs="Times New Roman"/>
          <w:color w:val="000000"/>
          <w:sz w:val="24"/>
          <w:szCs w:val="24"/>
          <w:lang w:eastAsia="ru-RU"/>
        </w:rPr>
        <w:t xml:space="preserve"> также сужало маржу. Спрос со стороны крупного и среднего бизнеса в основном поддерживался краткосрочными займами и финансированием оборотных средств. Предложение долгосрочного </w:t>
      </w:r>
      <w:r w:rsidRPr="00C37701">
        <w:rPr>
          <w:rFonts w:ascii="Times New Roman" w:eastAsia="Times New Roman" w:hAnsi="Times New Roman" w:cs="Times New Roman"/>
          <w:color w:val="000000"/>
          <w:sz w:val="24"/>
          <w:szCs w:val="24"/>
          <w:lang w:eastAsia="ru-RU"/>
        </w:rPr>
        <w:lastRenderedPageBreak/>
        <w:t xml:space="preserve">кредита было представлено в основном кредитом в рамках государственных программ. Банки все больше делали акцент на развитие кредитования МСБ, в частности, упрощали процессы выдачи кредитов, разрабатывали новые </w:t>
      </w:r>
      <w:proofErr w:type="spellStart"/>
      <w:r w:rsidRPr="00C37701">
        <w:rPr>
          <w:rFonts w:ascii="Times New Roman" w:eastAsia="Times New Roman" w:hAnsi="Times New Roman" w:cs="Times New Roman"/>
          <w:color w:val="000000"/>
          <w:sz w:val="24"/>
          <w:szCs w:val="24"/>
          <w:lang w:eastAsia="ru-RU"/>
        </w:rPr>
        <w:t>скоринговые</w:t>
      </w:r>
      <w:proofErr w:type="spellEnd"/>
      <w:r w:rsidRPr="00C37701">
        <w:rPr>
          <w:rFonts w:ascii="Times New Roman" w:eastAsia="Times New Roman" w:hAnsi="Times New Roman" w:cs="Times New Roman"/>
          <w:color w:val="000000"/>
          <w:sz w:val="24"/>
          <w:szCs w:val="24"/>
          <w:lang w:eastAsia="ru-RU"/>
        </w:rPr>
        <w:t xml:space="preserve"> модели и запускали новые продукты.</w:t>
      </w:r>
    </w:p>
    <w:p w14:paraId="10DCBBBB" w14:textId="77777777" w:rsidR="00DA3614" w:rsidRPr="00C37701" w:rsidRDefault="00DA3614" w:rsidP="0097449D">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ru-RU"/>
        </w:rPr>
      </w:pPr>
      <w:r w:rsidRPr="00C37701">
        <w:rPr>
          <w:rFonts w:ascii="Times New Roman" w:hAnsi="Times New Roman" w:cs="Times New Roman"/>
          <w:i/>
          <w:sz w:val="24"/>
          <w:szCs w:val="24"/>
          <w:lang w:val="kk-KZ"/>
        </w:rPr>
        <w:t>Физические лица.</w:t>
      </w:r>
      <w:r w:rsidRPr="00C37701">
        <w:rPr>
          <w:rFonts w:ascii="Times New Roman" w:hAnsi="Times New Roman" w:cs="Times New Roman"/>
          <w:sz w:val="24"/>
          <w:szCs w:val="24"/>
        </w:rPr>
        <w:t xml:space="preserve"> В</w:t>
      </w:r>
      <w:r w:rsidRPr="00C37701">
        <w:rPr>
          <w:rFonts w:ascii="Times New Roman" w:eastAsia="Times New Roman" w:hAnsi="Times New Roman" w:cs="Times New Roman"/>
          <w:color w:val="000000"/>
          <w:sz w:val="24"/>
          <w:szCs w:val="24"/>
          <w:lang w:eastAsia="ru-RU"/>
        </w:rPr>
        <w:t xml:space="preserve"> рознице а</w:t>
      </w:r>
      <w:r w:rsidRPr="00C37701">
        <w:rPr>
          <w:rFonts w:ascii="Times New Roman" w:hAnsi="Times New Roman" w:cs="Times New Roman"/>
          <w:sz w:val="24"/>
          <w:szCs w:val="24"/>
        </w:rPr>
        <w:t>налогично сегменту бизнеса в начале года</w:t>
      </w:r>
      <w:r w:rsidRPr="00C37701">
        <w:rPr>
          <w:rFonts w:ascii="Times New Roman" w:eastAsia="Times New Roman" w:hAnsi="Times New Roman" w:cs="Times New Roman"/>
          <w:color w:val="000000"/>
          <w:sz w:val="24"/>
          <w:szCs w:val="24"/>
          <w:lang w:eastAsia="ru-RU"/>
        </w:rPr>
        <w:t xml:space="preserve"> банки ужесточали требования к заемщикам по всем видам кредита, кроме автокредитования. Так, основные игроки рынка ипотечного кредитования ужесточили требования к платежеспособности заемщиков. </w:t>
      </w:r>
    </w:p>
    <w:p w14:paraId="7F1A9CDE" w14:textId="77777777" w:rsidR="00DA3614" w:rsidRPr="00C37701" w:rsidRDefault="00DA3614" w:rsidP="0097449D">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7701">
        <w:rPr>
          <w:rFonts w:ascii="Times New Roman" w:eastAsia="Times New Roman" w:hAnsi="Times New Roman" w:cs="Times New Roman"/>
          <w:color w:val="000000"/>
          <w:sz w:val="24"/>
          <w:szCs w:val="24"/>
          <w:lang w:eastAsia="ru-RU"/>
        </w:rPr>
        <w:t xml:space="preserve">Во второй половине года на фоне растущей конкуренции и в рознице, банки смягчали условия по всем видам потребительских займов, кроме автокредитования. В потребительском кредитовании конкуренция смещалась в плоскость удобства процедур рассмотрения заявок и коммуникации с потенциальными заемщиками. Усиление конкуренции также проявлялось в активизации маркетинговых акций и рекламных кампаний. </w:t>
      </w:r>
    </w:p>
    <w:p w14:paraId="3B00E9BC" w14:textId="77777777" w:rsidR="00DA3614" w:rsidRPr="00C37701" w:rsidRDefault="00DA3614"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С</w:t>
      </w:r>
      <w:r w:rsidRPr="00C37701">
        <w:rPr>
          <w:rFonts w:ascii="Times New Roman" w:eastAsia="Times New Roman" w:hAnsi="Times New Roman" w:cs="Times New Roman"/>
          <w:color w:val="000000"/>
          <w:sz w:val="24"/>
          <w:szCs w:val="24"/>
          <w:lang w:eastAsia="ru-RU"/>
        </w:rPr>
        <w:t xml:space="preserve">прос населения на кредит продолжал расти в течение года, особенно на </w:t>
      </w:r>
      <w:proofErr w:type="spellStart"/>
      <w:r w:rsidRPr="00C37701">
        <w:rPr>
          <w:rFonts w:ascii="Times New Roman" w:eastAsia="Times New Roman" w:hAnsi="Times New Roman" w:cs="Times New Roman"/>
          <w:color w:val="000000"/>
          <w:sz w:val="24"/>
          <w:szCs w:val="24"/>
          <w:lang w:eastAsia="ru-RU"/>
        </w:rPr>
        <w:t>беззалоговые</w:t>
      </w:r>
      <w:proofErr w:type="spellEnd"/>
      <w:r w:rsidRPr="00C37701">
        <w:rPr>
          <w:rFonts w:ascii="Times New Roman" w:eastAsia="Times New Roman" w:hAnsi="Times New Roman" w:cs="Times New Roman"/>
          <w:color w:val="000000"/>
          <w:sz w:val="24"/>
          <w:szCs w:val="24"/>
          <w:lang w:eastAsia="ru-RU"/>
        </w:rPr>
        <w:t xml:space="preserve"> займы. Стремительно рос спрос на ипотеку за счет государственных программ поддержки жилищного строительства – «</w:t>
      </w:r>
      <w:proofErr w:type="spellStart"/>
      <w:r w:rsidRPr="00C37701">
        <w:rPr>
          <w:rFonts w:ascii="Times New Roman" w:eastAsia="Times New Roman" w:hAnsi="Times New Roman" w:cs="Times New Roman"/>
          <w:color w:val="000000"/>
          <w:sz w:val="24"/>
          <w:szCs w:val="24"/>
          <w:lang w:eastAsia="ru-RU"/>
        </w:rPr>
        <w:t>Баспана</w:t>
      </w:r>
      <w:proofErr w:type="spellEnd"/>
      <w:r w:rsidRPr="00C37701">
        <w:rPr>
          <w:rFonts w:ascii="Times New Roman" w:eastAsia="Times New Roman" w:hAnsi="Times New Roman" w:cs="Times New Roman"/>
          <w:color w:val="000000"/>
          <w:sz w:val="24"/>
          <w:szCs w:val="24"/>
          <w:lang w:eastAsia="ru-RU"/>
        </w:rPr>
        <w:t xml:space="preserve"> Хит» и «7-20-25». Кроме того, з</w:t>
      </w:r>
      <w:r w:rsidRPr="00C37701">
        <w:rPr>
          <w:rFonts w:ascii="Times New Roman" w:hAnsi="Times New Roman" w:cs="Times New Roman"/>
          <w:sz w:val="24"/>
          <w:szCs w:val="24"/>
        </w:rPr>
        <w:t>апуск государственной программы «Б</w:t>
      </w:r>
      <w:r w:rsidRPr="00C37701">
        <w:rPr>
          <w:rFonts w:ascii="Times New Roman" w:hAnsi="Times New Roman" w:cs="Times New Roman"/>
          <w:sz w:val="24"/>
          <w:szCs w:val="24"/>
          <w:lang w:val="kk-KZ"/>
        </w:rPr>
        <w:t>ақытты отбасы</w:t>
      </w:r>
      <w:r w:rsidRPr="00C37701">
        <w:rPr>
          <w:rFonts w:ascii="Times New Roman" w:hAnsi="Times New Roman" w:cs="Times New Roman"/>
          <w:sz w:val="24"/>
          <w:szCs w:val="24"/>
        </w:rPr>
        <w:t>»</w:t>
      </w:r>
      <w:r w:rsidRPr="00C37701">
        <w:rPr>
          <w:rFonts w:ascii="Times New Roman" w:hAnsi="Times New Roman" w:cs="Times New Roman"/>
          <w:sz w:val="24"/>
          <w:szCs w:val="24"/>
          <w:lang w:val="kk-KZ"/>
        </w:rPr>
        <w:t xml:space="preserve"> </w:t>
      </w:r>
      <w:r w:rsidRPr="00C37701">
        <w:rPr>
          <w:rFonts w:ascii="Times New Roman" w:hAnsi="Times New Roman" w:cs="Times New Roman"/>
          <w:sz w:val="24"/>
          <w:szCs w:val="24"/>
        </w:rPr>
        <w:t>в дополнение к другим госпрограммам финансирования жилищного строительства также способствовал росту спроса на ипотеку.</w:t>
      </w:r>
    </w:p>
    <w:p w14:paraId="2D139928" w14:textId="77777777" w:rsidR="00DA3614" w:rsidRPr="00C37701" w:rsidRDefault="00DA3614" w:rsidP="0097449D">
      <w:pPr>
        <w:spacing w:after="0" w:line="240" w:lineRule="auto"/>
        <w:ind w:firstLine="709"/>
        <w:contextualSpacing/>
        <w:jc w:val="both"/>
        <w:rPr>
          <w:rFonts w:ascii="Times New Roman" w:hAnsi="Times New Roman" w:cs="Times New Roman"/>
          <w:b/>
          <w:i/>
          <w:sz w:val="24"/>
          <w:szCs w:val="24"/>
        </w:rPr>
      </w:pPr>
    </w:p>
    <w:p w14:paraId="63E74E6C" w14:textId="77777777" w:rsidR="00DA3614" w:rsidRPr="00C37701" w:rsidRDefault="00DA3614" w:rsidP="0097449D">
      <w:pPr>
        <w:spacing w:after="0" w:line="240" w:lineRule="auto"/>
        <w:ind w:firstLine="709"/>
        <w:contextualSpacing/>
        <w:jc w:val="both"/>
        <w:rPr>
          <w:rFonts w:ascii="Times New Roman" w:hAnsi="Times New Roman" w:cs="Times New Roman"/>
          <w:b/>
          <w:i/>
          <w:sz w:val="24"/>
          <w:szCs w:val="24"/>
        </w:rPr>
      </w:pPr>
    </w:p>
    <w:p w14:paraId="3BB87C99" w14:textId="77777777" w:rsidR="00DA3614" w:rsidRPr="00C37701" w:rsidRDefault="00DA3614" w:rsidP="0097449D">
      <w:pPr>
        <w:spacing w:after="0" w:line="240" w:lineRule="auto"/>
        <w:ind w:firstLine="709"/>
        <w:contextualSpacing/>
        <w:jc w:val="both"/>
        <w:rPr>
          <w:rFonts w:ascii="Times New Roman" w:hAnsi="Times New Roman" w:cs="Times New Roman"/>
          <w:b/>
          <w:sz w:val="24"/>
          <w:szCs w:val="24"/>
        </w:rPr>
      </w:pPr>
      <w:r w:rsidRPr="00C37701">
        <w:rPr>
          <w:rFonts w:ascii="Times New Roman" w:hAnsi="Times New Roman" w:cs="Times New Roman"/>
          <w:b/>
          <w:sz w:val="24"/>
          <w:szCs w:val="24"/>
        </w:rPr>
        <w:t>Примечание (информация об исполнении/ неисполнении)</w:t>
      </w:r>
    </w:p>
    <w:p w14:paraId="2F90BA9F" w14:textId="2AE12B07" w:rsidR="00DA3614" w:rsidRPr="00C37701" w:rsidRDefault="00DA3614"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Согласно </w:t>
      </w:r>
      <w:proofErr w:type="gramStart"/>
      <w:r w:rsidR="00067FC8" w:rsidRPr="00C37701">
        <w:rPr>
          <w:rFonts w:ascii="Times New Roman" w:hAnsi="Times New Roman" w:cs="Times New Roman"/>
          <w:sz w:val="24"/>
          <w:szCs w:val="24"/>
        </w:rPr>
        <w:t>Отчету</w:t>
      </w:r>
      <w:proofErr w:type="gramEnd"/>
      <w:r w:rsidRPr="00C37701">
        <w:rPr>
          <w:rFonts w:ascii="Times New Roman" w:hAnsi="Times New Roman" w:cs="Times New Roman"/>
          <w:sz w:val="24"/>
          <w:szCs w:val="24"/>
        </w:rPr>
        <w:t xml:space="preserve"> ГИК ВЭФ 2019 года Казахстан по данному индикатору занял </w:t>
      </w:r>
      <w:r w:rsidR="00A35C7B">
        <w:rPr>
          <w:rFonts w:ascii="Times New Roman" w:hAnsi="Times New Roman" w:cs="Times New Roman"/>
          <w:sz w:val="24"/>
          <w:szCs w:val="24"/>
        </w:rPr>
        <w:t xml:space="preserve">                       </w:t>
      </w:r>
      <w:r w:rsidRPr="00C37701">
        <w:rPr>
          <w:rFonts w:ascii="Times New Roman" w:hAnsi="Times New Roman" w:cs="Times New Roman"/>
          <w:sz w:val="24"/>
          <w:szCs w:val="24"/>
        </w:rPr>
        <w:t xml:space="preserve">121-е место (план – 98 место). Главной причиной ухудшения позиции по данному индикатору является фактор субъективного восприятия респондентами (более негативного, чем есть на самом деле) ситуации, на финансовом рынке. Национальный Банк выражал позицию о рисках некорректности показателя и необходимости изменения методологии расчета данного индикатора (перенос из категории опросных в категорию статистических) в целях большей объективности. В частности, оценка мер предпринимаемых Национальным Банком в текущем формате была подвержена негативному субъективному восприятию, поскольку вывод неплатежеспособных банков с рынка для оздоровления банковского сектора зачастую воспринимается больше как снижение надежности банковского сектора. </w:t>
      </w:r>
    </w:p>
    <w:p w14:paraId="5E5432B6" w14:textId="77777777" w:rsidR="00DA3614" w:rsidRDefault="00DA3614"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В итоге, несмотря на меры по оздоровлению банковского сектора, очищению балансов банков от неработающих займов, повышению их капитализации и законодательную работу по усилению надзорного мандата Национального Банка, позиция по индикатору «Надежность банков» не претерпела улучшений. </w:t>
      </w:r>
    </w:p>
    <w:p w14:paraId="6EA41760" w14:textId="49235DE8" w:rsidR="00F85AF0" w:rsidRPr="00C37701" w:rsidRDefault="00F85AF0" w:rsidP="00F85AF0">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В реализацию мер по очищению банковского сектора от неработающих кредитов Национальный Банк в период с апреля по декабрь 2019 года организовал и провёл независимую оценку качества активов банков второго уровня, которая является своего рода диагностикой, позволяющей дать оценку качеству портфелей, проанализировать практику кредитования и определить потребность банков в капитале</w:t>
      </w:r>
      <w:r>
        <w:rPr>
          <w:rFonts w:ascii="Times New Roman" w:hAnsi="Times New Roman" w:cs="Times New Roman"/>
          <w:sz w:val="24"/>
          <w:szCs w:val="24"/>
        </w:rPr>
        <w:t xml:space="preserve"> (подробная информация приведена </w:t>
      </w:r>
      <w:r w:rsidR="00A35C7B">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F85AF0">
        <w:rPr>
          <w:rFonts w:ascii="Times New Roman" w:hAnsi="Times New Roman" w:cs="Times New Roman"/>
          <w:sz w:val="24"/>
          <w:szCs w:val="24"/>
        </w:rPr>
        <w:t>Раздел</w:t>
      </w:r>
      <w:r>
        <w:rPr>
          <w:rFonts w:ascii="Times New Roman" w:hAnsi="Times New Roman" w:cs="Times New Roman"/>
          <w:sz w:val="24"/>
          <w:szCs w:val="24"/>
        </w:rPr>
        <w:t>е</w:t>
      </w:r>
      <w:r w:rsidRPr="00F85AF0">
        <w:rPr>
          <w:rFonts w:ascii="Times New Roman" w:hAnsi="Times New Roman" w:cs="Times New Roman"/>
          <w:sz w:val="24"/>
          <w:szCs w:val="24"/>
        </w:rPr>
        <w:t xml:space="preserve"> 1. </w:t>
      </w:r>
      <w:r>
        <w:rPr>
          <w:rFonts w:ascii="Times New Roman" w:hAnsi="Times New Roman" w:cs="Times New Roman"/>
          <w:sz w:val="24"/>
          <w:szCs w:val="24"/>
        </w:rPr>
        <w:t>«</w:t>
      </w:r>
      <w:r w:rsidRPr="00F85AF0">
        <w:rPr>
          <w:rFonts w:ascii="Times New Roman" w:hAnsi="Times New Roman" w:cs="Times New Roman"/>
          <w:sz w:val="24"/>
          <w:szCs w:val="24"/>
        </w:rPr>
        <w:t>Анализ управления рисками</w:t>
      </w:r>
      <w:r>
        <w:rPr>
          <w:rFonts w:ascii="Times New Roman" w:hAnsi="Times New Roman" w:cs="Times New Roman"/>
          <w:sz w:val="24"/>
          <w:szCs w:val="24"/>
        </w:rPr>
        <w:t>»)</w:t>
      </w:r>
      <w:r w:rsidRPr="00C37701">
        <w:rPr>
          <w:rFonts w:ascii="Times New Roman" w:hAnsi="Times New Roman" w:cs="Times New Roman"/>
          <w:sz w:val="24"/>
          <w:szCs w:val="24"/>
        </w:rPr>
        <w:t xml:space="preserve">. </w:t>
      </w:r>
    </w:p>
    <w:p w14:paraId="5F2A5EDC" w14:textId="77777777" w:rsidR="00DA3614" w:rsidRPr="00C37701" w:rsidRDefault="00DA3614" w:rsidP="0097449D">
      <w:pPr>
        <w:spacing w:after="0" w:line="240" w:lineRule="auto"/>
        <w:ind w:firstLine="709"/>
        <w:contextualSpacing/>
        <w:jc w:val="both"/>
        <w:rPr>
          <w:rFonts w:ascii="Times New Roman" w:hAnsi="Times New Roman" w:cs="Times New Roman"/>
          <w:sz w:val="24"/>
          <w:szCs w:val="24"/>
        </w:rPr>
      </w:pPr>
    </w:p>
    <w:p w14:paraId="77860997" w14:textId="77777777" w:rsidR="00F2659C" w:rsidRPr="00C37701" w:rsidRDefault="00F2659C" w:rsidP="0097449D">
      <w:pPr>
        <w:spacing w:after="0" w:line="240" w:lineRule="auto"/>
        <w:ind w:firstLine="709"/>
        <w:contextualSpacing/>
        <w:jc w:val="both"/>
        <w:rPr>
          <w:rFonts w:ascii="Times New Roman" w:hAnsi="Times New Roman" w:cs="Times New Roman"/>
          <w:i/>
          <w:sz w:val="24"/>
          <w:szCs w:val="24"/>
          <w:lang w:val="kk-KZ"/>
        </w:rPr>
      </w:pPr>
      <w:r w:rsidRPr="00C37701">
        <w:rPr>
          <w:rFonts w:ascii="Times New Roman" w:hAnsi="Times New Roman" w:cs="Times New Roman"/>
          <w:b/>
          <w:i/>
          <w:sz w:val="24"/>
          <w:szCs w:val="24"/>
        </w:rPr>
        <w:t>Целевой индикатор 2:</w:t>
      </w:r>
      <w:r w:rsidRPr="00C37701">
        <w:rPr>
          <w:rFonts w:ascii="Times New Roman" w:hAnsi="Times New Roman" w:cs="Times New Roman"/>
          <w:i/>
          <w:sz w:val="24"/>
          <w:szCs w:val="24"/>
        </w:rPr>
        <w:t xml:space="preserve"> </w:t>
      </w:r>
      <w:r w:rsidRPr="00C37701">
        <w:rPr>
          <w:rFonts w:ascii="Times New Roman" w:hAnsi="Times New Roman" w:cs="Times New Roman"/>
          <w:b/>
          <w:i/>
          <w:sz w:val="24"/>
          <w:szCs w:val="24"/>
          <w:lang w:val="kk-KZ"/>
        </w:rPr>
        <w:t xml:space="preserve">Объем ссудного портфеля </w:t>
      </w:r>
      <w:r w:rsidR="006A25D6" w:rsidRPr="00C37701">
        <w:rPr>
          <w:rFonts w:ascii="Times New Roman" w:hAnsi="Times New Roman" w:cs="Times New Roman"/>
          <w:i/>
          <w:sz w:val="24"/>
          <w:szCs w:val="24"/>
          <w:lang w:val="kk-KZ"/>
        </w:rPr>
        <w:t>(28</w:t>
      </w:r>
      <w:r w:rsidRPr="00C37701">
        <w:rPr>
          <w:rFonts w:ascii="Times New Roman" w:hAnsi="Times New Roman" w:cs="Times New Roman"/>
          <w:i/>
          <w:sz w:val="24"/>
          <w:szCs w:val="24"/>
          <w:lang w:val="kk-KZ"/>
        </w:rPr>
        <w:t>% от ВВП)</w:t>
      </w:r>
    </w:p>
    <w:p w14:paraId="6C2AE6BB" w14:textId="77777777" w:rsidR="00F2659C" w:rsidRPr="00C37701" w:rsidRDefault="00F2659C" w:rsidP="0097449D">
      <w:pPr>
        <w:spacing w:after="0" w:line="240" w:lineRule="auto"/>
        <w:ind w:firstLine="709"/>
        <w:contextualSpacing/>
        <w:jc w:val="both"/>
        <w:rPr>
          <w:rFonts w:ascii="Times New Roman" w:hAnsi="Times New Roman" w:cs="Times New Roman"/>
          <w:b/>
          <w:bCs/>
          <w:i/>
          <w:iCs/>
          <w:sz w:val="24"/>
          <w:szCs w:val="24"/>
        </w:rPr>
      </w:pPr>
      <w:r w:rsidRPr="00C37701">
        <w:rPr>
          <w:rFonts w:ascii="Times New Roman" w:hAnsi="Times New Roman" w:cs="Times New Roman"/>
          <w:b/>
          <w:bCs/>
          <w:i/>
          <w:iCs/>
          <w:sz w:val="24"/>
          <w:szCs w:val="24"/>
        </w:rPr>
        <w:t xml:space="preserve">Мероприятия для </w:t>
      </w:r>
      <w:r w:rsidR="00067FC8" w:rsidRPr="00C37701">
        <w:rPr>
          <w:rFonts w:ascii="Times New Roman" w:hAnsi="Times New Roman" w:cs="Times New Roman"/>
          <w:b/>
          <w:bCs/>
          <w:i/>
          <w:iCs/>
          <w:sz w:val="24"/>
          <w:szCs w:val="24"/>
        </w:rPr>
        <w:t>достижения целевого</w:t>
      </w:r>
      <w:r w:rsidRPr="00C37701">
        <w:rPr>
          <w:rFonts w:ascii="Times New Roman" w:hAnsi="Times New Roman" w:cs="Times New Roman"/>
          <w:b/>
          <w:bCs/>
          <w:i/>
          <w:iCs/>
          <w:sz w:val="24"/>
          <w:szCs w:val="24"/>
        </w:rPr>
        <w:t xml:space="preserve"> индикатора:</w:t>
      </w:r>
    </w:p>
    <w:p w14:paraId="41DE43A2" w14:textId="610CE8E8" w:rsidR="006D7D71" w:rsidRPr="00BE7B86" w:rsidRDefault="006D7D71" w:rsidP="006D7D71">
      <w:pPr>
        <w:spacing w:after="0" w:line="240" w:lineRule="auto"/>
        <w:ind w:firstLine="709"/>
        <w:contextualSpacing/>
        <w:jc w:val="both"/>
        <w:rPr>
          <w:rFonts w:ascii="Times New Roman" w:hAnsi="Times New Roman" w:cs="Times New Roman"/>
          <w:sz w:val="24"/>
          <w:szCs w:val="24"/>
        </w:rPr>
      </w:pPr>
      <w:r w:rsidRPr="00BE7B86">
        <w:rPr>
          <w:rFonts w:ascii="Times New Roman" w:hAnsi="Times New Roman" w:cs="Times New Roman"/>
          <w:sz w:val="24"/>
          <w:szCs w:val="24"/>
        </w:rPr>
        <w:t>Значение данного индикатора на 1 января 2020 года составило – 21,8% от ВВП. Плановое значение показателя «Отношение ссудного портфеля к ВВП» составляет 28%.</w:t>
      </w:r>
    </w:p>
    <w:p w14:paraId="06D56EDA" w14:textId="0DB07A3F" w:rsidR="006D7D71" w:rsidRPr="00BE7B86" w:rsidRDefault="006D7D71" w:rsidP="006D7D71">
      <w:pPr>
        <w:spacing w:after="0" w:line="240" w:lineRule="auto"/>
        <w:ind w:firstLine="709"/>
        <w:contextualSpacing/>
        <w:jc w:val="both"/>
        <w:rPr>
          <w:rFonts w:ascii="Times New Roman" w:hAnsi="Times New Roman" w:cs="Times New Roman"/>
          <w:sz w:val="24"/>
          <w:szCs w:val="24"/>
        </w:rPr>
      </w:pPr>
      <w:r w:rsidRPr="00BE7B86">
        <w:rPr>
          <w:rFonts w:ascii="Times New Roman" w:hAnsi="Times New Roman" w:cs="Times New Roman"/>
          <w:sz w:val="24"/>
          <w:szCs w:val="24"/>
        </w:rPr>
        <w:t xml:space="preserve">Ссудный портфель банков второго уровня за период с 2010 по 2019 годы вырос </w:t>
      </w:r>
      <w:r w:rsidR="00A35C7B">
        <w:rPr>
          <w:rFonts w:ascii="Times New Roman" w:hAnsi="Times New Roman" w:cs="Times New Roman"/>
          <w:sz w:val="24"/>
          <w:szCs w:val="24"/>
        </w:rPr>
        <w:t xml:space="preserve">                         </w:t>
      </w:r>
      <w:r w:rsidRPr="00BE7B86">
        <w:rPr>
          <w:rFonts w:ascii="Times New Roman" w:hAnsi="Times New Roman" w:cs="Times New Roman"/>
          <w:sz w:val="24"/>
          <w:szCs w:val="24"/>
        </w:rPr>
        <w:t>на 62% с 9,1 до 14,7 млрд</w:t>
      </w:r>
      <w:r w:rsidR="000F74A8">
        <w:rPr>
          <w:rFonts w:ascii="Times New Roman" w:hAnsi="Times New Roman" w:cs="Times New Roman"/>
          <w:sz w:val="24"/>
          <w:szCs w:val="24"/>
        </w:rPr>
        <w:t>.</w:t>
      </w:r>
      <w:r w:rsidRPr="00BE7B86">
        <w:rPr>
          <w:rFonts w:ascii="Times New Roman" w:hAnsi="Times New Roman" w:cs="Times New Roman"/>
          <w:sz w:val="24"/>
          <w:szCs w:val="24"/>
        </w:rPr>
        <w:t xml:space="preserve"> тенге. При этом наблюдается снижение доли ссудного портфеля в ВВП с 41,6 до 21,8%. Темпы роста ВВП в номинальном выражении значительно опережают показатели роста ссудного портфеля (рост в 3,5 раза с 19,3 до 68,6 трлн. тенге).</w:t>
      </w:r>
    </w:p>
    <w:p w14:paraId="450A623C" w14:textId="4BC7CE93" w:rsidR="006D7D71" w:rsidRPr="00BE7B86" w:rsidRDefault="006D7D71" w:rsidP="006D7D71">
      <w:pPr>
        <w:spacing w:after="0" w:line="240" w:lineRule="auto"/>
        <w:ind w:firstLine="709"/>
        <w:contextualSpacing/>
        <w:jc w:val="both"/>
        <w:rPr>
          <w:rFonts w:ascii="Times New Roman" w:hAnsi="Times New Roman" w:cs="Times New Roman"/>
          <w:i/>
          <w:sz w:val="24"/>
          <w:szCs w:val="24"/>
        </w:rPr>
      </w:pPr>
      <w:proofErr w:type="spellStart"/>
      <w:r w:rsidRPr="00BE7B86">
        <w:rPr>
          <w:rFonts w:ascii="Times New Roman" w:hAnsi="Times New Roman" w:cs="Times New Roman"/>
          <w:i/>
          <w:sz w:val="24"/>
          <w:szCs w:val="24"/>
        </w:rPr>
        <w:t>Справочно</w:t>
      </w:r>
      <w:proofErr w:type="spellEnd"/>
      <w:r w:rsidRPr="00BE7B86">
        <w:rPr>
          <w:rFonts w:ascii="Times New Roman" w:hAnsi="Times New Roman" w:cs="Times New Roman"/>
          <w:i/>
          <w:sz w:val="24"/>
          <w:szCs w:val="24"/>
        </w:rPr>
        <w:t>: согласно оперативным данным Комитета по статистике Министерства Национальной экономики Республики Казахстан ВВП за январь-декабрь 2019 года составил</w:t>
      </w:r>
      <w:r w:rsidR="00A35C7B">
        <w:rPr>
          <w:rFonts w:ascii="Times New Roman" w:hAnsi="Times New Roman" w:cs="Times New Roman"/>
          <w:i/>
          <w:sz w:val="24"/>
          <w:szCs w:val="24"/>
        </w:rPr>
        <w:t xml:space="preserve">       </w:t>
      </w:r>
      <w:r w:rsidRPr="00BE7B86">
        <w:rPr>
          <w:rFonts w:ascii="Times New Roman" w:hAnsi="Times New Roman" w:cs="Times New Roman"/>
          <w:i/>
          <w:sz w:val="24"/>
          <w:szCs w:val="24"/>
        </w:rPr>
        <w:t xml:space="preserve"> 68,</w:t>
      </w:r>
      <w:proofErr w:type="gramStart"/>
      <w:r w:rsidRPr="00BE7B86">
        <w:rPr>
          <w:rFonts w:ascii="Times New Roman" w:hAnsi="Times New Roman" w:cs="Times New Roman"/>
          <w:i/>
          <w:sz w:val="24"/>
          <w:szCs w:val="24"/>
        </w:rPr>
        <w:t>6  трлн.</w:t>
      </w:r>
      <w:proofErr w:type="gramEnd"/>
      <w:r w:rsidRPr="00BE7B86">
        <w:rPr>
          <w:rFonts w:ascii="Times New Roman" w:hAnsi="Times New Roman" w:cs="Times New Roman"/>
          <w:i/>
          <w:sz w:val="24"/>
          <w:szCs w:val="24"/>
        </w:rPr>
        <w:t xml:space="preserve"> тенге. </w:t>
      </w:r>
    </w:p>
    <w:p w14:paraId="3A6764C0" w14:textId="4D51640E" w:rsidR="006D7D71" w:rsidRPr="00BE7B86" w:rsidRDefault="006D7D71" w:rsidP="006D7D71">
      <w:pPr>
        <w:spacing w:after="0" w:line="240" w:lineRule="auto"/>
        <w:ind w:firstLine="709"/>
        <w:contextualSpacing/>
        <w:jc w:val="both"/>
        <w:rPr>
          <w:rFonts w:ascii="Times New Roman" w:hAnsi="Times New Roman" w:cs="Times New Roman"/>
          <w:sz w:val="24"/>
          <w:szCs w:val="24"/>
        </w:rPr>
      </w:pPr>
      <w:r w:rsidRPr="00BE7B86">
        <w:rPr>
          <w:rFonts w:ascii="Times New Roman" w:hAnsi="Times New Roman" w:cs="Times New Roman"/>
          <w:sz w:val="24"/>
          <w:szCs w:val="24"/>
        </w:rPr>
        <w:t xml:space="preserve">На снижение темпов роста ссудного портфеля банков, помимо прочего, повлиял выкуп проблемных кредитов </w:t>
      </w:r>
      <w:proofErr w:type="spellStart"/>
      <w:r w:rsidRPr="00BE7B86">
        <w:rPr>
          <w:rFonts w:ascii="Times New Roman" w:hAnsi="Times New Roman" w:cs="Times New Roman"/>
          <w:sz w:val="24"/>
          <w:szCs w:val="24"/>
        </w:rPr>
        <w:t>Казкоммерцбанка</w:t>
      </w:r>
      <w:proofErr w:type="spellEnd"/>
      <w:r w:rsidRPr="00BE7B86">
        <w:rPr>
          <w:rFonts w:ascii="Times New Roman" w:hAnsi="Times New Roman" w:cs="Times New Roman"/>
          <w:sz w:val="24"/>
          <w:szCs w:val="24"/>
        </w:rPr>
        <w:t xml:space="preserve"> в размере 2,4 трлн</w:t>
      </w:r>
      <w:r>
        <w:rPr>
          <w:rFonts w:ascii="Times New Roman" w:hAnsi="Times New Roman" w:cs="Times New Roman"/>
          <w:sz w:val="24"/>
          <w:szCs w:val="24"/>
        </w:rPr>
        <w:t>.</w:t>
      </w:r>
      <w:r w:rsidRPr="00BE7B86">
        <w:rPr>
          <w:rFonts w:ascii="Times New Roman" w:hAnsi="Times New Roman" w:cs="Times New Roman"/>
          <w:sz w:val="24"/>
          <w:szCs w:val="24"/>
        </w:rPr>
        <w:t xml:space="preserve"> тенге, </w:t>
      </w:r>
      <w:proofErr w:type="spellStart"/>
      <w:r w:rsidRPr="00BE7B86">
        <w:rPr>
          <w:rFonts w:ascii="Times New Roman" w:hAnsi="Times New Roman" w:cs="Times New Roman"/>
          <w:sz w:val="24"/>
          <w:szCs w:val="24"/>
        </w:rPr>
        <w:t>Цеснабанка</w:t>
      </w:r>
      <w:proofErr w:type="spellEnd"/>
      <w:r w:rsidRPr="00BE7B86">
        <w:rPr>
          <w:rFonts w:ascii="Times New Roman" w:hAnsi="Times New Roman" w:cs="Times New Roman"/>
          <w:sz w:val="24"/>
          <w:szCs w:val="24"/>
        </w:rPr>
        <w:t xml:space="preserve"> </w:t>
      </w:r>
      <w:r w:rsidR="00A35C7B">
        <w:rPr>
          <w:rFonts w:ascii="Times New Roman" w:hAnsi="Times New Roman" w:cs="Times New Roman"/>
          <w:sz w:val="24"/>
          <w:szCs w:val="24"/>
        </w:rPr>
        <w:t xml:space="preserve">                                            </w:t>
      </w:r>
      <w:r w:rsidRPr="00BE7B86">
        <w:rPr>
          <w:rFonts w:ascii="Times New Roman" w:hAnsi="Times New Roman" w:cs="Times New Roman"/>
          <w:sz w:val="24"/>
          <w:szCs w:val="24"/>
        </w:rPr>
        <w:t>в размере 1,054 трлн</w:t>
      </w:r>
      <w:r>
        <w:rPr>
          <w:rFonts w:ascii="Times New Roman" w:hAnsi="Times New Roman" w:cs="Times New Roman"/>
          <w:sz w:val="24"/>
          <w:szCs w:val="24"/>
        </w:rPr>
        <w:t>.</w:t>
      </w:r>
      <w:r w:rsidRPr="00BE7B86">
        <w:rPr>
          <w:rFonts w:ascii="Times New Roman" w:hAnsi="Times New Roman" w:cs="Times New Roman"/>
          <w:sz w:val="24"/>
          <w:szCs w:val="24"/>
        </w:rPr>
        <w:t xml:space="preserve"> тенге (450 млрд</w:t>
      </w:r>
      <w:r>
        <w:rPr>
          <w:rFonts w:ascii="Times New Roman" w:hAnsi="Times New Roman" w:cs="Times New Roman"/>
          <w:sz w:val="24"/>
          <w:szCs w:val="24"/>
        </w:rPr>
        <w:t>.</w:t>
      </w:r>
      <w:r w:rsidRPr="00BE7B86">
        <w:rPr>
          <w:rFonts w:ascii="Times New Roman" w:hAnsi="Times New Roman" w:cs="Times New Roman"/>
          <w:sz w:val="24"/>
          <w:szCs w:val="24"/>
        </w:rPr>
        <w:t xml:space="preserve"> тенге в 2018</w:t>
      </w:r>
      <w:r>
        <w:rPr>
          <w:rFonts w:ascii="Times New Roman" w:hAnsi="Times New Roman" w:cs="Times New Roman"/>
          <w:sz w:val="24"/>
          <w:szCs w:val="24"/>
        </w:rPr>
        <w:t xml:space="preserve"> году</w:t>
      </w:r>
      <w:r w:rsidRPr="00BE7B86">
        <w:rPr>
          <w:rFonts w:ascii="Times New Roman" w:hAnsi="Times New Roman" w:cs="Times New Roman"/>
          <w:sz w:val="24"/>
          <w:szCs w:val="24"/>
        </w:rPr>
        <w:t>, 604 млрд</w:t>
      </w:r>
      <w:r>
        <w:rPr>
          <w:rFonts w:ascii="Times New Roman" w:hAnsi="Times New Roman" w:cs="Times New Roman"/>
          <w:sz w:val="24"/>
          <w:szCs w:val="24"/>
        </w:rPr>
        <w:t>.</w:t>
      </w:r>
      <w:r w:rsidRPr="00BE7B86">
        <w:rPr>
          <w:rFonts w:ascii="Times New Roman" w:hAnsi="Times New Roman" w:cs="Times New Roman"/>
          <w:sz w:val="24"/>
          <w:szCs w:val="24"/>
        </w:rPr>
        <w:t xml:space="preserve"> тенге в 2019</w:t>
      </w:r>
      <w:r>
        <w:rPr>
          <w:rFonts w:ascii="Times New Roman" w:hAnsi="Times New Roman" w:cs="Times New Roman"/>
          <w:sz w:val="24"/>
          <w:szCs w:val="24"/>
        </w:rPr>
        <w:t xml:space="preserve"> </w:t>
      </w:r>
      <w:r w:rsidRPr="00BE7B86">
        <w:rPr>
          <w:rFonts w:ascii="Times New Roman" w:hAnsi="Times New Roman" w:cs="Times New Roman"/>
          <w:sz w:val="24"/>
          <w:szCs w:val="24"/>
        </w:rPr>
        <w:t>г</w:t>
      </w:r>
      <w:r>
        <w:rPr>
          <w:rFonts w:ascii="Times New Roman" w:hAnsi="Times New Roman" w:cs="Times New Roman"/>
          <w:sz w:val="24"/>
          <w:szCs w:val="24"/>
        </w:rPr>
        <w:t>оду</w:t>
      </w:r>
      <w:r w:rsidRPr="00BE7B86">
        <w:rPr>
          <w:rFonts w:ascii="Times New Roman" w:hAnsi="Times New Roman" w:cs="Times New Roman"/>
          <w:sz w:val="24"/>
          <w:szCs w:val="24"/>
        </w:rPr>
        <w:t xml:space="preserve">), а также </w:t>
      </w:r>
      <w:r w:rsidRPr="00BE7B86">
        <w:rPr>
          <w:rFonts w:ascii="Times New Roman" w:hAnsi="Times New Roman" w:cs="Times New Roman"/>
          <w:sz w:val="24"/>
          <w:szCs w:val="24"/>
        </w:rPr>
        <w:lastRenderedPageBreak/>
        <w:t xml:space="preserve">ликвидация 4 банков </w:t>
      </w:r>
      <w:r>
        <w:rPr>
          <w:rFonts w:ascii="Times New Roman" w:hAnsi="Times New Roman" w:cs="Times New Roman"/>
          <w:sz w:val="24"/>
          <w:szCs w:val="24"/>
        </w:rPr>
        <w:t>второго уровня</w:t>
      </w:r>
      <w:r w:rsidRPr="00BE7B86">
        <w:rPr>
          <w:rFonts w:ascii="Times New Roman" w:hAnsi="Times New Roman" w:cs="Times New Roman"/>
          <w:sz w:val="24"/>
          <w:szCs w:val="24"/>
        </w:rPr>
        <w:t>, объем ссудного портфеля которых на момент закрытия составил 370 млрд</w:t>
      </w:r>
      <w:r>
        <w:rPr>
          <w:rFonts w:ascii="Times New Roman" w:hAnsi="Times New Roman" w:cs="Times New Roman"/>
          <w:sz w:val="24"/>
          <w:szCs w:val="24"/>
        </w:rPr>
        <w:t>.</w:t>
      </w:r>
      <w:r w:rsidRPr="00BE7B86">
        <w:rPr>
          <w:rFonts w:ascii="Times New Roman" w:hAnsi="Times New Roman" w:cs="Times New Roman"/>
          <w:sz w:val="24"/>
          <w:szCs w:val="24"/>
        </w:rPr>
        <w:t xml:space="preserve"> тенге.</w:t>
      </w:r>
    </w:p>
    <w:p w14:paraId="2B90E222" w14:textId="639C38F4" w:rsidR="006D7D71" w:rsidRPr="00BE7B86" w:rsidRDefault="006D7D71" w:rsidP="006D7D71">
      <w:pPr>
        <w:spacing w:after="0" w:line="240" w:lineRule="auto"/>
        <w:ind w:firstLine="709"/>
        <w:contextualSpacing/>
        <w:jc w:val="both"/>
        <w:rPr>
          <w:rFonts w:ascii="Times New Roman" w:hAnsi="Times New Roman" w:cs="Times New Roman"/>
          <w:sz w:val="24"/>
          <w:szCs w:val="24"/>
        </w:rPr>
      </w:pPr>
      <w:r w:rsidRPr="00BE7B86">
        <w:rPr>
          <w:rFonts w:ascii="Times New Roman" w:hAnsi="Times New Roman" w:cs="Times New Roman"/>
          <w:sz w:val="24"/>
          <w:szCs w:val="24"/>
        </w:rPr>
        <w:t xml:space="preserve">В течение 2019 года в рамках Программы повышения финансовой устойчивости банковского сектора, одобренной постановлением Правления Национального Банка </w:t>
      </w:r>
      <w:r w:rsidR="00A35C7B">
        <w:rPr>
          <w:rFonts w:ascii="Times New Roman" w:hAnsi="Times New Roman" w:cs="Times New Roman"/>
          <w:sz w:val="24"/>
          <w:szCs w:val="24"/>
        </w:rPr>
        <w:t xml:space="preserve">                        </w:t>
      </w:r>
      <w:r w:rsidRPr="00BE7B86">
        <w:rPr>
          <w:rFonts w:ascii="Times New Roman" w:hAnsi="Times New Roman" w:cs="Times New Roman"/>
          <w:sz w:val="24"/>
          <w:szCs w:val="24"/>
        </w:rPr>
        <w:t>№129 от 30.06.2017г</w:t>
      </w:r>
      <w:r>
        <w:rPr>
          <w:rFonts w:ascii="Times New Roman" w:hAnsi="Times New Roman" w:cs="Times New Roman"/>
          <w:sz w:val="24"/>
          <w:szCs w:val="24"/>
        </w:rPr>
        <w:t>.</w:t>
      </w:r>
      <w:r w:rsidRPr="00BE7B86">
        <w:rPr>
          <w:rFonts w:ascii="Times New Roman" w:hAnsi="Times New Roman" w:cs="Times New Roman"/>
          <w:sz w:val="24"/>
          <w:szCs w:val="24"/>
        </w:rPr>
        <w:t>, была продолжена работа по сокращению неработающих займов, накопленных банками на их балансах в предыдущие годы.</w:t>
      </w:r>
    </w:p>
    <w:p w14:paraId="703FF7A8" w14:textId="03A4A702" w:rsidR="006D7D71" w:rsidRDefault="006D7D71" w:rsidP="006D7D71">
      <w:pPr>
        <w:spacing w:after="0" w:line="240" w:lineRule="auto"/>
        <w:ind w:firstLine="709"/>
        <w:contextualSpacing/>
        <w:jc w:val="both"/>
        <w:rPr>
          <w:rFonts w:ascii="Times New Roman" w:hAnsi="Times New Roman" w:cs="Times New Roman"/>
          <w:sz w:val="24"/>
          <w:szCs w:val="24"/>
        </w:rPr>
      </w:pPr>
      <w:r w:rsidRPr="00BE7B86">
        <w:rPr>
          <w:rFonts w:ascii="Times New Roman" w:hAnsi="Times New Roman" w:cs="Times New Roman"/>
          <w:sz w:val="24"/>
          <w:szCs w:val="24"/>
        </w:rPr>
        <w:t xml:space="preserve">С момента вхождения в Программу банками на постоянной основе проводятся мероприятия по улучшению качества активов и возврату задолженности проблемных заемщиков. Так, проведены мероприятия по улучшению качества активов и возврату задолженности на сумму более 1,2 трлн. тенге, с баланса банков списано проблемных займов на общую сумму </w:t>
      </w:r>
      <w:r w:rsidR="00A35C7B">
        <w:rPr>
          <w:rFonts w:ascii="Times New Roman" w:hAnsi="Times New Roman" w:cs="Times New Roman"/>
          <w:sz w:val="24"/>
          <w:szCs w:val="24"/>
        </w:rPr>
        <w:t xml:space="preserve">                          </w:t>
      </w:r>
      <w:r w:rsidRPr="00BE7B86">
        <w:rPr>
          <w:rFonts w:ascii="Times New Roman" w:hAnsi="Times New Roman" w:cs="Times New Roman"/>
          <w:sz w:val="24"/>
          <w:szCs w:val="24"/>
        </w:rPr>
        <w:t>838 млрд. тенге.</w:t>
      </w:r>
    </w:p>
    <w:p w14:paraId="7EB005DF" w14:textId="77777777" w:rsidR="006D7D71" w:rsidRPr="00C37701" w:rsidRDefault="006D7D71" w:rsidP="0097449D">
      <w:pPr>
        <w:spacing w:after="0" w:line="240" w:lineRule="auto"/>
        <w:ind w:firstLine="709"/>
        <w:contextualSpacing/>
        <w:jc w:val="both"/>
        <w:rPr>
          <w:rFonts w:ascii="Times New Roman" w:hAnsi="Times New Roman" w:cs="Times New Roman"/>
          <w:sz w:val="24"/>
          <w:szCs w:val="24"/>
        </w:rPr>
      </w:pPr>
    </w:p>
    <w:p w14:paraId="0D382629" w14:textId="77777777" w:rsidR="001F4F33" w:rsidRPr="00C37701" w:rsidRDefault="001F4F33"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Усиление депозитной базы банков, в том числе за счет введения в банковскую практику срочных депозитов и депозитных сертификатов.</w:t>
      </w:r>
    </w:p>
    <w:p w14:paraId="3E1C9F41" w14:textId="57C0A55F" w:rsidR="001F4F33" w:rsidRPr="00C37701" w:rsidRDefault="001F4F33" w:rsidP="0097449D">
      <w:pPr>
        <w:keepLines/>
        <w:autoSpaceDE w:val="0"/>
        <w:autoSpaceDN w:val="0"/>
        <w:adjustRightInd w:val="0"/>
        <w:spacing w:after="0" w:line="240" w:lineRule="auto"/>
        <w:ind w:firstLine="709"/>
        <w:jc w:val="both"/>
        <w:rPr>
          <w:rFonts w:ascii="Times New Roman" w:hAnsi="Times New Roman" w:cs="Times New Roman"/>
          <w:color w:val="000000"/>
          <w:sz w:val="24"/>
          <w:szCs w:val="24"/>
        </w:rPr>
      </w:pPr>
      <w:r w:rsidRPr="00C37701">
        <w:rPr>
          <w:rFonts w:ascii="Times New Roman" w:hAnsi="Times New Roman" w:cs="Times New Roman"/>
          <w:color w:val="000000"/>
          <w:sz w:val="24"/>
          <w:szCs w:val="24"/>
        </w:rPr>
        <w:t xml:space="preserve">Мероприятие исполнено. 2 июля 2018 года подписан Закон РК «О внесении изменений и дополнений в некоторые законодательные акты Республики Казахстан по вопросам валютного регулирования и валютного контроля, риск-ориентированного надзора за деятельностью финансовых организаций, защиты прав потребителей финансовых услуг и совершенствования деятельности Национального Банка Республики Казахстан», в соответствии с которым в банковскую практику введен новый вид вклада (сберегательный вклад), ориентированный на стимулирование склонности экономических субъектов к средне- и долгосрочному сбережению и расширение источников фондирования банковского сектора. Привлекательность сберегательных вкладов обеспечивается за счет предоставления большей доходности в обмен на обязательство не изымать вклад до истечения срока договора, и максимальной суммы гарантирования в размере </w:t>
      </w:r>
      <w:r w:rsidR="00A35C7B">
        <w:rPr>
          <w:rFonts w:ascii="Times New Roman" w:hAnsi="Times New Roman" w:cs="Times New Roman"/>
          <w:color w:val="000000"/>
          <w:sz w:val="24"/>
          <w:szCs w:val="24"/>
        </w:rPr>
        <w:t xml:space="preserve">      </w:t>
      </w:r>
      <w:r w:rsidRPr="00C37701">
        <w:rPr>
          <w:rFonts w:ascii="Times New Roman" w:hAnsi="Times New Roman" w:cs="Times New Roman"/>
          <w:color w:val="000000"/>
          <w:sz w:val="24"/>
          <w:szCs w:val="24"/>
        </w:rPr>
        <w:t>15 млн. тенге. Существующая система срочных депозитов сохраняется.</w:t>
      </w:r>
    </w:p>
    <w:p w14:paraId="6B164878" w14:textId="1B1D28AB" w:rsidR="001F4F33" w:rsidRPr="00C37701" w:rsidRDefault="001F4F33" w:rsidP="0097449D">
      <w:pPr>
        <w:keepLines/>
        <w:autoSpaceDE w:val="0"/>
        <w:autoSpaceDN w:val="0"/>
        <w:adjustRightInd w:val="0"/>
        <w:spacing w:after="0" w:line="240" w:lineRule="auto"/>
        <w:ind w:firstLine="709"/>
        <w:jc w:val="both"/>
        <w:rPr>
          <w:rFonts w:ascii="Times New Roman" w:hAnsi="Times New Roman" w:cs="Times New Roman"/>
          <w:color w:val="000000"/>
          <w:sz w:val="24"/>
          <w:szCs w:val="24"/>
        </w:rPr>
      </w:pPr>
      <w:r w:rsidRPr="00C37701">
        <w:rPr>
          <w:rFonts w:ascii="Times New Roman" w:hAnsi="Times New Roman" w:cs="Times New Roman"/>
          <w:color w:val="000000"/>
          <w:sz w:val="24"/>
          <w:szCs w:val="24"/>
        </w:rPr>
        <w:t xml:space="preserve">Так, в настоящее время 15 банков второго уровня предлагают сберегательные вклады. Объем сберегательных вкладов, привлеченных по состоянию на 1 января 2020 года, составил </w:t>
      </w:r>
      <w:r w:rsidR="00A35C7B">
        <w:rPr>
          <w:rFonts w:ascii="Times New Roman" w:hAnsi="Times New Roman" w:cs="Times New Roman"/>
          <w:color w:val="000000"/>
          <w:sz w:val="24"/>
          <w:szCs w:val="24"/>
        </w:rPr>
        <w:t xml:space="preserve">    </w:t>
      </w:r>
      <w:r w:rsidRPr="00C37701">
        <w:rPr>
          <w:rFonts w:ascii="Times New Roman" w:hAnsi="Times New Roman" w:cs="Times New Roman"/>
          <w:color w:val="000000"/>
          <w:sz w:val="24"/>
          <w:szCs w:val="24"/>
        </w:rPr>
        <w:t>499,2 млрд</w:t>
      </w:r>
      <w:r w:rsidR="00475FAF">
        <w:rPr>
          <w:rFonts w:ascii="Times New Roman" w:hAnsi="Times New Roman" w:cs="Times New Roman"/>
          <w:color w:val="000000"/>
          <w:sz w:val="24"/>
          <w:szCs w:val="24"/>
        </w:rPr>
        <w:t>.</w:t>
      </w:r>
      <w:r w:rsidRPr="00C37701">
        <w:rPr>
          <w:rFonts w:ascii="Times New Roman" w:hAnsi="Times New Roman" w:cs="Times New Roman"/>
          <w:color w:val="000000"/>
          <w:sz w:val="24"/>
          <w:szCs w:val="24"/>
        </w:rPr>
        <w:t xml:space="preserve"> тенге (362,7 млрд</w:t>
      </w:r>
      <w:r w:rsidR="00475FAF">
        <w:rPr>
          <w:rFonts w:ascii="Times New Roman" w:hAnsi="Times New Roman" w:cs="Times New Roman"/>
          <w:color w:val="000000"/>
          <w:sz w:val="24"/>
          <w:szCs w:val="24"/>
        </w:rPr>
        <w:t>.</w:t>
      </w:r>
      <w:r w:rsidRPr="00C37701">
        <w:rPr>
          <w:rFonts w:ascii="Times New Roman" w:hAnsi="Times New Roman" w:cs="Times New Roman"/>
          <w:color w:val="000000"/>
          <w:sz w:val="24"/>
          <w:szCs w:val="24"/>
        </w:rPr>
        <w:t xml:space="preserve"> тенге в национальной валюте и 136,5 млрд</w:t>
      </w:r>
      <w:r w:rsidR="00475FAF">
        <w:rPr>
          <w:rFonts w:ascii="Times New Roman" w:hAnsi="Times New Roman" w:cs="Times New Roman"/>
          <w:color w:val="000000"/>
          <w:sz w:val="24"/>
          <w:szCs w:val="24"/>
        </w:rPr>
        <w:t>.</w:t>
      </w:r>
      <w:r w:rsidRPr="00C37701">
        <w:rPr>
          <w:rFonts w:ascii="Times New Roman" w:hAnsi="Times New Roman" w:cs="Times New Roman"/>
          <w:color w:val="000000"/>
          <w:sz w:val="24"/>
          <w:szCs w:val="24"/>
        </w:rPr>
        <w:t xml:space="preserve"> в иностранной валюте).</w:t>
      </w:r>
    </w:p>
    <w:p w14:paraId="50E704DA" w14:textId="0327279B" w:rsidR="001F4F33" w:rsidRPr="00C37701" w:rsidRDefault="001F4F33" w:rsidP="0097449D">
      <w:pPr>
        <w:keepLines/>
        <w:autoSpaceDE w:val="0"/>
        <w:autoSpaceDN w:val="0"/>
        <w:adjustRightInd w:val="0"/>
        <w:spacing w:after="0" w:line="240" w:lineRule="auto"/>
        <w:ind w:firstLine="709"/>
        <w:jc w:val="both"/>
        <w:rPr>
          <w:rFonts w:ascii="Times New Roman" w:hAnsi="Times New Roman" w:cs="Times New Roman"/>
          <w:color w:val="000000"/>
          <w:sz w:val="24"/>
          <w:szCs w:val="24"/>
        </w:rPr>
      </w:pPr>
      <w:r w:rsidRPr="00C37701">
        <w:rPr>
          <w:rFonts w:ascii="Times New Roman" w:hAnsi="Times New Roman" w:cs="Times New Roman"/>
          <w:color w:val="000000"/>
          <w:sz w:val="24"/>
          <w:szCs w:val="24"/>
        </w:rPr>
        <w:t>Кроме того, Национальны</w:t>
      </w:r>
      <w:r w:rsidRPr="00C37701">
        <w:rPr>
          <w:rFonts w:ascii="Times New Roman" w:hAnsi="Times New Roman" w:cs="Times New Roman"/>
          <w:color w:val="000000"/>
          <w:sz w:val="24"/>
          <w:szCs w:val="24"/>
          <w:lang w:val="kk-KZ"/>
        </w:rPr>
        <w:t>й</w:t>
      </w:r>
      <w:r w:rsidRPr="00C37701">
        <w:rPr>
          <w:rFonts w:ascii="Times New Roman" w:hAnsi="Times New Roman" w:cs="Times New Roman"/>
          <w:color w:val="000000"/>
          <w:sz w:val="24"/>
          <w:szCs w:val="24"/>
        </w:rPr>
        <w:t xml:space="preserve"> Банк совместно с </w:t>
      </w:r>
      <w:r w:rsidR="005C1E78">
        <w:rPr>
          <w:rFonts w:ascii="Times New Roman" w:hAnsi="Times New Roman" w:cs="Times New Roman"/>
          <w:color w:val="000000"/>
          <w:sz w:val="24"/>
          <w:szCs w:val="24"/>
        </w:rPr>
        <w:t>АО «Казахстанский фонд гарантирования депозитов»</w:t>
      </w:r>
      <w:r w:rsidRPr="00C37701">
        <w:rPr>
          <w:rFonts w:ascii="Times New Roman" w:hAnsi="Times New Roman" w:cs="Times New Roman"/>
          <w:color w:val="000000"/>
          <w:sz w:val="24"/>
          <w:szCs w:val="24"/>
        </w:rPr>
        <w:t xml:space="preserve"> с 1 октября 2018</w:t>
      </w:r>
      <w:r w:rsidR="00475FAF">
        <w:rPr>
          <w:rFonts w:ascii="Times New Roman" w:hAnsi="Times New Roman" w:cs="Times New Roman"/>
          <w:color w:val="000000"/>
          <w:sz w:val="24"/>
          <w:szCs w:val="24"/>
        </w:rPr>
        <w:t xml:space="preserve"> </w:t>
      </w:r>
      <w:r w:rsidRPr="00C37701">
        <w:rPr>
          <w:rFonts w:ascii="Times New Roman" w:hAnsi="Times New Roman" w:cs="Times New Roman"/>
          <w:color w:val="000000"/>
          <w:sz w:val="24"/>
          <w:szCs w:val="24"/>
        </w:rPr>
        <w:t>г</w:t>
      </w:r>
      <w:r w:rsidR="00475FAF">
        <w:rPr>
          <w:rFonts w:ascii="Times New Roman" w:hAnsi="Times New Roman" w:cs="Times New Roman"/>
          <w:color w:val="000000"/>
          <w:sz w:val="24"/>
          <w:szCs w:val="24"/>
        </w:rPr>
        <w:t>ода,</w:t>
      </w:r>
      <w:r w:rsidRPr="00C37701">
        <w:rPr>
          <w:rFonts w:ascii="Times New Roman" w:hAnsi="Times New Roman" w:cs="Times New Roman"/>
          <w:color w:val="000000"/>
          <w:sz w:val="24"/>
          <w:szCs w:val="24"/>
        </w:rPr>
        <w:t xml:space="preserve"> ввел систему дифференцированных предельных ставок по депозитам в национальной валюте, которая направлена на создание условий для развития рынка срочных депозитов, а также снижение нездоровой конкуренции на депозитном рынке.  В соответствии с новой системой предельные ставки по депозитам устанавливаются в зависимости от сроков, условий досрочного изъятия и возможности пополнения. При этом по срочным и сберегательным депозитам, условия которых </w:t>
      </w:r>
      <w:proofErr w:type="spellStart"/>
      <w:r w:rsidRPr="00C37701">
        <w:rPr>
          <w:rFonts w:ascii="Times New Roman" w:hAnsi="Times New Roman" w:cs="Times New Roman"/>
          <w:color w:val="000000"/>
          <w:sz w:val="24"/>
          <w:szCs w:val="24"/>
        </w:rPr>
        <w:t>дестимулируют</w:t>
      </w:r>
      <w:proofErr w:type="spellEnd"/>
      <w:r w:rsidRPr="00C37701">
        <w:rPr>
          <w:rFonts w:ascii="Times New Roman" w:hAnsi="Times New Roman" w:cs="Times New Roman"/>
          <w:color w:val="000000"/>
          <w:sz w:val="24"/>
          <w:szCs w:val="24"/>
        </w:rPr>
        <w:t xml:space="preserve"> вкладчика досрочно изымать депозит, установлены более высокие предельные ставки, чем по несрочным депозитам. Данный подход установления предельных ставок предоставляет опции по размещению сбережений населения с учетом их предпочтений по ликвидности и доходности, стимулирует накопление в национальной валюте на длительные сроки и создает условия для финансовой стабильности на банковском рынке. </w:t>
      </w:r>
    </w:p>
    <w:p w14:paraId="49B1F058" w14:textId="17312FA1" w:rsidR="001F4F33" w:rsidRPr="00C37701" w:rsidRDefault="00475FAF" w:rsidP="0097449D">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Вместе с тем, п</w:t>
      </w:r>
      <w:r w:rsidR="001F4F33" w:rsidRPr="00C37701">
        <w:rPr>
          <w:rFonts w:ascii="Times New Roman" w:hAnsi="Times New Roman" w:cs="Times New Roman"/>
          <w:color w:val="000000"/>
          <w:sz w:val="24"/>
          <w:szCs w:val="24"/>
        </w:rPr>
        <w:t>остановлением Правления Национального Банка от 22 декабря 2017 года</w:t>
      </w:r>
      <w:r w:rsidR="00CE194B">
        <w:rPr>
          <w:rFonts w:ascii="Times New Roman" w:hAnsi="Times New Roman" w:cs="Times New Roman"/>
          <w:color w:val="000000"/>
          <w:sz w:val="24"/>
          <w:szCs w:val="24"/>
        </w:rPr>
        <w:t xml:space="preserve">      </w:t>
      </w:r>
      <w:r w:rsidR="00CE194B" w:rsidRPr="00C37701">
        <w:rPr>
          <w:rFonts w:ascii="Times New Roman" w:hAnsi="Times New Roman" w:cs="Times New Roman"/>
          <w:color w:val="000000"/>
          <w:sz w:val="24"/>
          <w:szCs w:val="24"/>
        </w:rPr>
        <w:t xml:space="preserve">№ </w:t>
      </w:r>
      <w:proofErr w:type="gramStart"/>
      <w:r w:rsidR="00CE194B" w:rsidRPr="00C37701">
        <w:rPr>
          <w:rFonts w:ascii="Times New Roman" w:hAnsi="Times New Roman" w:cs="Times New Roman"/>
          <w:color w:val="000000"/>
          <w:sz w:val="24"/>
          <w:szCs w:val="24"/>
        </w:rPr>
        <w:t xml:space="preserve">264 </w:t>
      </w:r>
      <w:r w:rsidR="001F4F33" w:rsidRPr="00C37701">
        <w:rPr>
          <w:rFonts w:ascii="Times New Roman" w:hAnsi="Times New Roman" w:cs="Times New Roman"/>
          <w:color w:val="000000"/>
          <w:sz w:val="24"/>
          <w:szCs w:val="24"/>
        </w:rPr>
        <w:t xml:space="preserve"> утверждены</w:t>
      </w:r>
      <w:proofErr w:type="gramEnd"/>
      <w:r w:rsidR="001F4F33" w:rsidRPr="00C37701">
        <w:rPr>
          <w:rFonts w:ascii="Times New Roman" w:hAnsi="Times New Roman" w:cs="Times New Roman"/>
          <w:color w:val="000000"/>
          <w:sz w:val="24"/>
          <w:szCs w:val="24"/>
        </w:rPr>
        <w:t xml:space="preserve"> правила выпуска и обращения банковских депозитных сертификатов. Данные правила предусматривают упрощение порядка выпуска банковских депозитных сертификатов путем закрепления самостоятельного учета банковских депозитных сертификатов за банками – эмитентами.</w:t>
      </w:r>
    </w:p>
    <w:p w14:paraId="4A5E2EF1" w14:textId="77777777" w:rsidR="001F4F33" w:rsidRPr="00C37701" w:rsidRDefault="001F4F33"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color w:val="000000"/>
          <w:sz w:val="24"/>
          <w:szCs w:val="24"/>
        </w:rPr>
        <w:t>В целом, ожидается, что указанные меры положительно отразятся на формировании срочного рынка и деятельности банков второго уровня. Все больше банков заинтересованы в создании и продвижении новых депозитных продуктов, отличающихся от прежних стабильностью, качеством обслуживания и низкими рисками.</w:t>
      </w:r>
    </w:p>
    <w:p w14:paraId="1A3BBEA0" w14:textId="77777777" w:rsidR="001F4F33" w:rsidRPr="00C37701" w:rsidRDefault="001F4F33"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 xml:space="preserve">Восстановление системы </w:t>
      </w:r>
      <w:proofErr w:type="spellStart"/>
      <w:r w:rsidRPr="00C37701">
        <w:rPr>
          <w:rFonts w:ascii="Times New Roman" w:hAnsi="Times New Roman" w:cs="Times New Roman"/>
          <w:i/>
          <w:sz w:val="24"/>
          <w:szCs w:val="24"/>
        </w:rPr>
        <w:t>секьюритизации</w:t>
      </w:r>
      <w:proofErr w:type="spellEnd"/>
      <w:r w:rsidRPr="00C37701">
        <w:rPr>
          <w:rFonts w:ascii="Times New Roman" w:hAnsi="Times New Roman" w:cs="Times New Roman"/>
          <w:i/>
          <w:sz w:val="24"/>
          <w:szCs w:val="24"/>
        </w:rPr>
        <w:t xml:space="preserve"> ипотечных кредитов.</w:t>
      </w:r>
    </w:p>
    <w:p w14:paraId="010CC942" w14:textId="45D509A2" w:rsidR="001F4F33" w:rsidRPr="00C37701" w:rsidRDefault="001F4F33" w:rsidP="0097449D">
      <w:pPr>
        <w:keepLine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C37701">
        <w:rPr>
          <w:rFonts w:ascii="Times New Roman" w:eastAsia="Times New Roman" w:hAnsi="Times New Roman" w:cs="Times New Roman"/>
          <w:color w:val="000000"/>
          <w:sz w:val="24"/>
          <w:szCs w:val="24"/>
          <w:lang w:eastAsia="ru-RU"/>
        </w:rPr>
        <w:t>Мероприятие исполнено</w:t>
      </w:r>
      <w:r w:rsidRPr="00C37701">
        <w:rPr>
          <w:rFonts w:ascii="Times New Roman" w:eastAsia="Times New Roman" w:hAnsi="Times New Roman" w:cs="Times New Roman"/>
          <w:bCs/>
          <w:color w:val="000000"/>
          <w:sz w:val="24"/>
          <w:szCs w:val="24"/>
          <w:lang w:eastAsia="ru-RU"/>
        </w:rPr>
        <w:t>. Информация в А</w:t>
      </w:r>
      <w:r w:rsidR="00975AAF">
        <w:rPr>
          <w:rFonts w:ascii="Times New Roman" w:eastAsia="Times New Roman" w:hAnsi="Times New Roman" w:cs="Times New Roman"/>
          <w:bCs/>
          <w:color w:val="000000"/>
          <w:sz w:val="24"/>
          <w:szCs w:val="24"/>
          <w:lang w:eastAsia="ru-RU"/>
        </w:rPr>
        <w:t xml:space="preserve">дминистрацию </w:t>
      </w:r>
      <w:r w:rsidRPr="00C37701">
        <w:rPr>
          <w:rFonts w:ascii="Times New Roman" w:eastAsia="Times New Roman" w:hAnsi="Times New Roman" w:cs="Times New Roman"/>
          <w:bCs/>
          <w:color w:val="000000"/>
          <w:sz w:val="24"/>
          <w:szCs w:val="24"/>
          <w:lang w:eastAsia="ru-RU"/>
        </w:rPr>
        <w:t>П</w:t>
      </w:r>
      <w:r w:rsidR="00975AAF">
        <w:rPr>
          <w:rFonts w:ascii="Times New Roman" w:eastAsia="Times New Roman" w:hAnsi="Times New Roman" w:cs="Times New Roman"/>
          <w:bCs/>
          <w:color w:val="000000"/>
          <w:sz w:val="24"/>
          <w:szCs w:val="24"/>
          <w:lang w:eastAsia="ru-RU"/>
        </w:rPr>
        <w:t>резидента</w:t>
      </w:r>
      <w:r w:rsidRPr="00C37701">
        <w:rPr>
          <w:rFonts w:ascii="Times New Roman" w:eastAsia="Times New Roman" w:hAnsi="Times New Roman" w:cs="Times New Roman"/>
          <w:bCs/>
          <w:color w:val="000000"/>
          <w:sz w:val="24"/>
          <w:szCs w:val="24"/>
          <w:lang w:eastAsia="ru-RU"/>
        </w:rPr>
        <w:t xml:space="preserve"> РК представлена письмами с исх. № 253/11-2-02/19//772 от 4 декабря 2018 года и № 253/11-4-02/42//772</w:t>
      </w:r>
      <w:r w:rsidR="00A35C7B">
        <w:rPr>
          <w:rFonts w:ascii="Times New Roman" w:eastAsia="Times New Roman" w:hAnsi="Times New Roman" w:cs="Times New Roman"/>
          <w:bCs/>
          <w:color w:val="000000"/>
          <w:sz w:val="24"/>
          <w:szCs w:val="24"/>
          <w:lang w:eastAsia="ru-RU"/>
        </w:rPr>
        <w:t xml:space="preserve">                         </w:t>
      </w:r>
      <w:r w:rsidRPr="00C37701">
        <w:rPr>
          <w:rFonts w:ascii="Times New Roman" w:eastAsia="Times New Roman" w:hAnsi="Times New Roman" w:cs="Times New Roman"/>
          <w:bCs/>
          <w:color w:val="000000"/>
          <w:sz w:val="24"/>
          <w:szCs w:val="24"/>
          <w:lang w:eastAsia="ru-RU"/>
        </w:rPr>
        <w:t xml:space="preserve"> от 29 июля 2019 года.</w:t>
      </w:r>
    </w:p>
    <w:p w14:paraId="6291A73D" w14:textId="77777777" w:rsidR="001F4F33" w:rsidRPr="00C37701" w:rsidRDefault="001F4F33" w:rsidP="0097449D">
      <w:pPr>
        <w:keepLines/>
        <w:autoSpaceDE w:val="0"/>
        <w:autoSpaceDN w:val="0"/>
        <w:adjustRightInd w:val="0"/>
        <w:spacing w:after="0" w:line="240" w:lineRule="auto"/>
        <w:ind w:firstLine="708"/>
        <w:jc w:val="both"/>
        <w:rPr>
          <w:rFonts w:ascii="Times New Roman" w:hAnsi="Times New Roman" w:cs="Times New Roman"/>
          <w:sz w:val="24"/>
          <w:szCs w:val="24"/>
        </w:rPr>
      </w:pPr>
      <w:r w:rsidRPr="00C37701">
        <w:rPr>
          <w:rFonts w:ascii="Times New Roman" w:hAnsi="Times New Roman" w:cs="Times New Roman"/>
          <w:sz w:val="24"/>
          <w:szCs w:val="24"/>
        </w:rPr>
        <w:lastRenderedPageBreak/>
        <w:t xml:space="preserve">Национальным Банком осуществлены меры по реализации восстановления системы </w:t>
      </w:r>
      <w:proofErr w:type="spellStart"/>
      <w:r w:rsidRPr="00C37701">
        <w:rPr>
          <w:rFonts w:ascii="Times New Roman" w:hAnsi="Times New Roman" w:cs="Times New Roman"/>
          <w:sz w:val="24"/>
          <w:szCs w:val="24"/>
        </w:rPr>
        <w:t>секьюритизации</w:t>
      </w:r>
      <w:proofErr w:type="spellEnd"/>
      <w:r w:rsidRPr="00C37701">
        <w:rPr>
          <w:rFonts w:ascii="Times New Roman" w:hAnsi="Times New Roman" w:cs="Times New Roman"/>
          <w:sz w:val="24"/>
          <w:szCs w:val="24"/>
        </w:rPr>
        <w:t xml:space="preserve"> ипотечных кредитов, в том числе создана вся необходимая инфраструктура для </w:t>
      </w:r>
      <w:proofErr w:type="spellStart"/>
      <w:r w:rsidRPr="00C37701">
        <w:rPr>
          <w:rFonts w:ascii="Times New Roman" w:hAnsi="Times New Roman" w:cs="Times New Roman"/>
          <w:sz w:val="24"/>
          <w:szCs w:val="24"/>
        </w:rPr>
        <w:t>секьюритизации</w:t>
      </w:r>
      <w:proofErr w:type="spellEnd"/>
      <w:r w:rsidRPr="00C37701">
        <w:rPr>
          <w:rFonts w:ascii="Times New Roman" w:hAnsi="Times New Roman" w:cs="Times New Roman"/>
          <w:sz w:val="24"/>
          <w:szCs w:val="24"/>
        </w:rPr>
        <w:t xml:space="preserve"> – действует оператор вторичного рынка ипотеки АО «Ипотечная организация «</w:t>
      </w:r>
      <w:proofErr w:type="spellStart"/>
      <w:r w:rsidRPr="00C37701">
        <w:rPr>
          <w:rFonts w:ascii="Times New Roman" w:hAnsi="Times New Roman" w:cs="Times New Roman"/>
          <w:sz w:val="24"/>
          <w:szCs w:val="24"/>
        </w:rPr>
        <w:t>Баспана</w:t>
      </w:r>
      <w:proofErr w:type="spellEnd"/>
      <w:r w:rsidRPr="00C37701">
        <w:rPr>
          <w:rFonts w:ascii="Times New Roman" w:hAnsi="Times New Roman" w:cs="Times New Roman"/>
          <w:sz w:val="24"/>
          <w:szCs w:val="24"/>
        </w:rPr>
        <w:t>» (далее – Оператор), который выпуская облигации, выкупает права требования по ипотечным жилищным займам. Такая система позволяет в долгосрочной перспективе обеспечить ипотечное кредитование «длинным» фондированием путем рефинансирования банков, которые за счет высвободившихся ресурсов обеспечивают выдачу новых займов.</w:t>
      </w:r>
    </w:p>
    <w:p w14:paraId="08C9CD32" w14:textId="2A2E7D05" w:rsidR="001F4F33" w:rsidRPr="00C37701" w:rsidRDefault="001F4F33" w:rsidP="0097449D">
      <w:pPr>
        <w:tabs>
          <w:tab w:val="left" w:pos="-7230"/>
          <w:tab w:val="left" w:pos="1134"/>
        </w:tabs>
        <w:spacing w:after="0" w:line="240" w:lineRule="auto"/>
        <w:ind w:firstLine="709"/>
        <w:jc w:val="both"/>
        <w:rPr>
          <w:rFonts w:ascii="Times New Roman" w:hAnsi="Times New Roman" w:cs="Times New Roman"/>
          <w:color w:val="000000"/>
          <w:sz w:val="24"/>
          <w:szCs w:val="24"/>
        </w:rPr>
      </w:pPr>
      <w:r w:rsidRPr="00C37701">
        <w:rPr>
          <w:rFonts w:ascii="Times New Roman" w:hAnsi="Times New Roman" w:cs="Times New Roman"/>
          <w:color w:val="000000"/>
          <w:sz w:val="24"/>
          <w:szCs w:val="24"/>
        </w:rPr>
        <w:t xml:space="preserve">По состоянию на 26 декабря 2019 года Оператор выкупил в общем 27 751 займов </w:t>
      </w:r>
      <w:r w:rsidR="00A35C7B">
        <w:rPr>
          <w:rFonts w:ascii="Times New Roman" w:hAnsi="Times New Roman" w:cs="Times New Roman"/>
          <w:color w:val="000000"/>
          <w:sz w:val="24"/>
          <w:szCs w:val="24"/>
        </w:rPr>
        <w:t xml:space="preserve">                      </w:t>
      </w:r>
      <w:r w:rsidRPr="00C37701">
        <w:rPr>
          <w:rFonts w:ascii="Times New Roman" w:hAnsi="Times New Roman" w:cs="Times New Roman"/>
          <w:color w:val="000000"/>
          <w:sz w:val="24"/>
          <w:szCs w:val="24"/>
        </w:rPr>
        <w:t>на сумму 260,0 млрд</w:t>
      </w:r>
      <w:r w:rsidR="00111335">
        <w:rPr>
          <w:rFonts w:ascii="Times New Roman" w:hAnsi="Times New Roman" w:cs="Times New Roman"/>
          <w:color w:val="000000"/>
          <w:sz w:val="24"/>
          <w:szCs w:val="24"/>
        </w:rPr>
        <w:t>.</w:t>
      </w:r>
      <w:r w:rsidRPr="00C37701">
        <w:rPr>
          <w:rFonts w:ascii="Times New Roman" w:hAnsi="Times New Roman" w:cs="Times New Roman"/>
          <w:color w:val="000000"/>
          <w:sz w:val="24"/>
          <w:szCs w:val="24"/>
        </w:rPr>
        <w:t xml:space="preserve"> тенге, из которых по Программе «7-20-25» выкуплено 11 464 займа</w:t>
      </w:r>
      <w:r w:rsidR="00A35C7B">
        <w:rPr>
          <w:rFonts w:ascii="Times New Roman" w:hAnsi="Times New Roman" w:cs="Times New Roman"/>
          <w:color w:val="000000"/>
          <w:sz w:val="24"/>
          <w:szCs w:val="24"/>
        </w:rPr>
        <w:t xml:space="preserve">                    </w:t>
      </w:r>
      <w:r w:rsidRPr="00C37701">
        <w:rPr>
          <w:rFonts w:ascii="Times New Roman" w:hAnsi="Times New Roman" w:cs="Times New Roman"/>
          <w:color w:val="000000"/>
          <w:sz w:val="24"/>
          <w:szCs w:val="24"/>
        </w:rPr>
        <w:t xml:space="preserve"> на сумму 131,6 млрд</w:t>
      </w:r>
      <w:r w:rsidR="00111335">
        <w:rPr>
          <w:rFonts w:ascii="Times New Roman" w:hAnsi="Times New Roman" w:cs="Times New Roman"/>
          <w:color w:val="000000"/>
          <w:sz w:val="24"/>
          <w:szCs w:val="24"/>
        </w:rPr>
        <w:t>.</w:t>
      </w:r>
      <w:r w:rsidRPr="00C37701">
        <w:rPr>
          <w:rFonts w:ascii="Times New Roman" w:hAnsi="Times New Roman" w:cs="Times New Roman"/>
          <w:color w:val="000000"/>
          <w:sz w:val="24"/>
          <w:szCs w:val="24"/>
        </w:rPr>
        <w:t xml:space="preserve"> тенге и по продукту «</w:t>
      </w:r>
      <w:proofErr w:type="spellStart"/>
      <w:r w:rsidRPr="00C37701">
        <w:rPr>
          <w:rFonts w:ascii="Times New Roman" w:hAnsi="Times New Roman" w:cs="Times New Roman"/>
          <w:color w:val="000000"/>
          <w:sz w:val="24"/>
          <w:szCs w:val="24"/>
        </w:rPr>
        <w:t>Баспана</w:t>
      </w:r>
      <w:proofErr w:type="spellEnd"/>
      <w:r w:rsidRPr="00C37701">
        <w:rPr>
          <w:rFonts w:ascii="Times New Roman" w:hAnsi="Times New Roman" w:cs="Times New Roman"/>
          <w:color w:val="000000"/>
          <w:sz w:val="24"/>
          <w:szCs w:val="24"/>
        </w:rPr>
        <w:t xml:space="preserve"> Хит» выкуплено 16 287 займов </w:t>
      </w:r>
      <w:r w:rsidR="00A35C7B">
        <w:rPr>
          <w:rFonts w:ascii="Times New Roman" w:hAnsi="Times New Roman" w:cs="Times New Roman"/>
          <w:color w:val="000000"/>
          <w:sz w:val="24"/>
          <w:szCs w:val="24"/>
        </w:rPr>
        <w:t xml:space="preserve">                                  </w:t>
      </w:r>
      <w:r w:rsidRPr="00C37701">
        <w:rPr>
          <w:rFonts w:ascii="Times New Roman" w:hAnsi="Times New Roman" w:cs="Times New Roman"/>
          <w:color w:val="000000"/>
          <w:sz w:val="24"/>
          <w:szCs w:val="24"/>
        </w:rPr>
        <w:t>на сумму</w:t>
      </w:r>
      <w:r w:rsidR="00A35C7B">
        <w:rPr>
          <w:rFonts w:ascii="Times New Roman" w:hAnsi="Times New Roman" w:cs="Times New Roman"/>
          <w:color w:val="000000"/>
          <w:sz w:val="24"/>
          <w:szCs w:val="24"/>
        </w:rPr>
        <w:t xml:space="preserve"> </w:t>
      </w:r>
      <w:r w:rsidRPr="00C37701">
        <w:rPr>
          <w:rFonts w:ascii="Times New Roman" w:hAnsi="Times New Roman" w:cs="Times New Roman"/>
          <w:color w:val="000000"/>
          <w:sz w:val="24"/>
          <w:szCs w:val="24"/>
        </w:rPr>
        <w:t>128,4 млрд</w:t>
      </w:r>
      <w:r w:rsidR="00111335">
        <w:rPr>
          <w:rFonts w:ascii="Times New Roman" w:hAnsi="Times New Roman" w:cs="Times New Roman"/>
          <w:color w:val="000000"/>
          <w:sz w:val="24"/>
          <w:szCs w:val="24"/>
        </w:rPr>
        <w:t>.</w:t>
      </w:r>
      <w:r w:rsidRPr="00C37701">
        <w:rPr>
          <w:rFonts w:ascii="Times New Roman" w:hAnsi="Times New Roman" w:cs="Times New Roman"/>
          <w:color w:val="000000"/>
          <w:sz w:val="24"/>
          <w:szCs w:val="24"/>
        </w:rPr>
        <w:t xml:space="preserve"> тенге. </w:t>
      </w:r>
    </w:p>
    <w:p w14:paraId="40D1A3AC" w14:textId="77777777" w:rsidR="001F4F33" w:rsidRPr="00C37701" w:rsidRDefault="001F4F33" w:rsidP="0097449D">
      <w:pPr>
        <w:tabs>
          <w:tab w:val="left" w:pos="-7230"/>
          <w:tab w:val="left" w:pos="1134"/>
        </w:tabs>
        <w:spacing w:after="0" w:line="240" w:lineRule="auto"/>
        <w:ind w:firstLine="709"/>
        <w:jc w:val="both"/>
        <w:rPr>
          <w:rFonts w:ascii="Times New Roman" w:hAnsi="Times New Roman" w:cs="Times New Roman"/>
          <w:color w:val="000000"/>
          <w:sz w:val="24"/>
          <w:szCs w:val="24"/>
        </w:rPr>
      </w:pPr>
      <w:r w:rsidRPr="00C37701">
        <w:rPr>
          <w:rFonts w:ascii="Times New Roman" w:hAnsi="Times New Roman" w:cs="Times New Roman"/>
          <w:color w:val="000000"/>
          <w:sz w:val="24"/>
          <w:szCs w:val="24"/>
        </w:rPr>
        <w:t xml:space="preserve">Агентские облигации Оператора размещаются на торговой площадке АО «Казахстанская фондовая биржа» (KASE) среди неограниченного круга инвесторов. </w:t>
      </w:r>
    </w:p>
    <w:p w14:paraId="4580D347" w14:textId="77777777" w:rsidR="001F4F33" w:rsidRPr="00C37701" w:rsidRDefault="001F4F33" w:rsidP="0097449D">
      <w:pPr>
        <w:tabs>
          <w:tab w:val="left" w:pos="-7230"/>
          <w:tab w:val="left" w:pos="1134"/>
        </w:tabs>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 xml:space="preserve">Появление нового качественного и надежного финансового инструмента в виде агентских облигаций Оператора позволяет не только привлекать ресурсы для активизации долгосрочного кредитования, но и дает импульс развитию отечественного фондового рынка. </w:t>
      </w:r>
    </w:p>
    <w:p w14:paraId="7A3623CE" w14:textId="671EADC0" w:rsidR="00CB30BD" w:rsidRPr="00C37701" w:rsidRDefault="001F4F33" w:rsidP="0097449D">
      <w:pPr>
        <w:tabs>
          <w:tab w:val="left" w:pos="-7230"/>
          <w:tab w:val="left" w:pos="1134"/>
        </w:tabs>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Так, для приобретения у банков-участников Программы «7-20-25» прав требования по займам, выданным в рамках Программы «7-20-25» и рыночного ипотечного продукта «</w:t>
      </w:r>
      <w:proofErr w:type="spellStart"/>
      <w:r w:rsidRPr="00C37701">
        <w:rPr>
          <w:rFonts w:ascii="Times New Roman" w:hAnsi="Times New Roman" w:cs="Times New Roman"/>
          <w:sz w:val="24"/>
          <w:szCs w:val="24"/>
        </w:rPr>
        <w:t>Баспана</w:t>
      </w:r>
      <w:proofErr w:type="spellEnd"/>
      <w:r w:rsidRPr="00C37701">
        <w:rPr>
          <w:rFonts w:ascii="Times New Roman" w:hAnsi="Times New Roman" w:cs="Times New Roman"/>
          <w:sz w:val="24"/>
          <w:szCs w:val="24"/>
        </w:rPr>
        <w:t xml:space="preserve"> Хит» Оператор через выпуск облигаций на фондовом рынке привлек средства </w:t>
      </w:r>
      <w:r w:rsidR="00A35C7B">
        <w:rPr>
          <w:rFonts w:ascii="Times New Roman" w:hAnsi="Times New Roman" w:cs="Times New Roman"/>
          <w:sz w:val="24"/>
          <w:szCs w:val="24"/>
        </w:rPr>
        <w:t xml:space="preserve">                                           </w:t>
      </w:r>
      <w:r w:rsidRPr="00C37701">
        <w:rPr>
          <w:rFonts w:ascii="Times New Roman" w:hAnsi="Times New Roman" w:cs="Times New Roman"/>
          <w:sz w:val="24"/>
          <w:szCs w:val="24"/>
        </w:rPr>
        <w:t>на сумму</w:t>
      </w:r>
      <w:r w:rsidR="00A35C7B">
        <w:rPr>
          <w:rFonts w:ascii="Times New Roman" w:hAnsi="Times New Roman" w:cs="Times New Roman"/>
          <w:sz w:val="24"/>
          <w:szCs w:val="24"/>
        </w:rPr>
        <w:t xml:space="preserve"> </w:t>
      </w:r>
      <w:r w:rsidRPr="00C37701">
        <w:rPr>
          <w:rFonts w:ascii="Times New Roman" w:hAnsi="Times New Roman" w:cs="Times New Roman"/>
          <w:sz w:val="24"/>
          <w:szCs w:val="24"/>
        </w:rPr>
        <w:t>283,5 млрд</w:t>
      </w:r>
      <w:r w:rsidR="00A161A4">
        <w:rPr>
          <w:rFonts w:ascii="Times New Roman" w:hAnsi="Times New Roman" w:cs="Times New Roman"/>
          <w:sz w:val="24"/>
          <w:szCs w:val="24"/>
        </w:rPr>
        <w:t>.</w:t>
      </w:r>
      <w:r w:rsidRPr="00C37701">
        <w:rPr>
          <w:rFonts w:ascii="Times New Roman" w:hAnsi="Times New Roman" w:cs="Times New Roman"/>
          <w:sz w:val="24"/>
          <w:szCs w:val="24"/>
        </w:rPr>
        <w:t xml:space="preserve"> тенге.</w:t>
      </w:r>
    </w:p>
    <w:p w14:paraId="0A088DF3" w14:textId="77777777" w:rsidR="00F2659C" w:rsidRPr="00C37701" w:rsidRDefault="00F2659C" w:rsidP="0097449D">
      <w:pPr>
        <w:spacing w:after="0" w:line="240" w:lineRule="auto"/>
        <w:ind w:firstLine="709"/>
        <w:contextualSpacing/>
        <w:jc w:val="both"/>
        <w:rPr>
          <w:rFonts w:ascii="Times New Roman" w:hAnsi="Times New Roman" w:cs="Times New Roman"/>
          <w:b/>
          <w:i/>
          <w:color w:val="000000"/>
          <w:sz w:val="24"/>
          <w:szCs w:val="24"/>
        </w:rPr>
      </w:pPr>
    </w:p>
    <w:p w14:paraId="053A5D5A" w14:textId="77777777" w:rsidR="00F2659C" w:rsidRPr="00C37701" w:rsidRDefault="00F2659C" w:rsidP="0097449D">
      <w:pPr>
        <w:spacing w:after="0" w:line="240" w:lineRule="auto"/>
        <w:ind w:firstLine="709"/>
        <w:contextualSpacing/>
        <w:jc w:val="both"/>
        <w:rPr>
          <w:rFonts w:ascii="Times New Roman" w:hAnsi="Times New Roman" w:cs="Times New Roman"/>
          <w:i/>
          <w:sz w:val="24"/>
          <w:szCs w:val="24"/>
          <w:lang w:val="kk-KZ"/>
        </w:rPr>
      </w:pPr>
      <w:r w:rsidRPr="00C37701">
        <w:rPr>
          <w:rFonts w:ascii="Times New Roman" w:hAnsi="Times New Roman" w:cs="Times New Roman"/>
          <w:b/>
          <w:i/>
          <w:sz w:val="24"/>
          <w:szCs w:val="24"/>
        </w:rPr>
        <w:t>Целевой индикатор 3:</w:t>
      </w:r>
      <w:r w:rsidRPr="00C37701">
        <w:rPr>
          <w:rFonts w:ascii="Times New Roman" w:hAnsi="Times New Roman" w:cs="Times New Roman"/>
          <w:i/>
          <w:sz w:val="24"/>
          <w:szCs w:val="24"/>
        </w:rPr>
        <w:t xml:space="preserve"> </w:t>
      </w:r>
      <w:r w:rsidRPr="00C37701">
        <w:rPr>
          <w:rFonts w:ascii="Times New Roman" w:hAnsi="Times New Roman" w:cs="Times New Roman"/>
          <w:b/>
          <w:i/>
          <w:sz w:val="24"/>
          <w:szCs w:val="24"/>
          <w:lang w:val="kk-KZ"/>
        </w:rPr>
        <w:t xml:space="preserve">Доля неработающих займов в ссудном портфеле банков </w:t>
      </w:r>
      <w:r w:rsidRPr="00C37701">
        <w:rPr>
          <w:rFonts w:ascii="Times New Roman" w:hAnsi="Times New Roman" w:cs="Times New Roman"/>
          <w:i/>
          <w:sz w:val="24"/>
          <w:szCs w:val="24"/>
          <w:lang w:val="kk-KZ"/>
        </w:rPr>
        <w:t>(10%)</w:t>
      </w:r>
    </w:p>
    <w:p w14:paraId="2B1BF068" w14:textId="77777777" w:rsidR="00F2659C" w:rsidRPr="00C37701" w:rsidRDefault="00F2659C" w:rsidP="0097449D">
      <w:pPr>
        <w:spacing w:after="0" w:line="240" w:lineRule="auto"/>
        <w:ind w:firstLine="709"/>
        <w:contextualSpacing/>
        <w:jc w:val="both"/>
        <w:rPr>
          <w:rFonts w:ascii="Times New Roman" w:hAnsi="Times New Roman" w:cs="Times New Roman"/>
          <w:b/>
          <w:bCs/>
          <w:i/>
          <w:iCs/>
          <w:sz w:val="24"/>
          <w:szCs w:val="24"/>
        </w:rPr>
      </w:pPr>
      <w:r w:rsidRPr="00C37701">
        <w:rPr>
          <w:rFonts w:ascii="Times New Roman" w:hAnsi="Times New Roman" w:cs="Times New Roman"/>
          <w:b/>
          <w:bCs/>
          <w:i/>
          <w:iCs/>
          <w:sz w:val="24"/>
          <w:szCs w:val="24"/>
        </w:rPr>
        <w:t xml:space="preserve">Мероприятия для </w:t>
      </w:r>
      <w:r w:rsidR="00D05052" w:rsidRPr="00C37701">
        <w:rPr>
          <w:rFonts w:ascii="Times New Roman" w:hAnsi="Times New Roman" w:cs="Times New Roman"/>
          <w:b/>
          <w:bCs/>
          <w:i/>
          <w:iCs/>
          <w:sz w:val="24"/>
          <w:szCs w:val="24"/>
        </w:rPr>
        <w:t>достижения целевого</w:t>
      </w:r>
      <w:r w:rsidRPr="00C37701">
        <w:rPr>
          <w:rFonts w:ascii="Times New Roman" w:hAnsi="Times New Roman" w:cs="Times New Roman"/>
          <w:b/>
          <w:bCs/>
          <w:i/>
          <w:iCs/>
          <w:sz w:val="24"/>
          <w:szCs w:val="24"/>
        </w:rPr>
        <w:t xml:space="preserve"> индикатора:</w:t>
      </w:r>
    </w:p>
    <w:p w14:paraId="69E28DC9" w14:textId="77777777" w:rsidR="00F2659C" w:rsidRPr="00C37701" w:rsidRDefault="00F2659C" w:rsidP="0097449D">
      <w:pPr>
        <w:spacing w:after="0" w:line="240" w:lineRule="auto"/>
        <w:ind w:firstLine="709"/>
        <w:jc w:val="both"/>
        <w:rPr>
          <w:rFonts w:ascii="Times New Roman" w:hAnsi="Times New Roman" w:cs="Times New Roman"/>
          <w:bCs/>
          <w:i/>
          <w:iCs/>
          <w:sz w:val="24"/>
          <w:szCs w:val="24"/>
        </w:rPr>
      </w:pPr>
      <w:r w:rsidRPr="00C37701">
        <w:rPr>
          <w:rFonts w:ascii="Times New Roman" w:hAnsi="Times New Roman" w:cs="Times New Roman"/>
          <w:bCs/>
          <w:i/>
          <w:iCs/>
          <w:sz w:val="24"/>
          <w:szCs w:val="24"/>
        </w:rPr>
        <w:t>Размещение на о</w:t>
      </w:r>
      <w:r w:rsidR="001364B5" w:rsidRPr="00C37701">
        <w:rPr>
          <w:rFonts w:ascii="Times New Roman" w:hAnsi="Times New Roman" w:cs="Times New Roman"/>
          <w:bCs/>
          <w:i/>
          <w:iCs/>
          <w:sz w:val="24"/>
          <w:szCs w:val="24"/>
        </w:rPr>
        <w:t xml:space="preserve">фициальном </w:t>
      </w:r>
      <w:proofErr w:type="spellStart"/>
      <w:r w:rsidR="001364B5" w:rsidRPr="00C37701">
        <w:rPr>
          <w:rFonts w:ascii="Times New Roman" w:hAnsi="Times New Roman" w:cs="Times New Roman"/>
          <w:bCs/>
          <w:i/>
          <w:iCs/>
          <w:sz w:val="24"/>
          <w:szCs w:val="24"/>
        </w:rPr>
        <w:t>интернет-ресурсе</w:t>
      </w:r>
      <w:proofErr w:type="spellEnd"/>
      <w:r w:rsidR="001364B5" w:rsidRPr="00C37701">
        <w:rPr>
          <w:rFonts w:ascii="Times New Roman" w:hAnsi="Times New Roman" w:cs="Times New Roman"/>
          <w:bCs/>
          <w:i/>
          <w:iCs/>
          <w:sz w:val="24"/>
          <w:szCs w:val="24"/>
        </w:rPr>
        <w:t xml:space="preserve"> Национального Банка</w:t>
      </w:r>
      <w:r w:rsidRPr="00C37701">
        <w:rPr>
          <w:rFonts w:ascii="Times New Roman" w:hAnsi="Times New Roman" w:cs="Times New Roman"/>
          <w:bCs/>
          <w:i/>
          <w:iCs/>
          <w:sz w:val="24"/>
          <w:szCs w:val="24"/>
        </w:rPr>
        <w:t xml:space="preserve"> обзоров «Текущее состояние банковского сектора»</w:t>
      </w:r>
    </w:p>
    <w:p w14:paraId="33664737" w14:textId="77777777" w:rsidR="00405DE0" w:rsidRPr="00C37701" w:rsidRDefault="00405DE0" w:rsidP="0097449D">
      <w:pPr>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 xml:space="preserve">Структура ссудного портфеля банковского сектора Республики Казахстан и результаты мониторинга деятельности банков по снижению неработающих займов отражаются в обзорах «Текущее состояние банковского сектора», которые в течение 2019 года размещались на ежемесячной основе на официальном </w:t>
      </w:r>
      <w:proofErr w:type="spellStart"/>
      <w:r w:rsidRPr="00C37701">
        <w:rPr>
          <w:rFonts w:ascii="Times New Roman" w:hAnsi="Times New Roman" w:cs="Times New Roman"/>
          <w:sz w:val="24"/>
          <w:szCs w:val="24"/>
        </w:rPr>
        <w:t>интернет-ресурсе</w:t>
      </w:r>
      <w:proofErr w:type="spellEnd"/>
      <w:r w:rsidRPr="00C37701">
        <w:rPr>
          <w:rFonts w:ascii="Times New Roman" w:hAnsi="Times New Roman" w:cs="Times New Roman"/>
          <w:sz w:val="24"/>
          <w:szCs w:val="24"/>
        </w:rPr>
        <w:t xml:space="preserve"> Национального Банка.</w:t>
      </w:r>
    </w:p>
    <w:p w14:paraId="75C6D1BC" w14:textId="77777777" w:rsidR="00F2659C" w:rsidRPr="00C37701" w:rsidRDefault="00F2659C" w:rsidP="0097449D">
      <w:pPr>
        <w:spacing w:after="0" w:line="240" w:lineRule="auto"/>
        <w:ind w:firstLine="709"/>
        <w:contextualSpacing/>
        <w:jc w:val="both"/>
        <w:rPr>
          <w:rFonts w:ascii="Times New Roman" w:hAnsi="Times New Roman" w:cs="Times New Roman"/>
          <w:b/>
          <w:i/>
          <w:color w:val="000000"/>
          <w:sz w:val="24"/>
          <w:szCs w:val="24"/>
        </w:rPr>
      </w:pPr>
    </w:p>
    <w:p w14:paraId="67690172" w14:textId="77777777" w:rsidR="00F2659C" w:rsidRPr="00C37701" w:rsidRDefault="00F2659C" w:rsidP="0097449D">
      <w:pPr>
        <w:spacing w:after="0" w:line="240" w:lineRule="auto"/>
        <w:ind w:firstLine="709"/>
        <w:contextualSpacing/>
        <w:jc w:val="both"/>
        <w:rPr>
          <w:rFonts w:ascii="Times New Roman" w:hAnsi="Times New Roman" w:cs="Times New Roman"/>
          <w:i/>
          <w:sz w:val="24"/>
          <w:szCs w:val="24"/>
          <w:lang w:val="kk-KZ"/>
        </w:rPr>
      </w:pPr>
      <w:r w:rsidRPr="00C37701">
        <w:rPr>
          <w:rFonts w:ascii="Times New Roman" w:hAnsi="Times New Roman" w:cs="Times New Roman"/>
          <w:b/>
          <w:i/>
          <w:sz w:val="24"/>
          <w:szCs w:val="24"/>
        </w:rPr>
        <w:t>Целевой индикатор 4:</w:t>
      </w:r>
      <w:r w:rsidRPr="00C37701">
        <w:rPr>
          <w:rFonts w:ascii="Times New Roman" w:hAnsi="Times New Roman" w:cs="Times New Roman"/>
          <w:i/>
          <w:sz w:val="24"/>
          <w:szCs w:val="24"/>
        </w:rPr>
        <w:t xml:space="preserve"> </w:t>
      </w:r>
      <w:r w:rsidRPr="00C37701">
        <w:rPr>
          <w:rFonts w:ascii="Times New Roman" w:hAnsi="Times New Roman" w:cs="Times New Roman"/>
          <w:b/>
          <w:i/>
          <w:sz w:val="24"/>
          <w:szCs w:val="24"/>
          <w:lang w:val="kk-KZ"/>
        </w:rPr>
        <w:t xml:space="preserve">Показатель «Доступность финансовых услуг» Глобального индекса конкурентоспособности </w:t>
      </w:r>
      <w:r w:rsidRPr="00C37701">
        <w:rPr>
          <w:rFonts w:ascii="Times New Roman" w:hAnsi="Times New Roman" w:cs="Times New Roman"/>
          <w:i/>
          <w:sz w:val="24"/>
          <w:szCs w:val="24"/>
          <w:lang w:val="kk-KZ"/>
        </w:rPr>
        <w:t>(6</w:t>
      </w:r>
      <w:r w:rsidR="00405DE0" w:rsidRPr="00C37701">
        <w:rPr>
          <w:rFonts w:ascii="Times New Roman" w:hAnsi="Times New Roman" w:cs="Times New Roman"/>
          <w:i/>
          <w:sz w:val="24"/>
          <w:szCs w:val="24"/>
        </w:rPr>
        <w:t>1</w:t>
      </w:r>
      <w:r w:rsidRPr="00C37701">
        <w:rPr>
          <w:rFonts w:ascii="Times New Roman" w:hAnsi="Times New Roman" w:cs="Times New Roman"/>
          <w:i/>
          <w:sz w:val="24"/>
          <w:szCs w:val="24"/>
          <w:lang w:val="kk-KZ"/>
        </w:rPr>
        <w:t xml:space="preserve"> место в рейтинге ГИК ВЭФ)</w:t>
      </w:r>
    </w:p>
    <w:p w14:paraId="42695ED6" w14:textId="77777777" w:rsidR="00707D6D" w:rsidRPr="00C37701" w:rsidRDefault="00707D6D" w:rsidP="0097449D">
      <w:pPr>
        <w:spacing w:after="0" w:line="240" w:lineRule="auto"/>
        <w:ind w:firstLine="709"/>
        <w:contextualSpacing/>
        <w:jc w:val="both"/>
        <w:rPr>
          <w:rFonts w:ascii="Times New Roman" w:hAnsi="Times New Roman" w:cs="Times New Roman"/>
          <w:bCs/>
          <w:i/>
          <w:iCs/>
          <w:sz w:val="24"/>
          <w:szCs w:val="24"/>
        </w:rPr>
      </w:pPr>
      <w:r w:rsidRPr="00C37701">
        <w:rPr>
          <w:rFonts w:ascii="Times New Roman" w:eastAsia="Times New Roman" w:hAnsi="Times New Roman" w:cs="Times New Roman"/>
          <w:sz w:val="24"/>
          <w:szCs w:val="24"/>
          <w:lang w:eastAsia="ru-RU"/>
        </w:rPr>
        <w:t xml:space="preserve">Согласно новой методологии ГИК ВЭФ 4.0, действующей с 2018 года, индикатор «Доступность финансовых услуг» исключен из структуры отчета ГИК ВЭФ, поскольку в настоящее время основной упор ставится на статистические индикаторы. Таким образом, не представляется возможным указать информацию по позиции Казахстана по целевому индикатору по итогам 2019 года ввиду отсутствия необходимой информации в ежегодном отчете по глобальному индексу конкурентоспособности. </w:t>
      </w:r>
    </w:p>
    <w:p w14:paraId="5F680B36" w14:textId="0B9236DA" w:rsidR="00F2659C" w:rsidRPr="00C37701" w:rsidRDefault="00F2659C"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bCs/>
          <w:i/>
          <w:iCs/>
          <w:sz w:val="24"/>
          <w:szCs w:val="24"/>
        </w:rPr>
        <w:t xml:space="preserve">Мероприятия для </w:t>
      </w:r>
      <w:r w:rsidR="002A26FE" w:rsidRPr="00C37701">
        <w:rPr>
          <w:rFonts w:ascii="Times New Roman" w:hAnsi="Times New Roman" w:cs="Times New Roman"/>
          <w:b/>
          <w:bCs/>
          <w:i/>
          <w:iCs/>
          <w:sz w:val="24"/>
          <w:szCs w:val="24"/>
        </w:rPr>
        <w:t>достижения целевого</w:t>
      </w:r>
      <w:r w:rsidRPr="00C37701">
        <w:rPr>
          <w:rFonts w:ascii="Times New Roman" w:hAnsi="Times New Roman" w:cs="Times New Roman"/>
          <w:b/>
          <w:bCs/>
          <w:i/>
          <w:iCs/>
          <w:sz w:val="24"/>
          <w:szCs w:val="24"/>
        </w:rPr>
        <w:t xml:space="preserve"> индикатора:</w:t>
      </w:r>
    </w:p>
    <w:p w14:paraId="3582FDCB" w14:textId="77777777" w:rsidR="00F2659C" w:rsidRPr="00C37701" w:rsidRDefault="00F2659C" w:rsidP="0097449D">
      <w:pPr>
        <w:spacing w:after="0" w:line="240" w:lineRule="auto"/>
        <w:ind w:firstLine="709"/>
        <w:contextualSpacing/>
        <w:jc w:val="both"/>
        <w:rPr>
          <w:rFonts w:ascii="Times New Roman" w:hAnsi="Times New Roman" w:cs="Times New Roman"/>
          <w:i/>
          <w:color w:val="000000"/>
          <w:sz w:val="24"/>
          <w:szCs w:val="24"/>
        </w:rPr>
      </w:pPr>
      <w:r w:rsidRPr="00C37701">
        <w:rPr>
          <w:rFonts w:ascii="Times New Roman" w:hAnsi="Times New Roman" w:cs="Times New Roman"/>
          <w:i/>
          <w:color w:val="000000"/>
          <w:sz w:val="24"/>
          <w:szCs w:val="24"/>
        </w:rPr>
        <w:t xml:space="preserve">Реализация Программы повышения финансовой грамотности населения на 2016-2018 годы, включающей обучающие, </w:t>
      </w:r>
      <w:proofErr w:type="spellStart"/>
      <w:r w:rsidRPr="00C37701">
        <w:rPr>
          <w:rFonts w:ascii="Times New Roman" w:hAnsi="Times New Roman" w:cs="Times New Roman"/>
          <w:i/>
          <w:color w:val="000000"/>
          <w:sz w:val="24"/>
          <w:szCs w:val="24"/>
        </w:rPr>
        <w:t>медийные</w:t>
      </w:r>
      <w:proofErr w:type="spellEnd"/>
      <w:r w:rsidRPr="00C37701">
        <w:rPr>
          <w:rFonts w:ascii="Times New Roman" w:hAnsi="Times New Roman" w:cs="Times New Roman"/>
          <w:i/>
          <w:color w:val="000000"/>
          <w:sz w:val="24"/>
          <w:szCs w:val="24"/>
        </w:rPr>
        <w:t>, специальные меропри</w:t>
      </w:r>
      <w:r w:rsidR="00271E80" w:rsidRPr="00C37701">
        <w:rPr>
          <w:rFonts w:ascii="Times New Roman" w:hAnsi="Times New Roman" w:cs="Times New Roman"/>
          <w:i/>
          <w:color w:val="000000"/>
          <w:sz w:val="24"/>
          <w:szCs w:val="24"/>
        </w:rPr>
        <w:t>я</w:t>
      </w:r>
      <w:r w:rsidRPr="00C37701">
        <w:rPr>
          <w:rFonts w:ascii="Times New Roman" w:hAnsi="Times New Roman" w:cs="Times New Roman"/>
          <w:i/>
          <w:color w:val="000000"/>
          <w:sz w:val="24"/>
          <w:szCs w:val="24"/>
        </w:rPr>
        <w:t xml:space="preserve">тия (организация семинаров, круглых столов, выпуск брошюр и др.), запуск специализированного обучающего </w:t>
      </w:r>
      <w:proofErr w:type="spellStart"/>
      <w:r w:rsidRPr="00C37701">
        <w:rPr>
          <w:rFonts w:ascii="Times New Roman" w:hAnsi="Times New Roman" w:cs="Times New Roman"/>
          <w:i/>
          <w:color w:val="000000"/>
          <w:sz w:val="24"/>
          <w:szCs w:val="24"/>
        </w:rPr>
        <w:t>интернет-ресурса</w:t>
      </w:r>
      <w:proofErr w:type="spellEnd"/>
      <w:r w:rsidRPr="00C37701">
        <w:rPr>
          <w:rFonts w:ascii="Times New Roman" w:hAnsi="Times New Roman" w:cs="Times New Roman"/>
          <w:i/>
          <w:color w:val="000000"/>
          <w:sz w:val="24"/>
          <w:szCs w:val="24"/>
        </w:rPr>
        <w:t>, телевизионных программ.</w:t>
      </w:r>
    </w:p>
    <w:p w14:paraId="7D4F3327" w14:textId="77777777" w:rsidR="00F2659C" w:rsidRPr="00C37701" w:rsidRDefault="00F2659C" w:rsidP="0097449D">
      <w:pPr>
        <w:spacing w:after="0" w:line="240" w:lineRule="auto"/>
        <w:ind w:firstLine="709"/>
        <w:contextualSpacing/>
        <w:jc w:val="both"/>
        <w:rPr>
          <w:rFonts w:ascii="Times New Roman" w:hAnsi="Times New Roman" w:cs="Times New Roman"/>
          <w:i/>
          <w:color w:val="000000"/>
          <w:sz w:val="24"/>
          <w:szCs w:val="24"/>
        </w:rPr>
      </w:pPr>
      <w:r w:rsidRPr="00C37701">
        <w:rPr>
          <w:rFonts w:ascii="Times New Roman" w:hAnsi="Times New Roman" w:cs="Times New Roman"/>
          <w:i/>
          <w:color w:val="000000"/>
          <w:sz w:val="24"/>
          <w:szCs w:val="24"/>
        </w:rPr>
        <w:t>Проведение информационно-разъяснительной работы среди населения по финансовым услугам, а также оказание консультационной помощи по вопросам предоставления финансовых услуг, что предоставит возможность потребителям финансовых услуг выбирать соответствующие их потребностям финансовые услуги.</w:t>
      </w:r>
    </w:p>
    <w:p w14:paraId="626A5A46" w14:textId="77777777" w:rsidR="00F2659C" w:rsidRPr="00C37701" w:rsidRDefault="00F2659C"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Рассмотрение вопросов по развитию предоставления финансовых услуг посредством онлайн-сервисов, что предполагает значительное увеличение доступа к финансовым услугам с наименьшими затратами на их получение.</w:t>
      </w:r>
    </w:p>
    <w:p w14:paraId="25161A0E" w14:textId="77777777" w:rsidR="00707D6D" w:rsidRPr="00C37701" w:rsidRDefault="00707D6D" w:rsidP="0097449D">
      <w:pPr>
        <w:widowControl w:val="0"/>
        <w:suppressAutoHyphens/>
        <w:autoSpaceDE w:val="0"/>
        <w:spacing w:after="0" w:line="240" w:lineRule="auto"/>
        <w:ind w:firstLine="709"/>
        <w:jc w:val="both"/>
        <w:rPr>
          <w:rFonts w:ascii="Times New Roman" w:eastAsia="Calibri" w:hAnsi="Times New Roman" w:cs="Times New Roman"/>
          <w:i/>
          <w:sz w:val="24"/>
          <w:szCs w:val="24"/>
        </w:rPr>
      </w:pPr>
      <w:r w:rsidRPr="00C37701">
        <w:rPr>
          <w:rFonts w:ascii="Times New Roman" w:eastAsia="Calibri" w:hAnsi="Times New Roman" w:cs="Times New Roman"/>
          <w:sz w:val="24"/>
          <w:szCs w:val="24"/>
        </w:rPr>
        <w:t xml:space="preserve">В целях проведения комплексной работы, направленной на повышение уровня финансовой доступности и качества финансовых услуг для граждан Казахстана с ограниченными возможностями при Национальном Банке осенью 2019 года создана рабочая группа по вопросам повышения уровня финансовой доступности и качества финансовых услуг </w:t>
      </w:r>
      <w:r w:rsidRPr="00C37701">
        <w:rPr>
          <w:rFonts w:ascii="Times New Roman" w:hAnsi="Times New Roman" w:cs="Times New Roman"/>
          <w:color w:val="000000"/>
          <w:sz w:val="24"/>
          <w:szCs w:val="24"/>
        </w:rPr>
        <w:t xml:space="preserve">для отдельных </w:t>
      </w:r>
      <w:r w:rsidRPr="00C37701">
        <w:rPr>
          <w:rFonts w:ascii="Times New Roman" w:hAnsi="Times New Roman" w:cs="Times New Roman"/>
          <w:color w:val="000000"/>
          <w:sz w:val="24"/>
          <w:szCs w:val="24"/>
        </w:rPr>
        <w:lastRenderedPageBreak/>
        <w:t>категорий граждан, в частности, лиц с ограниченными возможностями (далее – ЛОВ). В рамках работы рабочей группы проводится анализ текущего законодательства на предмет возможного внесения изменений. Кроме того, совместно с финансовыми организациями и Ассоциацией финансистов Казахстана разрабатывается стратегия по обучению персонала финансовых организаций для взаимодействия с ЛОВ и отдельными категориями граждан. В основе данной стратегии будет индивидуальный подход к взаимодействию с данными категориями потребителей финансовых услуг.</w:t>
      </w:r>
    </w:p>
    <w:p w14:paraId="5BF250C5" w14:textId="77777777" w:rsidR="00707D6D" w:rsidRPr="00C37701" w:rsidRDefault="00707D6D" w:rsidP="0097449D">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В октябре 2019 года состоялось первое заседание рабочей группы, по итогам которого пересматриваются нормативные правовые документы по повышению доступности услуг финансовых организаций для ЛОВ; разрабатываются конкретные предложения по изменению законодательства и внутренних регламентов финансовых организаций. Данная работа будет продолжена в рамках работы Агентства РК по регулированию и развитию финансового рынка.</w:t>
      </w:r>
    </w:p>
    <w:p w14:paraId="7A116C8E" w14:textId="77777777" w:rsidR="00707D6D" w:rsidRPr="00C37701" w:rsidRDefault="00707D6D" w:rsidP="0097449D">
      <w:pPr>
        <w:spacing w:after="0" w:line="240" w:lineRule="auto"/>
        <w:ind w:firstLine="709"/>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В рамках реализации мероприятий по повышению финансовой грамотности населения Республики Казахстан проводилась следующая работа:</w:t>
      </w:r>
    </w:p>
    <w:p w14:paraId="097E7F5F" w14:textId="77777777" w:rsidR="00707D6D" w:rsidRPr="00C37701" w:rsidRDefault="00707D6D" w:rsidP="0097449D">
      <w:pPr>
        <w:spacing w:after="0" w:line="240" w:lineRule="auto"/>
        <w:ind w:firstLine="709"/>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 в эфире телеканала «</w:t>
      </w:r>
      <w:proofErr w:type="spellStart"/>
      <w:r w:rsidRPr="00C37701">
        <w:rPr>
          <w:rFonts w:ascii="Times New Roman" w:eastAsia="Times New Roman" w:hAnsi="Times New Roman" w:cs="Times New Roman"/>
          <w:sz w:val="24"/>
          <w:szCs w:val="24"/>
          <w:lang w:eastAsia="ru-RU"/>
        </w:rPr>
        <w:t>Astana</w:t>
      </w:r>
      <w:proofErr w:type="spellEnd"/>
      <w:r w:rsidRPr="00C37701">
        <w:rPr>
          <w:rFonts w:ascii="Times New Roman" w:eastAsia="Times New Roman" w:hAnsi="Times New Roman" w:cs="Times New Roman"/>
          <w:sz w:val="24"/>
          <w:szCs w:val="24"/>
          <w:lang w:eastAsia="ru-RU"/>
        </w:rPr>
        <w:t xml:space="preserve"> TV» с республиканским охватом вещания осуществлен запуск образовательной телевизионной программы «</w:t>
      </w:r>
      <w:proofErr w:type="spellStart"/>
      <w:r w:rsidRPr="00C37701">
        <w:rPr>
          <w:rFonts w:ascii="Times New Roman" w:eastAsia="Times New Roman" w:hAnsi="Times New Roman" w:cs="Times New Roman"/>
          <w:sz w:val="24"/>
          <w:szCs w:val="24"/>
          <w:lang w:eastAsia="ru-RU"/>
        </w:rPr>
        <w:t>MoneyTime</w:t>
      </w:r>
      <w:proofErr w:type="spellEnd"/>
      <w:r w:rsidRPr="00C37701">
        <w:rPr>
          <w:rFonts w:ascii="Times New Roman" w:eastAsia="Times New Roman" w:hAnsi="Times New Roman" w:cs="Times New Roman"/>
          <w:sz w:val="24"/>
          <w:szCs w:val="24"/>
          <w:lang w:eastAsia="ru-RU"/>
        </w:rPr>
        <w:t xml:space="preserve">» с целью повышения осведомленности населения о финансовых продуктах и работы финансовой системы в целом (40 программ на государственном и 40 программ на русском языках хронометражем 15 минут).  </w:t>
      </w:r>
    </w:p>
    <w:p w14:paraId="54E915AF" w14:textId="77777777" w:rsidR="00707D6D" w:rsidRPr="00C37701" w:rsidRDefault="00707D6D" w:rsidP="0097449D">
      <w:pPr>
        <w:spacing w:after="0" w:line="240" w:lineRule="auto"/>
        <w:ind w:firstLine="709"/>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Кроме того, в эфире республиканского телеканала «</w:t>
      </w:r>
      <w:proofErr w:type="spellStart"/>
      <w:r w:rsidRPr="00C37701">
        <w:rPr>
          <w:rFonts w:ascii="Times New Roman" w:eastAsia="Times New Roman" w:hAnsi="Times New Roman" w:cs="Times New Roman"/>
          <w:sz w:val="24"/>
          <w:szCs w:val="24"/>
          <w:lang w:eastAsia="ru-RU"/>
        </w:rPr>
        <w:t>Astana</w:t>
      </w:r>
      <w:proofErr w:type="spellEnd"/>
      <w:r w:rsidRPr="00C37701">
        <w:rPr>
          <w:rFonts w:ascii="Times New Roman" w:eastAsia="Times New Roman" w:hAnsi="Times New Roman" w:cs="Times New Roman"/>
          <w:sz w:val="24"/>
          <w:szCs w:val="24"/>
          <w:lang w:eastAsia="ru-RU"/>
        </w:rPr>
        <w:t xml:space="preserve"> TV» осуществлен выпуск молодежной программы «</w:t>
      </w:r>
      <w:proofErr w:type="spellStart"/>
      <w:r w:rsidRPr="00C37701">
        <w:rPr>
          <w:rFonts w:ascii="Times New Roman" w:eastAsia="Times New Roman" w:hAnsi="Times New Roman" w:cs="Times New Roman"/>
          <w:sz w:val="24"/>
          <w:szCs w:val="24"/>
          <w:lang w:eastAsia="ru-RU"/>
        </w:rPr>
        <w:t>ТенгеманияNext</w:t>
      </w:r>
      <w:proofErr w:type="spellEnd"/>
      <w:r w:rsidRPr="00C37701">
        <w:rPr>
          <w:rFonts w:ascii="Times New Roman" w:eastAsia="Times New Roman" w:hAnsi="Times New Roman" w:cs="Times New Roman"/>
          <w:sz w:val="24"/>
          <w:szCs w:val="24"/>
          <w:lang w:eastAsia="ru-RU"/>
        </w:rPr>
        <w:t xml:space="preserve">», направленный на повышение финансовой грамотности у подростков старшего школьного возраста, повышения их интереса к основам финансовой грамотности путем простого и доступного объяснения экономических процессов и явлений, знакомство с финансовыми институтами и инструментами (40 программ на государственном и 40 программ на русском языках хронометражем 15 минут).  </w:t>
      </w:r>
    </w:p>
    <w:p w14:paraId="0CF1C0EE" w14:textId="77777777" w:rsidR="00707D6D" w:rsidRPr="00C37701" w:rsidRDefault="00707D6D" w:rsidP="0097449D">
      <w:pPr>
        <w:tabs>
          <w:tab w:val="left" w:pos="567"/>
        </w:tabs>
        <w:spacing w:after="0" w:line="240" w:lineRule="auto"/>
        <w:ind w:firstLine="709"/>
        <w:jc w:val="both"/>
        <w:rPr>
          <w:rFonts w:ascii="Times New Roman" w:eastAsia="Calibri" w:hAnsi="Times New Roman" w:cs="Times New Roman"/>
          <w:sz w:val="24"/>
          <w:szCs w:val="24"/>
        </w:rPr>
      </w:pPr>
      <w:r w:rsidRPr="00C37701">
        <w:rPr>
          <w:rFonts w:ascii="Times New Roman" w:eastAsia="Calibri" w:hAnsi="Times New Roman" w:cs="Times New Roman"/>
          <w:sz w:val="24"/>
          <w:szCs w:val="24"/>
        </w:rPr>
        <w:t>Анонсирование и продвижение телепроектов велось по нескольким направлениям. Созданы страницы «</w:t>
      </w:r>
      <w:proofErr w:type="spellStart"/>
      <w:r w:rsidRPr="00C37701">
        <w:rPr>
          <w:rFonts w:ascii="Times New Roman" w:eastAsia="Calibri" w:hAnsi="Times New Roman" w:cs="Times New Roman"/>
          <w:sz w:val="24"/>
          <w:szCs w:val="24"/>
        </w:rPr>
        <w:t>MoneyTime</w:t>
      </w:r>
      <w:proofErr w:type="spellEnd"/>
      <w:r w:rsidRPr="00C37701">
        <w:rPr>
          <w:rFonts w:ascii="Times New Roman" w:eastAsia="Calibri" w:hAnsi="Times New Roman" w:cs="Times New Roman"/>
          <w:sz w:val="24"/>
          <w:szCs w:val="24"/>
        </w:rPr>
        <w:t>» и «</w:t>
      </w:r>
      <w:proofErr w:type="spellStart"/>
      <w:r w:rsidRPr="00C37701">
        <w:rPr>
          <w:rFonts w:ascii="Times New Roman" w:eastAsia="Calibri" w:hAnsi="Times New Roman" w:cs="Times New Roman"/>
          <w:sz w:val="24"/>
          <w:szCs w:val="24"/>
        </w:rPr>
        <w:t>ТенгеманияNext</w:t>
      </w:r>
      <w:proofErr w:type="spellEnd"/>
      <w:r w:rsidRPr="00C37701">
        <w:rPr>
          <w:rFonts w:ascii="Times New Roman" w:eastAsia="Calibri" w:hAnsi="Times New Roman" w:cs="Times New Roman"/>
          <w:sz w:val="24"/>
          <w:szCs w:val="24"/>
        </w:rPr>
        <w:t xml:space="preserve">» в социальных сетях </w:t>
      </w:r>
      <w:r w:rsidRPr="00C37701">
        <w:rPr>
          <w:rFonts w:ascii="Times New Roman" w:eastAsia="Calibri" w:hAnsi="Times New Roman" w:cs="Times New Roman"/>
          <w:sz w:val="24"/>
          <w:szCs w:val="24"/>
          <w:lang w:val="en-US"/>
        </w:rPr>
        <w:t>Facebook</w:t>
      </w:r>
      <w:r w:rsidRPr="00C37701">
        <w:rPr>
          <w:rFonts w:ascii="Times New Roman" w:eastAsia="Calibri" w:hAnsi="Times New Roman" w:cs="Times New Roman"/>
          <w:sz w:val="24"/>
          <w:szCs w:val="24"/>
        </w:rPr>
        <w:t xml:space="preserve">, </w:t>
      </w:r>
      <w:r w:rsidRPr="00C37701">
        <w:rPr>
          <w:rFonts w:ascii="Times New Roman" w:eastAsia="Calibri" w:hAnsi="Times New Roman" w:cs="Times New Roman"/>
          <w:sz w:val="24"/>
          <w:szCs w:val="24"/>
          <w:lang w:val="en-US"/>
        </w:rPr>
        <w:t>Instagram</w:t>
      </w:r>
      <w:r w:rsidRPr="00C37701">
        <w:rPr>
          <w:rFonts w:ascii="Times New Roman" w:eastAsia="Calibri" w:hAnsi="Times New Roman" w:cs="Times New Roman"/>
          <w:sz w:val="24"/>
          <w:szCs w:val="24"/>
        </w:rPr>
        <w:t xml:space="preserve"> и на </w:t>
      </w:r>
      <w:proofErr w:type="spellStart"/>
      <w:r w:rsidRPr="00C37701">
        <w:rPr>
          <w:rFonts w:ascii="Times New Roman" w:eastAsia="Calibri" w:hAnsi="Times New Roman" w:cs="Times New Roman"/>
          <w:sz w:val="24"/>
          <w:szCs w:val="24"/>
        </w:rPr>
        <w:t>интернет-ресурсе</w:t>
      </w:r>
      <w:proofErr w:type="spellEnd"/>
      <w:r w:rsidRPr="00C37701">
        <w:rPr>
          <w:rFonts w:ascii="Times New Roman" w:eastAsia="Calibri" w:hAnsi="Times New Roman" w:cs="Times New Roman"/>
          <w:sz w:val="24"/>
          <w:szCs w:val="24"/>
        </w:rPr>
        <w:t xml:space="preserve"> финансово-потребительской </w:t>
      </w:r>
      <w:proofErr w:type="spellStart"/>
      <w:r w:rsidRPr="00C37701">
        <w:rPr>
          <w:rFonts w:ascii="Times New Roman" w:eastAsia="Calibri" w:hAnsi="Times New Roman" w:cs="Times New Roman"/>
          <w:sz w:val="24"/>
          <w:szCs w:val="24"/>
        </w:rPr>
        <w:t>направленност</w:t>
      </w:r>
      <w:proofErr w:type="spellEnd"/>
      <w:r w:rsidRPr="00C37701">
        <w:rPr>
          <w:rFonts w:ascii="Times New Roman" w:eastAsia="Calibri" w:hAnsi="Times New Roman" w:cs="Times New Roman"/>
          <w:sz w:val="24"/>
          <w:szCs w:val="24"/>
          <w:lang w:val="kk-KZ"/>
        </w:rPr>
        <w:t xml:space="preserve">и </w:t>
      </w:r>
      <w:proofErr w:type="spellStart"/>
      <w:r w:rsidRPr="00C37701">
        <w:rPr>
          <w:rFonts w:ascii="Times New Roman" w:eastAsia="Calibri" w:hAnsi="Times New Roman" w:cs="Times New Roman"/>
          <w:sz w:val="24"/>
          <w:szCs w:val="24"/>
          <w:lang w:val="en-US"/>
        </w:rPr>
        <w:t>profinance</w:t>
      </w:r>
      <w:proofErr w:type="spellEnd"/>
      <w:r w:rsidRPr="00C37701">
        <w:rPr>
          <w:rFonts w:ascii="Times New Roman" w:eastAsia="Calibri" w:hAnsi="Times New Roman" w:cs="Times New Roman"/>
          <w:sz w:val="24"/>
          <w:szCs w:val="24"/>
        </w:rPr>
        <w:t>.</w:t>
      </w:r>
      <w:proofErr w:type="spellStart"/>
      <w:r w:rsidRPr="00C37701">
        <w:rPr>
          <w:rFonts w:ascii="Times New Roman" w:eastAsia="Calibri" w:hAnsi="Times New Roman" w:cs="Times New Roman"/>
          <w:sz w:val="24"/>
          <w:szCs w:val="24"/>
          <w:lang w:val="en-US"/>
        </w:rPr>
        <w:t>kz</w:t>
      </w:r>
      <w:proofErr w:type="spellEnd"/>
      <w:r w:rsidRPr="00C37701">
        <w:rPr>
          <w:rFonts w:ascii="Times New Roman" w:eastAsia="Calibri" w:hAnsi="Times New Roman" w:cs="Times New Roman"/>
          <w:sz w:val="24"/>
          <w:szCs w:val="24"/>
        </w:rPr>
        <w:t>.</w:t>
      </w:r>
      <w:r w:rsidRPr="00C37701">
        <w:rPr>
          <w:rFonts w:ascii="Times New Roman" w:eastAsia="Calibri" w:hAnsi="Times New Roman" w:cs="Times New Roman"/>
          <w:sz w:val="24"/>
          <w:szCs w:val="24"/>
          <w:lang w:val="kk-KZ"/>
        </w:rPr>
        <w:t xml:space="preserve"> </w:t>
      </w:r>
      <w:r w:rsidRPr="00C37701">
        <w:rPr>
          <w:rFonts w:ascii="Times New Roman" w:eastAsia="Calibri" w:hAnsi="Times New Roman" w:cs="Times New Roman"/>
          <w:sz w:val="24"/>
          <w:szCs w:val="24"/>
        </w:rPr>
        <w:t xml:space="preserve">Пять ведущих </w:t>
      </w:r>
      <w:proofErr w:type="spellStart"/>
      <w:r w:rsidRPr="00C37701">
        <w:rPr>
          <w:rFonts w:ascii="Times New Roman" w:eastAsia="Calibri" w:hAnsi="Times New Roman" w:cs="Times New Roman"/>
          <w:sz w:val="24"/>
          <w:szCs w:val="24"/>
        </w:rPr>
        <w:t>блогеров</w:t>
      </w:r>
      <w:proofErr w:type="spellEnd"/>
      <w:r w:rsidRPr="00C37701">
        <w:rPr>
          <w:rFonts w:ascii="Times New Roman" w:eastAsia="Calibri" w:hAnsi="Times New Roman" w:cs="Times New Roman"/>
          <w:sz w:val="24"/>
          <w:szCs w:val="24"/>
        </w:rPr>
        <w:t>/журналистов продвигали анонсы и передачи, а также основные направления деятельности НБРК в социальных сетях с публикацией постов не менее 3 в неделю в социальных сетях (</w:t>
      </w:r>
      <w:r w:rsidRPr="00C37701">
        <w:rPr>
          <w:rFonts w:ascii="Times New Roman" w:eastAsia="Calibri" w:hAnsi="Times New Roman" w:cs="Times New Roman"/>
          <w:sz w:val="24"/>
          <w:szCs w:val="24"/>
          <w:lang w:val="en-US"/>
        </w:rPr>
        <w:t>Facebook</w:t>
      </w:r>
      <w:r w:rsidRPr="00C37701">
        <w:rPr>
          <w:rFonts w:ascii="Times New Roman" w:eastAsia="Calibri" w:hAnsi="Times New Roman" w:cs="Times New Roman"/>
          <w:sz w:val="24"/>
          <w:szCs w:val="24"/>
        </w:rPr>
        <w:t xml:space="preserve">, </w:t>
      </w:r>
      <w:r w:rsidRPr="00C37701">
        <w:rPr>
          <w:rFonts w:ascii="Times New Roman" w:eastAsia="Calibri" w:hAnsi="Times New Roman" w:cs="Times New Roman"/>
          <w:sz w:val="24"/>
          <w:szCs w:val="24"/>
          <w:lang w:val="en-US"/>
        </w:rPr>
        <w:t>Instagram</w:t>
      </w:r>
      <w:r w:rsidRPr="00C37701">
        <w:rPr>
          <w:rFonts w:ascii="Times New Roman" w:eastAsia="Calibri" w:hAnsi="Times New Roman" w:cs="Times New Roman"/>
          <w:sz w:val="24"/>
          <w:szCs w:val="24"/>
        </w:rPr>
        <w:t xml:space="preserve">). В общей сложности – более </w:t>
      </w:r>
      <w:r w:rsidRPr="00C37701">
        <w:rPr>
          <w:rFonts w:ascii="Times New Roman" w:eastAsia="Calibri" w:hAnsi="Times New Roman" w:cs="Times New Roman"/>
          <w:sz w:val="24"/>
          <w:szCs w:val="24"/>
          <w:lang w:val="kk-KZ"/>
        </w:rPr>
        <w:t>1500</w:t>
      </w:r>
      <w:r w:rsidRPr="00C37701">
        <w:rPr>
          <w:rFonts w:ascii="Times New Roman" w:eastAsia="Calibri" w:hAnsi="Times New Roman" w:cs="Times New Roman"/>
          <w:sz w:val="24"/>
          <w:szCs w:val="24"/>
        </w:rPr>
        <w:t xml:space="preserve"> публикаций. Общий охват в социальных сетях составил свыше </w:t>
      </w:r>
      <w:r w:rsidRPr="00C37701">
        <w:rPr>
          <w:rFonts w:ascii="Times New Roman" w:eastAsia="Calibri" w:hAnsi="Times New Roman" w:cs="Times New Roman"/>
          <w:sz w:val="24"/>
          <w:szCs w:val="24"/>
          <w:lang w:val="kk-KZ"/>
        </w:rPr>
        <w:t>3</w:t>
      </w:r>
      <w:r w:rsidRPr="00C37701">
        <w:rPr>
          <w:rFonts w:ascii="Times New Roman" w:eastAsia="Calibri" w:hAnsi="Times New Roman" w:cs="Times New Roman"/>
          <w:sz w:val="24"/>
          <w:szCs w:val="24"/>
        </w:rPr>
        <w:t>8</w:t>
      </w:r>
      <w:r w:rsidRPr="00C37701">
        <w:rPr>
          <w:rFonts w:ascii="Times New Roman" w:eastAsia="Calibri" w:hAnsi="Times New Roman" w:cs="Times New Roman"/>
          <w:sz w:val="24"/>
          <w:szCs w:val="24"/>
          <w:lang w:val="kk-KZ"/>
        </w:rPr>
        <w:t>0 000</w:t>
      </w:r>
      <w:r w:rsidRPr="00C37701">
        <w:rPr>
          <w:rFonts w:ascii="Times New Roman" w:eastAsia="Calibri" w:hAnsi="Times New Roman" w:cs="Times New Roman"/>
          <w:sz w:val="24"/>
          <w:szCs w:val="24"/>
        </w:rPr>
        <w:t xml:space="preserve"> пользователей. В рамках продвижения данных телепроектов в радиоэфире «Радио </w:t>
      </w:r>
      <w:r w:rsidRPr="00C37701">
        <w:rPr>
          <w:rFonts w:ascii="Times New Roman" w:eastAsia="Calibri" w:hAnsi="Times New Roman" w:cs="Times New Roman"/>
          <w:sz w:val="24"/>
          <w:szCs w:val="24"/>
          <w:lang w:val="en-US"/>
        </w:rPr>
        <w:t>NS</w:t>
      </w:r>
      <w:r w:rsidRPr="00C37701">
        <w:rPr>
          <w:rFonts w:ascii="Times New Roman" w:eastAsia="Calibri" w:hAnsi="Times New Roman" w:cs="Times New Roman"/>
          <w:sz w:val="24"/>
          <w:szCs w:val="24"/>
        </w:rPr>
        <w:t>» в рубрике «</w:t>
      </w:r>
      <w:r w:rsidRPr="00C37701">
        <w:rPr>
          <w:rFonts w:ascii="Times New Roman" w:eastAsia="Calibri" w:hAnsi="Times New Roman" w:cs="Times New Roman"/>
          <w:sz w:val="24"/>
          <w:szCs w:val="24"/>
          <w:lang w:val="en-US"/>
        </w:rPr>
        <w:t>PRO</w:t>
      </w:r>
      <w:r w:rsidRPr="00C37701">
        <w:rPr>
          <w:rFonts w:ascii="Times New Roman" w:eastAsia="Calibri" w:hAnsi="Times New Roman" w:cs="Times New Roman"/>
          <w:sz w:val="24"/>
          <w:szCs w:val="24"/>
        </w:rPr>
        <w:t xml:space="preserve"> </w:t>
      </w:r>
      <w:proofErr w:type="spellStart"/>
      <w:r w:rsidRPr="00C37701">
        <w:rPr>
          <w:rFonts w:ascii="Times New Roman" w:eastAsia="Calibri" w:hAnsi="Times New Roman" w:cs="Times New Roman"/>
          <w:sz w:val="24"/>
          <w:szCs w:val="24"/>
          <w:lang w:val="en-US"/>
        </w:rPr>
        <w:t>Tenge</w:t>
      </w:r>
      <w:proofErr w:type="spellEnd"/>
      <w:r w:rsidRPr="00C37701">
        <w:rPr>
          <w:rFonts w:ascii="Times New Roman" w:eastAsia="Calibri" w:hAnsi="Times New Roman" w:cs="Times New Roman"/>
          <w:sz w:val="24"/>
          <w:szCs w:val="24"/>
        </w:rPr>
        <w:t xml:space="preserve">» вышло 48 выпусков радиопередачи. </w:t>
      </w:r>
    </w:p>
    <w:p w14:paraId="31832295" w14:textId="79C50A04" w:rsidR="00707D6D" w:rsidRPr="00C37701" w:rsidRDefault="00707D6D" w:rsidP="0097449D">
      <w:pPr>
        <w:spacing w:after="0" w:line="240" w:lineRule="auto"/>
        <w:ind w:firstLine="709"/>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 xml:space="preserve">- разработаны и выпущены приложения об основах финансовой грамотности для детей младшего школьного возраста в республиканских газетах «Улан» и «Дружные </w:t>
      </w:r>
      <w:proofErr w:type="gramStart"/>
      <w:r w:rsidRPr="00C37701">
        <w:rPr>
          <w:rFonts w:ascii="Times New Roman" w:eastAsia="Times New Roman" w:hAnsi="Times New Roman" w:cs="Times New Roman"/>
          <w:sz w:val="24"/>
          <w:szCs w:val="24"/>
          <w:lang w:eastAsia="ru-RU"/>
        </w:rPr>
        <w:t xml:space="preserve">ребята» </w:t>
      </w:r>
      <w:r w:rsidR="00FE26A6">
        <w:rPr>
          <w:rFonts w:ascii="Times New Roman" w:eastAsia="Times New Roman" w:hAnsi="Times New Roman" w:cs="Times New Roman"/>
          <w:sz w:val="24"/>
          <w:szCs w:val="24"/>
          <w:lang w:eastAsia="ru-RU"/>
        </w:rPr>
        <w:t xml:space="preserve">  </w:t>
      </w:r>
      <w:proofErr w:type="gramEnd"/>
      <w:r w:rsidR="00FE26A6">
        <w:rPr>
          <w:rFonts w:ascii="Times New Roman" w:eastAsia="Times New Roman" w:hAnsi="Times New Roman" w:cs="Times New Roman"/>
          <w:sz w:val="24"/>
          <w:szCs w:val="24"/>
          <w:lang w:eastAsia="ru-RU"/>
        </w:rPr>
        <w:t xml:space="preserve">                    </w:t>
      </w:r>
      <w:r w:rsidRPr="00C37701">
        <w:rPr>
          <w:rFonts w:ascii="Times New Roman" w:eastAsia="Times New Roman" w:hAnsi="Times New Roman" w:cs="Times New Roman"/>
          <w:sz w:val="24"/>
          <w:szCs w:val="24"/>
          <w:lang w:eastAsia="ru-RU"/>
        </w:rPr>
        <w:t>(20 выпусков на государственном и 20 выпусков на русском языках), а также для детей среднего и старшего школьного возраста, молодежи в республиканском журнале «Ойла» (10 выпусков на государственном и 10 выпусков на русском языках);</w:t>
      </w:r>
    </w:p>
    <w:p w14:paraId="0ED289D8" w14:textId="77777777" w:rsidR="00707D6D" w:rsidRPr="00C37701" w:rsidRDefault="00707D6D" w:rsidP="0097449D">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 xml:space="preserve">- функционирует обновленный сайт www.fingramota.kz, на котором размещаются эксклюзивные материалы по финансовой грамотности, финансовые новости, </w:t>
      </w:r>
      <w:proofErr w:type="spellStart"/>
      <w:r w:rsidRPr="00C37701">
        <w:rPr>
          <w:rFonts w:ascii="Times New Roman" w:eastAsia="Times New Roman" w:hAnsi="Times New Roman" w:cs="Times New Roman"/>
          <w:sz w:val="24"/>
          <w:szCs w:val="24"/>
          <w:lang w:eastAsia="ru-RU"/>
        </w:rPr>
        <w:t>инфографика</w:t>
      </w:r>
      <w:proofErr w:type="spellEnd"/>
      <w:r w:rsidRPr="00C37701">
        <w:rPr>
          <w:rFonts w:ascii="Times New Roman" w:eastAsia="Times New Roman" w:hAnsi="Times New Roman" w:cs="Times New Roman"/>
          <w:sz w:val="24"/>
          <w:szCs w:val="24"/>
          <w:lang w:eastAsia="ru-RU"/>
        </w:rPr>
        <w:t xml:space="preserve"> и видеоматериалы, а также интерактивные калькуляторы. Данный сайт является единым хранилищем всех материалов по финансовой грамотности и новостей финансового рынка.</w:t>
      </w:r>
    </w:p>
    <w:p w14:paraId="3DFEE388" w14:textId="06CAC2DD" w:rsidR="00707D6D" w:rsidRPr="00C37701" w:rsidRDefault="00707D6D" w:rsidP="0097449D">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 xml:space="preserve">За отчетный период на сайте fingramota.kz опубликовано свыше 670 уникальных новостных и авторских материалов. Количество посещений: в год – свыше 340 тыс. человек. Также на </w:t>
      </w:r>
      <w:proofErr w:type="spellStart"/>
      <w:r w:rsidRPr="00C37701">
        <w:rPr>
          <w:rFonts w:ascii="Times New Roman" w:eastAsia="Times New Roman" w:hAnsi="Times New Roman" w:cs="Times New Roman"/>
          <w:sz w:val="24"/>
          <w:szCs w:val="24"/>
          <w:lang w:eastAsia="ru-RU"/>
        </w:rPr>
        <w:t>интернет-ресурсе</w:t>
      </w:r>
      <w:proofErr w:type="spellEnd"/>
      <w:r w:rsidRPr="00C37701">
        <w:rPr>
          <w:rFonts w:ascii="Times New Roman" w:eastAsia="Times New Roman" w:hAnsi="Times New Roman" w:cs="Times New Roman"/>
          <w:sz w:val="24"/>
          <w:szCs w:val="24"/>
          <w:lang w:eastAsia="ru-RU"/>
        </w:rPr>
        <w:t xml:space="preserve"> fingramota.kz размещены </w:t>
      </w:r>
      <w:proofErr w:type="spellStart"/>
      <w:r w:rsidRPr="00C37701">
        <w:rPr>
          <w:rFonts w:ascii="Times New Roman" w:eastAsia="Times New Roman" w:hAnsi="Times New Roman" w:cs="Times New Roman"/>
          <w:sz w:val="24"/>
          <w:szCs w:val="24"/>
          <w:lang w:eastAsia="ru-RU"/>
        </w:rPr>
        <w:t>видеогалереи</w:t>
      </w:r>
      <w:proofErr w:type="spellEnd"/>
      <w:r w:rsidRPr="00C37701">
        <w:rPr>
          <w:rFonts w:ascii="Times New Roman" w:eastAsia="Times New Roman" w:hAnsi="Times New Roman" w:cs="Times New Roman"/>
          <w:sz w:val="24"/>
          <w:szCs w:val="24"/>
          <w:lang w:eastAsia="ru-RU"/>
        </w:rPr>
        <w:t xml:space="preserve"> с телепроектами «</w:t>
      </w:r>
      <w:proofErr w:type="spellStart"/>
      <w:r w:rsidRPr="00C37701">
        <w:rPr>
          <w:rFonts w:ascii="Times New Roman" w:eastAsia="Times New Roman" w:hAnsi="Times New Roman" w:cs="Times New Roman"/>
          <w:sz w:val="24"/>
          <w:szCs w:val="24"/>
          <w:lang w:eastAsia="ru-RU"/>
        </w:rPr>
        <w:t>MoneyTime</w:t>
      </w:r>
      <w:proofErr w:type="spellEnd"/>
      <w:r w:rsidRPr="00C37701">
        <w:rPr>
          <w:rFonts w:ascii="Times New Roman" w:eastAsia="Times New Roman" w:hAnsi="Times New Roman" w:cs="Times New Roman"/>
          <w:sz w:val="24"/>
          <w:szCs w:val="24"/>
          <w:lang w:eastAsia="ru-RU"/>
        </w:rPr>
        <w:t>» и «</w:t>
      </w:r>
      <w:proofErr w:type="spellStart"/>
      <w:r w:rsidRPr="00C37701">
        <w:rPr>
          <w:rFonts w:ascii="Times New Roman" w:eastAsia="Times New Roman" w:hAnsi="Times New Roman" w:cs="Times New Roman"/>
          <w:sz w:val="24"/>
          <w:szCs w:val="24"/>
          <w:lang w:eastAsia="ru-RU"/>
        </w:rPr>
        <w:t>ТенгеманияNext</w:t>
      </w:r>
      <w:proofErr w:type="spellEnd"/>
      <w:r w:rsidRPr="00C37701">
        <w:rPr>
          <w:rFonts w:ascii="Times New Roman" w:eastAsia="Times New Roman" w:hAnsi="Times New Roman" w:cs="Times New Roman"/>
          <w:sz w:val="24"/>
          <w:szCs w:val="24"/>
          <w:lang w:eastAsia="ru-RU"/>
        </w:rPr>
        <w:t>», детскими приложениями Н</w:t>
      </w:r>
      <w:r w:rsidR="00A161A4">
        <w:rPr>
          <w:rFonts w:ascii="Times New Roman" w:eastAsia="Times New Roman" w:hAnsi="Times New Roman" w:cs="Times New Roman"/>
          <w:sz w:val="24"/>
          <w:szCs w:val="24"/>
          <w:lang w:eastAsia="ru-RU"/>
        </w:rPr>
        <w:t>ационального Банка</w:t>
      </w:r>
      <w:r w:rsidRPr="00C37701">
        <w:rPr>
          <w:rFonts w:ascii="Times New Roman" w:eastAsia="Times New Roman" w:hAnsi="Times New Roman" w:cs="Times New Roman"/>
          <w:sz w:val="24"/>
          <w:szCs w:val="24"/>
          <w:lang w:eastAsia="ru-RU"/>
        </w:rPr>
        <w:t xml:space="preserve"> в республиканских газетах «Улан», «Дружные ребята» и «Ойла», с роликами о финансовой грамотности на государственном и русском языках. </w:t>
      </w:r>
    </w:p>
    <w:p w14:paraId="766BBDDB" w14:textId="42112E48" w:rsidR="00707D6D" w:rsidRPr="00C37701" w:rsidRDefault="00707D6D" w:rsidP="0097449D">
      <w:pPr>
        <w:spacing w:after="0" w:line="240" w:lineRule="auto"/>
        <w:ind w:firstLine="709"/>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 xml:space="preserve">Материалы, опубликованные на сайте </w:t>
      </w:r>
      <w:r w:rsidRPr="00C37701">
        <w:rPr>
          <w:rFonts w:ascii="Times New Roman" w:eastAsia="Times New Roman" w:hAnsi="Times New Roman" w:cs="Times New Roman"/>
          <w:sz w:val="24"/>
          <w:szCs w:val="24"/>
          <w:u w:val="single"/>
          <w:lang w:eastAsia="ru-RU"/>
        </w:rPr>
        <w:t>www.fingramota.kz</w:t>
      </w:r>
      <w:r w:rsidRPr="00C37701">
        <w:rPr>
          <w:rFonts w:ascii="Times New Roman" w:eastAsia="Times New Roman" w:hAnsi="Times New Roman" w:cs="Times New Roman"/>
          <w:sz w:val="24"/>
          <w:szCs w:val="24"/>
          <w:lang w:eastAsia="ru-RU"/>
        </w:rPr>
        <w:t xml:space="preserve">, также периодически размещаются на </w:t>
      </w:r>
      <w:proofErr w:type="spellStart"/>
      <w:r w:rsidRPr="00C37701">
        <w:rPr>
          <w:rFonts w:ascii="Times New Roman" w:eastAsia="Times New Roman" w:hAnsi="Times New Roman" w:cs="Times New Roman"/>
          <w:sz w:val="24"/>
          <w:szCs w:val="24"/>
          <w:lang w:eastAsia="ru-RU"/>
        </w:rPr>
        <w:t>интернет-ре</w:t>
      </w:r>
      <w:r w:rsidR="00A161A4">
        <w:rPr>
          <w:rFonts w:ascii="Times New Roman" w:eastAsia="Times New Roman" w:hAnsi="Times New Roman" w:cs="Times New Roman"/>
          <w:sz w:val="24"/>
          <w:szCs w:val="24"/>
          <w:lang w:eastAsia="ru-RU"/>
        </w:rPr>
        <w:t>сурсах</w:t>
      </w:r>
      <w:proofErr w:type="spellEnd"/>
      <w:r w:rsidR="00A161A4">
        <w:rPr>
          <w:rFonts w:ascii="Times New Roman" w:eastAsia="Times New Roman" w:hAnsi="Times New Roman" w:cs="Times New Roman"/>
          <w:sz w:val="24"/>
          <w:szCs w:val="24"/>
          <w:lang w:eastAsia="ru-RU"/>
        </w:rPr>
        <w:t xml:space="preserve"> дочерних организаций </w:t>
      </w:r>
      <w:r w:rsidR="00A161A4" w:rsidRPr="00C37701">
        <w:rPr>
          <w:rFonts w:ascii="Times New Roman" w:eastAsia="Times New Roman" w:hAnsi="Times New Roman" w:cs="Times New Roman"/>
          <w:sz w:val="24"/>
          <w:szCs w:val="24"/>
          <w:lang w:eastAsia="ru-RU"/>
        </w:rPr>
        <w:t>Н</w:t>
      </w:r>
      <w:r w:rsidR="00A161A4">
        <w:rPr>
          <w:rFonts w:ascii="Times New Roman" w:eastAsia="Times New Roman" w:hAnsi="Times New Roman" w:cs="Times New Roman"/>
          <w:sz w:val="24"/>
          <w:szCs w:val="24"/>
          <w:lang w:eastAsia="ru-RU"/>
        </w:rPr>
        <w:t>ационального Банка</w:t>
      </w:r>
      <w:r w:rsidRPr="00C37701">
        <w:rPr>
          <w:rFonts w:ascii="Times New Roman" w:eastAsia="Times New Roman" w:hAnsi="Times New Roman" w:cs="Times New Roman"/>
          <w:sz w:val="24"/>
          <w:szCs w:val="24"/>
          <w:lang w:eastAsia="ru-RU"/>
        </w:rPr>
        <w:t xml:space="preserve">, ЕНПФ и </w:t>
      </w:r>
      <w:r w:rsidRPr="00C37701">
        <w:rPr>
          <w:rFonts w:ascii="Times New Roman" w:eastAsia="Times New Roman" w:hAnsi="Times New Roman" w:cs="Times New Roman"/>
          <w:sz w:val="24"/>
          <w:szCs w:val="24"/>
          <w:lang w:val="en-US" w:eastAsia="ru-RU"/>
        </w:rPr>
        <w:t>KASE</w:t>
      </w:r>
      <w:r w:rsidRPr="00C37701">
        <w:rPr>
          <w:rFonts w:ascii="Times New Roman" w:eastAsia="Times New Roman" w:hAnsi="Times New Roman" w:cs="Times New Roman"/>
          <w:sz w:val="24"/>
          <w:szCs w:val="24"/>
          <w:lang w:eastAsia="ru-RU"/>
        </w:rPr>
        <w:t xml:space="preserve">, а также сайтах банковского </w:t>
      </w:r>
      <w:proofErr w:type="spellStart"/>
      <w:r w:rsidRPr="00C37701">
        <w:rPr>
          <w:rFonts w:ascii="Times New Roman" w:eastAsia="Times New Roman" w:hAnsi="Times New Roman" w:cs="Times New Roman"/>
          <w:sz w:val="24"/>
          <w:szCs w:val="24"/>
          <w:lang w:eastAsia="ru-RU"/>
        </w:rPr>
        <w:t>омбудсмана</w:t>
      </w:r>
      <w:proofErr w:type="spellEnd"/>
      <w:r w:rsidRPr="00C37701">
        <w:rPr>
          <w:rFonts w:ascii="Times New Roman" w:eastAsia="Times New Roman" w:hAnsi="Times New Roman" w:cs="Times New Roman"/>
          <w:sz w:val="24"/>
          <w:szCs w:val="24"/>
          <w:lang w:eastAsia="ru-RU"/>
        </w:rPr>
        <w:t xml:space="preserve"> и страхового </w:t>
      </w:r>
      <w:proofErr w:type="spellStart"/>
      <w:r w:rsidRPr="00C37701">
        <w:rPr>
          <w:rFonts w:ascii="Times New Roman" w:eastAsia="Times New Roman" w:hAnsi="Times New Roman" w:cs="Times New Roman"/>
          <w:sz w:val="24"/>
          <w:szCs w:val="24"/>
          <w:lang w:eastAsia="ru-RU"/>
        </w:rPr>
        <w:t>омбудсмана</w:t>
      </w:r>
      <w:proofErr w:type="spellEnd"/>
      <w:r w:rsidRPr="00C37701">
        <w:rPr>
          <w:rFonts w:ascii="Times New Roman" w:eastAsia="Times New Roman" w:hAnsi="Times New Roman" w:cs="Times New Roman"/>
          <w:sz w:val="24"/>
          <w:szCs w:val="24"/>
          <w:lang w:eastAsia="ru-RU"/>
        </w:rPr>
        <w:t>.</w:t>
      </w:r>
    </w:p>
    <w:p w14:paraId="1E5F7884" w14:textId="50317A97" w:rsidR="00707D6D" w:rsidRPr="00C37701" w:rsidRDefault="00707D6D" w:rsidP="0097449D">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 xml:space="preserve">Работа по повышению финансовой грамотности также активно проводится по интернет-каналам через страницы в социальных сетях </w:t>
      </w:r>
      <w:r w:rsidRPr="00C37701">
        <w:rPr>
          <w:rFonts w:ascii="Times New Roman" w:eastAsia="Times New Roman" w:hAnsi="Times New Roman" w:cs="Times New Roman"/>
          <w:i/>
          <w:sz w:val="24"/>
          <w:szCs w:val="24"/>
          <w:lang w:eastAsia="ru-RU"/>
        </w:rPr>
        <w:t>(@Fingramota.kz</w:t>
      </w:r>
      <w:r w:rsidRPr="00C37701">
        <w:rPr>
          <w:rFonts w:ascii="Times New Roman" w:eastAsia="Times New Roman" w:hAnsi="Times New Roman" w:cs="Times New Roman"/>
          <w:sz w:val="24"/>
          <w:szCs w:val="24"/>
          <w:lang w:eastAsia="ru-RU"/>
        </w:rPr>
        <w:t xml:space="preserve"> </w:t>
      </w:r>
      <w:r w:rsidRPr="00C37701">
        <w:rPr>
          <w:rFonts w:ascii="Times New Roman" w:eastAsia="Times New Roman" w:hAnsi="Times New Roman" w:cs="Times New Roman"/>
          <w:i/>
          <w:sz w:val="24"/>
          <w:szCs w:val="24"/>
          <w:lang w:eastAsia="ru-RU"/>
        </w:rPr>
        <w:t xml:space="preserve">в </w:t>
      </w:r>
      <w:proofErr w:type="spellStart"/>
      <w:r w:rsidRPr="00C37701">
        <w:rPr>
          <w:rFonts w:ascii="Times New Roman" w:eastAsia="Times New Roman" w:hAnsi="Times New Roman" w:cs="Times New Roman"/>
          <w:sz w:val="24"/>
          <w:szCs w:val="24"/>
          <w:lang w:eastAsia="ru-RU"/>
        </w:rPr>
        <w:t>Facebook</w:t>
      </w:r>
      <w:proofErr w:type="spellEnd"/>
      <w:r w:rsidRPr="00C37701">
        <w:rPr>
          <w:rFonts w:ascii="Times New Roman" w:eastAsia="Times New Roman" w:hAnsi="Times New Roman" w:cs="Times New Roman"/>
          <w:sz w:val="24"/>
          <w:szCs w:val="24"/>
          <w:lang w:eastAsia="ru-RU"/>
        </w:rPr>
        <w:t xml:space="preserve"> – </w:t>
      </w:r>
      <w:r w:rsidRPr="00C37701">
        <w:rPr>
          <w:rFonts w:ascii="Times New Roman" w:eastAsia="Times New Roman" w:hAnsi="Times New Roman" w:cs="Times New Roman"/>
          <w:i/>
          <w:sz w:val="24"/>
          <w:szCs w:val="24"/>
          <w:lang w:eastAsia="ru-RU"/>
        </w:rPr>
        <w:t xml:space="preserve">общий охват </w:t>
      </w:r>
      <w:r w:rsidR="00FE26A6">
        <w:rPr>
          <w:rFonts w:ascii="Times New Roman" w:eastAsia="Times New Roman" w:hAnsi="Times New Roman" w:cs="Times New Roman"/>
          <w:i/>
          <w:sz w:val="24"/>
          <w:szCs w:val="24"/>
          <w:lang w:eastAsia="ru-RU"/>
        </w:rPr>
        <w:t xml:space="preserve">              </w:t>
      </w:r>
      <w:r w:rsidRPr="00C37701">
        <w:rPr>
          <w:rFonts w:ascii="Times New Roman" w:eastAsia="Times New Roman" w:hAnsi="Times New Roman" w:cs="Times New Roman"/>
          <w:i/>
          <w:sz w:val="24"/>
          <w:szCs w:val="24"/>
          <w:lang w:eastAsia="ru-RU"/>
        </w:rPr>
        <w:t xml:space="preserve">более 288 тыс. пользователей и в </w:t>
      </w:r>
      <w:proofErr w:type="spellStart"/>
      <w:r w:rsidRPr="00C37701">
        <w:rPr>
          <w:rFonts w:ascii="Times New Roman" w:eastAsia="Times New Roman" w:hAnsi="Times New Roman" w:cs="Times New Roman"/>
          <w:i/>
          <w:sz w:val="24"/>
          <w:szCs w:val="24"/>
          <w:lang w:eastAsia="ru-RU"/>
        </w:rPr>
        <w:t>Instagram</w:t>
      </w:r>
      <w:proofErr w:type="spellEnd"/>
      <w:r w:rsidRPr="00C37701">
        <w:rPr>
          <w:rFonts w:ascii="Times New Roman" w:eastAsia="Times New Roman" w:hAnsi="Times New Roman" w:cs="Times New Roman"/>
          <w:i/>
          <w:sz w:val="24"/>
          <w:szCs w:val="24"/>
          <w:lang w:eastAsia="ru-RU"/>
        </w:rPr>
        <w:t xml:space="preserve"> – 92 тыс. пользователей).</w:t>
      </w:r>
      <w:r w:rsidRPr="00C37701">
        <w:rPr>
          <w:rFonts w:ascii="Times New Roman" w:eastAsia="Times New Roman" w:hAnsi="Times New Roman" w:cs="Times New Roman"/>
          <w:sz w:val="24"/>
          <w:szCs w:val="24"/>
          <w:lang w:eastAsia="ru-RU"/>
        </w:rPr>
        <w:t xml:space="preserve"> Публикации @Fingramota.kz </w:t>
      </w:r>
      <w:r w:rsidRPr="00C37701">
        <w:rPr>
          <w:rFonts w:ascii="Times New Roman" w:eastAsia="Times New Roman" w:hAnsi="Times New Roman" w:cs="Times New Roman"/>
          <w:sz w:val="24"/>
          <w:szCs w:val="24"/>
          <w:lang w:eastAsia="ru-RU"/>
        </w:rPr>
        <w:lastRenderedPageBreak/>
        <w:t>размещаются также на страни</w:t>
      </w:r>
      <w:r w:rsidR="00513D6F">
        <w:rPr>
          <w:rFonts w:ascii="Times New Roman" w:eastAsia="Times New Roman" w:hAnsi="Times New Roman" w:cs="Times New Roman"/>
          <w:sz w:val="24"/>
          <w:szCs w:val="24"/>
          <w:lang w:eastAsia="ru-RU"/>
        </w:rPr>
        <w:t>цах т</w:t>
      </w:r>
      <w:r w:rsidR="00A161A4">
        <w:rPr>
          <w:rFonts w:ascii="Times New Roman" w:eastAsia="Times New Roman" w:hAnsi="Times New Roman" w:cs="Times New Roman"/>
          <w:sz w:val="24"/>
          <w:szCs w:val="24"/>
          <w:lang w:eastAsia="ru-RU"/>
        </w:rPr>
        <w:t xml:space="preserve">ерриториальных филиалов </w:t>
      </w:r>
      <w:r w:rsidR="00A161A4" w:rsidRPr="00C37701">
        <w:rPr>
          <w:rFonts w:ascii="Times New Roman" w:eastAsia="Times New Roman" w:hAnsi="Times New Roman" w:cs="Times New Roman"/>
          <w:sz w:val="24"/>
          <w:szCs w:val="24"/>
          <w:lang w:eastAsia="ru-RU"/>
        </w:rPr>
        <w:t>Н</w:t>
      </w:r>
      <w:r w:rsidR="00A161A4">
        <w:rPr>
          <w:rFonts w:ascii="Times New Roman" w:eastAsia="Times New Roman" w:hAnsi="Times New Roman" w:cs="Times New Roman"/>
          <w:sz w:val="24"/>
          <w:szCs w:val="24"/>
          <w:lang w:eastAsia="ru-RU"/>
        </w:rPr>
        <w:t>ационального Банка</w:t>
      </w:r>
      <w:r w:rsidRPr="00C37701">
        <w:rPr>
          <w:rFonts w:ascii="Times New Roman" w:eastAsia="Times New Roman" w:hAnsi="Times New Roman" w:cs="Times New Roman"/>
          <w:sz w:val="24"/>
          <w:szCs w:val="24"/>
          <w:lang w:eastAsia="ru-RU"/>
        </w:rPr>
        <w:t xml:space="preserve"> в социальных сетях.</w:t>
      </w:r>
      <w:r w:rsidRPr="00C37701">
        <w:rPr>
          <w:rFonts w:ascii="Times New Roman" w:eastAsia="Times New Roman" w:hAnsi="Times New Roman" w:cs="Times New Roman"/>
          <w:i/>
          <w:sz w:val="24"/>
          <w:szCs w:val="24"/>
          <w:lang w:eastAsia="ru-RU"/>
        </w:rPr>
        <w:t xml:space="preserve"> </w:t>
      </w:r>
    </w:p>
    <w:p w14:paraId="4F9F2077" w14:textId="77777777" w:rsidR="00707D6D" w:rsidRPr="00C37701" w:rsidRDefault="00707D6D" w:rsidP="0097449D">
      <w:pPr>
        <w:spacing w:after="0" w:line="240" w:lineRule="auto"/>
        <w:ind w:firstLine="709"/>
        <w:jc w:val="both"/>
        <w:rPr>
          <w:rFonts w:ascii="Times New Roman" w:eastAsia="Times New Roman" w:hAnsi="Times New Roman" w:cs="Times New Roman"/>
          <w:i/>
          <w:sz w:val="24"/>
          <w:szCs w:val="24"/>
          <w:lang w:val="kk-KZ" w:eastAsia="ru-RU"/>
        </w:rPr>
      </w:pPr>
      <w:r w:rsidRPr="00C37701">
        <w:rPr>
          <w:rFonts w:ascii="Times New Roman" w:eastAsia="Times New Roman" w:hAnsi="Times New Roman" w:cs="Times New Roman"/>
          <w:i/>
          <w:sz w:val="24"/>
          <w:szCs w:val="24"/>
          <w:lang w:val="kk-KZ" w:eastAsia="ru-RU"/>
        </w:rPr>
        <w:t xml:space="preserve">Цикл обучающих лекций по финансовой грамотности во всех регионах страны. </w:t>
      </w:r>
    </w:p>
    <w:p w14:paraId="26AD5E22" w14:textId="0BC71408" w:rsidR="00707D6D" w:rsidRPr="00C37701" w:rsidRDefault="00707D6D" w:rsidP="0097449D">
      <w:pPr>
        <w:spacing w:after="0" w:line="240" w:lineRule="auto"/>
        <w:ind w:firstLine="709"/>
        <w:jc w:val="both"/>
        <w:rPr>
          <w:rFonts w:ascii="Times New Roman" w:eastAsia="Times New Roman" w:hAnsi="Times New Roman" w:cs="Times New Roman"/>
          <w:sz w:val="24"/>
          <w:szCs w:val="24"/>
          <w:lang w:val="kk-KZ" w:eastAsia="ru-RU"/>
        </w:rPr>
      </w:pPr>
      <w:r w:rsidRPr="00C37701">
        <w:rPr>
          <w:rFonts w:ascii="Times New Roman" w:eastAsia="Times New Roman" w:hAnsi="Times New Roman" w:cs="Times New Roman"/>
          <w:sz w:val="24"/>
          <w:szCs w:val="24"/>
          <w:lang w:val="kk-KZ" w:eastAsia="ru-RU"/>
        </w:rPr>
        <w:t>Разработан и проведен второй цикл обучающих лекций по финансовой грамотности</w:t>
      </w:r>
      <w:r w:rsidR="00FE26A6">
        <w:rPr>
          <w:rFonts w:ascii="Times New Roman" w:eastAsia="Times New Roman" w:hAnsi="Times New Roman" w:cs="Times New Roman"/>
          <w:sz w:val="24"/>
          <w:szCs w:val="24"/>
          <w:lang w:val="kk-KZ" w:eastAsia="ru-RU"/>
        </w:rPr>
        <w:t xml:space="preserve">                 </w:t>
      </w:r>
      <w:r w:rsidRPr="00C37701">
        <w:rPr>
          <w:rFonts w:ascii="Times New Roman" w:eastAsia="Times New Roman" w:hAnsi="Times New Roman" w:cs="Times New Roman"/>
          <w:sz w:val="24"/>
          <w:szCs w:val="24"/>
          <w:lang w:val="kk-KZ" w:eastAsia="ru-RU"/>
        </w:rPr>
        <w:t xml:space="preserve"> в 8 регионах Казахстана </w:t>
      </w:r>
      <w:r w:rsidRPr="00C37701">
        <w:rPr>
          <w:rFonts w:ascii="Times New Roman" w:eastAsia="Times New Roman" w:hAnsi="Times New Roman" w:cs="Times New Roman"/>
          <w:i/>
          <w:sz w:val="24"/>
          <w:szCs w:val="24"/>
          <w:lang w:val="kk-KZ" w:eastAsia="ru-RU"/>
        </w:rPr>
        <w:t>(Караганда, Усть-Каменогорск, Тараз, Шымкент, Талдыкорган, Алматы, Костанай и Нур-Султан)</w:t>
      </w:r>
      <w:r w:rsidRPr="00C37701">
        <w:rPr>
          <w:rFonts w:ascii="Times New Roman" w:eastAsia="Times New Roman" w:hAnsi="Times New Roman" w:cs="Times New Roman"/>
          <w:sz w:val="24"/>
          <w:szCs w:val="24"/>
          <w:lang w:val="kk-KZ" w:eastAsia="ru-RU"/>
        </w:rPr>
        <w:t>, которые посетило свыше 2</w:t>
      </w:r>
      <w:r w:rsidRPr="00C37701">
        <w:rPr>
          <w:rFonts w:ascii="Times New Roman" w:eastAsia="Times New Roman" w:hAnsi="Times New Roman" w:cs="Times New Roman"/>
          <w:sz w:val="24"/>
          <w:szCs w:val="24"/>
          <w:lang w:eastAsia="ru-RU"/>
        </w:rPr>
        <w:t>2</w:t>
      </w:r>
      <w:r w:rsidRPr="00C37701">
        <w:rPr>
          <w:rFonts w:ascii="Times New Roman" w:eastAsia="Times New Roman" w:hAnsi="Times New Roman" w:cs="Times New Roman"/>
          <w:sz w:val="24"/>
          <w:szCs w:val="24"/>
          <w:lang w:val="kk-KZ" w:eastAsia="ru-RU"/>
        </w:rPr>
        <w:t>00 человек.  Цикл образовательных лекций направлен на повышение финансовой грамотности всего населения Казахстана, в том числе социально уязвимых слоев населения, безработных, населения с низким доходом, граждан пожилого возраста, пенсионеров, студентов. В рамках лекций профессиональные финансовые менеджеры, представители Национального Банка и других финансовых организаций, бизнес-тренеры и коучи в легкой и доступной форме рассказали о базовых аспектах финансовой грамотности: бюджетировании, анализе доходов и расходов, видах финансовых продуктов и правильном обращении с ними, возможностях привлечения финансовых средств, способах накопления и инвестирования, видах мошенничества и способах, как от них защититься.</w:t>
      </w:r>
    </w:p>
    <w:p w14:paraId="6400FD37" w14:textId="77777777" w:rsidR="00707D6D" w:rsidRPr="00C37701" w:rsidRDefault="00707D6D" w:rsidP="0097449D">
      <w:pPr>
        <w:spacing w:after="0" w:line="240" w:lineRule="auto"/>
        <w:ind w:firstLine="709"/>
        <w:contextualSpacing/>
        <w:jc w:val="both"/>
        <w:rPr>
          <w:rFonts w:ascii="Times New Roman" w:eastAsia="Calibri" w:hAnsi="Times New Roman" w:cs="Times New Roman"/>
          <w:i/>
          <w:sz w:val="24"/>
          <w:szCs w:val="24"/>
        </w:rPr>
      </w:pPr>
      <w:r w:rsidRPr="00C37701">
        <w:rPr>
          <w:rFonts w:ascii="Times New Roman" w:eastAsia="Calibri" w:hAnsi="Times New Roman" w:cs="Times New Roman"/>
          <w:i/>
          <w:sz w:val="24"/>
          <w:szCs w:val="24"/>
        </w:rPr>
        <w:t>Открытые уроки по финансовой грамотности в школах г. Алматы</w:t>
      </w:r>
    </w:p>
    <w:p w14:paraId="14FF1008" w14:textId="302E2DF8" w:rsidR="00707D6D" w:rsidRPr="00C37701" w:rsidRDefault="00707D6D" w:rsidP="0097449D">
      <w:pPr>
        <w:spacing w:after="0" w:line="240" w:lineRule="auto"/>
        <w:ind w:firstLine="709"/>
        <w:jc w:val="both"/>
        <w:rPr>
          <w:rFonts w:ascii="Times New Roman" w:eastAsia="Calibri" w:hAnsi="Times New Roman" w:cs="Times New Roman"/>
          <w:sz w:val="24"/>
          <w:szCs w:val="24"/>
        </w:rPr>
      </w:pPr>
      <w:r w:rsidRPr="00C37701">
        <w:rPr>
          <w:rFonts w:ascii="Times New Roman" w:eastAsia="Calibri" w:hAnsi="Times New Roman" w:cs="Times New Roman"/>
          <w:sz w:val="24"/>
          <w:szCs w:val="24"/>
        </w:rPr>
        <w:t>В преддверии дня национальной валюты – тенге и в рамках работы по повышению финансовой грамотности Национальный Банк инициировал проведение открытых уроков по финансовой грамотности в ряде школ г. Алматы. Основными целями открытых уроков стали знакомство учащихся старших классов с основами финансовой грамотности и получение базовых навыков использования финансовых продуктов и инструментов, информации по системе защиты прав потребителей финансовых усл</w:t>
      </w:r>
      <w:r w:rsidR="00446694">
        <w:rPr>
          <w:rFonts w:ascii="Times New Roman" w:eastAsia="Calibri" w:hAnsi="Times New Roman" w:cs="Times New Roman"/>
          <w:sz w:val="24"/>
          <w:szCs w:val="24"/>
        </w:rPr>
        <w:t xml:space="preserve">уг в Казахстане. Представители </w:t>
      </w:r>
      <w:r w:rsidR="00446694" w:rsidRPr="00C37701">
        <w:rPr>
          <w:rFonts w:ascii="Times New Roman" w:eastAsia="Times New Roman" w:hAnsi="Times New Roman" w:cs="Times New Roman"/>
          <w:sz w:val="24"/>
          <w:szCs w:val="24"/>
          <w:lang w:eastAsia="ru-RU"/>
        </w:rPr>
        <w:t>Н</w:t>
      </w:r>
      <w:r w:rsidR="00446694">
        <w:rPr>
          <w:rFonts w:ascii="Times New Roman" w:eastAsia="Times New Roman" w:hAnsi="Times New Roman" w:cs="Times New Roman"/>
          <w:sz w:val="24"/>
          <w:szCs w:val="24"/>
          <w:lang w:eastAsia="ru-RU"/>
        </w:rPr>
        <w:t>ационального Банка</w:t>
      </w:r>
      <w:r w:rsidRPr="00C37701">
        <w:rPr>
          <w:rFonts w:ascii="Times New Roman" w:eastAsia="Calibri" w:hAnsi="Times New Roman" w:cs="Times New Roman"/>
          <w:sz w:val="24"/>
          <w:szCs w:val="24"/>
        </w:rPr>
        <w:t xml:space="preserve"> также рассказали школьникам о существующих и новых видах финансового мошенничества в Казахстане, дали советы, как распознать мошенников и обезопасить себя и свои деньги от них.  </w:t>
      </w:r>
    </w:p>
    <w:p w14:paraId="1816CFB6" w14:textId="77777777" w:rsidR="00707D6D" w:rsidRPr="00C37701" w:rsidRDefault="00707D6D" w:rsidP="0097449D">
      <w:pPr>
        <w:spacing w:after="0" w:line="240" w:lineRule="auto"/>
        <w:ind w:firstLine="709"/>
        <w:jc w:val="both"/>
        <w:rPr>
          <w:rFonts w:ascii="Times New Roman" w:eastAsia="Calibri" w:hAnsi="Times New Roman" w:cs="Times New Roman"/>
          <w:i/>
          <w:sz w:val="24"/>
          <w:szCs w:val="24"/>
        </w:rPr>
      </w:pPr>
      <w:r w:rsidRPr="00C37701">
        <w:rPr>
          <w:rFonts w:ascii="Times New Roman" w:eastAsia="Calibri" w:hAnsi="Times New Roman" w:cs="Times New Roman"/>
          <w:i/>
          <w:sz w:val="24"/>
          <w:szCs w:val="24"/>
        </w:rPr>
        <w:t>Обучающие видеоролики по финансовой грамотности</w:t>
      </w:r>
    </w:p>
    <w:p w14:paraId="3E2B3390" w14:textId="77777777" w:rsidR="00707D6D" w:rsidRPr="00C37701" w:rsidRDefault="00707D6D" w:rsidP="0097449D">
      <w:pPr>
        <w:spacing w:after="0" w:line="240" w:lineRule="auto"/>
        <w:ind w:firstLine="709"/>
        <w:jc w:val="both"/>
        <w:rPr>
          <w:rFonts w:ascii="Times New Roman" w:eastAsia="Calibri" w:hAnsi="Times New Roman" w:cs="Times New Roman"/>
          <w:sz w:val="24"/>
          <w:szCs w:val="24"/>
        </w:rPr>
      </w:pPr>
      <w:r w:rsidRPr="00C37701">
        <w:rPr>
          <w:rFonts w:ascii="Times New Roman" w:eastAsia="Calibri" w:hAnsi="Times New Roman" w:cs="Times New Roman"/>
          <w:sz w:val="24"/>
          <w:szCs w:val="24"/>
        </w:rPr>
        <w:t xml:space="preserve">Управлением разработан цикл социальных роликов по финансовой грамотности на государственном и русском языках </w:t>
      </w:r>
      <w:r w:rsidRPr="00C37701">
        <w:rPr>
          <w:rFonts w:ascii="Times New Roman" w:eastAsia="Times New Roman" w:hAnsi="Times New Roman" w:cs="Times New Roman"/>
          <w:sz w:val="24"/>
          <w:szCs w:val="24"/>
          <w:lang w:eastAsia="ru-RU"/>
        </w:rPr>
        <w:t>на следующие тематики: защита от финансового мошенничества, платежные карточки, страхование, мобильная приемная, финансовая грамотность, защита прав потребителей финансовых услуг и другое</w:t>
      </w:r>
      <w:r w:rsidRPr="00C37701">
        <w:rPr>
          <w:rFonts w:ascii="Times New Roman" w:eastAsia="Calibri" w:hAnsi="Times New Roman" w:cs="Times New Roman"/>
          <w:sz w:val="24"/>
          <w:szCs w:val="24"/>
        </w:rPr>
        <w:t xml:space="preserve">. </w:t>
      </w:r>
    </w:p>
    <w:p w14:paraId="1A65E8DE" w14:textId="10272573" w:rsidR="00707D6D" w:rsidRPr="00C37701" w:rsidRDefault="00707D6D" w:rsidP="0097449D">
      <w:pPr>
        <w:spacing w:after="0" w:line="240" w:lineRule="auto"/>
        <w:ind w:firstLine="709"/>
        <w:jc w:val="both"/>
        <w:rPr>
          <w:rFonts w:ascii="Times New Roman" w:eastAsia="Calibri" w:hAnsi="Times New Roman" w:cs="Times New Roman"/>
          <w:i/>
          <w:sz w:val="24"/>
          <w:szCs w:val="24"/>
        </w:rPr>
      </w:pPr>
      <w:r w:rsidRPr="00C37701">
        <w:rPr>
          <w:rFonts w:ascii="Times New Roman" w:eastAsia="Calibri" w:hAnsi="Times New Roman" w:cs="Times New Roman"/>
          <w:sz w:val="24"/>
          <w:szCs w:val="24"/>
        </w:rPr>
        <w:t xml:space="preserve">Видеоролики по финансовой грамотности представлены в различных форматах: комиксы, 2D-анимация на государственном и русском языках. С IV квартала 2019 года ролики транслируются в метрополитене г. Алматы.  </w:t>
      </w:r>
    </w:p>
    <w:p w14:paraId="52A3400C" w14:textId="77777777" w:rsidR="00707D6D" w:rsidRPr="00C37701" w:rsidRDefault="00707D6D" w:rsidP="0097449D">
      <w:pPr>
        <w:spacing w:after="0" w:line="240" w:lineRule="auto"/>
        <w:ind w:firstLine="709"/>
        <w:jc w:val="both"/>
        <w:rPr>
          <w:rFonts w:ascii="Times New Roman" w:eastAsia="Times New Roman" w:hAnsi="Times New Roman" w:cs="Times New Roman"/>
          <w:i/>
          <w:sz w:val="24"/>
          <w:szCs w:val="24"/>
          <w:lang w:eastAsia="ru-RU"/>
        </w:rPr>
      </w:pPr>
      <w:r w:rsidRPr="00C37701">
        <w:rPr>
          <w:rFonts w:ascii="Times New Roman" w:eastAsia="Times New Roman" w:hAnsi="Times New Roman" w:cs="Times New Roman"/>
          <w:i/>
          <w:sz w:val="24"/>
          <w:szCs w:val="24"/>
          <w:lang w:eastAsia="ru-RU"/>
        </w:rPr>
        <w:t>Взаимодействие с представителями СМИ</w:t>
      </w:r>
    </w:p>
    <w:p w14:paraId="5BDCFD6D" w14:textId="0D188D31" w:rsidR="00707D6D" w:rsidRPr="00C37701" w:rsidRDefault="00707D6D" w:rsidP="0097449D">
      <w:pPr>
        <w:spacing w:after="0" w:line="240" w:lineRule="auto"/>
        <w:ind w:firstLine="709"/>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 xml:space="preserve">С начала 2019 года организовано и предоставлено для СМИ </w:t>
      </w:r>
      <w:r w:rsidR="00FE26A6">
        <w:rPr>
          <w:rFonts w:ascii="Times New Roman" w:eastAsia="Times New Roman" w:hAnsi="Times New Roman" w:cs="Times New Roman"/>
          <w:sz w:val="24"/>
          <w:szCs w:val="24"/>
          <w:lang w:eastAsia="ru-RU"/>
        </w:rPr>
        <w:t xml:space="preserve">                                                            </w:t>
      </w:r>
      <w:r w:rsidRPr="00C37701">
        <w:rPr>
          <w:rFonts w:ascii="Times New Roman" w:eastAsia="Times New Roman" w:hAnsi="Times New Roman" w:cs="Times New Roman"/>
          <w:sz w:val="24"/>
          <w:szCs w:val="24"/>
          <w:lang w:eastAsia="ru-RU"/>
        </w:rPr>
        <w:t xml:space="preserve">свыше 60 комментариев/интервью представителей </w:t>
      </w:r>
      <w:r w:rsidR="00E779CE">
        <w:rPr>
          <w:rFonts w:ascii="Times New Roman" w:eastAsia="Times New Roman" w:hAnsi="Times New Roman" w:cs="Times New Roman"/>
          <w:sz w:val="24"/>
          <w:szCs w:val="24"/>
          <w:lang w:eastAsia="ru-RU"/>
        </w:rPr>
        <w:t>Национального Банка</w:t>
      </w:r>
      <w:r w:rsidR="00E779CE" w:rsidRPr="00C37701">
        <w:rPr>
          <w:rFonts w:ascii="Times New Roman" w:eastAsia="Times New Roman" w:hAnsi="Times New Roman" w:cs="Times New Roman"/>
          <w:sz w:val="24"/>
          <w:szCs w:val="24"/>
          <w:lang w:eastAsia="ru-RU"/>
        </w:rPr>
        <w:t xml:space="preserve"> </w:t>
      </w:r>
      <w:r w:rsidRPr="00C37701">
        <w:rPr>
          <w:rFonts w:ascii="Times New Roman" w:eastAsia="Times New Roman" w:hAnsi="Times New Roman" w:cs="Times New Roman"/>
          <w:sz w:val="24"/>
          <w:szCs w:val="24"/>
          <w:lang w:eastAsia="ru-RU"/>
        </w:rPr>
        <w:t>по теме защиты прав потребителей финансовых услуг и повышения финансовой грамотности.</w:t>
      </w:r>
    </w:p>
    <w:p w14:paraId="47F31C1C" w14:textId="7B6F5630" w:rsidR="00707D6D" w:rsidRPr="00C37701" w:rsidRDefault="00707D6D" w:rsidP="00446694">
      <w:pPr>
        <w:spacing w:after="0" w:line="240" w:lineRule="auto"/>
        <w:ind w:firstLine="709"/>
        <w:jc w:val="both"/>
        <w:rPr>
          <w:rFonts w:ascii="Times New Roman" w:eastAsia="Times New Roman" w:hAnsi="Times New Roman" w:cs="Times New Roman"/>
          <w:i/>
          <w:sz w:val="24"/>
          <w:szCs w:val="24"/>
          <w:lang w:eastAsia="ru-RU"/>
        </w:rPr>
      </w:pPr>
      <w:r w:rsidRPr="00C37701">
        <w:rPr>
          <w:rFonts w:ascii="Times New Roman" w:eastAsia="Times New Roman" w:hAnsi="Times New Roman" w:cs="Times New Roman"/>
          <w:i/>
          <w:sz w:val="24"/>
          <w:szCs w:val="24"/>
          <w:lang w:eastAsia="ru-RU"/>
        </w:rPr>
        <w:t>Расширение</w:t>
      </w:r>
      <w:r w:rsidR="00446694">
        <w:rPr>
          <w:rFonts w:ascii="Times New Roman" w:eastAsia="Times New Roman" w:hAnsi="Times New Roman" w:cs="Times New Roman"/>
          <w:i/>
          <w:sz w:val="24"/>
          <w:szCs w:val="24"/>
          <w:lang w:eastAsia="ru-RU"/>
        </w:rPr>
        <w:t xml:space="preserve"> состава Экспертного Совета </w:t>
      </w:r>
      <w:r w:rsidR="00446694" w:rsidRPr="00446694">
        <w:rPr>
          <w:rFonts w:ascii="Times New Roman" w:eastAsia="Times New Roman" w:hAnsi="Times New Roman" w:cs="Times New Roman"/>
          <w:i/>
          <w:sz w:val="24"/>
          <w:szCs w:val="24"/>
          <w:lang w:eastAsia="ru-RU"/>
        </w:rPr>
        <w:t>Национального Банка</w:t>
      </w:r>
    </w:p>
    <w:p w14:paraId="548A2C05" w14:textId="3CCC2A17" w:rsidR="00707D6D" w:rsidRPr="00C37701" w:rsidRDefault="00707D6D" w:rsidP="0097449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37701">
        <w:rPr>
          <w:rFonts w:ascii="Times New Roman" w:eastAsia="Calibri" w:hAnsi="Times New Roman" w:cs="Times New Roman"/>
          <w:sz w:val="24"/>
          <w:szCs w:val="24"/>
        </w:rPr>
        <w:t xml:space="preserve">Приказом Председателя Национального Банка Е. </w:t>
      </w:r>
      <w:proofErr w:type="spellStart"/>
      <w:r w:rsidRPr="00C37701">
        <w:rPr>
          <w:rFonts w:ascii="Times New Roman" w:eastAsia="Calibri" w:hAnsi="Times New Roman" w:cs="Times New Roman"/>
          <w:sz w:val="24"/>
          <w:szCs w:val="24"/>
        </w:rPr>
        <w:t>Досаева</w:t>
      </w:r>
      <w:proofErr w:type="spellEnd"/>
      <w:r w:rsidRPr="00C37701">
        <w:rPr>
          <w:rFonts w:ascii="Times New Roman" w:eastAsia="Calibri" w:hAnsi="Times New Roman" w:cs="Times New Roman"/>
          <w:sz w:val="24"/>
          <w:szCs w:val="24"/>
        </w:rPr>
        <w:t xml:space="preserve"> от 2 апреля 2019 года</w:t>
      </w:r>
      <w:r w:rsidR="00446694">
        <w:rPr>
          <w:rFonts w:ascii="Times New Roman" w:eastAsia="Calibri" w:hAnsi="Times New Roman" w:cs="Times New Roman"/>
          <w:sz w:val="24"/>
          <w:szCs w:val="24"/>
        </w:rPr>
        <w:t xml:space="preserve">                         </w:t>
      </w:r>
      <w:r w:rsidR="00446694" w:rsidRPr="00C37701">
        <w:rPr>
          <w:rFonts w:ascii="Times New Roman" w:eastAsia="Calibri" w:hAnsi="Times New Roman" w:cs="Times New Roman"/>
          <w:sz w:val="24"/>
          <w:szCs w:val="24"/>
        </w:rPr>
        <w:t>№</w:t>
      </w:r>
      <w:r w:rsidR="00446694">
        <w:rPr>
          <w:rFonts w:ascii="Times New Roman" w:eastAsia="Calibri" w:hAnsi="Times New Roman" w:cs="Times New Roman"/>
          <w:sz w:val="24"/>
          <w:szCs w:val="24"/>
        </w:rPr>
        <w:t xml:space="preserve"> </w:t>
      </w:r>
      <w:r w:rsidR="007B5EEE" w:rsidRPr="00C37701">
        <w:rPr>
          <w:rFonts w:ascii="Times New Roman" w:eastAsia="Calibri" w:hAnsi="Times New Roman" w:cs="Times New Roman"/>
          <w:sz w:val="24"/>
          <w:szCs w:val="24"/>
        </w:rPr>
        <w:t>156 создан</w:t>
      </w:r>
      <w:r w:rsidRPr="00C37701">
        <w:rPr>
          <w:rFonts w:ascii="Times New Roman" w:eastAsia="Calibri" w:hAnsi="Times New Roman" w:cs="Times New Roman"/>
          <w:sz w:val="24"/>
          <w:szCs w:val="24"/>
        </w:rPr>
        <w:t xml:space="preserve"> Экспертный совет по повышению финансовой грамотности населения при Национальном Банке, в который вошли Министерство образования</w:t>
      </w:r>
      <w:r w:rsidR="00736D84">
        <w:rPr>
          <w:rFonts w:ascii="Times New Roman" w:eastAsia="Calibri" w:hAnsi="Times New Roman" w:cs="Times New Roman"/>
          <w:sz w:val="24"/>
          <w:szCs w:val="24"/>
        </w:rPr>
        <w:t xml:space="preserve"> и науки</w:t>
      </w:r>
      <w:r w:rsidRPr="00C37701">
        <w:rPr>
          <w:rFonts w:ascii="Times New Roman" w:eastAsia="Calibri" w:hAnsi="Times New Roman" w:cs="Times New Roman"/>
          <w:sz w:val="24"/>
          <w:szCs w:val="24"/>
        </w:rPr>
        <w:t xml:space="preserve">, ОЮЛ «Ассоциация финансистов Казахстана», финансовые организации, общественные организации, СМИ и отдельные эксперты. Главной задачей Экспертного совета является разработка Стратегии повышения финансовой грамотности населения. Также деятельность Экспертного совета направлена на развитие и совершенствование регулирования в финансовой сфере, как в плане оказания консультативной помощи, так и в плане самостоятельной разработки предложений по реализации мероприятий, проектов и программ, направленных на повышение уровня финансовой грамотности и информированности населения об институтах финансового рынка Республики Казахстан и их продуктах. </w:t>
      </w:r>
    </w:p>
    <w:p w14:paraId="53C7B174" w14:textId="7F779396" w:rsidR="00707D6D" w:rsidRPr="00C37701" w:rsidRDefault="00707D6D" w:rsidP="0097449D">
      <w:pPr>
        <w:spacing w:after="0" w:line="240" w:lineRule="auto"/>
        <w:ind w:firstLine="709"/>
        <w:jc w:val="both"/>
        <w:rPr>
          <w:rFonts w:ascii="Times New Roman" w:eastAsia="Calibri" w:hAnsi="Times New Roman" w:cs="Times New Roman"/>
          <w:color w:val="000000"/>
          <w:sz w:val="24"/>
          <w:szCs w:val="24"/>
        </w:rPr>
      </w:pPr>
      <w:r w:rsidRPr="00C37701">
        <w:rPr>
          <w:rFonts w:ascii="Times New Roman" w:eastAsia="Calibri" w:hAnsi="Times New Roman" w:cs="Times New Roman"/>
          <w:color w:val="000000"/>
          <w:sz w:val="24"/>
          <w:szCs w:val="24"/>
        </w:rPr>
        <w:t>Кроме того, одна из задач Экспертного совета – поэтапное внедрение предмета «Финансовая грамотность» в школьную программу на начальной стадии в формате факультатива. Для этого в Экспертный совет включены представители Министерство образования и науки.</w:t>
      </w:r>
    </w:p>
    <w:p w14:paraId="2EEF8FB9" w14:textId="77777777" w:rsidR="00F2659C" w:rsidRPr="00C37701" w:rsidRDefault="00F2659C" w:rsidP="0097449D">
      <w:pPr>
        <w:spacing w:after="0" w:line="240" w:lineRule="auto"/>
        <w:ind w:firstLine="709"/>
        <w:contextualSpacing/>
        <w:jc w:val="both"/>
        <w:rPr>
          <w:rFonts w:ascii="Times New Roman" w:hAnsi="Times New Roman" w:cs="Times New Roman"/>
          <w:b/>
          <w:i/>
          <w:color w:val="000000"/>
          <w:sz w:val="24"/>
          <w:szCs w:val="24"/>
        </w:rPr>
      </w:pPr>
    </w:p>
    <w:p w14:paraId="37698B38" w14:textId="77777777" w:rsidR="00F2659C" w:rsidRPr="00C37701" w:rsidRDefault="00F2659C" w:rsidP="0097449D">
      <w:pPr>
        <w:spacing w:after="0" w:line="240" w:lineRule="auto"/>
        <w:ind w:firstLine="709"/>
        <w:contextualSpacing/>
        <w:jc w:val="both"/>
        <w:rPr>
          <w:rFonts w:ascii="Times New Roman" w:hAnsi="Times New Roman" w:cs="Times New Roman"/>
          <w:i/>
          <w:sz w:val="24"/>
          <w:szCs w:val="24"/>
          <w:lang w:val="kk-KZ"/>
        </w:rPr>
      </w:pPr>
      <w:r w:rsidRPr="00C37701">
        <w:rPr>
          <w:rFonts w:ascii="Times New Roman" w:hAnsi="Times New Roman" w:cs="Times New Roman"/>
          <w:b/>
          <w:i/>
          <w:sz w:val="24"/>
          <w:szCs w:val="24"/>
        </w:rPr>
        <w:t>Целевой индикатор 5:</w:t>
      </w:r>
      <w:r w:rsidRPr="00C37701">
        <w:rPr>
          <w:rFonts w:ascii="Times New Roman" w:hAnsi="Times New Roman" w:cs="Times New Roman"/>
          <w:i/>
          <w:sz w:val="24"/>
          <w:szCs w:val="24"/>
        </w:rPr>
        <w:t xml:space="preserve"> </w:t>
      </w:r>
      <w:r w:rsidRPr="00C37701">
        <w:rPr>
          <w:rFonts w:ascii="Times New Roman" w:hAnsi="Times New Roman" w:cs="Times New Roman"/>
          <w:b/>
          <w:i/>
          <w:sz w:val="24"/>
          <w:szCs w:val="24"/>
          <w:lang w:val="kk-KZ"/>
        </w:rPr>
        <w:t xml:space="preserve">Показатель «Стоимость финансовых услуг» Глобального индекса конкурентоспособности </w:t>
      </w:r>
    </w:p>
    <w:p w14:paraId="670EA31B" w14:textId="77777777" w:rsidR="00F2659C" w:rsidRPr="00C37701" w:rsidRDefault="00DA1B40"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bCs/>
          <w:i/>
          <w:iCs/>
          <w:sz w:val="24"/>
          <w:szCs w:val="24"/>
        </w:rPr>
        <w:t>Мероприятия для достижения</w:t>
      </w:r>
      <w:r w:rsidR="00F2659C" w:rsidRPr="00C37701">
        <w:rPr>
          <w:rFonts w:ascii="Times New Roman" w:hAnsi="Times New Roman" w:cs="Times New Roman"/>
          <w:b/>
          <w:bCs/>
          <w:i/>
          <w:iCs/>
          <w:sz w:val="24"/>
          <w:szCs w:val="24"/>
        </w:rPr>
        <w:t xml:space="preserve"> целевого индикатора:</w:t>
      </w:r>
    </w:p>
    <w:p w14:paraId="379432C1" w14:textId="4AF95796" w:rsidR="00CD5B1A" w:rsidRPr="00C37701" w:rsidRDefault="00CD5B1A" w:rsidP="0097449D">
      <w:pPr>
        <w:spacing w:after="0" w:line="240" w:lineRule="auto"/>
        <w:ind w:firstLine="709"/>
        <w:contextualSpacing/>
        <w:jc w:val="both"/>
        <w:rPr>
          <w:rFonts w:ascii="Times New Roman" w:hAnsi="Times New Roman" w:cs="Times New Roman"/>
          <w:bCs/>
          <w:i/>
          <w:iCs/>
          <w:sz w:val="24"/>
          <w:szCs w:val="24"/>
        </w:rPr>
      </w:pPr>
      <w:r w:rsidRPr="00C37701">
        <w:rPr>
          <w:rFonts w:ascii="Times New Roman" w:eastAsia="Times New Roman" w:hAnsi="Times New Roman" w:cs="Times New Roman"/>
          <w:sz w:val="24"/>
          <w:szCs w:val="24"/>
          <w:lang w:eastAsia="ru-RU"/>
        </w:rPr>
        <w:lastRenderedPageBreak/>
        <w:t xml:space="preserve">Согласно новой методологии ГИК ВЭФ 4.0, действующей с 2018 года, индикатор «Стоимость финансовых услуг» исключен из структуры отчета ГИК ВЭФ, поскольку в настоящее время основной упор ставится на статистические индикаторы. Таким образом, не представляется возможным указать информацию по позиции Казахстана по целевому индикатору по итогам </w:t>
      </w:r>
      <w:r w:rsidR="00FE26A6">
        <w:rPr>
          <w:rFonts w:ascii="Times New Roman" w:eastAsia="Times New Roman" w:hAnsi="Times New Roman" w:cs="Times New Roman"/>
          <w:sz w:val="24"/>
          <w:szCs w:val="24"/>
          <w:lang w:eastAsia="ru-RU"/>
        </w:rPr>
        <w:t xml:space="preserve">         </w:t>
      </w:r>
      <w:r w:rsidRPr="00C37701">
        <w:rPr>
          <w:rFonts w:ascii="Times New Roman" w:eastAsia="Times New Roman" w:hAnsi="Times New Roman" w:cs="Times New Roman"/>
          <w:sz w:val="24"/>
          <w:szCs w:val="24"/>
          <w:lang w:eastAsia="ru-RU"/>
        </w:rPr>
        <w:t xml:space="preserve">2019 года ввиду отсутствия необходимой информации в ежегодном отчете по глобальному индексу конкурентоспособности. </w:t>
      </w:r>
    </w:p>
    <w:p w14:paraId="4B6BD7D3" w14:textId="77777777" w:rsidR="00CD5B1A" w:rsidRPr="00C37701" w:rsidRDefault="00CD5B1A"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bCs/>
          <w:i/>
          <w:iCs/>
          <w:sz w:val="24"/>
          <w:szCs w:val="24"/>
        </w:rPr>
        <w:t>Мероприятия для достижения целевого индикатора:</w:t>
      </w:r>
    </w:p>
    <w:p w14:paraId="03439EF6" w14:textId="77777777" w:rsidR="00CD5B1A" w:rsidRPr="00C37701" w:rsidRDefault="00CD5B1A" w:rsidP="0097449D">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7701">
        <w:rPr>
          <w:rFonts w:ascii="Times New Roman" w:eastAsia="Times New Roman" w:hAnsi="Times New Roman" w:cs="Times New Roman"/>
          <w:color w:val="000000"/>
          <w:sz w:val="24"/>
          <w:szCs w:val="24"/>
          <w:lang w:eastAsia="ru-RU"/>
        </w:rPr>
        <w:t xml:space="preserve">На официальном </w:t>
      </w:r>
      <w:proofErr w:type="spellStart"/>
      <w:r w:rsidRPr="00C37701">
        <w:rPr>
          <w:rFonts w:ascii="Times New Roman" w:eastAsia="Times New Roman" w:hAnsi="Times New Roman" w:cs="Times New Roman"/>
          <w:color w:val="000000"/>
          <w:sz w:val="24"/>
          <w:szCs w:val="24"/>
          <w:lang w:eastAsia="ru-RU"/>
        </w:rPr>
        <w:t>интернет-ресурсе</w:t>
      </w:r>
      <w:proofErr w:type="spellEnd"/>
      <w:r w:rsidRPr="00C37701">
        <w:rPr>
          <w:rFonts w:ascii="Times New Roman" w:eastAsia="Times New Roman" w:hAnsi="Times New Roman" w:cs="Times New Roman"/>
          <w:color w:val="000000"/>
          <w:sz w:val="24"/>
          <w:szCs w:val="24"/>
          <w:lang w:eastAsia="ru-RU"/>
        </w:rPr>
        <w:t xml:space="preserve"> Национального Банка в разделе «Защита прав потребителей финансовых услуг» размещена информация о ставках и тарифах по продуктам.</w:t>
      </w:r>
    </w:p>
    <w:p w14:paraId="5435E6A8" w14:textId="77777777" w:rsidR="00CD5B1A" w:rsidRPr="00C37701" w:rsidRDefault="00CD5B1A" w:rsidP="0097449D">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7701">
        <w:rPr>
          <w:rFonts w:ascii="Times New Roman" w:eastAsia="Times New Roman" w:hAnsi="Times New Roman" w:cs="Times New Roman"/>
          <w:color w:val="000000"/>
          <w:sz w:val="24"/>
          <w:szCs w:val="24"/>
          <w:lang w:eastAsia="ru-RU"/>
        </w:rPr>
        <w:t xml:space="preserve">Также, на сайте Fingramota.kz в разделе «Продукты и услуги» размещен модуль по кредитам и депозитам, позволяющий найти среди множества банковских продуктов наиболее приемлемый для потребителя, исходя из заданных им параметров (суммы, валюты, сроков, ставки вознаграждения). </w:t>
      </w:r>
    </w:p>
    <w:p w14:paraId="32DEAA14" w14:textId="77777777" w:rsidR="00CD5B1A" w:rsidRPr="00C37701" w:rsidRDefault="00CD5B1A" w:rsidP="0097449D">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7701">
        <w:rPr>
          <w:rFonts w:ascii="Times New Roman" w:eastAsia="Times New Roman" w:hAnsi="Times New Roman" w:cs="Times New Roman"/>
          <w:color w:val="000000"/>
          <w:sz w:val="24"/>
          <w:szCs w:val="24"/>
          <w:lang w:eastAsia="ru-RU"/>
        </w:rPr>
        <w:t>На сайтах банков второго уровня и АО «</w:t>
      </w:r>
      <w:proofErr w:type="spellStart"/>
      <w:r w:rsidRPr="00C37701">
        <w:rPr>
          <w:rFonts w:ascii="Times New Roman" w:eastAsia="Times New Roman" w:hAnsi="Times New Roman" w:cs="Times New Roman"/>
          <w:color w:val="000000"/>
          <w:sz w:val="24"/>
          <w:szCs w:val="24"/>
          <w:lang w:eastAsia="ru-RU"/>
        </w:rPr>
        <w:t>Казпочта</w:t>
      </w:r>
      <w:proofErr w:type="spellEnd"/>
      <w:r w:rsidRPr="00C37701">
        <w:rPr>
          <w:rFonts w:ascii="Times New Roman" w:eastAsia="Times New Roman" w:hAnsi="Times New Roman" w:cs="Times New Roman"/>
          <w:color w:val="000000"/>
          <w:sz w:val="24"/>
          <w:szCs w:val="24"/>
          <w:lang w:eastAsia="ru-RU"/>
        </w:rPr>
        <w:t>» размещается информация по актуальным продуктам, ставки, тарифы и калькуляторы расчетов депозитов и кредитов.</w:t>
      </w:r>
    </w:p>
    <w:p w14:paraId="232F9317" w14:textId="77777777" w:rsidR="00CD5B1A" w:rsidRPr="00C37701" w:rsidRDefault="00CD5B1A" w:rsidP="0097449D">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C37701">
        <w:rPr>
          <w:rFonts w:ascii="Times New Roman" w:eastAsia="Times New Roman" w:hAnsi="Times New Roman" w:cs="Times New Roman"/>
          <w:color w:val="000000"/>
          <w:sz w:val="24"/>
          <w:szCs w:val="24"/>
          <w:lang w:eastAsia="ru-RU"/>
        </w:rPr>
        <w:t xml:space="preserve">Аналогичный раздел функционирует на </w:t>
      </w:r>
      <w:proofErr w:type="spellStart"/>
      <w:r w:rsidRPr="00C37701">
        <w:rPr>
          <w:rFonts w:ascii="Times New Roman" w:eastAsia="Times New Roman" w:hAnsi="Times New Roman" w:cs="Times New Roman"/>
          <w:color w:val="000000"/>
          <w:sz w:val="24"/>
          <w:szCs w:val="24"/>
          <w:lang w:eastAsia="ru-RU"/>
        </w:rPr>
        <w:t>интернет-ресурсе</w:t>
      </w:r>
      <w:proofErr w:type="spellEnd"/>
      <w:r w:rsidRPr="00C37701">
        <w:rPr>
          <w:rFonts w:ascii="Times New Roman" w:eastAsia="Times New Roman" w:hAnsi="Times New Roman" w:cs="Times New Roman"/>
          <w:color w:val="000000"/>
          <w:sz w:val="24"/>
          <w:szCs w:val="24"/>
          <w:lang w:eastAsia="ru-RU"/>
        </w:rPr>
        <w:t xml:space="preserve"> ОЮЛ «Ассоциация финансистов Казахстана»:</w:t>
      </w:r>
    </w:p>
    <w:p w14:paraId="732A9A51" w14:textId="77777777" w:rsidR="00CD5B1A" w:rsidRPr="00C37701" w:rsidRDefault="00CF4EAA" w:rsidP="0097449D">
      <w:pPr>
        <w:spacing w:after="0" w:line="240" w:lineRule="auto"/>
        <w:ind w:firstLine="709"/>
        <w:jc w:val="both"/>
        <w:textAlignment w:val="baseline"/>
        <w:rPr>
          <w:rFonts w:ascii="Times New Roman" w:eastAsia="Times New Roman" w:hAnsi="Times New Roman" w:cs="Times New Roman"/>
          <w:color w:val="333399"/>
          <w:sz w:val="24"/>
          <w:szCs w:val="24"/>
          <w:u w:val="single"/>
          <w:lang w:eastAsia="ru-RU"/>
        </w:rPr>
      </w:pPr>
      <w:hyperlink r:id="rId8" w:history="1">
        <w:r w:rsidR="00CD5B1A" w:rsidRPr="00C37701">
          <w:rPr>
            <w:rFonts w:ascii="Times New Roman" w:eastAsia="Times New Roman" w:hAnsi="Times New Roman" w:cs="Times New Roman"/>
            <w:color w:val="333399"/>
            <w:sz w:val="24"/>
            <w:szCs w:val="24"/>
            <w:u w:val="single"/>
            <w:lang w:eastAsia="ru-RU"/>
          </w:rPr>
          <w:t>http://www.afk.kz/ru/potreb/fin-gr/</w:t>
        </w:r>
      </w:hyperlink>
    </w:p>
    <w:p w14:paraId="446F01C6" w14:textId="77777777" w:rsidR="00CD5B1A" w:rsidRPr="00C37701" w:rsidRDefault="00CF4EAA" w:rsidP="0097449D">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hyperlink r:id="rId9" w:history="1">
        <w:r w:rsidR="00CD5B1A" w:rsidRPr="00C37701">
          <w:rPr>
            <w:rFonts w:ascii="Times New Roman" w:eastAsia="Times New Roman" w:hAnsi="Times New Roman" w:cs="Times New Roman"/>
            <w:color w:val="333399"/>
            <w:sz w:val="24"/>
            <w:szCs w:val="24"/>
            <w:u w:val="single"/>
            <w:lang w:eastAsia="ru-RU"/>
          </w:rPr>
          <w:t>http://www.afk.kz/ru/potreb/about-fin-services/</w:t>
        </w:r>
      </w:hyperlink>
      <w:r w:rsidR="00CD5B1A" w:rsidRPr="00C37701">
        <w:rPr>
          <w:rFonts w:ascii="Times New Roman" w:eastAsia="Times New Roman" w:hAnsi="Times New Roman" w:cs="Times New Roman"/>
          <w:color w:val="000000"/>
          <w:sz w:val="24"/>
          <w:szCs w:val="24"/>
          <w:lang w:eastAsia="ru-RU"/>
        </w:rPr>
        <w:t xml:space="preserve">  </w:t>
      </w:r>
    </w:p>
    <w:p w14:paraId="71A3D594" w14:textId="77777777" w:rsidR="00CD5B1A" w:rsidRPr="00C37701" w:rsidRDefault="00CD5B1A" w:rsidP="0097449D">
      <w:pPr>
        <w:spacing w:after="0" w:line="240" w:lineRule="auto"/>
        <w:ind w:firstLine="709"/>
        <w:jc w:val="both"/>
        <w:textAlignment w:val="baseline"/>
        <w:rPr>
          <w:rFonts w:ascii="Times New Roman" w:eastAsia="Calibri" w:hAnsi="Times New Roman" w:cs="Times New Roman"/>
          <w:color w:val="000000"/>
          <w:sz w:val="24"/>
          <w:szCs w:val="24"/>
        </w:rPr>
      </w:pPr>
      <w:r w:rsidRPr="00C37701">
        <w:rPr>
          <w:rFonts w:ascii="Times New Roman" w:eastAsia="Times New Roman" w:hAnsi="Times New Roman" w:cs="Times New Roman"/>
          <w:color w:val="000000"/>
          <w:sz w:val="24"/>
          <w:szCs w:val="24"/>
          <w:lang w:eastAsia="ru-RU"/>
        </w:rPr>
        <w:t xml:space="preserve">Для информирования клиентов БВУ используются различные каналы: буклеты, </w:t>
      </w:r>
      <w:proofErr w:type="spellStart"/>
      <w:r w:rsidRPr="00C37701">
        <w:rPr>
          <w:rFonts w:ascii="Times New Roman" w:eastAsia="Times New Roman" w:hAnsi="Times New Roman" w:cs="Times New Roman"/>
          <w:color w:val="000000"/>
          <w:sz w:val="24"/>
          <w:szCs w:val="24"/>
          <w:lang w:eastAsia="ru-RU"/>
        </w:rPr>
        <w:t>лифлеты</w:t>
      </w:r>
      <w:proofErr w:type="spellEnd"/>
      <w:r w:rsidRPr="00C37701">
        <w:rPr>
          <w:rFonts w:ascii="Times New Roman" w:eastAsia="Times New Roman" w:hAnsi="Times New Roman" w:cs="Times New Roman"/>
          <w:color w:val="000000"/>
          <w:sz w:val="24"/>
          <w:szCs w:val="24"/>
          <w:lang w:eastAsia="ru-RU"/>
        </w:rPr>
        <w:t xml:space="preserve"> и другая печатная продукция с информацией о финансовых продуктах; СМИ (газеты, журналы, радио); сайты БВУ; </w:t>
      </w:r>
      <w:proofErr w:type="spellStart"/>
      <w:r w:rsidRPr="00C37701">
        <w:rPr>
          <w:rFonts w:ascii="Times New Roman" w:eastAsia="Times New Roman" w:hAnsi="Times New Roman" w:cs="Times New Roman"/>
          <w:color w:val="000000"/>
          <w:sz w:val="24"/>
          <w:szCs w:val="24"/>
          <w:lang w:eastAsia="ru-RU"/>
        </w:rPr>
        <w:t>call-center</w:t>
      </w:r>
      <w:proofErr w:type="spellEnd"/>
      <w:r w:rsidRPr="00C37701">
        <w:rPr>
          <w:rFonts w:ascii="Times New Roman" w:eastAsia="Times New Roman" w:hAnsi="Times New Roman" w:cs="Times New Roman"/>
          <w:color w:val="000000"/>
          <w:sz w:val="24"/>
          <w:szCs w:val="24"/>
          <w:lang w:eastAsia="ru-RU"/>
        </w:rPr>
        <w:t xml:space="preserve"> банков второго уровня; официальные аккаунты в социальных сетях. Работает Проектный офис по мониторингу работы Программы льготного кредитования приоритетных проектов (Проектный офис «экономики простых вещей») с участием банков второго уровня, в рамках которого проводятся консультации для бизнеса по условиям программы.</w:t>
      </w:r>
    </w:p>
    <w:p w14:paraId="35458800" w14:textId="77777777" w:rsidR="00F2659C" w:rsidRPr="00C37701" w:rsidRDefault="00F2659C" w:rsidP="0097449D">
      <w:pPr>
        <w:spacing w:after="0" w:line="240" w:lineRule="auto"/>
        <w:ind w:firstLine="709"/>
        <w:contextualSpacing/>
        <w:jc w:val="both"/>
        <w:rPr>
          <w:rFonts w:ascii="Times New Roman" w:hAnsi="Times New Roman" w:cs="Times New Roman"/>
          <w:sz w:val="24"/>
          <w:szCs w:val="24"/>
        </w:rPr>
      </w:pPr>
    </w:p>
    <w:p w14:paraId="477F3DF1" w14:textId="77777777" w:rsidR="00F2659C" w:rsidRPr="00C37701" w:rsidRDefault="00F2659C"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b/>
          <w:i/>
          <w:sz w:val="24"/>
          <w:szCs w:val="24"/>
        </w:rPr>
        <w:t>Целевой индикатор 6:</w:t>
      </w:r>
      <w:r w:rsidRPr="00C37701">
        <w:rPr>
          <w:rFonts w:ascii="Times New Roman" w:hAnsi="Times New Roman" w:cs="Times New Roman"/>
          <w:i/>
          <w:sz w:val="24"/>
          <w:szCs w:val="24"/>
        </w:rPr>
        <w:t xml:space="preserve"> </w:t>
      </w:r>
      <w:r w:rsidRPr="00C37701">
        <w:rPr>
          <w:rFonts w:ascii="Times New Roman" w:hAnsi="Times New Roman" w:cs="Times New Roman"/>
          <w:b/>
          <w:i/>
          <w:sz w:val="24"/>
          <w:szCs w:val="24"/>
          <w:lang w:val="kk-KZ"/>
        </w:rPr>
        <w:t xml:space="preserve">Показатель «Легкость получения заемных средств» Глобального индекса конкурентоспособности </w:t>
      </w:r>
    </w:p>
    <w:p w14:paraId="77782D80" w14:textId="47B971B5" w:rsidR="00554080" w:rsidRPr="00C37701" w:rsidRDefault="00554080" w:rsidP="0097449D">
      <w:pPr>
        <w:spacing w:after="0" w:line="240" w:lineRule="auto"/>
        <w:ind w:firstLine="709"/>
        <w:contextualSpacing/>
        <w:jc w:val="both"/>
        <w:rPr>
          <w:rFonts w:ascii="Times New Roman" w:hAnsi="Times New Roman" w:cs="Times New Roman"/>
          <w:bCs/>
          <w:i/>
          <w:iCs/>
          <w:sz w:val="24"/>
          <w:szCs w:val="24"/>
        </w:rPr>
      </w:pPr>
      <w:r w:rsidRPr="00C37701">
        <w:rPr>
          <w:rFonts w:ascii="Times New Roman" w:eastAsia="Times New Roman" w:hAnsi="Times New Roman" w:cs="Times New Roman"/>
          <w:sz w:val="24"/>
          <w:szCs w:val="24"/>
          <w:lang w:eastAsia="ru-RU"/>
        </w:rPr>
        <w:t>Согласно новой методологии ГИК ВЭФ 4.0, действующей с 2018 года, индикатор «Легкость получения заемных средств» исключён из структуры отчёта ГИК ВЭФ, поскольку в настоящее время основной упор ставится на статистические индикаторы. Таким образом, не представляется возможным указать информацию по позиции Казахстана по целевому индикатору по итогам</w:t>
      </w:r>
      <w:r w:rsidR="00FE26A6">
        <w:rPr>
          <w:rFonts w:ascii="Times New Roman" w:eastAsia="Times New Roman" w:hAnsi="Times New Roman" w:cs="Times New Roman"/>
          <w:sz w:val="24"/>
          <w:szCs w:val="24"/>
          <w:lang w:eastAsia="ru-RU"/>
        </w:rPr>
        <w:t xml:space="preserve">       </w:t>
      </w:r>
      <w:r w:rsidRPr="00C37701">
        <w:rPr>
          <w:rFonts w:ascii="Times New Roman" w:eastAsia="Times New Roman" w:hAnsi="Times New Roman" w:cs="Times New Roman"/>
          <w:sz w:val="24"/>
          <w:szCs w:val="24"/>
          <w:lang w:eastAsia="ru-RU"/>
        </w:rPr>
        <w:t xml:space="preserve"> 2019 года ввиду отсутствия необходимой информации в ежегодном отчете по глобальному индексу конкурентоспособности. </w:t>
      </w:r>
    </w:p>
    <w:p w14:paraId="5876775E" w14:textId="77777777" w:rsidR="00854A8A" w:rsidRPr="00C37701" w:rsidRDefault="00854A8A"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bCs/>
          <w:i/>
          <w:iCs/>
          <w:sz w:val="24"/>
          <w:szCs w:val="24"/>
        </w:rPr>
        <w:t>Мероприятия для достижения целевого индикатора:</w:t>
      </w:r>
    </w:p>
    <w:p w14:paraId="53CE3254" w14:textId="77777777" w:rsidR="00854A8A" w:rsidRPr="00C37701" w:rsidRDefault="00854A8A" w:rsidP="0097449D">
      <w:pPr>
        <w:spacing w:after="0" w:line="240" w:lineRule="auto"/>
        <w:ind w:firstLine="709"/>
        <w:jc w:val="both"/>
        <w:rPr>
          <w:rFonts w:ascii="Times New Roman" w:eastAsia="Calibri" w:hAnsi="Times New Roman" w:cs="Times New Roman"/>
          <w:color w:val="000000"/>
          <w:sz w:val="24"/>
          <w:szCs w:val="24"/>
        </w:rPr>
      </w:pPr>
      <w:r w:rsidRPr="00C37701">
        <w:rPr>
          <w:rFonts w:ascii="Times New Roman" w:eastAsia="Calibri" w:hAnsi="Times New Roman" w:cs="Times New Roman"/>
          <w:color w:val="000000"/>
          <w:sz w:val="24"/>
          <w:szCs w:val="24"/>
        </w:rPr>
        <w:t>В целях оптимизации процесса выдачи кредитов, включая сокращение сроков выдачи кредитов банками второго уровня юридическим лицам, исключено требование по перечню документации по кредитованию. Банки самостоятельно устанавливают перечень и форму минимальных документов, предоставляемых заемщиками, обеспечивая полноту и достоверность предоставляемых сведений о заемщиках. При этом, для оптимизации сроков рассмотрения заявок для выдачи кредитов субъектам МСБ предполагается интеграция информационных баз банков с государственными базами данных по субъектам частного предпринимательства. В реализацию указанного мероприятия утвержден «План мероприятий по обеспечению доступа банков к Государственным базам данных» (далее – План мероприятий) в рамках которого предусмотрено:</w:t>
      </w:r>
    </w:p>
    <w:p w14:paraId="28207CF8" w14:textId="3984D2EE" w:rsidR="006053E2" w:rsidRDefault="00854A8A" w:rsidP="006053E2">
      <w:pPr>
        <w:pStyle w:val="a6"/>
        <w:numPr>
          <w:ilvl w:val="0"/>
          <w:numId w:val="46"/>
        </w:numPr>
        <w:tabs>
          <w:tab w:val="left" w:pos="142"/>
        </w:tabs>
        <w:spacing w:after="0" w:line="240" w:lineRule="auto"/>
        <w:ind w:left="0" w:firstLine="284"/>
        <w:jc w:val="both"/>
        <w:rPr>
          <w:rFonts w:ascii="Times New Roman" w:eastAsia="Calibri" w:hAnsi="Times New Roman" w:cs="Times New Roman"/>
          <w:color w:val="000000"/>
          <w:sz w:val="24"/>
          <w:szCs w:val="24"/>
        </w:rPr>
      </w:pPr>
      <w:r w:rsidRPr="006053E2">
        <w:rPr>
          <w:rFonts w:ascii="Times New Roman" w:eastAsia="Calibri" w:hAnsi="Times New Roman" w:cs="Times New Roman"/>
          <w:color w:val="000000"/>
          <w:sz w:val="24"/>
          <w:szCs w:val="24"/>
        </w:rPr>
        <w:t>определение перечня необходимых данных БВУ;</w:t>
      </w:r>
    </w:p>
    <w:p w14:paraId="13289FCE" w14:textId="06B4CF35" w:rsidR="00854A8A" w:rsidRPr="006053E2" w:rsidRDefault="006053E2" w:rsidP="006053E2">
      <w:pPr>
        <w:pStyle w:val="a6"/>
        <w:numPr>
          <w:ilvl w:val="0"/>
          <w:numId w:val="46"/>
        </w:numPr>
        <w:tabs>
          <w:tab w:val="left" w:pos="567"/>
        </w:tabs>
        <w:spacing w:after="0" w:line="240" w:lineRule="auto"/>
        <w:ind w:left="0" w:firstLine="28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6053E2">
        <w:rPr>
          <w:rFonts w:ascii="Times New Roman" w:eastAsia="Calibri" w:hAnsi="Times New Roman" w:cs="Times New Roman"/>
          <w:color w:val="000000"/>
          <w:sz w:val="24"/>
          <w:szCs w:val="24"/>
        </w:rPr>
        <w:t>определение реестра финансовых услуг,</w:t>
      </w:r>
      <w:r w:rsidR="00854A8A" w:rsidRPr="006053E2">
        <w:rPr>
          <w:rFonts w:ascii="Times New Roman" w:eastAsia="Calibri" w:hAnsi="Times New Roman" w:cs="Times New Roman"/>
          <w:color w:val="000000"/>
          <w:sz w:val="24"/>
          <w:szCs w:val="24"/>
        </w:rPr>
        <w:t xml:space="preserve"> для оказания которых необходимы данные ГБД;</w:t>
      </w:r>
    </w:p>
    <w:p w14:paraId="18876E6A" w14:textId="67B42662" w:rsidR="00854A8A" w:rsidRPr="006053E2" w:rsidRDefault="00854A8A" w:rsidP="006053E2">
      <w:pPr>
        <w:pStyle w:val="a6"/>
        <w:numPr>
          <w:ilvl w:val="0"/>
          <w:numId w:val="46"/>
        </w:numPr>
        <w:spacing w:after="0" w:line="240" w:lineRule="auto"/>
        <w:ind w:left="0" w:firstLine="284"/>
        <w:jc w:val="both"/>
        <w:rPr>
          <w:rFonts w:ascii="Times New Roman" w:eastAsia="Calibri" w:hAnsi="Times New Roman" w:cs="Times New Roman"/>
          <w:color w:val="000000"/>
          <w:sz w:val="24"/>
          <w:szCs w:val="24"/>
        </w:rPr>
      </w:pPr>
      <w:r w:rsidRPr="006053E2">
        <w:rPr>
          <w:rFonts w:ascii="Times New Roman" w:eastAsia="Calibri" w:hAnsi="Times New Roman" w:cs="Times New Roman"/>
          <w:color w:val="000000"/>
          <w:sz w:val="24"/>
          <w:szCs w:val="24"/>
        </w:rPr>
        <w:t>анализ действующего законодательства;</w:t>
      </w:r>
    </w:p>
    <w:p w14:paraId="1EA3A46A" w14:textId="079E17FD" w:rsidR="00854A8A" w:rsidRPr="006053E2" w:rsidRDefault="00854A8A" w:rsidP="006053E2">
      <w:pPr>
        <w:pStyle w:val="a6"/>
        <w:numPr>
          <w:ilvl w:val="0"/>
          <w:numId w:val="46"/>
        </w:numPr>
        <w:spacing w:after="0" w:line="240" w:lineRule="auto"/>
        <w:ind w:left="0" w:firstLine="284"/>
        <w:jc w:val="both"/>
        <w:rPr>
          <w:rFonts w:ascii="Times New Roman" w:eastAsia="Calibri" w:hAnsi="Times New Roman" w:cs="Times New Roman"/>
          <w:color w:val="000000"/>
          <w:sz w:val="24"/>
          <w:szCs w:val="24"/>
        </w:rPr>
      </w:pPr>
      <w:r w:rsidRPr="006053E2">
        <w:rPr>
          <w:rFonts w:ascii="Times New Roman" w:eastAsia="Calibri" w:hAnsi="Times New Roman" w:cs="Times New Roman"/>
          <w:color w:val="000000"/>
          <w:sz w:val="24"/>
          <w:szCs w:val="24"/>
        </w:rPr>
        <w:t>внесение изменений в действующее законодательство;</w:t>
      </w:r>
    </w:p>
    <w:p w14:paraId="06E72A10" w14:textId="5AF88009" w:rsidR="00854A8A" w:rsidRPr="006053E2" w:rsidRDefault="00854A8A" w:rsidP="006053E2">
      <w:pPr>
        <w:pStyle w:val="a6"/>
        <w:numPr>
          <w:ilvl w:val="0"/>
          <w:numId w:val="46"/>
        </w:numPr>
        <w:spacing w:after="0" w:line="240" w:lineRule="auto"/>
        <w:ind w:left="0" w:firstLine="284"/>
        <w:jc w:val="both"/>
        <w:rPr>
          <w:rFonts w:ascii="Times New Roman" w:eastAsia="Calibri" w:hAnsi="Times New Roman" w:cs="Times New Roman"/>
          <w:color w:val="000000"/>
          <w:sz w:val="24"/>
          <w:szCs w:val="24"/>
        </w:rPr>
      </w:pPr>
      <w:r w:rsidRPr="006053E2">
        <w:rPr>
          <w:rFonts w:ascii="Times New Roman" w:eastAsia="Calibri" w:hAnsi="Times New Roman" w:cs="Times New Roman"/>
          <w:color w:val="000000"/>
          <w:sz w:val="24"/>
          <w:szCs w:val="24"/>
        </w:rPr>
        <w:t>разработка и утверждение правил взаимодействия баз да</w:t>
      </w:r>
      <w:r w:rsidR="006053E2" w:rsidRPr="006053E2">
        <w:rPr>
          <w:rFonts w:ascii="Times New Roman" w:eastAsia="Calibri" w:hAnsi="Times New Roman" w:cs="Times New Roman"/>
          <w:color w:val="000000"/>
          <w:sz w:val="24"/>
          <w:szCs w:val="24"/>
        </w:rPr>
        <w:t xml:space="preserve">нных и государственных систем </w:t>
      </w:r>
      <w:r w:rsidRPr="006053E2">
        <w:rPr>
          <w:rFonts w:ascii="Times New Roman" w:eastAsia="Calibri" w:hAnsi="Times New Roman" w:cs="Times New Roman"/>
          <w:color w:val="000000"/>
          <w:sz w:val="24"/>
          <w:szCs w:val="24"/>
        </w:rPr>
        <w:t>БВУ;</w:t>
      </w:r>
    </w:p>
    <w:p w14:paraId="6D455A16" w14:textId="643EBD9B" w:rsidR="0079351A" w:rsidRPr="006053E2" w:rsidRDefault="00854A8A" w:rsidP="006053E2">
      <w:pPr>
        <w:pStyle w:val="a6"/>
        <w:widowControl w:val="0"/>
        <w:numPr>
          <w:ilvl w:val="0"/>
          <w:numId w:val="46"/>
        </w:numPr>
        <w:pBdr>
          <w:bottom w:val="single" w:sz="4" w:space="7" w:color="FFFFFF"/>
        </w:pBdr>
        <w:tabs>
          <w:tab w:val="left" w:pos="0"/>
        </w:tabs>
        <w:spacing w:after="0" w:line="240" w:lineRule="auto"/>
        <w:ind w:left="0" w:firstLine="284"/>
        <w:jc w:val="both"/>
        <w:rPr>
          <w:rFonts w:ascii="Times New Roman" w:hAnsi="Times New Roman" w:cs="Times New Roman"/>
          <w:i/>
          <w:sz w:val="24"/>
          <w:szCs w:val="24"/>
        </w:rPr>
      </w:pPr>
      <w:r w:rsidRPr="006053E2">
        <w:rPr>
          <w:rFonts w:ascii="Times New Roman" w:eastAsia="Calibri" w:hAnsi="Times New Roman" w:cs="Times New Roman"/>
          <w:color w:val="000000"/>
          <w:sz w:val="24"/>
          <w:szCs w:val="24"/>
        </w:rPr>
        <w:t>техническое обеспечение организации сервисов предоставления данных БВУ с ГБД посредством инфраструктуры электронного правительства.</w:t>
      </w:r>
    </w:p>
    <w:p w14:paraId="189DF9A0" w14:textId="77777777" w:rsidR="00F2659C" w:rsidRPr="00C37701" w:rsidRDefault="00F2659C" w:rsidP="0097449D">
      <w:pPr>
        <w:spacing w:after="0" w:line="240" w:lineRule="auto"/>
        <w:ind w:firstLine="709"/>
        <w:contextualSpacing/>
        <w:jc w:val="both"/>
        <w:rPr>
          <w:rFonts w:ascii="Times New Roman" w:hAnsi="Times New Roman" w:cs="Times New Roman"/>
          <w:i/>
          <w:color w:val="000000"/>
          <w:sz w:val="24"/>
          <w:szCs w:val="24"/>
        </w:rPr>
      </w:pPr>
      <w:r w:rsidRPr="00C37701">
        <w:rPr>
          <w:rFonts w:ascii="Times New Roman" w:hAnsi="Times New Roman" w:cs="Times New Roman"/>
          <w:b/>
          <w:i/>
          <w:color w:val="000000"/>
          <w:sz w:val="24"/>
          <w:szCs w:val="24"/>
        </w:rPr>
        <w:t>Цель 2.2.</w:t>
      </w:r>
      <w:r w:rsidRPr="00C37701">
        <w:rPr>
          <w:rFonts w:ascii="Times New Roman" w:hAnsi="Times New Roman" w:cs="Times New Roman"/>
          <w:i/>
          <w:color w:val="000000"/>
          <w:sz w:val="24"/>
          <w:szCs w:val="24"/>
        </w:rPr>
        <w:t xml:space="preserve"> </w:t>
      </w:r>
      <w:r w:rsidRPr="00C37701">
        <w:rPr>
          <w:rFonts w:ascii="Times New Roman" w:hAnsi="Times New Roman" w:cs="Times New Roman"/>
          <w:b/>
          <w:i/>
          <w:color w:val="000000"/>
          <w:sz w:val="24"/>
          <w:szCs w:val="24"/>
        </w:rPr>
        <w:t>Повышение финансовой устойчивости и создание необходимых условий для дальнейшего развития страхового рынка</w:t>
      </w:r>
    </w:p>
    <w:p w14:paraId="2918908B" w14:textId="32055423" w:rsidR="00F2659C" w:rsidRPr="00C37701" w:rsidRDefault="00F2659C" w:rsidP="0097449D">
      <w:pPr>
        <w:spacing w:after="0" w:line="240" w:lineRule="auto"/>
        <w:ind w:firstLine="709"/>
        <w:contextualSpacing/>
        <w:jc w:val="both"/>
        <w:rPr>
          <w:rFonts w:ascii="Times New Roman" w:hAnsi="Times New Roman" w:cs="Times New Roman"/>
          <w:i/>
          <w:sz w:val="24"/>
          <w:szCs w:val="24"/>
          <w:lang w:val="kk-KZ"/>
        </w:rPr>
      </w:pPr>
      <w:r w:rsidRPr="00C37701">
        <w:rPr>
          <w:rFonts w:ascii="Times New Roman" w:hAnsi="Times New Roman" w:cs="Times New Roman"/>
          <w:b/>
          <w:i/>
          <w:sz w:val="24"/>
          <w:szCs w:val="24"/>
        </w:rPr>
        <w:lastRenderedPageBreak/>
        <w:t>Целевой индикатор 1:</w:t>
      </w:r>
      <w:r w:rsidRPr="00C37701">
        <w:rPr>
          <w:rFonts w:ascii="Times New Roman" w:hAnsi="Times New Roman" w:cs="Times New Roman"/>
          <w:i/>
          <w:sz w:val="24"/>
          <w:szCs w:val="24"/>
        </w:rPr>
        <w:t xml:space="preserve"> </w:t>
      </w:r>
      <w:r w:rsidRPr="00C37701">
        <w:rPr>
          <w:rFonts w:ascii="Times New Roman" w:hAnsi="Times New Roman" w:cs="Times New Roman"/>
          <w:b/>
          <w:i/>
          <w:sz w:val="24"/>
          <w:szCs w:val="24"/>
          <w:lang w:val="kk-KZ"/>
        </w:rPr>
        <w:t xml:space="preserve">Агрегированный индекс финансовой устойчивости </w:t>
      </w:r>
      <w:r w:rsidRPr="00C37701">
        <w:rPr>
          <w:rFonts w:ascii="Times New Roman" w:hAnsi="Times New Roman" w:cs="Times New Roman"/>
          <w:i/>
          <w:sz w:val="24"/>
          <w:szCs w:val="24"/>
          <w:lang w:val="kk-KZ"/>
        </w:rPr>
        <w:t>(коэффициент не более 2,4</w:t>
      </w:r>
      <w:r w:rsidR="008667F1" w:rsidRPr="00C37701">
        <w:rPr>
          <w:rFonts w:ascii="Times New Roman" w:hAnsi="Times New Roman" w:cs="Times New Roman"/>
          <w:i/>
          <w:sz w:val="24"/>
          <w:szCs w:val="24"/>
          <w:lang w:val="kk-KZ"/>
        </w:rPr>
        <w:t>8</w:t>
      </w:r>
      <w:r w:rsidRPr="00C37701">
        <w:rPr>
          <w:rFonts w:ascii="Times New Roman" w:hAnsi="Times New Roman" w:cs="Times New Roman"/>
          <w:i/>
          <w:sz w:val="24"/>
          <w:szCs w:val="24"/>
          <w:lang w:val="kk-KZ"/>
        </w:rPr>
        <w:t>).</w:t>
      </w:r>
    </w:p>
    <w:p w14:paraId="2E6DFA24" w14:textId="77777777" w:rsidR="00BF0FDE" w:rsidRPr="00C37701" w:rsidRDefault="00BF0FDE"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Значение данного индикато</w:t>
      </w:r>
      <w:r w:rsidR="008667F1" w:rsidRPr="00C37701">
        <w:rPr>
          <w:rFonts w:ascii="Times New Roman" w:hAnsi="Times New Roman" w:cs="Times New Roman"/>
          <w:sz w:val="24"/>
          <w:szCs w:val="24"/>
        </w:rPr>
        <w:t>ра по состоянию на 1 января 2010</w:t>
      </w:r>
      <w:r w:rsidRPr="00C37701">
        <w:rPr>
          <w:rFonts w:ascii="Times New Roman" w:hAnsi="Times New Roman" w:cs="Times New Roman"/>
          <w:sz w:val="24"/>
          <w:szCs w:val="24"/>
        </w:rPr>
        <w:t xml:space="preserve"> года составило – 1,</w:t>
      </w:r>
      <w:r w:rsidR="008667F1" w:rsidRPr="00C37701">
        <w:rPr>
          <w:rFonts w:ascii="Times New Roman" w:hAnsi="Times New Roman" w:cs="Times New Roman"/>
          <w:sz w:val="24"/>
          <w:szCs w:val="24"/>
        </w:rPr>
        <w:t>45</w:t>
      </w:r>
      <w:r w:rsidRPr="00C37701">
        <w:rPr>
          <w:rFonts w:ascii="Times New Roman" w:hAnsi="Times New Roman" w:cs="Times New Roman"/>
          <w:sz w:val="24"/>
          <w:szCs w:val="24"/>
        </w:rPr>
        <w:t>, что говорит о подверженности страхового рынка умеренному уровню риска. Значение данного индикатора на аналогичную дату прошлого года составило 1,</w:t>
      </w:r>
      <w:r w:rsidR="008667F1" w:rsidRPr="00C37701">
        <w:rPr>
          <w:rFonts w:ascii="Times New Roman" w:hAnsi="Times New Roman" w:cs="Times New Roman"/>
          <w:sz w:val="24"/>
          <w:szCs w:val="24"/>
        </w:rPr>
        <w:t>66</w:t>
      </w:r>
      <w:r w:rsidRPr="00C37701">
        <w:rPr>
          <w:rFonts w:ascii="Times New Roman" w:hAnsi="Times New Roman" w:cs="Times New Roman"/>
          <w:sz w:val="24"/>
          <w:szCs w:val="24"/>
        </w:rPr>
        <w:t>, что свидетельствует об улучшении данного индикатора.</w:t>
      </w:r>
    </w:p>
    <w:p w14:paraId="4C220228" w14:textId="77777777" w:rsidR="00F2659C" w:rsidRPr="00C37701" w:rsidRDefault="00F2659C"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b/>
          <w:bCs/>
          <w:i/>
          <w:sz w:val="24"/>
          <w:szCs w:val="24"/>
        </w:rPr>
        <w:t>Мероприятие для достижения целевого индикатора:</w:t>
      </w:r>
      <w:r w:rsidRPr="00C37701">
        <w:rPr>
          <w:rFonts w:ascii="Times New Roman" w:hAnsi="Times New Roman" w:cs="Times New Roman"/>
          <w:sz w:val="24"/>
          <w:szCs w:val="24"/>
        </w:rPr>
        <w:t xml:space="preserve"> </w:t>
      </w:r>
    </w:p>
    <w:p w14:paraId="4FB99285" w14:textId="77777777" w:rsidR="00F2659C" w:rsidRPr="00C37701" w:rsidRDefault="00F2659C" w:rsidP="0097449D">
      <w:pPr>
        <w:spacing w:after="0" w:line="240" w:lineRule="auto"/>
        <w:ind w:firstLine="709"/>
        <w:jc w:val="both"/>
        <w:rPr>
          <w:rFonts w:ascii="Times New Roman" w:eastAsia="Times New Roman" w:hAnsi="Times New Roman" w:cs="Times New Roman"/>
          <w:i/>
          <w:sz w:val="24"/>
          <w:szCs w:val="24"/>
        </w:rPr>
      </w:pPr>
      <w:r w:rsidRPr="00C37701">
        <w:rPr>
          <w:rFonts w:ascii="Times New Roman" w:eastAsia="Times New Roman" w:hAnsi="Times New Roman" w:cs="Times New Roman"/>
          <w:i/>
          <w:sz w:val="24"/>
          <w:szCs w:val="24"/>
        </w:rPr>
        <w:t xml:space="preserve">Выработка предложений по внедрению нового стандарта достаточности собственного капитала страховых (перестраховочных) организаций в соответствии с </w:t>
      </w:r>
      <w:r w:rsidRPr="00C37701">
        <w:rPr>
          <w:rFonts w:ascii="Times New Roman" w:eastAsia="Times New Roman" w:hAnsi="Times New Roman" w:cs="Times New Roman"/>
          <w:i/>
          <w:sz w:val="24"/>
          <w:szCs w:val="24"/>
          <w:lang w:val="en-US"/>
        </w:rPr>
        <w:t>Solvency</w:t>
      </w:r>
      <w:r w:rsidRPr="00C37701">
        <w:rPr>
          <w:rFonts w:ascii="Times New Roman" w:eastAsia="Times New Roman" w:hAnsi="Times New Roman" w:cs="Times New Roman"/>
          <w:i/>
          <w:sz w:val="24"/>
          <w:szCs w:val="24"/>
        </w:rPr>
        <w:t xml:space="preserve"> </w:t>
      </w:r>
      <w:r w:rsidRPr="00C37701">
        <w:rPr>
          <w:rFonts w:ascii="Times New Roman" w:eastAsia="Times New Roman" w:hAnsi="Times New Roman" w:cs="Times New Roman"/>
          <w:i/>
          <w:sz w:val="24"/>
          <w:szCs w:val="24"/>
          <w:lang w:val="en-US"/>
        </w:rPr>
        <w:t>II</w:t>
      </w:r>
      <w:r w:rsidRPr="00C37701">
        <w:rPr>
          <w:rFonts w:ascii="Times New Roman" w:eastAsia="Times New Roman" w:hAnsi="Times New Roman" w:cs="Times New Roman"/>
          <w:i/>
          <w:sz w:val="24"/>
          <w:szCs w:val="24"/>
        </w:rPr>
        <w:t>.</w:t>
      </w:r>
    </w:p>
    <w:p w14:paraId="1D36D7ED" w14:textId="77777777" w:rsidR="00F2659C" w:rsidRPr="00C37701" w:rsidRDefault="00F2659C" w:rsidP="0097449D">
      <w:pPr>
        <w:spacing w:after="0" w:line="240" w:lineRule="auto"/>
        <w:ind w:firstLine="709"/>
        <w:jc w:val="both"/>
        <w:rPr>
          <w:rFonts w:ascii="Times New Roman" w:eastAsia="Times New Roman" w:hAnsi="Times New Roman" w:cs="Times New Roman"/>
          <w:i/>
          <w:sz w:val="24"/>
          <w:szCs w:val="24"/>
        </w:rPr>
      </w:pPr>
      <w:r w:rsidRPr="00C37701">
        <w:rPr>
          <w:rFonts w:ascii="Times New Roman" w:eastAsia="Times New Roman" w:hAnsi="Times New Roman" w:cs="Times New Roman"/>
          <w:i/>
          <w:sz w:val="24"/>
          <w:szCs w:val="24"/>
        </w:rPr>
        <w:t>Совершенствование систем управления рисками и внутреннего контроля в страховых организациях.</w:t>
      </w:r>
    </w:p>
    <w:p w14:paraId="5C06703E" w14:textId="26D55140" w:rsidR="007C219B" w:rsidRPr="00C37701" w:rsidRDefault="007C219B"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Постановлением Правления Национального Банка от 27 декабря 2019 года</w:t>
      </w:r>
      <w:r w:rsidR="00D64116">
        <w:rPr>
          <w:rFonts w:ascii="Times New Roman" w:hAnsi="Times New Roman" w:cs="Times New Roman"/>
          <w:sz w:val="24"/>
          <w:szCs w:val="24"/>
        </w:rPr>
        <w:t xml:space="preserve">                                      </w:t>
      </w:r>
      <w:r w:rsidRPr="00C37701">
        <w:rPr>
          <w:rFonts w:ascii="Times New Roman" w:hAnsi="Times New Roman" w:cs="Times New Roman"/>
          <w:sz w:val="24"/>
          <w:szCs w:val="24"/>
        </w:rPr>
        <w:t xml:space="preserve"> № 259 «О внесении изменений в постановление Правления Национального Банка Республики Казахстан от 27 апреля 2018 года № 75 «Об установлении факторов, влияющих на ухудшение финансового положения страховой (перестраховочной) организации и страховой группы,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внесены изменения в части: увеличения требуемого уровня норматива достаточности высоколиквидных активов для страховых компании по общему страхованию, сопоставления высоколиквидных активов к чистым страховым резервам на «краткосрочных» временных интервалах.</w:t>
      </w:r>
    </w:p>
    <w:p w14:paraId="7E0CEFDC" w14:textId="3346A12D" w:rsidR="007C219B" w:rsidRPr="00C37701" w:rsidRDefault="007C219B" w:rsidP="0097449D">
      <w:pPr>
        <w:tabs>
          <w:tab w:val="left" w:pos="993"/>
        </w:tabs>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Вместе с тем, 31 января 2019 года утверждена новая методика расчета страховых резервов. </w:t>
      </w:r>
    </w:p>
    <w:p w14:paraId="515AB5FE" w14:textId="77777777" w:rsidR="007C219B" w:rsidRPr="00C37701" w:rsidRDefault="007C219B" w:rsidP="0097449D">
      <w:pPr>
        <w:spacing w:after="0" w:line="240" w:lineRule="auto"/>
        <w:ind w:firstLine="708"/>
        <w:jc w:val="both"/>
        <w:rPr>
          <w:rFonts w:ascii="Times New Roman" w:eastAsia="Times New Roman" w:hAnsi="Times New Roman" w:cs="Times New Roman"/>
          <w:color w:val="000000"/>
          <w:sz w:val="24"/>
          <w:szCs w:val="24"/>
          <w:lang w:eastAsia="ru-RU"/>
        </w:rPr>
      </w:pPr>
      <w:r w:rsidRPr="00C37701">
        <w:rPr>
          <w:rFonts w:ascii="Times New Roman" w:eastAsia="Times New Roman" w:hAnsi="Times New Roman" w:cs="Times New Roman"/>
          <w:color w:val="000000"/>
          <w:sz w:val="24"/>
          <w:szCs w:val="24"/>
          <w:lang w:eastAsia="ru-RU"/>
        </w:rPr>
        <w:t xml:space="preserve">Вышеуказанные изменения окажут положительное влияние на повышение финансовой устойчивости страховых (перестраховочных) организаций. </w:t>
      </w:r>
    </w:p>
    <w:p w14:paraId="2004C0D8" w14:textId="77777777" w:rsidR="00F2659C" w:rsidRPr="00C37701" w:rsidRDefault="00F2659C" w:rsidP="0097449D">
      <w:pPr>
        <w:spacing w:after="0" w:line="240" w:lineRule="auto"/>
        <w:ind w:firstLine="709"/>
        <w:contextualSpacing/>
        <w:jc w:val="both"/>
        <w:rPr>
          <w:rFonts w:ascii="Times New Roman" w:hAnsi="Times New Roman" w:cs="Times New Roman"/>
          <w:sz w:val="24"/>
          <w:szCs w:val="24"/>
        </w:rPr>
      </w:pPr>
    </w:p>
    <w:p w14:paraId="7166E3B3" w14:textId="77777777" w:rsidR="00F2659C" w:rsidRPr="00C37701" w:rsidRDefault="00F2659C" w:rsidP="0097449D">
      <w:pPr>
        <w:spacing w:after="0" w:line="240" w:lineRule="auto"/>
        <w:ind w:firstLine="709"/>
        <w:contextualSpacing/>
        <w:jc w:val="both"/>
        <w:rPr>
          <w:rFonts w:ascii="Times New Roman" w:hAnsi="Times New Roman" w:cs="Times New Roman"/>
          <w:i/>
          <w:sz w:val="24"/>
          <w:szCs w:val="24"/>
          <w:lang w:val="kk-KZ"/>
        </w:rPr>
      </w:pPr>
      <w:r w:rsidRPr="00C37701">
        <w:rPr>
          <w:rFonts w:ascii="Times New Roman" w:hAnsi="Times New Roman" w:cs="Times New Roman"/>
          <w:b/>
          <w:i/>
          <w:sz w:val="24"/>
          <w:szCs w:val="24"/>
        </w:rPr>
        <w:t>Целевой индикатор 2:</w:t>
      </w:r>
      <w:r w:rsidRPr="00C37701">
        <w:rPr>
          <w:rFonts w:ascii="Times New Roman" w:hAnsi="Times New Roman" w:cs="Times New Roman"/>
          <w:i/>
          <w:sz w:val="24"/>
          <w:szCs w:val="24"/>
        </w:rPr>
        <w:t xml:space="preserve"> </w:t>
      </w:r>
      <w:r w:rsidRPr="00C37701">
        <w:rPr>
          <w:rFonts w:ascii="Times New Roman" w:hAnsi="Times New Roman" w:cs="Times New Roman"/>
          <w:b/>
          <w:i/>
          <w:sz w:val="24"/>
          <w:szCs w:val="24"/>
          <w:lang w:val="kk-KZ"/>
        </w:rPr>
        <w:t xml:space="preserve">Индекс развития страхового рынка </w:t>
      </w:r>
      <w:r w:rsidRPr="00C37701">
        <w:rPr>
          <w:rFonts w:ascii="Times New Roman" w:hAnsi="Times New Roman" w:cs="Times New Roman"/>
          <w:i/>
          <w:sz w:val="24"/>
          <w:szCs w:val="24"/>
          <w:lang w:val="kk-KZ"/>
        </w:rPr>
        <w:t>(коэффициент не более 2,49).</w:t>
      </w:r>
    </w:p>
    <w:p w14:paraId="133A43F0" w14:textId="77777777" w:rsidR="00445187" w:rsidRPr="00C37701" w:rsidRDefault="00445187" w:rsidP="0097449D">
      <w:pPr>
        <w:spacing w:after="0" w:line="240" w:lineRule="auto"/>
        <w:ind w:firstLine="709"/>
        <w:contextualSpacing/>
        <w:jc w:val="both"/>
        <w:rPr>
          <w:rFonts w:ascii="Times New Roman" w:hAnsi="Times New Roman" w:cs="Times New Roman"/>
          <w:i/>
          <w:sz w:val="24"/>
          <w:szCs w:val="24"/>
          <w:lang w:val="kk-KZ"/>
        </w:rPr>
      </w:pPr>
      <w:r w:rsidRPr="00C37701">
        <w:rPr>
          <w:rFonts w:ascii="Times New Roman" w:hAnsi="Times New Roman" w:cs="Times New Roman"/>
          <w:sz w:val="24"/>
          <w:szCs w:val="24"/>
        </w:rPr>
        <w:t>Значение данного индикатора на 1 января 20</w:t>
      </w:r>
      <w:r w:rsidR="007C219B" w:rsidRPr="00C37701">
        <w:rPr>
          <w:rFonts w:ascii="Times New Roman" w:hAnsi="Times New Roman" w:cs="Times New Roman"/>
          <w:sz w:val="24"/>
          <w:szCs w:val="24"/>
        </w:rPr>
        <w:t>20 года составило – 1</w:t>
      </w:r>
      <w:r w:rsidRPr="00C37701">
        <w:rPr>
          <w:rFonts w:ascii="Times New Roman" w:hAnsi="Times New Roman" w:cs="Times New Roman"/>
          <w:sz w:val="24"/>
          <w:szCs w:val="24"/>
        </w:rPr>
        <w:t xml:space="preserve">, что является показателем устойчивого уровня развития страхового рынка. </w:t>
      </w:r>
    </w:p>
    <w:p w14:paraId="3D4D160B" w14:textId="77777777" w:rsidR="00F2659C" w:rsidRPr="00C37701" w:rsidRDefault="00F2659C"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b/>
          <w:bCs/>
          <w:i/>
          <w:sz w:val="24"/>
          <w:szCs w:val="24"/>
        </w:rPr>
        <w:t>Мероприятие для достижения целевого индикатора:</w:t>
      </w:r>
      <w:r w:rsidRPr="00C37701">
        <w:rPr>
          <w:rFonts w:ascii="Times New Roman" w:hAnsi="Times New Roman" w:cs="Times New Roman"/>
          <w:sz w:val="24"/>
          <w:szCs w:val="24"/>
        </w:rPr>
        <w:t xml:space="preserve"> </w:t>
      </w:r>
    </w:p>
    <w:p w14:paraId="51538541" w14:textId="77777777" w:rsidR="00F2659C" w:rsidRPr="00C37701" w:rsidRDefault="00F2659C"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Совершенствование законодательства в сфере страхования в целях развития и повышения привлекательности страхования.</w:t>
      </w:r>
    </w:p>
    <w:p w14:paraId="0C2BDF9D" w14:textId="77777777" w:rsidR="00AA7404" w:rsidRPr="00C37701" w:rsidRDefault="00AA7404"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bCs/>
          <w:sz w:val="24"/>
          <w:szCs w:val="24"/>
        </w:rPr>
        <w:t>Законом № 166-VI</w:t>
      </w:r>
      <w:r w:rsidRPr="00C37701">
        <w:rPr>
          <w:rFonts w:ascii="Times New Roman" w:hAnsi="Times New Roman" w:cs="Times New Roman"/>
          <w:sz w:val="24"/>
          <w:szCs w:val="24"/>
        </w:rPr>
        <w:t xml:space="preserve"> I приняты поправки, направленные на повышение доступности и качества, снижение стоимости страховых услуг для населения и бизнеса, защиту прав потребителей страховых услуг. В частности, внедрено онлайн-страхование по обязательным классам страхования, в результате которого население получает возможность заключать договоры страхования в электронной форме через </w:t>
      </w:r>
      <w:proofErr w:type="spellStart"/>
      <w:r w:rsidRPr="00C37701">
        <w:rPr>
          <w:rFonts w:ascii="Times New Roman" w:hAnsi="Times New Roman" w:cs="Times New Roman"/>
          <w:sz w:val="24"/>
          <w:szCs w:val="24"/>
        </w:rPr>
        <w:t>интернет-ресурсы</w:t>
      </w:r>
      <w:proofErr w:type="spellEnd"/>
      <w:r w:rsidRPr="00C37701">
        <w:rPr>
          <w:rFonts w:ascii="Times New Roman" w:hAnsi="Times New Roman" w:cs="Times New Roman"/>
          <w:sz w:val="24"/>
          <w:szCs w:val="24"/>
        </w:rPr>
        <w:t xml:space="preserve"> страховых компаний, внедрены дополнительные гарантии Фонда гарантирования страховых выплат в случаях отсутствия выплат по отдельным социально-значимым продуктам страхования жизни (страховые выплаты по пенсионным аннуитетам и аннуитетам работников потерявших трудоспособность), введены законодательные поправки надзорного характера, повышающие прозрачность участников страхового рынка.</w:t>
      </w:r>
    </w:p>
    <w:p w14:paraId="0A2E4B14" w14:textId="1CB3ACB2" w:rsidR="00AA7404" w:rsidRPr="00C37701" w:rsidRDefault="00AA7404"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Кроме того, в течение 2019 года были пересмотрены коэффициенты, применяемые к объему обязательств, переданных (передаваемых) в перестрахование, при расчете норматива достаточности маржи платежеспособности, </w:t>
      </w:r>
      <w:r w:rsidRPr="00C37701">
        <w:rPr>
          <w:rFonts w:ascii="Times New Roman" w:hAnsi="Times New Roman" w:cs="Times New Roman"/>
          <w:color w:val="000000"/>
          <w:sz w:val="24"/>
          <w:szCs w:val="24"/>
        </w:rPr>
        <w:t xml:space="preserve">требования </w:t>
      </w:r>
      <w:r w:rsidRPr="00C37701">
        <w:rPr>
          <w:rFonts w:ascii="Times New Roman" w:hAnsi="Times New Roman" w:cs="Times New Roman"/>
          <w:sz w:val="24"/>
          <w:szCs w:val="24"/>
        </w:rPr>
        <w:t xml:space="preserve">в части формирования доли перестраховщика в страховых резервах, </w:t>
      </w:r>
      <w:r w:rsidR="003E676C" w:rsidRPr="00C37701">
        <w:rPr>
          <w:rFonts w:ascii="Times New Roman" w:hAnsi="Times New Roman" w:cs="Times New Roman"/>
          <w:sz w:val="24"/>
          <w:szCs w:val="24"/>
        </w:rPr>
        <w:t xml:space="preserve">расширен список ценных бумаг, </w:t>
      </w:r>
      <w:r w:rsidR="001F3BC4">
        <w:rPr>
          <w:rFonts w:ascii="Times New Roman" w:hAnsi="Times New Roman" w:cs="Times New Roman"/>
          <w:sz w:val="24"/>
          <w:szCs w:val="24"/>
        </w:rPr>
        <w:t>разрешённых</w:t>
      </w:r>
      <w:r w:rsidR="003E676C">
        <w:rPr>
          <w:rFonts w:ascii="Times New Roman" w:hAnsi="Times New Roman" w:cs="Times New Roman"/>
          <w:sz w:val="24"/>
          <w:szCs w:val="24"/>
        </w:rPr>
        <w:t xml:space="preserve"> для приобретения страховыми (перестраховочными) организациями, </w:t>
      </w:r>
      <w:r w:rsidR="003E676C" w:rsidRPr="00C37701">
        <w:rPr>
          <w:rFonts w:ascii="Times New Roman" w:hAnsi="Times New Roman" w:cs="Times New Roman"/>
          <w:sz w:val="24"/>
          <w:szCs w:val="24"/>
        </w:rPr>
        <w:t xml:space="preserve">снижен пороговый рейтинг БВУ для </w:t>
      </w:r>
      <w:r w:rsidR="003E676C">
        <w:rPr>
          <w:rFonts w:ascii="Times New Roman" w:hAnsi="Times New Roman" w:cs="Times New Roman"/>
          <w:sz w:val="24"/>
          <w:szCs w:val="24"/>
        </w:rPr>
        <w:t>размещения</w:t>
      </w:r>
      <w:r w:rsidR="003E676C" w:rsidRPr="00C37701">
        <w:rPr>
          <w:rFonts w:ascii="Times New Roman" w:hAnsi="Times New Roman" w:cs="Times New Roman"/>
          <w:sz w:val="24"/>
          <w:szCs w:val="24"/>
        </w:rPr>
        <w:t xml:space="preserve"> вкладов</w:t>
      </w:r>
      <w:r w:rsidR="003E676C">
        <w:rPr>
          <w:rFonts w:ascii="Times New Roman" w:hAnsi="Times New Roman" w:cs="Times New Roman"/>
          <w:sz w:val="24"/>
          <w:szCs w:val="24"/>
        </w:rPr>
        <w:t xml:space="preserve"> (депозитов)</w:t>
      </w:r>
      <w:r w:rsidR="003E676C" w:rsidRPr="00C37701">
        <w:rPr>
          <w:rFonts w:ascii="Times New Roman" w:hAnsi="Times New Roman" w:cs="Times New Roman"/>
          <w:sz w:val="24"/>
          <w:szCs w:val="24"/>
        </w:rPr>
        <w:t xml:space="preserve">, </w:t>
      </w:r>
      <w:r w:rsidR="003E676C">
        <w:rPr>
          <w:rFonts w:ascii="Times New Roman" w:hAnsi="Times New Roman" w:cs="Times New Roman"/>
          <w:sz w:val="24"/>
          <w:szCs w:val="24"/>
        </w:rPr>
        <w:t xml:space="preserve">в расчет ликвидных активов включены </w:t>
      </w:r>
      <w:r w:rsidR="003E676C" w:rsidRPr="00C37701">
        <w:rPr>
          <w:rFonts w:ascii="Times New Roman" w:hAnsi="Times New Roman" w:cs="Times New Roman"/>
          <w:sz w:val="24"/>
          <w:szCs w:val="24"/>
        </w:rPr>
        <w:t>основны</w:t>
      </w:r>
      <w:r w:rsidR="003E676C">
        <w:rPr>
          <w:rFonts w:ascii="Times New Roman" w:hAnsi="Times New Roman" w:cs="Times New Roman"/>
          <w:sz w:val="24"/>
          <w:szCs w:val="24"/>
        </w:rPr>
        <w:t>е</w:t>
      </w:r>
      <w:r w:rsidR="003E676C" w:rsidRPr="00C37701">
        <w:rPr>
          <w:rFonts w:ascii="Times New Roman" w:hAnsi="Times New Roman" w:cs="Times New Roman"/>
          <w:sz w:val="24"/>
          <w:szCs w:val="24"/>
        </w:rPr>
        <w:t xml:space="preserve"> средств</w:t>
      </w:r>
      <w:r w:rsidR="003E676C">
        <w:rPr>
          <w:rFonts w:ascii="Times New Roman" w:hAnsi="Times New Roman" w:cs="Times New Roman"/>
          <w:sz w:val="24"/>
          <w:szCs w:val="24"/>
        </w:rPr>
        <w:t>а</w:t>
      </w:r>
      <w:r w:rsidR="003E676C" w:rsidRPr="00C37701">
        <w:rPr>
          <w:rFonts w:ascii="Times New Roman" w:hAnsi="Times New Roman" w:cs="Times New Roman"/>
          <w:sz w:val="24"/>
          <w:szCs w:val="24"/>
        </w:rPr>
        <w:t xml:space="preserve"> (</w:t>
      </w:r>
      <w:r w:rsidR="003E676C">
        <w:rPr>
          <w:rFonts w:ascii="Times New Roman" w:hAnsi="Times New Roman" w:cs="Times New Roman"/>
          <w:sz w:val="24"/>
          <w:szCs w:val="24"/>
        </w:rPr>
        <w:t xml:space="preserve">в размере </w:t>
      </w:r>
      <w:r w:rsidR="003E676C" w:rsidRPr="00C37701">
        <w:rPr>
          <w:rFonts w:ascii="Times New Roman" w:hAnsi="Times New Roman" w:cs="Times New Roman"/>
          <w:sz w:val="24"/>
          <w:szCs w:val="24"/>
        </w:rPr>
        <w:t xml:space="preserve">не более 5% от </w:t>
      </w:r>
      <w:r w:rsidR="003E676C">
        <w:rPr>
          <w:rFonts w:ascii="Times New Roman" w:hAnsi="Times New Roman" w:cs="Times New Roman"/>
          <w:sz w:val="24"/>
          <w:szCs w:val="24"/>
        </w:rPr>
        <w:t>высоколиквидных активов</w:t>
      </w:r>
      <w:r w:rsidR="003E676C" w:rsidRPr="00C37701">
        <w:rPr>
          <w:rFonts w:ascii="Times New Roman" w:hAnsi="Times New Roman" w:cs="Times New Roman"/>
          <w:sz w:val="24"/>
          <w:szCs w:val="24"/>
        </w:rPr>
        <w:t>)</w:t>
      </w:r>
      <w:r w:rsidR="003E676C">
        <w:rPr>
          <w:rFonts w:ascii="Times New Roman" w:hAnsi="Times New Roman" w:cs="Times New Roman"/>
          <w:sz w:val="24"/>
          <w:szCs w:val="24"/>
        </w:rPr>
        <w:t>,</w:t>
      </w:r>
      <w:r w:rsidR="003E676C" w:rsidRPr="00C37701">
        <w:rPr>
          <w:rFonts w:ascii="Times New Roman" w:hAnsi="Times New Roman" w:cs="Times New Roman"/>
          <w:sz w:val="24"/>
          <w:szCs w:val="24"/>
        </w:rPr>
        <w:t xml:space="preserve"> операци</w:t>
      </w:r>
      <w:r w:rsidR="003E676C">
        <w:rPr>
          <w:rFonts w:ascii="Times New Roman" w:hAnsi="Times New Roman" w:cs="Times New Roman"/>
          <w:sz w:val="24"/>
          <w:szCs w:val="24"/>
        </w:rPr>
        <w:t>и</w:t>
      </w:r>
      <w:r w:rsidR="003E676C" w:rsidRPr="00C37701">
        <w:rPr>
          <w:rFonts w:ascii="Times New Roman" w:hAnsi="Times New Roman" w:cs="Times New Roman"/>
          <w:sz w:val="24"/>
          <w:szCs w:val="24"/>
        </w:rPr>
        <w:t xml:space="preserve"> обратно</w:t>
      </w:r>
      <w:r w:rsidR="003E676C">
        <w:rPr>
          <w:rFonts w:ascii="Times New Roman" w:hAnsi="Times New Roman" w:cs="Times New Roman"/>
          <w:sz w:val="24"/>
          <w:szCs w:val="24"/>
        </w:rPr>
        <w:t>е</w:t>
      </w:r>
      <w:r w:rsidR="003E676C" w:rsidRPr="00C37701">
        <w:rPr>
          <w:rFonts w:ascii="Times New Roman" w:hAnsi="Times New Roman" w:cs="Times New Roman"/>
          <w:sz w:val="24"/>
          <w:szCs w:val="24"/>
        </w:rPr>
        <w:t xml:space="preserve"> «</w:t>
      </w:r>
      <w:proofErr w:type="spellStart"/>
      <w:r w:rsidR="003E676C" w:rsidRPr="00C37701">
        <w:rPr>
          <w:rFonts w:ascii="Times New Roman" w:hAnsi="Times New Roman" w:cs="Times New Roman"/>
          <w:sz w:val="24"/>
          <w:szCs w:val="24"/>
        </w:rPr>
        <w:t>Репо</w:t>
      </w:r>
      <w:proofErr w:type="spellEnd"/>
      <w:r w:rsidR="003E676C" w:rsidRPr="00C37701">
        <w:rPr>
          <w:rFonts w:ascii="Times New Roman" w:hAnsi="Times New Roman" w:cs="Times New Roman"/>
          <w:sz w:val="24"/>
          <w:szCs w:val="24"/>
        </w:rPr>
        <w:t>» в размере 100% признаны в качестве высоколиквидных активов.</w:t>
      </w:r>
    </w:p>
    <w:p w14:paraId="2D02E4DB" w14:textId="77777777" w:rsidR="001D338B" w:rsidRPr="00C37701" w:rsidRDefault="001D338B" w:rsidP="0097449D">
      <w:pPr>
        <w:spacing w:after="0" w:line="240" w:lineRule="auto"/>
        <w:ind w:firstLine="709"/>
        <w:contextualSpacing/>
        <w:jc w:val="both"/>
        <w:rPr>
          <w:rFonts w:ascii="Times New Roman" w:hAnsi="Times New Roman" w:cs="Times New Roman"/>
          <w:b/>
          <w:i/>
          <w:color w:val="000000"/>
          <w:sz w:val="24"/>
          <w:szCs w:val="24"/>
        </w:rPr>
      </w:pPr>
    </w:p>
    <w:p w14:paraId="63126DF0" w14:textId="77777777" w:rsidR="00F2659C" w:rsidRPr="00C37701" w:rsidRDefault="00F2659C" w:rsidP="0097449D">
      <w:pPr>
        <w:spacing w:after="0" w:line="240" w:lineRule="auto"/>
        <w:ind w:firstLine="709"/>
        <w:contextualSpacing/>
        <w:jc w:val="both"/>
        <w:rPr>
          <w:rFonts w:ascii="Times New Roman" w:hAnsi="Times New Roman" w:cs="Times New Roman"/>
          <w:i/>
          <w:color w:val="000000"/>
          <w:sz w:val="24"/>
          <w:szCs w:val="24"/>
        </w:rPr>
      </w:pPr>
      <w:r w:rsidRPr="00C37701">
        <w:rPr>
          <w:rFonts w:ascii="Times New Roman" w:hAnsi="Times New Roman" w:cs="Times New Roman"/>
          <w:b/>
          <w:i/>
          <w:color w:val="000000"/>
          <w:sz w:val="24"/>
          <w:szCs w:val="24"/>
        </w:rPr>
        <w:t>Цель 2.3.</w:t>
      </w:r>
      <w:r w:rsidRPr="00C37701">
        <w:rPr>
          <w:rFonts w:ascii="Times New Roman" w:hAnsi="Times New Roman" w:cs="Times New Roman"/>
          <w:i/>
          <w:color w:val="000000"/>
          <w:sz w:val="24"/>
          <w:szCs w:val="24"/>
        </w:rPr>
        <w:t xml:space="preserve"> </w:t>
      </w:r>
      <w:r w:rsidRPr="00C37701">
        <w:rPr>
          <w:rFonts w:ascii="Times New Roman" w:hAnsi="Times New Roman" w:cs="Times New Roman"/>
          <w:b/>
          <w:i/>
          <w:color w:val="000000"/>
          <w:sz w:val="24"/>
          <w:szCs w:val="24"/>
        </w:rPr>
        <w:t>Создание необходимых условий для дальнейшего развития рынка ценных бумаг</w:t>
      </w:r>
    </w:p>
    <w:p w14:paraId="746C816F" w14:textId="0CCC7FCC" w:rsidR="00D05052" w:rsidRPr="00C37701" w:rsidRDefault="00F2659C" w:rsidP="0097449D">
      <w:pPr>
        <w:spacing w:after="0" w:line="240" w:lineRule="auto"/>
        <w:ind w:firstLine="709"/>
        <w:contextualSpacing/>
        <w:jc w:val="both"/>
        <w:rPr>
          <w:rFonts w:ascii="Times New Roman" w:hAnsi="Times New Roman" w:cs="Times New Roman"/>
          <w:i/>
          <w:sz w:val="24"/>
          <w:szCs w:val="24"/>
          <w:lang w:val="kk-KZ"/>
        </w:rPr>
      </w:pPr>
      <w:r w:rsidRPr="00C37701">
        <w:rPr>
          <w:rFonts w:ascii="Times New Roman" w:hAnsi="Times New Roman" w:cs="Times New Roman"/>
          <w:b/>
          <w:i/>
          <w:sz w:val="24"/>
          <w:szCs w:val="24"/>
        </w:rPr>
        <w:t>Целевой индикатор:</w:t>
      </w:r>
      <w:r w:rsidRPr="00C37701">
        <w:rPr>
          <w:rFonts w:ascii="Times New Roman" w:hAnsi="Times New Roman" w:cs="Times New Roman"/>
          <w:i/>
          <w:sz w:val="24"/>
          <w:szCs w:val="24"/>
        </w:rPr>
        <w:t xml:space="preserve"> </w:t>
      </w:r>
      <w:r w:rsidRPr="00C37701">
        <w:rPr>
          <w:rFonts w:ascii="Times New Roman" w:hAnsi="Times New Roman" w:cs="Times New Roman"/>
          <w:b/>
          <w:i/>
          <w:sz w:val="24"/>
          <w:szCs w:val="24"/>
          <w:lang w:val="kk-KZ"/>
        </w:rPr>
        <w:t>Показатель «Эффективность работы совета директоров» Глобального индекса конкурентоспособности</w:t>
      </w:r>
      <w:r w:rsidR="00D05052" w:rsidRPr="00C37701">
        <w:rPr>
          <w:rFonts w:ascii="Times New Roman" w:hAnsi="Times New Roman" w:cs="Times New Roman"/>
          <w:i/>
          <w:sz w:val="24"/>
          <w:szCs w:val="24"/>
          <w:lang w:val="kk-KZ"/>
        </w:rPr>
        <w:t>)</w:t>
      </w:r>
    </w:p>
    <w:p w14:paraId="01AE695A" w14:textId="77777777" w:rsidR="0070264D" w:rsidRPr="00C37701" w:rsidRDefault="0070264D" w:rsidP="0097449D">
      <w:pPr>
        <w:spacing w:after="0" w:line="240" w:lineRule="auto"/>
        <w:ind w:firstLine="709"/>
        <w:contextualSpacing/>
        <w:jc w:val="both"/>
        <w:rPr>
          <w:rFonts w:ascii="Times New Roman" w:hAnsi="Times New Roman" w:cs="Times New Roman"/>
          <w:bCs/>
          <w:i/>
          <w:iCs/>
          <w:sz w:val="24"/>
          <w:szCs w:val="24"/>
        </w:rPr>
      </w:pPr>
      <w:r w:rsidRPr="00C37701">
        <w:rPr>
          <w:rFonts w:ascii="Times New Roman" w:eastAsia="Times New Roman" w:hAnsi="Times New Roman" w:cs="Times New Roman"/>
          <w:sz w:val="24"/>
          <w:szCs w:val="24"/>
          <w:lang w:eastAsia="ru-RU"/>
        </w:rPr>
        <w:lastRenderedPageBreak/>
        <w:t xml:space="preserve">Согласно новой методологии ГИК ВЭФ 4.0, действующей с 2018 года, индикатор «Эффективность работы совета директоров» исключён из структуры отчёта ГИК ВЭФ, поскольку в настоящее время основной упор ставится на статистические индикаторы. </w:t>
      </w:r>
      <w:r w:rsidRPr="00C37701">
        <w:rPr>
          <w:rFonts w:ascii="Times New Roman" w:eastAsia="Times New Roman" w:hAnsi="Times New Roman" w:cs="Times New Roman"/>
          <w:sz w:val="24"/>
          <w:szCs w:val="24"/>
          <w:lang w:eastAsia="ru-RU"/>
        </w:rPr>
        <w:tab/>
        <w:t xml:space="preserve">Таким образом, не представляется возможным указать информацию по позиции Казахстана по целевому индикатору «Эффективность работы совета директоров» рейтинга ГИК ВЭФ по итогам 2019 года ввиду отсутствия необходимой информации в ежегодном отчете по глобальному индексу конкурентоспособности. </w:t>
      </w:r>
    </w:p>
    <w:p w14:paraId="1B0C5613" w14:textId="77777777" w:rsidR="00F2659C" w:rsidRPr="00C37701" w:rsidRDefault="00F2659C"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bCs/>
          <w:i/>
          <w:iCs/>
          <w:sz w:val="24"/>
          <w:szCs w:val="24"/>
        </w:rPr>
        <w:t xml:space="preserve">Мероприятия для </w:t>
      </w:r>
      <w:r w:rsidR="0007612C" w:rsidRPr="00C37701">
        <w:rPr>
          <w:rFonts w:ascii="Times New Roman" w:hAnsi="Times New Roman" w:cs="Times New Roman"/>
          <w:b/>
          <w:bCs/>
          <w:i/>
          <w:iCs/>
          <w:sz w:val="24"/>
          <w:szCs w:val="24"/>
        </w:rPr>
        <w:t>достижения целевого</w:t>
      </w:r>
      <w:r w:rsidRPr="00C37701">
        <w:rPr>
          <w:rFonts w:ascii="Times New Roman" w:hAnsi="Times New Roman" w:cs="Times New Roman"/>
          <w:b/>
          <w:bCs/>
          <w:i/>
          <w:iCs/>
          <w:sz w:val="24"/>
          <w:szCs w:val="24"/>
        </w:rPr>
        <w:t xml:space="preserve"> индикатора:</w:t>
      </w:r>
    </w:p>
    <w:p w14:paraId="434EC91B" w14:textId="77777777" w:rsidR="0094193E" w:rsidRPr="00C37701" w:rsidRDefault="00F2659C" w:rsidP="0097449D">
      <w:pPr>
        <w:spacing w:after="0" w:line="240" w:lineRule="auto"/>
        <w:ind w:firstLine="709"/>
        <w:contextualSpacing/>
        <w:jc w:val="both"/>
        <w:rPr>
          <w:rFonts w:ascii="Times New Roman" w:hAnsi="Times New Roman" w:cs="Times New Roman"/>
          <w:bCs/>
          <w:i/>
          <w:iCs/>
          <w:sz w:val="24"/>
          <w:szCs w:val="24"/>
        </w:rPr>
      </w:pPr>
      <w:r w:rsidRPr="00C37701">
        <w:rPr>
          <w:rFonts w:ascii="Times New Roman" w:hAnsi="Times New Roman" w:cs="Times New Roman"/>
          <w:bCs/>
          <w:i/>
          <w:iCs/>
          <w:sz w:val="24"/>
          <w:szCs w:val="24"/>
        </w:rPr>
        <w:t>Участие в круглых столах, пресс-конференциях, диалоговых площадках по обсуждению проблемных вопросов корпоративного управления, организовываемых Национальной палатой предпринимателей Республики Каз</w:t>
      </w:r>
      <w:r w:rsidR="0094193E" w:rsidRPr="00C37701">
        <w:rPr>
          <w:rFonts w:ascii="Times New Roman" w:hAnsi="Times New Roman" w:cs="Times New Roman"/>
          <w:bCs/>
          <w:i/>
          <w:iCs/>
          <w:sz w:val="24"/>
          <w:szCs w:val="24"/>
        </w:rPr>
        <w:t>ахстан и другими организациями.</w:t>
      </w:r>
    </w:p>
    <w:p w14:paraId="4085F61D" w14:textId="77777777" w:rsidR="0070264D" w:rsidRPr="00C37701" w:rsidRDefault="0070264D" w:rsidP="0097449D">
      <w:pPr>
        <w:spacing w:after="0" w:line="240" w:lineRule="auto"/>
        <w:ind w:firstLine="709"/>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В рамках Закона Республики Казахстан от 2 апреля 2019 года № 241-VI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реализованы следующие реформы:</w:t>
      </w:r>
    </w:p>
    <w:p w14:paraId="6E3F8030" w14:textId="77777777" w:rsidR="0070264D" w:rsidRPr="00C37701" w:rsidRDefault="0070264D" w:rsidP="0097449D">
      <w:pPr>
        <w:spacing w:after="0" w:line="240" w:lineRule="auto"/>
        <w:ind w:firstLine="709"/>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определен состав внутреннего аудиторского комитета в акционерных обществах исключительно из членов совета директоров;</w:t>
      </w:r>
    </w:p>
    <w:p w14:paraId="1525A07C" w14:textId="77777777" w:rsidR="0070264D" w:rsidRPr="00C37701" w:rsidRDefault="0070264D" w:rsidP="0097449D">
      <w:pPr>
        <w:pBdr>
          <w:bottom w:val="single" w:sz="4" w:space="0" w:color="FFFFFF"/>
        </w:pBdr>
        <w:tabs>
          <w:tab w:val="left" w:pos="0"/>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установлены ответственность директоров/исполнительных членов акционерного общества при сделке с конфликтом интересов, наносящей ущерб обществу, и возможность аннулирования сделки в судебном порядке.</w:t>
      </w:r>
    </w:p>
    <w:p w14:paraId="5F8A7004" w14:textId="77777777" w:rsidR="00F2659C" w:rsidRPr="00C37701" w:rsidRDefault="0070264D" w:rsidP="0097449D">
      <w:pPr>
        <w:spacing w:after="0" w:line="240" w:lineRule="auto"/>
        <w:ind w:firstLine="709"/>
        <w:contextualSpacing/>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В отчетном периоде Национальным Банком проводилась активная право-разъяснительная работа по улучшению позиций Казахстана в международных рейтингах. В частности, были организованы круглые столы, совещания по проведенным реформам, на ежемесячной основе принималось участие на встречах с бизнес-сообществом в г. Алматы совместно с заинтересованными государственными органами, организациями и международными экспертами в целях проведения разъяснительной работы о реформах по улучшению делового климата в стране.</w:t>
      </w:r>
    </w:p>
    <w:p w14:paraId="5CF8216B" w14:textId="77777777" w:rsidR="00782142" w:rsidRPr="00C37701" w:rsidRDefault="00782142" w:rsidP="0097449D">
      <w:pPr>
        <w:spacing w:after="0" w:line="240" w:lineRule="auto"/>
        <w:ind w:firstLine="709"/>
        <w:contextualSpacing/>
        <w:jc w:val="both"/>
        <w:rPr>
          <w:rFonts w:ascii="Times New Roman" w:eastAsia="Times New Roman" w:hAnsi="Times New Roman" w:cs="Times New Roman"/>
          <w:sz w:val="24"/>
          <w:szCs w:val="24"/>
          <w:lang w:eastAsia="ru-RU"/>
        </w:rPr>
      </w:pPr>
    </w:p>
    <w:p w14:paraId="3626E927" w14:textId="77777777" w:rsidR="00782142" w:rsidRPr="00C37701" w:rsidRDefault="00782142" w:rsidP="003E676C">
      <w:pPr>
        <w:spacing w:after="0" w:line="240" w:lineRule="auto"/>
        <w:ind w:firstLine="709"/>
        <w:contextualSpacing/>
        <w:jc w:val="both"/>
        <w:rPr>
          <w:rFonts w:ascii="Times New Roman" w:hAnsi="Times New Roman" w:cs="Times New Roman"/>
          <w:b/>
          <w:i/>
          <w:sz w:val="24"/>
          <w:szCs w:val="24"/>
          <w:lang w:val="kk-KZ"/>
        </w:rPr>
      </w:pPr>
      <w:r w:rsidRPr="00C37701">
        <w:rPr>
          <w:rFonts w:ascii="Times New Roman" w:hAnsi="Times New Roman" w:cs="Times New Roman"/>
          <w:b/>
          <w:i/>
          <w:sz w:val="24"/>
          <w:szCs w:val="24"/>
          <w:lang w:val="kk-KZ"/>
        </w:rPr>
        <w:t>Цель 2.4. Создание условий по дальнейшему развитию накопительной пенсионной системы</w:t>
      </w:r>
    </w:p>
    <w:p w14:paraId="0DCB4A7F" w14:textId="77777777" w:rsidR="00782142" w:rsidRPr="00C37701" w:rsidRDefault="00782142" w:rsidP="003E676C">
      <w:pPr>
        <w:spacing w:after="0" w:line="240" w:lineRule="auto"/>
        <w:ind w:firstLine="709"/>
        <w:contextualSpacing/>
        <w:jc w:val="both"/>
        <w:rPr>
          <w:rFonts w:ascii="Times New Roman" w:hAnsi="Times New Roman" w:cs="Times New Roman"/>
          <w:b/>
          <w:i/>
          <w:sz w:val="24"/>
          <w:szCs w:val="24"/>
          <w:lang w:val="kk-KZ"/>
        </w:rPr>
      </w:pPr>
      <w:r w:rsidRPr="00C37701">
        <w:rPr>
          <w:rFonts w:ascii="Times New Roman" w:hAnsi="Times New Roman" w:cs="Times New Roman"/>
          <w:b/>
          <w:i/>
          <w:sz w:val="24"/>
          <w:szCs w:val="24"/>
          <w:lang w:val="kk-KZ"/>
        </w:rPr>
        <w:t>Целевой индикатор: Доходность пенсионных активов ЕНПФ (не менее 4%)</w:t>
      </w:r>
    </w:p>
    <w:p w14:paraId="4AF5AEFF" w14:textId="77777777" w:rsidR="00782142" w:rsidRPr="00C37701" w:rsidRDefault="00782142" w:rsidP="003E676C">
      <w:pPr>
        <w:spacing w:after="0" w:line="240" w:lineRule="auto"/>
        <w:ind w:firstLine="709"/>
        <w:contextualSpacing/>
        <w:jc w:val="both"/>
        <w:rPr>
          <w:rFonts w:ascii="Times New Roman" w:hAnsi="Times New Roman" w:cs="Times New Roman"/>
          <w:b/>
          <w:i/>
          <w:sz w:val="24"/>
          <w:szCs w:val="24"/>
          <w:lang w:val="kk-KZ"/>
        </w:rPr>
      </w:pPr>
      <w:r w:rsidRPr="00C37701">
        <w:rPr>
          <w:rFonts w:ascii="Times New Roman" w:hAnsi="Times New Roman" w:cs="Times New Roman"/>
          <w:b/>
          <w:i/>
          <w:sz w:val="24"/>
          <w:szCs w:val="24"/>
          <w:lang w:val="kk-KZ"/>
        </w:rPr>
        <w:t>Мероприятия для достижения целевого индикатора:</w:t>
      </w:r>
    </w:p>
    <w:p w14:paraId="4E4743B4" w14:textId="204843C2" w:rsidR="00782142" w:rsidRPr="00C37701" w:rsidRDefault="00782142" w:rsidP="003E676C">
      <w:pPr>
        <w:spacing w:after="0" w:line="240" w:lineRule="auto"/>
        <w:ind w:firstLine="709"/>
        <w:contextualSpacing/>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Осуществление инвестиционного управления пенсионными активами ЕНПФ</w:t>
      </w:r>
      <w:r w:rsidR="004E149F">
        <w:rPr>
          <w:rFonts w:ascii="Times New Roman" w:eastAsia="Times New Roman" w:hAnsi="Times New Roman" w:cs="Times New Roman"/>
          <w:sz w:val="24"/>
          <w:szCs w:val="24"/>
          <w:lang w:eastAsia="ru-RU"/>
        </w:rPr>
        <w:t>.</w:t>
      </w:r>
    </w:p>
    <w:p w14:paraId="1EFD2CC8" w14:textId="26D06481" w:rsidR="00782142" w:rsidRPr="00C37701" w:rsidRDefault="00782142" w:rsidP="003E676C">
      <w:pPr>
        <w:spacing w:after="0" w:line="240" w:lineRule="auto"/>
        <w:ind w:firstLine="709"/>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 xml:space="preserve">По итогам 2019 года (за период с 01 января по 31 декабря 2019 года) доходность пенсионных активов ЕНПФ, распределенная на счета вкладчиков ЕНПФ, составила 6,57% при годовом уровне инфляции в размере 5,4%. Реальная доходность по пенсионным активам за 2019 год </w:t>
      </w:r>
      <w:r w:rsidR="006E2BD1">
        <w:rPr>
          <w:rFonts w:ascii="Times New Roman" w:eastAsia="Times New Roman" w:hAnsi="Times New Roman" w:cs="Times New Roman"/>
          <w:sz w:val="24"/>
          <w:szCs w:val="24"/>
          <w:lang w:eastAsia="ru-RU"/>
        </w:rPr>
        <w:t xml:space="preserve">               </w:t>
      </w:r>
      <w:r w:rsidRPr="00C37701">
        <w:rPr>
          <w:rFonts w:ascii="Times New Roman" w:eastAsia="Times New Roman" w:hAnsi="Times New Roman" w:cs="Times New Roman"/>
          <w:sz w:val="24"/>
          <w:szCs w:val="24"/>
          <w:lang w:eastAsia="ru-RU"/>
        </w:rPr>
        <w:t>составила 1,17%.</w:t>
      </w:r>
    </w:p>
    <w:p w14:paraId="71ABA6B5" w14:textId="77777777" w:rsidR="00782142" w:rsidRPr="00C37701" w:rsidRDefault="00782142" w:rsidP="003E676C">
      <w:pPr>
        <w:spacing w:after="0" w:line="240" w:lineRule="auto"/>
        <w:ind w:firstLine="709"/>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Таким образом, фактическая доходность пенсионных активов ЕНПФ в 2019 году превысила установленное целевое значение на 2,57%.</w:t>
      </w:r>
    </w:p>
    <w:p w14:paraId="6127547B" w14:textId="2AD9C355" w:rsidR="00782142" w:rsidRPr="00C37701" w:rsidRDefault="00782142" w:rsidP="003E676C">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 xml:space="preserve">Для достижения целевого индикатора в течение отчетного периода осуществлялась инвестиционная деятельность в отношении пенсионных активов. По состоянию </w:t>
      </w:r>
      <w:r w:rsidR="006E2BD1">
        <w:rPr>
          <w:rFonts w:ascii="Times New Roman" w:eastAsia="Times New Roman" w:hAnsi="Times New Roman" w:cs="Times New Roman"/>
          <w:sz w:val="24"/>
          <w:szCs w:val="24"/>
          <w:lang w:eastAsia="ru-RU"/>
        </w:rPr>
        <w:t xml:space="preserve">                                      </w:t>
      </w:r>
      <w:r w:rsidRPr="00C37701">
        <w:rPr>
          <w:rFonts w:ascii="Times New Roman" w:eastAsia="Times New Roman" w:hAnsi="Times New Roman" w:cs="Times New Roman"/>
          <w:sz w:val="24"/>
          <w:szCs w:val="24"/>
          <w:lang w:eastAsia="ru-RU"/>
        </w:rPr>
        <w:t xml:space="preserve">на 1 января 2020 года в рамках направлений, одобренных Советом по управлению Национальным фондом Республики Казахстан на 2019 год, пенсионные активы ЕНПФ </w:t>
      </w:r>
      <w:proofErr w:type="spellStart"/>
      <w:r w:rsidRPr="00C37701">
        <w:rPr>
          <w:rFonts w:ascii="Times New Roman" w:eastAsia="Times New Roman" w:hAnsi="Times New Roman" w:cs="Times New Roman"/>
          <w:sz w:val="24"/>
          <w:szCs w:val="24"/>
          <w:lang w:eastAsia="ru-RU"/>
        </w:rPr>
        <w:t>проинвестированы</w:t>
      </w:r>
      <w:proofErr w:type="spellEnd"/>
      <w:r w:rsidRPr="00C37701">
        <w:rPr>
          <w:rFonts w:ascii="Times New Roman" w:eastAsia="Times New Roman" w:hAnsi="Times New Roman" w:cs="Times New Roman"/>
          <w:sz w:val="24"/>
          <w:szCs w:val="24"/>
          <w:lang w:eastAsia="ru-RU"/>
        </w:rPr>
        <w:t xml:space="preserve"> следующим образом:</w:t>
      </w:r>
    </w:p>
    <w:p w14:paraId="3CE0CDB9" w14:textId="05C230B0" w:rsidR="00782142" w:rsidRPr="00DD090A" w:rsidRDefault="00782142" w:rsidP="00DD090A">
      <w:pPr>
        <w:pStyle w:val="a6"/>
        <w:numPr>
          <w:ilvl w:val="0"/>
          <w:numId w:val="53"/>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090A">
        <w:rPr>
          <w:rFonts w:ascii="Times New Roman" w:eastAsia="Times New Roman" w:hAnsi="Times New Roman" w:cs="Times New Roman"/>
          <w:sz w:val="24"/>
          <w:szCs w:val="24"/>
          <w:lang w:eastAsia="ru-RU"/>
        </w:rPr>
        <w:t xml:space="preserve">приобретены государственные ценные бумаги Республики Казахстан на </w:t>
      </w:r>
      <w:r w:rsidR="006E2BD1">
        <w:rPr>
          <w:rFonts w:ascii="Times New Roman" w:eastAsia="Times New Roman" w:hAnsi="Times New Roman" w:cs="Times New Roman"/>
          <w:sz w:val="24"/>
          <w:szCs w:val="24"/>
          <w:lang w:eastAsia="ru-RU"/>
        </w:rPr>
        <w:t xml:space="preserve">                             </w:t>
      </w:r>
      <w:r w:rsidRPr="00DD090A">
        <w:rPr>
          <w:rFonts w:ascii="Times New Roman" w:eastAsia="Times New Roman" w:hAnsi="Times New Roman" w:cs="Times New Roman"/>
          <w:sz w:val="24"/>
          <w:szCs w:val="24"/>
          <w:lang w:eastAsia="ru-RU"/>
        </w:rPr>
        <w:t>сумму 584,1 млрд. тенге со средневзвешенной доходностью 8,7% годовых;</w:t>
      </w:r>
    </w:p>
    <w:p w14:paraId="17410049" w14:textId="77777777" w:rsidR="00782142" w:rsidRPr="00C37701" w:rsidRDefault="00782142" w:rsidP="00DD090A">
      <w:pPr>
        <w:pStyle w:val="a6"/>
        <w:numPr>
          <w:ilvl w:val="0"/>
          <w:numId w:val="53"/>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 xml:space="preserve">приобретены долговые ценные бумаги субъектов </w:t>
      </w:r>
      <w:proofErr w:type="spellStart"/>
      <w:r w:rsidRPr="00C37701">
        <w:rPr>
          <w:rFonts w:ascii="Times New Roman" w:eastAsia="Times New Roman" w:hAnsi="Times New Roman" w:cs="Times New Roman"/>
          <w:sz w:val="24"/>
          <w:szCs w:val="24"/>
          <w:lang w:eastAsia="ru-RU"/>
        </w:rPr>
        <w:t>квазигосударственного</w:t>
      </w:r>
      <w:proofErr w:type="spellEnd"/>
      <w:r w:rsidRPr="00C37701">
        <w:rPr>
          <w:rFonts w:ascii="Times New Roman" w:eastAsia="Times New Roman" w:hAnsi="Times New Roman" w:cs="Times New Roman"/>
          <w:sz w:val="24"/>
          <w:szCs w:val="24"/>
          <w:lang w:eastAsia="ru-RU"/>
        </w:rPr>
        <w:t xml:space="preserve"> сектора на сумму 337,2 млрд. тенге со средневзвешенной доходностью 11,1% годовых;</w:t>
      </w:r>
    </w:p>
    <w:p w14:paraId="33B4AE56" w14:textId="4EA926E5" w:rsidR="00782142" w:rsidRPr="00DD090A" w:rsidRDefault="00782142" w:rsidP="00DD090A">
      <w:pPr>
        <w:pStyle w:val="a6"/>
        <w:numPr>
          <w:ilvl w:val="0"/>
          <w:numId w:val="53"/>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090A">
        <w:rPr>
          <w:rFonts w:ascii="Times New Roman" w:eastAsia="Times New Roman" w:hAnsi="Times New Roman" w:cs="Times New Roman"/>
          <w:sz w:val="24"/>
          <w:szCs w:val="24"/>
          <w:lang w:eastAsia="ru-RU"/>
        </w:rPr>
        <w:t xml:space="preserve">приобретены облигации международных финансовых организаций </w:t>
      </w:r>
      <w:r w:rsidR="006E2BD1">
        <w:rPr>
          <w:rFonts w:ascii="Times New Roman" w:eastAsia="Times New Roman" w:hAnsi="Times New Roman" w:cs="Times New Roman"/>
          <w:sz w:val="24"/>
          <w:szCs w:val="24"/>
          <w:lang w:eastAsia="ru-RU"/>
        </w:rPr>
        <w:t xml:space="preserve">                                              </w:t>
      </w:r>
      <w:r w:rsidRPr="00DD090A">
        <w:rPr>
          <w:rFonts w:ascii="Times New Roman" w:eastAsia="Times New Roman" w:hAnsi="Times New Roman" w:cs="Times New Roman"/>
          <w:sz w:val="24"/>
          <w:szCs w:val="24"/>
          <w:lang w:eastAsia="ru-RU"/>
        </w:rPr>
        <w:t>на сумму 233,9 млрд. тенге с фиксированной и плавающей ставкой вознаграждения;</w:t>
      </w:r>
    </w:p>
    <w:p w14:paraId="3590ED76" w14:textId="4FB80350" w:rsidR="00782142" w:rsidRPr="00DD090A" w:rsidRDefault="00782142" w:rsidP="00DD090A">
      <w:pPr>
        <w:pStyle w:val="a6"/>
        <w:numPr>
          <w:ilvl w:val="0"/>
          <w:numId w:val="53"/>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090A">
        <w:rPr>
          <w:rFonts w:ascii="Times New Roman" w:eastAsia="Times New Roman" w:hAnsi="Times New Roman" w:cs="Times New Roman"/>
          <w:sz w:val="24"/>
          <w:szCs w:val="24"/>
          <w:lang w:eastAsia="ru-RU"/>
        </w:rPr>
        <w:t>приобретены облигации банков второго уровня на сумму 72,3 млрд. тенге со средневзвешенной доходностью 10,9% годовых в рамках механизма кредитования приоритетных проектов на сумму 600 млрд. тенге («экономика простых вещей»).</w:t>
      </w:r>
    </w:p>
    <w:p w14:paraId="13F2A801" w14:textId="77777777" w:rsidR="009B0A55" w:rsidRPr="00C37701" w:rsidRDefault="00782142" w:rsidP="003E676C">
      <w:pPr>
        <w:shd w:val="clear" w:color="auto" w:fill="FFFFFF" w:themeFill="background1"/>
        <w:tabs>
          <w:tab w:val="left" w:pos="1682"/>
        </w:tabs>
        <w:spacing w:after="0" w:line="240" w:lineRule="auto"/>
        <w:ind w:firstLine="709"/>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lastRenderedPageBreak/>
        <w:t>Пенсионные активы ЕНПФ, номинированные в иностранной валюте, инвестируются в соответствии с общей структурой и стратегией инвестирования валютных активов, установленных Инвестиционной декларацией ЕНПФ.</w:t>
      </w:r>
    </w:p>
    <w:p w14:paraId="5F23E390" w14:textId="61387979" w:rsidR="00782142" w:rsidRPr="00C37701" w:rsidRDefault="00782142" w:rsidP="003E676C">
      <w:pPr>
        <w:shd w:val="clear" w:color="auto" w:fill="FFFFFF" w:themeFill="background1"/>
        <w:tabs>
          <w:tab w:val="left" w:pos="1682"/>
        </w:tabs>
        <w:spacing w:after="0" w:line="240" w:lineRule="auto"/>
        <w:ind w:firstLine="709"/>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 xml:space="preserve">В 2019 году в портфель пенсионных активов ЕНПФ приобретены государственные ценные бумаги Правительства Перу, Индонезии, Филиппин и России. Объем инвестиций по указанному направлению составил 197,5 млн. долларов США со средневзвешенной доходностью </w:t>
      </w:r>
      <w:r w:rsidR="006E2BD1">
        <w:rPr>
          <w:rFonts w:ascii="Times New Roman" w:eastAsia="Times New Roman" w:hAnsi="Times New Roman" w:cs="Times New Roman"/>
          <w:sz w:val="24"/>
          <w:szCs w:val="24"/>
          <w:lang w:eastAsia="ru-RU"/>
        </w:rPr>
        <w:t xml:space="preserve">                          </w:t>
      </w:r>
      <w:r w:rsidRPr="00C37701">
        <w:rPr>
          <w:rFonts w:ascii="Times New Roman" w:eastAsia="Times New Roman" w:hAnsi="Times New Roman" w:cs="Times New Roman"/>
          <w:sz w:val="24"/>
          <w:szCs w:val="24"/>
          <w:lang w:eastAsia="ru-RU"/>
        </w:rPr>
        <w:t>2,8% годовых.</w:t>
      </w:r>
    </w:p>
    <w:p w14:paraId="7EDDE3CD" w14:textId="77777777" w:rsidR="00782142" w:rsidRPr="00C37701" w:rsidRDefault="00782142" w:rsidP="003E676C">
      <w:pPr>
        <w:spacing w:after="0" w:line="240" w:lineRule="auto"/>
        <w:ind w:firstLine="709"/>
        <w:jc w:val="both"/>
        <w:rPr>
          <w:rFonts w:ascii="Times New Roman" w:eastAsia="Times New Roman" w:hAnsi="Times New Roman" w:cs="Times New Roman"/>
          <w:sz w:val="24"/>
          <w:szCs w:val="24"/>
          <w:lang w:eastAsia="ru-RU"/>
        </w:rPr>
      </w:pPr>
      <w:r w:rsidRPr="00C37701">
        <w:rPr>
          <w:rFonts w:ascii="Times New Roman" w:eastAsia="Times New Roman" w:hAnsi="Times New Roman" w:cs="Times New Roman"/>
          <w:sz w:val="24"/>
          <w:szCs w:val="24"/>
          <w:lang w:eastAsia="ru-RU"/>
        </w:rPr>
        <w:t>Наряду с этим, для получения и поддержания доходности по пенсионным активам ЕНПФ имеющиеся свободные денежные остатки по пенсионным активам ежедневно инвестировались в инструменты денежного рынка.</w:t>
      </w:r>
    </w:p>
    <w:p w14:paraId="21791D2B" w14:textId="6163F565" w:rsidR="00910D24" w:rsidRPr="00C37701" w:rsidRDefault="00910D24" w:rsidP="003E676C">
      <w:pPr>
        <w:widowControl w:val="0"/>
        <w:spacing w:after="0" w:line="240" w:lineRule="auto"/>
        <w:ind w:firstLine="709"/>
        <w:jc w:val="both"/>
        <w:rPr>
          <w:rFonts w:ascii="Times New Roman" w:hAnsi="Times New Roman" w:cs="Times New Roman"/>
          <w:sz w:val="24"/>
          <w:szCs w:val="24"/>
          <w:u w:val="single"/>
        </w:rPr>
      </w:pPr>
      <w:r w:rsidRPr="00C37701">
        <w:rPr>
          <w:rFonts w:ascii="Times New Roman" w:hAnsi="Times New Roman" w:cs="Times New Roman"/>
          <w:i/>
          <w:sz w:val="24"/>
          <w:szCs w:val="24"/>
          <w:u w:val="single"/>
        </w:rPr>
        <w:t>Касательно вопроса повышения эффективности управления пенсионными активами</w:t>
      </w:r>
    </w:p>
    <w:p w14:paraId="3E60D177" w14:textId="52C9FBA8" w:rsidR="00910D24" w:rsidRPr="00C37701" w:rsidRDefault="00910D24" w:rsidP="003E676C">
      <w:pPr>
        <w:widowControl w:val="0"/>
        <w:spacing w:after="0" w:line="240" w:lineRule="auto"/>
        <w:ind w:firstLine="709"/>
        <w:jc w:val="both"/>
        <w:rPr>
          <w:rFonts w:ascii="Times New Roman" w:hAnsi="Times New Roman" w:cs="Times New Roman"/>
          <w:sz w:val="24"/>
          <w:szCs w:val="24"/>
          <w:u w:val="single"/>
        </w:rPr>
      </w:pPr>
      <w:r w:rsidRPr="00C37701">
        <w:rPr>
          <w:rFonts w:ascii="Times New Roman" w:hAnsi="Times New Roman" w:cs="Times New Roman"/>
          <w:sz w:val="24"/>
          <w:szCs w:val="24"/>
        </w:rPr>
        <w:t>Национальным Банком разработан механизм передачи пенсионных активов в конкурентную среду, предусматривающий следующее:</w:t>
      </w:r>
    </w:p>
    <w:p w14:paraId="235089B7" w14:textId="29C83F50" w:rsidR="00910D24" w:rsidRPr="00DD090A" w:rsidRDefault="00910D24" w:rsidP="00DD090A">
      <w:pPr>
        <w:pStyle w:val="a6"/>
        <w:widowControl w:val="0"/>
        <w:numPr>
          <w:ilvl w:val="0"/>
          <w:numId w:val="53"/>
        </w:numPr>
        <w:tabs>
          <w:tab w:val="left" w:pos="993"/>
        </w:tabs>
        <w:spacing w:after="0" w:line="240" w:lineRule="auto"/>
        <w:ind w:left="0" w:firstLine="709"/>
        <w:jc w:val="both"/>
        <w:rPr>
          <w:rFonts w:ascii="Times New Roman" w:hAnsi="Times New Roman" w:cs="Times New Roman"/>
          <w:sz w:val="24"/>
          <w:szCs w:val="24"/>
        </w:rPr>
      </w:pPr>
      <w:r w:rsidRPr="00DD090A">
        <w:rPr>
          <w:rFonts w:ascii="Times New Roman" w:hAnsi="Times New Roman" w:cs="Times New Roman"/>
          <w:sz w:val="24"/>
          <w:szCs w:val="24"/>
        </w:rPr>
        <w:t>предоставление вкладчикам права выбора управляющей компании для передачи части пенсионных накоплений, превышающей порог достаточности;</w:t>
      </w:r>
    </w:p>
    <w:p w14:paraId="63BFEFE5" w14:textId="0231AD65" w:rsidR="00910D24" w:rsidRPr="00DD090A" w:rsidRDefault="00910D24" w:rsidP="00DD090A">
      <w:pPr>
        <w:pStyle w:val="a6"/>
        <w:widowControl w:val="0"/>
        <w:numPr>
          <w:ilvl w:val="0"/>
          <w:numId w:val="53"/>
        </w:numPr>
        <w:tabs>
          <w:tab w:val="left" w:pos="993"/>
        </w:tabs>
        <w:spacing w:after="0" w:line="240" w:lineRule="auto"/>
        <w:ind w:left="0" w:firstLine="709"/>
        <w:jc w:val="both"/>
        <w:rPr>
          <w:rFonts w:ascii="Times New Roman" w:hAnsi="Times New Roman" w:cs="Times New Roman"/>
          <w:sz w:val="24"/>
          <w:szCs w:val="24"/>
        </w:rPr>
      </w:pPr>
      <w:r w:rsidRPr="00DD090A">
        <w:rPr>
          <w:rFonts w:ascii="Times New Roman" w:hAnsi="Times New Roman" w:cs="Times New Roman"/>
          <w:sz w:val="24"/>
          <w:szCs w:val="24"/>
        </w:rPr>
        <w:t>обеспечение доходности не ниже установленного минимального значения доходности по пенсионным активам;</w:t>
      </w:r>
    </w:p>
    <w:p w14:paraId="556309CB" w14:textId="46D59A30" w:rsidR="00910D24" w:rsidRPr="00DD090A" w:rsidRDefault="00910D24" w:rsidP="00DD090A">
      <w:pPr>
        <w:pStyle w:val="a6"/>
        <w:widowControl w:val="0"/>
        <w:numPr>
          <w:ilvl w:val="0"/>
          <w:numId w:val="53"/>
        </w:numPr>
        <w:tabs>
          <w:tab w:val="left" w:pos="993"/>
        </w:tabs>
        <w:spacing w:after="0" w:line="240" w:lineRule="auto"/>
        <w:ind w:left="0" w:firstLine="709"/>
        <w:jc w:val="both"/>
        <w:rPr>
          <w:rFonts w:ascii="Times New Roman" w:hAnsi="Times New Roman" w:cs="Times New Roman"/>
          <w:sz w:val="24"/>
          <w:szCs w:val="24"/>
        </w:rPr>
      </w:pPr>
      <w:r w:rsidRPr="00DD090A">
        <w:rPr>
          <w:rFonts w:ascii="Times New Roman" w:hAnsi="Times New Roman" w:cs="Times New Roman"/>
          <w:sz w:val="24"/>
          <w:szCs w:val="24"/>
        </w:rPr>
        <w:t>отсутствие гарантии государства по инфляции в отношении пенсионных накоплений под управлением частной управляющей компании;</w:t>
      </w:r>
    </w:p>
    <w:p w14:paraId="537B9646" w14:textId="0B88FA83" w:rsidR="00910D24" w:rsidRPr="00DD090A" w:rsidRDefault="00910D24" w:rsidP="00DD090A">
      <w:pPr>
        <w:pStyle w:val="a6"/>
        <w:widowControl w:val="0"/>
        <w:numPr>
          <w:ilvl w:val="0"/>
          <w:numId w:val="53"/>
        </w:numPr>
        <w:tabs>
          <w:tab w:val="left" w:pos="993"/>
        </w:tabs>
        <w:spacing w:after="0" w:line="240" w:lineRule="auto"/>
        <w:ind w:left="0" w:firstLine="709"/>
        <w:jc w:val="both"/>
        <w:rPr>
          <w:rFonts w:ascii="Times New Roman" w:hAnsi="Times New Roman" w:cs="Times New Roman"/>
          <w:sz w:val="24"/>
          <w:szCs w:val="24"/>
        </w:rPr>
      </w:pPr>
      <w:r w:rsidRPr="00DD090A">
        <w:rPr>
          <w:rFonts w:ascii="Times New Roman" w:hAnsi="Times New Roman" w:cs="Times New Roman"/>
          <w:sz w:val="24"/>
          <w:szCs w:val="24"/>
        </w:rPr>
        <w:t>сохранение ЕНПФ, как единого администратора «по принципу одного окна» в целом по накопительной пенсионной системе (ведение единой информационной системы, учет индивидуальных пенсионных счетов вкладчиков (получателей), единая оценка пенсионных активов).</w:t>
      </w:r>
    </w:p>
    <w:p w14:paraId="4740D9FD" w14:textId="20FF1A41" w:rsidR="00910D24" w:rsidRPr="00C37701" w:rsidRDefault="00910D24" w:rsidP="003E676C">
      <w:pPr>
        <w:widowControl w:val="0"/>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В ноябре 2019 года в рамках проводимой работы по диверсификации и повышению доходности пенсионных активов запущен процесс поэтапной передачи части валютного портфеля пенсионных активов зарубежным управляющим компаниям для индексного инвестирования в акции компаний развитых стран и корпоративные облигации инвестиционного уровня.</w:t>
      </w:r>
    </w:p>
    <w:p w14:paraId="1DF7A198" w14:textId="001B169C" w:rsidR="00910D24" w:rsidRPr="00C37701" w:rsidRDefault="00910D24" w:rsidP="003E676C">
      <w:pPr>
        <w:widowControl w:val="0"/>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 xml:space="preserve">Для инвестиций в акции развитых стран был привлечен внешний управляющий HSBC </w:t>
      </w:r>
      <w:proofErr w:type="spellStart"/>
      <w:r w:rsidRPr="00C37701">
        <w:rPr>
          <w:rFonts w:ascii="Times New Roman" w:hAnsi="Times New Roman" w:cs="Times New Roman"/>
          <w:sz w:val="24"/>
          <w:szCs w:val="24"/>
        </w:rPr>
        <w:t>Global</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Asset</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Management</w:t>
      </w:r>
      <w:proofErr w:type="spellEnd"/>
      <w:r w:rsidRPr="00C37701">
        <w:rPr>
          <w:rFonts w:ascii="Times New Roman" w:hAnsi="Times New Roman" w:cs="Times New Roman"/>
          <w:sz w:val="24"/>
          <w:szCs w:val="24"/>
        </w:rPr>
        <w:t xml:space="preserve"> (UK) </w:t>
      </w:r>
      <w:proofErr w:type="spellStart"/>
      <w:r w:rsidRPr="00C37701">
        <w:rPr>
          <w:rFonts w:ascii="Times New Roman" w:hAnsi="Times New Roman" w:cs="Times New Roman"/>
          <w:sz w:val="24"/>
          <w:szCs w:val="24"/>
        </w:rPr>
        <w:t>Limited</w:t>
      </w:r>
      <w:proofErr w:type="spellEnd"/>
      <w:r w:rsidRPr="00C37701">
        <w:rPr>
          <w:rFonts w:ascii="Times New Roman" w:hAnsi="Times New Roman" w:cs="Times New Roman"/>
          <w:sz w:val="24"/>
          <w:szCs w:val="24"/>
        </w:rPr>
        <w:t xml:space="preserve">, которому переданы денежные средства на </w:t>
      </w:r>
      <w:r w:rsidR="006E2BD1">
        <w:rPr>
          <w:rFonts w:ascii="Times New Roman" w:hAnsi="Times New Roman" w:cs="Times New Roman"/>
          <w:sz w:val="24"/>
          <w:szCs w:val="24"/>
        </w:rPr>
        <w:t xml:space="preserve">                            </w:t>
      </w:r>
      <w:r w:rsidRPr="00C37701">
        <w:rPr>
          <w:rFonts w:ascii="Times New Roman" w:hAnsi="Times New Roman" w:cs="Times New Roman"/>
          <w:sz w:val="24"/>
          <w:szCs w:val="24"/>
        </w:rPr>
        <w:t>сумму 100,0 млн. долларов США по мандату «Глобальные пассивные акции».</w:t>
      </w:r>
    </w:p>
    <w:p w14:paraId="3FFF0029" w14:textId="6FA80AEA" w:rsidR="00910D24" w:rsidRPr="00C37701" w:rsidRDefault="00910D24" w:rsidP="003E676C">
      <w:pPr>
        <w:widowControl w:val="0"/>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 xml:space="preserve">Для инвестиций в корпоративные облигации инвестиционного уровня были привлечены два внешних управляющих </w:t>
      </w:r>
      <w:proofErr w:type="spellStart"/>
      <w:r w:rsidRPr="00C37701">
        <w:rPr>
          <w:rFonts w:ascii="Times New Roman" w:hAnsi="Times New Roman" w:cs="Times New Roman"/>
          <w:sz w:val="24"/>
          <w:szCs w:val="24"/>
        </w:rPr>
        <w:t>Principal</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Global</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Investors</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Europe</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Limited</w:t>
      </w:r>
      <w:proofErr w:type="spellEnd"/>
      <w:r w:rsidRPr="00C37701">
        <w:rPr>
          <w:rFonts w:ascii="Times New Roman" w:hAnsi="Times New Roman" w:cs="Times New Roman"/>
          <w:sz w:val="24"/>
          <w:szCs w:val="24"/>
        </w:rPr>
        <w:t xml:space="preserve"> и PGIM </w:t>
      </w:r>
      <w:proofErr w:type="spellStart"/>
      <w:r w:rsidRPr="00C37701">
        <w:rPr>
          <w:rFonts w:ascii="Times New Roman" w:hAnsi="Times New Roman" w:cs="Times New Roman"/>
          <w:sz w:val="24"/>
          <w:szCs w:val="24"/>
        </w:rPr>
        <w:t>Fixed</w:t>
      </w:r>
      <w:proofErr w:type="spellEnd"/>
      <w:r w:rsidRPr="00C37701">
        <w:rPr>
          <w:rFonts w:ascii="Times New Roman" w:hAnsi="Times New Roman" w:cs="Times New Roman"/>
          <w:sz w:val="24"/>
          <w:szCs w:val="24"/>
        </w:rPr>
        <w:t xml:space="preserve"> </w:t>
      </w:r>
      <w:proofErr w:type="spellStart"/>
      <w:r w:rsidRPr="00C37701">
        <w:rPr>
          <w:rFonts w:ascii="Times New Roman" w:hAnsi="Times New Roman" w:cs="Times New Roman"/>
          <w:sz w:val="24"/>
          <w:szCs w:val="24"/>
        </w:rPr>
        <w:t>Income</w:t>
      </w:r>
      <w:proofErr w:type="spellEnd"/>
      <w:r w:rsidRPr="00C37701">
        <w:rPr>
          <w:rFonts w:ascii="Times New Roman" w:hAnsi="Times New Roman" w:cs="Times New Roman"/>
          <w:sz w:val="24"/>
          <w:szCs w:val="24"/>
        </w:rPr>
        <w:t>, которым переданы денежные средства на общую сумму 200,0 млн. долларов (по 100,0 млн. долларов США) по мандату «Глобальные корпоративные облигации инвестиционного уровня с высокой капитализацией, номинированные в долларах США».</w:t>
      </w:r>
    </w:p>
    <w:p w14:paraId="34B60AB9" w14:textId="1CB7B443" w:rsidR="00910D24" w:rsidRPr="00C37701" w:rsidRDefault="00910D24" w:rsidP="003E676C">
      <w:pPr>
        <w:widowControl w:val="0"/>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В результате по состоянию на 1 января 2020 года доля валютного портфеля пенсионных активов, находящаяся во внешнем управлении, была увеличена до 2,0% от размера пенсионных активов ЕНПФ (211,9 млрд. тенге или 553,8 млн. долларов США).</w:t>
      </w:r>
    </w:p>
    <w:p w14:paraId="46C62F47" w14:textId="4E8B2E8E" w:rsidR="00910D24" w:rsidRPr="00C37701" w:rsidRDefault="00910D24" w:rsidP="003E676C">
      <w:pPr>
        <w:widowControl w:val="0"/>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 xml:space="preserve">Согласно текущему целевому распределению валютного портфеля пенсионных активов, установленному Инвестиционной декларацией ЕНПФ, общий объем средств, планируемых к передаче зарубежным управляющим компаниям, составляет 2,8 млрд. долларов США, в том числе по мандатам глобальных акций на сумму 1,3 млрд. долларов США, по мандату корпоративных облигаций инвестиционного уровня на сумму 1,5 млрд. долларов США. В целях снижения рисков неблагоприятного момента вхождения в рынки акций и облигаций привлечение и передача пенсионных активов во внешнее управление будет осуществляться поэтапно в течение 2 лет. </w:t>
      </w:r>
    </w:p>
    <w:p w14:paraId="3C1088FD" w14:textId="4C85CA9D" w:rsidR="00910D24" w:rsidRPr="00C37701" w:rsidRDefault="00910D24" w:rsidP="003E676C">
      <w:pPr>
        <w:widowControl w:val="0"/>
        <w:spacing w:after="0" w:line="240" w:lineRule="auto"/>
        <w:ind w:firstLine="709"/>
        <w:jc w:val="both"/>
        <w:rPr>
          <w:rFonts w:ascii="Times New Roman" w:hAnsi="Times New Roman" w:cs="Times New Roman"/>
          <w:sz w:val="24"/>
          <w:szCs w:val="24"/>
        </w:rPr>
      </w:pPr>
      <w:r w:rsidRPr="00C37701">
        <w:rPr>
          <w:rFonts w:ascii="Times New Roman" w:hAnsi="Times New Roman" w:cs="Times New Roman"/>
          <w:sz w:val="24"/>
          <w:szCs w:val="24"/>
        </w:rPr>
        <w:t>Вышеуказанная проводимая работа направлена на повышение эффективности управления пенсионными активами и, как следствие, увеличение доходности пенсионных накоплений в долгосрочной перспективе.</w:t>
      </w:r>
    </w:p>
    <w:p w14:paraId="616435B7" w14:textId="77777777" w:rsidR="00F2659C" w:rsidRPr="00C37701" w:rsidRDefault="00F2659C" w:rsidP="0097449D">
      <w:pPr>
        <w:spacing w:after="0" w:line="240" w:lineRule="auto"/>
        <w:ind w:firstLine="709"/>
        <w:contextualSpacing/>
        <w:jc w:val="both"/>
        <w:rPr>
          <w:rFonts w:ascii="Times New Roman" w:hAnsi="Times New Roman" w:cs="Times New Roman"/>
          <w:i/>
          <w:color w:val="000000"/>
          <w:sz w:val="24"/>
          <w:szCs w:val="24"/>
        </w:rPr>
      </w:pPr>
    </w:p>
    <w:p w14:paraId="5C6D8538" w14:textId="77777777" w:rsidR="00F2659C" w:rsidRPr="00C37701" w:rsidRDefault="00F2659C" w:rsidP="0097449D">
      <w:pPr>
        <w:spacing w:after="0" w:line="240" w:lineRule="auto"/>
        <w:ind w:firstLine="709"/>
        <w:contextualSpacing/>
        <w:jc w:val="both"/>
        <w:rPr>
          <w:rFonts w:ascii="Times New Roman" w:hAnsi="Times New Roman" w:cs="Times New Roman"/>
          <w:b/>
          <w:i/>
          <w:color w:val="000000"/>
          <w:sz w:val="24"/>
          <w:szCs w:val="24"/>
        </w:rPr>
      </w:pPr>
      <w:r w:rsidRPr="00C37701">
        <w:rPr>
          <w:rFonts w:ascii="Times New Roman" w:hAnsi="Times New Roman" w:cs="Times New Roman"/>
          <w:b/>
          <w:i/>
          <w:color w:val="000000"/>
          <w:sz w:val="24"/>
          <w:szCs w:val="24"/>
        </w:rPr>
        <w:t>Цель 2.5.</w:t>
      </w:r>
      <w:r w:rsidRPr="00C37701">
        <w:rPr>
          <w:rFonts w:ascii="Times New Roman" w:hAnsi="Times New Roman" w:cs="Times New Roman"/>
          <w:i/>
          <w:color w:val="000000"/>
          <w:sz w:val="24"/>
          <w:szCs w:val="24"/>
        </w:rPr>
        <w:t xml:space="preserve"> </w:t>
      </w:r>
      <w:r w:rsidRPr="00C37701">
        <w:rPr>
          <w:rFonts w:ascii="Times New Roman" w:hAnsi="Times New Roman" w:cs="Times New Roman"/>
          <w:b/>
          <w:i/>
          <w:color w:val="000000"/>
          <w:sz w:val="24"/>
          <w:szCs w:val="24"/>
        </w:rPr>
        <w:t>Обеспечение эффективного валютного регулирования и валютного контроля</w:t>
      </w:r>
    </w:p>
    <w:p w14:paraId="4535C151" w14:textId="118526A5" w:rsidR="00F2659C" w:rsidRPr="00C37701" w:rsidRDefault="00F2659C" w:rsidP="00C36440">
      <w:pPr>
        <w:spacing w:after="0" w:line="240" w:lineRule="auto"/>
        <w:ind w:firstLine="709"/>
        <w:contextualSpacing/>
        <w:jc w:val="both"/>
        <w:rPr>
          <w:rFonts w:ascii="Times New Roman" w:hAnsi="Times New Roman" w:cs="Times New Roman"/>
          <w:i/>
          <w:sz w:val="24"/>
          <w:szCs w:val="24"/>
          <w:lang w:val="kk-KZ"/>
        </w:rPr>
      </w:pPr>
      <w:r w:rsidRPr="00C37701">
        <w:rPr>
          <w:rFonts w:ascii="Times New Roman" w:hAnsi="Times New Roman" w:cs="Times New Roman"/>
          <w:b/>
          <w:i/>
          <w:sz w:val="24"/>
          <w:szCs w:val="24"/>
        </w:rPr>
        <w:t>Целевой индикатор 1:</w:t>
      </w:r>
      <w:r w:rsidRPr="00C37701">
        <w:rPr>
          <w:rFonts w:ascii="Times New Roman" w:hAnsi="Times New Roman" w:cs="Times New Roman"/>
          <w:i/>
          <w:sz w:val="24"/>
          <w:szCs w:val="24"/>
        </w:rPr>
        <w:t xml:space="preserve"> </w:t>
      </w:r>
      <w:r w:rsidRPr="00C37701">
        <w:rPr>
          <w:rFonts w:ascii="Times New Roman" w:hAnsi="Times New Roman" w:cs="Times New Roman"/>
          <w:b/>
          <w:i/>
          <w:sz w:val="24"/>
          <w:szCs w:val="24"/>
          <w:lang w:val="kk-KZ"/>
        </w:rPr>
        <w:t xml:space="preserve">Пороговое значение в отношении суммы внешнеторгового контракта, при превышении которого такой контракт попадает под требование учетной регистрации </w:t>
      </w:r>
      <w:r w:rsidRPr="00C37701">
        <w:rPr>
          <w:rFonts w:ascii="Times New Roman" w:hAnsi="Times New Roman" w:cs="Times New Roman"/>
          <w:i/>
          <w:sz w:val="24"/>
          <w:szCs w:val="24"/>
          <w:lang w:val="kk-KZ"/>
        </w:rPr>
        <w:t>(50 тыс.</w:t>
      </w:r>
      <w:r w:rsidR="00F02CA3" w:rsidRPr="00C37701">
        <w:rPr>
          <w:rFonts w:ascii="Times New Roman" w:hAnsi="Times New Roman" w:cs="Times New Roman"/>
          <w:i/>
          <w:sz w:val="24"/>
          <w:szCs w:val="24"/>
          <w:lang w:val="kk-KZ"/>
        </w:rPr>
        <w:t xml:space="preserve"> </w:t>
      </w:r>
      <w:r w:rsidRPr="00C37701">
        <w:rPr>
          <w:rFonts w:ascii="Times New Roman" w:hAnsi="Times New Roman" w:cs="Times New Roman"/>
          <w:i/>
          <w:sz w:val="24"/>
          <w:szCs w:val="24"/>
          <w:lang w:val="kk-KZ"/>
        </w:rPr>
        <w:t>долл.</w:t>
      </w:r>
      <w:r w:rsidR="009A7889" w:rsidRPr="00C37701">
        <w:rPr>
          <w:rFonts w:ascii="Times New Roman" w:hAnsi="Times New Roman" w:cs="Times New Roman"/>
          <w:i/>
          <w:sz w:val="24"/>
          <w:szCs w:val="24"/>
          <w:lang w:val="kk-KZ"/>
        </w:rPr>
        <w:t xml:space="preserve"> </w:t>
      </w:r>
      <w:r w:rsidRPr="00C37701">
        <w:rPr>
          <w:rFonts w:ascii="Times New Roman" w:hAnsi="Times New Roman" w:cs="Times New Roman"/>
          <w:i/>
          <w:sz w:val="24"/>
          <w:szCs w:val="24"/>
          <w:lang w:val="kk-KZ"/>
        </w:rPr>
        <w:t>США)</w:t>
      </w:r>
    </w:p>
    <w:p w14:paraId="3A462A9A" w14:textId="77777777" w:rsidR="00F2659C" w:rsidRPr="00C37701" w:rsidRDefault="00F2659C"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bCs/>
          <w:i/>
          <w:iCs/>
          <w:sz w:val="24"/>
          <w:szCs w:val="24"/>
        </w:rPr>
        <w:t xml:space="preserve">Мероприятия для </w:t>
      </w:r>
      <w:r w:rsidR="00F02CA3" w:rsidRPr="00C37701">
        <w:rPr>
          <w:rFonts w:ascii="Times New Roman" w:hAnsi="Times New Roman" w:cs="Times New Roman"/>
          <w:b/>
          <w:bCs/>
          <w:i/>
          <w:iCs/>
          <w:sz w:val="24"/>
          <w:szCs w:val="24"/>
        </w:rPr>
        <w:t>достижения целевого</w:t>
      </w:r>
      <w:r w:rsidRPr="00C37701">
        <w:rPr>
          <w:rFonts w:ascii="Times New Roman" w:hAnsi="Times New Roman" w:cs="Times New Roman"/>
          <w:b/>
          <w:bCs/>
          <w:i/>
          <w:iCs/>
          <w:sz w:val="24"/>
          <w:szCs w:val="24"/>
        </w:rPr>
        <w:t xml:space="preserve"> индикатора:</w:t>
      </w:r>
    </w:p>
    <w:p w14:paraId="30DD182F" w14:textId="77777777" w:rsidR="004971BA" w:rsidRPr="00C37701" w:rsidRDefault="004971BA" w:rsidP="0097449D">
      <w:pPr>
        <w:spacing w:after="0" w:line="240" w:lineRule="auto"/>
        <w:ind w:firstLine="709"/>
        <w:contextualSpacing/>
        <w:jc w:val="both"/>
        <w:rPr>
          <w:rFonts w:ascii="Times New Roman" w:eastAsia="Calibri" w:hAnsi="Times New Roman" w:cs="Times New Roman"/>
          <w:i/>
          <w:sz w:val="24"/>
          <w:szCs w:val="24"/>
        </w:rPr>
      </w:pPr>
      <w:r w:rsidRPr="00C37701">
        <w:rPr>
          <w:rFonts w:ascii="Times New Roman" w:eastAsia="Calibri" w:hAnsi="Times New Roman" w:cs="Times New Roman"/>
          <w:i/>
          <w:sz w:val="24"/>
          <w:szCs w:val="24"/>
        </w:rPr>
        <w:lastRenderedPageBreak/>
        <w:t>Совершенствование регулирования порядка обращения валютных ценностей.</w:t>
      </w:r>
    </w:p>
    <w:p w14:paraId="2CF58C6E" w14:textId="77777777" w:rsidR="00F02CA3" w:rsidRPr="00C37701" w:rsidRDefault="00F02CA3" w:rsidP="0097449D">
      <w:pPr>
        <w:spacing w:after="0" w:line="240" w:lineRule="auto"/>
        <w:ind w:firstLine="709"/>
        <w:contextualSpacing/>
        <w:jc w:val="both"/>
        <w:rPr>
          <w:rFonts w:ascii="Times New Roman" w:eastAsia="Calibri" w:hAnsi="Times New Roman" w:cs="Times New Roman"/>
          <w:sz w:val="24"/>
          <w:szCs w:val="24"/>
        </w:rPr>
      </w:pPr>
      <w:r w:rsidRPr="00C37701">
        <w:rPr>
          <w:rFonts w:ascii="Times New Roman" w:eastAsia="Calibri" w:hAnsi="Times New Roman" w:cs="Times New Roman"/>
          <w:sz w:val="24"/>
          <w:szCs w:val="24"/>
        </w:rPr>
        <w:t>Проведены работы в направлении совершенствования регулирования порядка обращения валютных ценностей. В частности,</w:t>
      </w:r>
    </w:p>
    <w:p w14:paraId="63192B21" w14:textId="63F01821" w:rsidR="00F02CA3" w:rsidRPr="00C37701" w:rsidRDefault="00F02CA3" w:rsidP="004E149F">
      <w:pPr>
        <w:spacing w:after="0" w:line="240" w:lineRule="auto"/>
        <w:ind w:firstLine="709"/>
        <w:jc w:val="both"/>
        <w:rPr>
          <w:rFonts w:ascii="Times New Roman" w:eastAsia="Calibri" w:hAnsi="Times New Roman" w:cs="Times New Roman"/>
          <w:sz w:val="24"/>
          <w:szCs w:val="24"/>
        </w:rPr>
      </w:pPr>
      <w:r w:rsidRPr="00C37701">
        <w:rPr>
          <w:rFonts w:ascii="Times New Roman" w:eastAsia="Calibri" w:hAnsi="Times New Roman" w:cs="Times New Roman"/>
          <w:sz w:val="24"/>
          <w:szCs w:val="24"/>
        </w:rPr>
        <w:t>1. Постановлением Правления</w:t>
      </w:r>
      <w:r w:rsidR="004E149F">
        <w:rPr>
          <w:rFonts w:ascii="Times New Roman" w:eastAsia="Calibri" w:hAnsi="Times New Roman" w:cs="Times New Roman"/>
          <w:sz w:val="24"/>
          <w:szCs w:val="24"/>
        </w:rPr>
        <w:t xml:space="preserve"> Национального Банка </w:t>
      </w:r>
      <w:r w:rsidR="004E149F" w:rsidRPr="00C37701">
        <w:rPr>
          <w:rFonts w:ascii="Times New Roman" w:eastAsia="Calibri" w:hAnsi="Times New Roman" w:cs="Times New Roman"/>
          <w:sz w:val="24"/>
          <w:szCs w:val="24"/>
        </w:rPr>
        <w:t>от 10 апреля 2019 года</w:t>
      </w:r>
      <w:r w:rsidR="004E149F">
        <w:rPr>
          <w:rFonts w:ascii="Times New Roman" w:eastAsia="Calibri" w:hAnsi="Times New Roman" w:cs="Times New Roman"/>
          <w:sz w:val="24"/>
          <w:szCs w:val="24"/>
        </w:rPr>
        <w:t xml:space="preserve"> </w:t>
      </w:r>
      <w:r w:rsidR="00D64116">
        <w:rPr>
          <w:rFonts w:ascii="Times New Roman" w:eastAsia="Calibri" w:hAnsi="Times New Roman" w:cs="Times New Roman"/>
          <w:sz w:val="24"/>
          <w:szCs w:val="24"/>
        </w:rPr>
        <w:t xml:space="preserve">                                </w:t>
      </w:r>
      <w:r w:rsidR="004E149F" w:rsidRPr="00C37701">
        <w:rPr>
          <w:rFonts w:ascii="Times New Roman" w:eastAsia="Calibri" w:hAnsi="Times New Roman" w:cs="Times New Roman"/>
          <w:sz w:val="24"/>
          <w:szCs w:val="24"/>
        </w:rPr>
        <w:t>№</w:t>
      </w:r>
      <w:r w:rsidR="004E149F">
        <w:rPr>
          <w:rFonts w:ascii="Times New Roman" w:eastAsia="Calibri" w:hAnsi="Times New Roman" w:cs="Times New Roman"/>
          <w:sz w:val="24"/>
          <w:szCs w:val="24"/>
        </w:rPr>
        <w:t xml:space="preserve"> </w:t>
      </w:r>
      <w:r w:rsidR="004E149F" w:rsidRPr="00C37701">
        <w:rPr>
          <w:rFonts w:ascii="Times New Roman" w:eastAsia="Calibri" w:hAnsi="Times New Roman" w:cs="Times New Roman"/>
          <w:sz w:val="24"/>
          <w:szCs w:val="24"/>
        </w:rPr>
        <w:t>64</w:t>
      </w:r>
      <w:r w:rsidRPr="00C37701">
        <w:rPr>
          <w:rFonts w:ascii="Times New Roman" w:eastAsia="Calibri" w:hAnsi="Times New Roman" w:cs="Times New Roman"/>
          <w:sz w:val="24"/>
          <w:szCs w:val="24"/>
        </w:rPr>
        <w:t xml:space="preserve"> «Об утверждении Правил мониторинга валютных операций в Республике Казахстан», утвержден «Отчет о проведенных валютных операциях» по форме согласно приложению 9 к указанным Правилам, согласно которому уполномоченный банк уведомляет Национальный Банк о проведенных валютных операциях, в том числе по поручению клиентов, сумма которых равна или превышает 50 000 (пятьдесят тысяч) долларов США в эквиваленте. При этом отменены формы отчетов для уполномоченных банков (приложения 2, 3, 4, 10) к Правилам осуществления валютных операций, утвержден</w:t>
      </w:r>
      <w:r w:rsidR="004E149F">
        <w:rPr>
          <w:rFonts w:ascii="Times New Roman" w:eastAsia="Calibri" w:hAnsi="Times New Roman" w:cs="Times New Roman"/>
          <w:sz w:val="24"/>
          <w:szCs w:val="24"/>
        </w:rPr>
        <w:t>ных постановлением Правления Национального Банка</w:t>
      </w:r>
      <w:r w:rsidRPr="00C37701">
        <w:rPr>
          <w:rFonts w:ascii="Times New Roman" w:eastAsia="Calibri" w:hAnsi="Times New Roman" w:cs="Times New Roman"/>
          <w:sz w:val="24"/>
          <w:szCs w:val="24"/>
        </w:rPr>
        <w:t xml:space="preserve"> </w:t>
      </w:r>
      <w:r w:rsidR="00D64116">
        <w:rPr>
          <w:rFonts w:ascii="Times New Roman" w:eastAsia="Calibri" w:hAnsi="Times New Roman" w:cs="Times New Roman"/>
          <w:sz w:val="24"/>
          <w:szCs w:val="24"/>
        </w:rPr>
        <w:t xml:space="preserve">                                               </w:t>
      </w:r>
      <w:r w:rsidR="004E149F">
        <w:rPr>
          <w:rFonts w:ascii="Times New Roman" w:eastAsia="Calibri" w:hAnsi="Times New Roman" w:cs="Times New Roman"/>
          <w:sz w:val="24"/>
          <w:szCs w:val="24"/>
        </w:rPr>
        <w:t xml:space="preserve">от 28 апреля </w:t>
      </w:r>
      <w:r w:rsidRPr="00C37701">
        <w:rPr>
          <w:rFonts w:ascii="Times New Roman" w:eastAsia="Calibri" w:hAnsi="Times New Roman" w:cs="Times New Roman"/>
          <w:sz w:val="24"/>
          <w:szCs w:val="24"/>
        </w:rPr>
        <w:t>2012</w:t>
      </w:r>
      <w:r w:rsidR="004E149F">
        <w:rPr>
          <w:rFonts w:ascii="Times New Roman" w:eastAsia="Calibri" w:hAnsi="Times New Roman" w:cs="Times New Roman"/>
          <w:sz w:val="24"/>
          <w:szCs w:val="24"/>
        </w:rPr>
        <w:t xml:space="preserve"> года </w:t>
      </w:r>
      <w:r w:rsidR="004E149F" w:rsidRPr="00C37701">
        <w:rPr>
          <w:rFonts w:ascii="Times New Roman" w:eastAsia="Calibri" w:hAnsi="Times New Roman" w:cs="Times New Roman"/>
          <w:sz w:val="24"/>
          <w:szCs w:val="24"/>
        </w:rPr>
        <w:t>№</w:t>
      </w:r>
      <w:r w:rsidR="004E149F">
        <w:rPr>
          <w:rFonts w:ascii="Times New Roman" w:eastAsia="Calibri" w:hAnsi="Times New Roman" w:cs="Times New Roman"/>
          <w:sz w:val="24"/>
          <w:szCs w:val="24"/>
        </w:rPr>
        <w:t xml:space="preserve"> </w:t>
      </w:r>
      <w:r w:rsidR="004E149F" w:rsidRPr="00C37701">
        <w:rPr>
          <w:rFonts w:ascii="Times New Roman" w:eastAsia="Calibri" w:hAnsi="Times New Roman" w:cs="Times New Roman"/>
          <w:sz w:val="24"/>
          <w:szCs w:val="24"/>
        </w:rPr>
        <w:t>154</w:t>
      </w:r>
      <w:r w:rsidR="004E149F">
        <w:rPr>
          <w:rFonts w:ascii="Times New Roman" w:eastAsia="Calibri" w:hAnsi="Times New Roman" w:cs="Times New Roman"/>
          <w:sz w:val="24"/>
          <w:szCs w:val="24"/>
        </w:rPr>
        <w:t>.</w:t>
      </w:r>
    </w:p>
    <w:p w14:paraId="579882A7" w14:textId="7D8ABCA4" w:rsidR="00F02CA3" w:rsidRPr="00C37701" w:rsidRDefault="00F02CA3" w:rsidP="0097449D">
      <w:pPr>
        <w:spacing w:after="0" w:line="240" w:lineRule="auto"/>
        <w:ind w:firstLine="709"/>
        <w:jc w:val="both"/>
        <w:rPr>
          <w:rFonts w:ascii="Times New Roman" w:eastAsia="Calibri" w:hAnsi="Times New Roman" w:cs="Times New Roman"/>
          <w:sz w:val="24"/>
          <w:szCs w:val="24"/>
        </w:rPr>
      </w:pPr>
      <w:r w:rsidRPr="00C37701">
        <w:rPr>
          <w:rFonts w:ascii="Times New Roman" w:hAnsi="Times New Roman" w:cs="Times New Roman"/>
          <w:color w:val="000000"/>
          <w:sz w:val="24"/>
          <w:szCs w:val="24"/>
          <w:lang w:eastAsia="ru-RU"/>
        </w:rPr>
        <w:t xml:space="preserve">2. </w:t>
      </w:r>
      <w:r w:rsidRPr="00C37701">
        <w:rPr>
          <w:rFonts w:ascii="Times New Roman" w:hAnsi="Times New Roman" w:cs="Times New Roman"/>
          <w:sz w:val="24"/>
          <w:szCs w:val="24"/>
        </w:rPr>
        <w:t xml:space="preserve">Постановлением Правления </w:t>
      </w:r>
      <w:r w:rsidRPr="00C37701">
        <w:rPr>
          <w:rFonts w:ascii="Times New Roman" w:hAnsi="Times New Roman" w:cs="Times New Roman"/>
          <w:color w:val="000000"/>
          <w:sz w:val="24"/>
          <w:szCs w:val="24"/>
          <w:lang w:eastAsia="ru-RU"/>
        </w:rPr>
        <w:t>Национального Банка</w:t>
      </w:r>
      <w:r w:rsidR="004E149F">
        <w:rPr>
          <w:rFonts w:ascii="Times New Roman" w:hAnsi="Times New Roman" w:cs="Times New Roman"/>
          <w:color w:val="000000"/>
          <w:sz w:val="24"/>
          <w:szCs w:val="24"/>
          <w:lang w:eastAsia="ru-RU"/>
        </w:rPr>
        <w:t xml:space="preserve"> </w:t>
      </w:r>
      <w:r w:rsidR="004E149F" w:rsidRPr="00C37701">
        <w:rPr>
          <w:rFonts w:ascii="Times New Roman" w:hAnsi="Times New Roman" w:cs="Times New Roman"/>
          <w:sz w:val="24"/>
          <w:szCs w:val="24"/>
        </w:rPr>
        <w:t>от 23 декабря 2019 года</w:t>
      </w:r>
      <w:r w:rsidR="004E149F">
        <w:rPr>
          <w:rFonts w:ascii="Times New Roman" w:hAnsi="Times New Roman" w:cs="Times New Roman"/>
          <w:sz w:val="24"/>
          <w:szCs w:val="24"/>
        </w:rPr>
        <w:t xml:space="preserve"> </w:t>
      </w:r>
      <w:r w:rsidR="00D64116">
        <w:rPr>
          <w:rFonts w:ascii="Times New Roman" w:hAnsi="Times New Roman" w:cs="Times New Roman"/>
          <w:sz w:val="24"/>
          <w:szCs w:val="24"/>
        </w:rPr>
        <w:t xml:space="preserve">                              </w:t>
      </w:r>
      <w:r w:rsidR="004E149F" w:rsidRPr="00C37701">
        <w:rPr>
          <w:rFonts w:ascii="Times New Roman" w:hAnsi="Times New Roman" w:cs="Times New Roman"/>
          <w:sz w:val="24"/>
          <w:szCs w:val="24"/>
        </w:rPr>
        <w:t>№</w:t>
      </w:r>
      <w:r w:rsidR="004E149F">
        <w:rPr>
          <w:rFonts w:ascii="Times New Roman" w:hAnsi="Times New Roman" w:cs="Times New Roman"/>
          <w:sz w:val="24"/>
          <w:szCs w:val="24"/>
        </w:rPr>
        <w:t xml:space="preserve"> </w:t>
      </w:r>
      <w:r w:rsidR="004E149F" w:rsidRPr="00C37701">
        <w:rPr>
          <w:rFonts w:ascii="Times New Roman" w:hAnsi="Times New Roman" w:cs="Times New Roman"/>
          <w:sz w:val="24"/>
          <w:szCs w:val="24"/>
        </w:rPr>
        <w:t>257</w:t>
      </w:r>
      <w:r w:rsidRPr="00C37701">
        <w:rPr>
          <w:rFonts w:ascii="Times New Roman" w:hAnsi="Times New Roman" w:cs="Times New Roman"/>
          <w:color w:val="000000"/>
          <w:sz w:val="24"/>
          <w:szCs w:val="24"/>
          <w:lang w:eastAsia="ru-RU"/>
        </w:rPr>
        <w:t xml:space="preserve"> </w:t>
      </w:r>
      <w:r w:rsidRPr="00C37701">
        <w:rPr>
          <w:rFonts w:ascii="Times New Roman" w:hAnsi="Times New Roman" w:cs="Times New Roman"/>
          <w:sz w:val="24"/>
          <w:szCs w:val="24"/>
        </w:rPr>
        <w:t>«О внесении изменений в постановление Правления Национального Банка Республики Казахстан от 30 марта 2019 года №</w:t>
      </w:r>
      <w:r w:rsidR="004E149F">
        <w:rPr>
          <w:rFonts w:ascii="Times New Roman" w:hAnsi="Times New Roman" w:cs="Times New Roman"/>
          <w:sz w:val="24"/>
          <w:szCs w:val="24"/>
        </w:rPr>
        <w:t xml:space="preserve"> </w:t>
      </w:r>
      <w:r w:rsidRPr="00C37701">
        <w:rPr>
          <w:rFonts w:ascii="Times New Roman" w:hAnsi="Times New Roman" w:cs="Times New Roman"/>
          <w:sz w:val="24"/>
          <w:szCs w:val="24"/>
        </w:rPr>
        <w:t>42 «Об утверждении Правил осуществления экспортно-импортного валютного контроля в Республике Казахстан», внесены изменения в Правила осуществления экспортно-импортного валютного контроля в Республике Казахстан в части уточнения условий получения учетного номера валютному договору по импорту услуг и сроков представления информации по валютным договорам по экспорту или импорту с учетным номером.</w:t>
      </w:r>
    </w:p>
    <w:p w14:paraId="10D92F91" w14:textId="77777777" w:rsidR="00F2659C" w:rsidRPr="00C37701" w:rsidRDefault="00F2659C" w:rsidP="0097449D">
      <w:pPr>
        <w:spacing w:after="0" w:line="240" w:lineRule="auto"/>
        <w:ind w:firstLine="709"/>
        <w:contextualSpacing/>
        <w:jc w:val="both"/>
        <w:rPr>
          <w:rFonts w:ascii="Times New Roman" w:hAnsi="Times New Roman" w:cs="Times New Roman"/>
          <w:b/>
          <w:i/>
          <w:sz w:val="24"/>
          <w:szCs w:val="24"/>
        </w:rPr>
      </w:pPr>
    </w:p>
    <w:p w14:paraId="77027A8E" w14:textId="77777777" w:rsidR="00F2659C" w:rsidRPr="00C37701" w:rsidRDefault="00F2659C"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b/>
          <w:i/>
          <w:sz w:val="24"/>
          <w:szCs w:val="24"/>
        </w:rPr>
        <w:t>Целевой индикатор 2:</w:t>
      </w:r>
      <w:r w:rsidRPr="00C37701">
        <w:rPr>
          <w:rFonts w:ascii="Times New Roman" w:hAnsi="Times New Roman" w:cs="Times New Roman"/>
          <w:i/>
          <w:sz w:val="24"/>
          <w:szCs w:val="24"/>
        </w:rPr>
        <w:t xml:space="preserve"> </w:t>
      </w:r>
      <w:r w:rsidRPr="00C37701">
        <w:rPr>
          <w:rFonts w:ascii="Times New Roman" w:hAnsi="Times New Roman" w:cs="Times New Roman"/>
          <w:b/>
          <w:i/>
          <w:sz w:val="24"/>
          <w:szCs w:val="24"/>
          <w:lang w:val="kk-KZ"/>
        </w:rPr>
        <w:t xml:space="preserve">Количество юридических лиц, исключительным видом деятельности которых является организация обменных операций с наличной иностранной валютой, охваченных проверками на основе системы оценки степени рисков </w:t>
      </w:r>
      <w:r w:rsidRPr="00C37701">
        <w:rPr>
          <w:rFonts w:ascii="Times New Roman" w:hAnsi="Times New Roman" w:cs="Times New Roman"/>
          <w:i/>
          <w:sz w:val="24"/>
          <w:szCs w:val="24"/>
          <w:lang w:val="kk-KZ"/>
        </w:rPr>
        <w:t>(не более 60%)</w:t>
      </w:r>
    </w:p>
    <w:p w14:paraId="35249239" w14:textId="77777777" w:rsidR="00F2659C" w:rsidRPr="00C37701" w:rsidRDefault="009B0A55"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bCs/>
          <w:i/>
          <w:iCs/>
          <w:sz w:val="24"/>
          <w:szCs w:val="24"/>
        </w:rPr>
        <w:t xml:space="preserve">Мероприятия для достижения </w:t>
      </w:r>
      <w:r w:rsidR="00F2659C" w:rsidRPr="00C37701">
        <w:rPr>
          <w:rFonts w:ascii="Times New Roman" w:hAnsi="Times New Roman" w:cs="Times New Roman"/>
          <w:b/>
          <w:bCs/>
          <w:i/>
          <w:iCs/>
          <w:sz w:val="24"/>
          <w:szCs w:val="24"/>
        </w:rPr>
        <w:t>целевого индикатора:</w:t>
      </w:r>
    </w:p>
    <w:p w14:paraId="570A5944" w14:textId="77777777" w:rsidR="009B0A55" w:rsidRPr="00C37701" w:rsidRDefault="009B0A55" w:rsidP="0097449D">
      <w:pPr>
        <w:spacing w:after="0" w:line="240" w:lineRule="auto"/>
        <w:ind w:firstLine="709"/>
        <w:contextualSpacing/>
        <w:jc w:val="both"/>
        <w:rPr>
          <w:rFonts w:ascii="Times New Roman" w:hAnsi="Times New Roman" w:cs="Times New Roman"/>
          <w:b/>
          <w:i/>
          <w:sz w:val="24"/>
          <w:szCs w:val="24"/>
          <w:lang w:val="kk-KZ"/>
        </w:rPr>
      </w:pPr>
      <w:r w:rsidRPr="00C37701">
        <w:rPr>
          <w:rFonts w:ascii="Times New Roman" w:hAnsi="Times New Roman" w:cs="Times New Roman"/>
          <w:b/>
          <w:i/>
          <w:sz w:val="24"/>
          <w:szCs w:val="24"/>
          <w:lang w:val="kk-KZ"/>
        </w:rPr>
        <w:t>Совершенствование системы регулирования и контроля в отношении небанковских обменных пунктов.</w:t>
      </w:r>
    </w:p>
    <w:p w14:paraId="430F6743" w14:textId="5395D43D" w:rsidR="009B0A55" w:rsidRPr="00C37701" w:rsidRDefault="009B0A55" w:rsidP="0097449D">
      <w:pPr>
        <w:spacing w:after="0" w:line="240" w:lineRule="auto"/>
        <w:ind w:firstLine="709"/>
        <w:contextualSpacing/>
        <w:jc w:val="both"/>
        <w:rPr>
          <w:rFonts w:ascii="Times New Roman" w:hAnsi="Times New Roman" w:cs="Times New Roman"/>
          <w:sz w:val="24"/>
          <w:szCs w:val="24"/>
        </w:rPr>
      </w:pPr>
      <w:r w:rsidRPr="00CF4EAA">
        <w:rPr>
          <w:rFonts w:ascii="Times New Roman" w:hAnsi="Times New Roman" w:cs="Times New Roman"/>
          <w:sz w:val="24"/>
          <w:szCs w:val="24"/>
        </w:rPr>
        <w:t xml:space="preserve">В реализацию Закона Республики Казахстан «О валютном регулировании и валютном контроле» от 2 июля 2018 года №167-VI (далее </w:t>
      </w:r>
      <w:r w:rsidR="00E42DAC" w:rsidRPr="00CF4EAA">
        <w:rPr>
          <w:rFonts w:ascii="Times New Roman" w:hAnsi="Times New Roman" w:cs="Times New Roman"/>
          <w:sz w:val="24"/>
          <w:szCs w:val="24"/>
        </w:rPr>
        <w:t>–</w:t>
      </w:r>
      <w:r w:rsidRPr="00CF4EAA">
        <w:rPr>
          <w:rFonts w:ascii="Times New Roman" w:hAnsi="Times New Roman" w:cs="Times New Roman"/>
          <w:sz w:val="24"/>
          <w:szCs w:val="24"/>
        </w:rPr>
        <w:t xml:space="preserve"> Закон</w:t>
      </w:r>
      <w:r w:rsidR="00E42DAC" w:rsidRPr="00CF4EAA">
        <w:rPr>
          <w:rFonts w:ascii="Times New Roman" w:hAnsi="Times New Roman" w:cs="Times New Roman"/>
          <w:sz w:val="24"/>
          <w:szCs w:val="24"/>
        </w:rPr>
        <w:t xml:space="preserve"> </w:t>
      </w:r>
      <w:r w:rsidRPr="00CF4EAA">
        <w:rPr>
          <w:rFonts w:ascii="Times New Roman" w:hAnsi="Times New Roman" w:cs="Times New Roman"/>
          <w:sz w:val="24"/>
          <w:szCs w:val="24"/>
        </w:rPr>
        <w:t>№167-VI) принято постановление Правления Национального Банка от 4 апреля 2019 года №</w:t>
      </w:r>
      <w:r w:rsidR="00797851" w:rsidRPr="00CF4EAA">
        <w:rPr>
          <w:rFonts w:ascii="Times New Roman" w:hAnsi="Times New Roman" w:cs="Times New Roman"/>
          <w:sz w:val="24"/>
          <w:szCs w:val="24"/>
        </w:rPr>
        <w:t xml:space="preserve"> </w:t>
      </w:r>
      <w:r w:rsidRPr="00CF4EAA">
        <w:rPr>
          <w:rFonts w:ascii="Times New Roman" w:hAnsi="Times New Roman" w:cs="Times New Roman"/>
          <w:sz w:val="24"/>
          <w:szCs w:val="24"/>
        </w:rPr>
        <w:t>49 «Об утверждении</w:t>
      </w:r>
      <w:r w:rsidRPr="00C37701">
        <w:rPr>
          <w:rFonts w:ascii="Times New Roman" w:hAnsi="Times New Roman" w:cs="Times New Roman"/>
          <w:sz w:val="24"/>
          <w:szCs w:val="24"/>
        </w:rPr>
        <w:t xml:space="preserve"> Правил организации обменных операций с наличной иностранной валютой в Республике Казахстан» (далее - Правила). Правилами определяется порядок организации обменных операций с наличной иностранной валютой в Республике Казахстан. В Правила внесены следующие изменения:</w:t>
      </w:r>
      <w:r w:rsidR="00D64116">
        <w:rPr>
          <w:rFonts w:ascii="Times New Roman" w:hAnsi="Times New Roman" w:cs="Times New Roman"/>
          <w:sz w:val="24"/>
          <w:szCs w:val="24"/>
        </w:rPr>
        <w:t xml:space="preserve">             </w:t>
      </w:r>
      <w:r w:rsidRPr="00C37701">
        <w:rPr>
          <w:rFonts w:ascii="Times New Roman" w:hAnsi="Times New Roman" w:cs="Times New Roman"/>
          <w:sz w:val="24"/>
          <w:szCs w:val="24"/>
        </w:rPr>
        <w:t xml:space="preserve"> (1)  переход к альтернативному способу представления субъектами финансового рынка отчетности (либо в бумажном форме, либо в электронном виде); (2) сокращение срока оказания государственной услуги «Выдача лицензии и (или) приложение к лицензии на обменные операции с наличной иностранной валютой с 30 рабочих дней до 20 рабочих дней, введение новой отчетности (3) добавление нового отчета по обменным операциям с наличной иностранной валютой физических лиц на сумму равную или превышающую 50 тыс. долларов США. Правила вступили в действие с 1 июля 2019 года.</w:t>
      </w:r>
    </w:p>
    <w:p w14:paraId="40F93BD9" w14:textId="77777777" w:rsidR="009B0A55" w:rsidRPr="00C37701" w:rsidRDefault="009B0A55"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Помимо вышеуказанных изменений в Правила внесены дополнительные поправки, способствующие снижению риска дефицита наличной иностранной валюты, обеспечению спроса населения наличной иностранной валютой и повышению финансовой устойчивости небанковских обменных пунктов. </w:t>
      </w:r>
    </w:p>
    <w:p w14:paraId="3479CAC0" w14:textId="09F20154" w:rsidR="009B0A55" w:rsidRPr="00C37701" w:rsidRDefault="009B0A55"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В частности, принятые поправки предусматривают введение поэтапного увеличения требований к минимальному размеру уставного капитала небанковских обменных пунктов в дифференцированном порядке: (1) 100 млн.</w:t>
      </w:r>
      <w:r w:rsidR="00D47458" w:rsidRPr="00C37701">
        <w:rPr>
          <w:rFonts w:ascii="Times New Roman" w:hAnsi="Times New Roman" w:cs="Times New Roman"/>
          <w:sz w:val="24"/>
          <w:szCs w:val="24"/>
        </w:rPr>
        <w:t xml:space="preserve"> </w:t>
      </w:r>
      <w:r w:rsidRPr="00C37701">
        <w:rPr>
          <w:rFonts w:ascii="Times New Roman" w:hAnsi="Times New Roman" w:cs="Times New Roman"/>
          <w:sz w:val="24"/>
          <w:szCs w:val="24"/>
        </w:rPr>
        <w:t xml:space="preserve">тенге - для столицы, городов республиканского значения, административных центров областей, городов областного </w:t>
      </w:r>
      <w:proofErr w:type="gramStart"/>
      <w:r w:rsidRPr="00C37701">
        <w:rPr>
          <w:rFonts w:ascii="Times New Roman" w:hAnsi="Times New Roman" w:cs="Times New Roman"/>
          <w:sz w:val="24"/>
          <w:szCs w:val="24"/>
        </w:rPr>
        <w:t>значения;</w:t>
      </w:r>
      <w:r w:rsidR="006E2BD1">
        <w:rPr>
          <w:rFonts w:ascii="Times New Roman" w:hAnsi="Times New Roman" w:cs="Times New Roman"/>
          <w:sz w:val="24"/>
          <w:szCs w:val="24"/>
        </w:rPr>
        <w:t xml:space="preserve">   </w:t>
      </w:r>
      <w:proofErr w:type="gramEnd"/>
      <w:r w:rsidR="006E2BD1">
        <w:rPr>
          <w:rFonts w:ascii="Times New Roman" w:hAnsi="Times New Roman" w:cs="Times New Roman"/>
          <w:sz w:val="24"/>
          <w:szCs w:val="24"/>
        </w:rPr>
        <w:t xml:space="preserve">                                          </w:t>
      </w:r>
      <w:r w:rsidRPr="00C37701">
        <w:rPr>
          <w:rFonts w:ascii="Times New Roman" w:hAnsi="Times New Roman" w:cs="Times New Roman"/>
          <w:sz w:val="24"/>
          <w:szCs w:val="24"/>
        </w:rPr>
        <w:t xml:space="preserve"> (2) 50 млн.</w:t>
      </w:r>
      <w:r w:rsidR="00D47458" w:rsidRPr="00C37701">
        <w:rPr>
          <w:rFonts w:ascii="Times New Roman" w:hAnsi="Times New Roman" w:cs="Times New Roman"/>
          <w:sz w:val="24"/>
          <w:szCs w:val="24"/>
        </w:rPr>
        <w:t xml:space="preserve"> </w:t>
      </w:r>
      <w:r w:rsidRPr="00C37701">
        <w:rPr>
          <w:rFonts w:ascii="Times New Roman" w:hAnsi="Times New Roman" w:cs="Times New Roman"/>
          <w:sz w:val="24"/>
          <w:szCs w:val="24"/>
        </w:rPr>
        <w:t xml:space="preserve">тенге - для иных мест (поселки и мелкие города). Для небанковских обменных пунктов установлена обязанность по обеспечению наличия на банковских счетах и (или) в кассе обменного пункта денег, либо в аффинированном золоте в слитках (при наличии) в размере не менее 100% от минимального размера уставного капитала. </w:t>
      </w:r>
    </w:p>
    <w:p w14:paraId="3F63F633" w14:textId="77777777" w:rsidR="009B0A55" w:rsidRPr="00C37701" w:rsidRDefault="009B0A55"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Помимо вышеуказанных поправок Национальным Банком установлено ограничение режима работы обменных пунктов с 09.00 часов до 20.00 часов. Для обменных пунктов, </w:t>
      </w:r>
      <w:r w:rsidR="00D47458" w:rsidRPr="00C37701">
        <w:rPr>
          <w:rFonts w:ascii="Times New Roman" w:hAnsi="Times New Roman" w:cs="Times New Roman"/>
          <w:sz w:val="24"/>
          <w:szCs w:val="24"/>
        </w:rPr>
        <w:t>находящихся: (</w:t>
      </w:r>
      <w:r w:rsidRPr="00C37701">
        <w:rPr>
          <w:rFonts w:ascii="Times New Roman" w:hAnsi="Times New Roman" w:cs="Times New Roman"/>
          <w:sz w:val="24"/>
          <w:szCs w:val="24"/>
        </w:rPr>
        <w:t>1) в крупных торговых объектах - до 22.00 часов; (2</w:t>
      </w:r>
      <w:r w:rsidR="00D47458" w:rsidRPr="00C37701">
        <w:rPr>
          <w:rFonts w:ascii="Times New Roman" w:hAnsi="Times New Roman" w:cs="Times New Roman"/>
          <w:sz w:val="24"/>
          <w:szCs w:val="24"/>
        </w:rPr>
        <w:t>) в</w:t>
      </w:r>
      <w:r w:rsidRPr="00C37701">
        <w:rPr>
          <w:rFonts w:ascii="Times New Roman" w:hAnsi="Times New Roman" w:cs="Times New Roman"/>
          <w:sz w:val="24"/>
          <w:szCs w:val="24"/>
        </w:rPr>
        <w:t xml:space="preserve"> аэропортах, ж/д вокзалах, </w:t>
      </w:r>
      <w:r w:rsidRPr="00C37701">
        <w:rPr>
          <w:rFonts w:ascii="Times New Roman" w:hAnsi="Times New Roman" w:cs="Times New Roman"/>
          <w:sz w:val="24"/>
          <w:szCs w:val="24"/>
        </w:rPr>
        <w:lastRenderedPageBreak/>
        <w:t>казино, в автомобильных пунктах пропуска через гос.</w:t>
      </w:r>
      <w:r w:rsidR="00D47458" w:rsidRPr="00C37701">
        <w:rPr>
          <w:rFonts w:ascii="Times New Roman" w:hAnsi="Times New Roman" w:cs="Times New Roman"/>
          <w:sz w:val="24"/>
          <w:szCs w:val="24"/>
        </w:rPr>
        <w:t xml:space="preserve"> </w:t>
      </w:r>
      <w:r w:rsidRPr="00C37701">
        <w:rPr>
          <w:rFonts w:ascii="Times New Roman" w:hAnsi="Times New Roman" w:cs="Times New Roman"/>
          <w:sz w:val="24"/>
          <w:szCs w:val="24"/>
        </w:rPr>
        <w:t xml:space="preserve">границу РК – на усмотрение обменных пунктов. </w:t>
      </w:r>
    </w:p>
    <w:p w14:paraId="78E8E32F" w14:textId="77777777" w:rsidR="009B0A55" w:rsidRPr="00C37701" w:rsidRDefault="009B0A55"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К тому же, в </w:t>
      </w:r>
      <w:r w:rsidRPr="00FE2DEC">
        <w:rPr>
          <w:rFonts w:ascii="Times New Roman" w:hAnsi="Times New Roman" w:cs="Times New Roman"/>
          <w:sz w:val="24"/>
          <w:szCs w:val="24"/>
        </w:rPr>
        <w:t xml:space="preserve">целях </w:t>
      </w:r>
      <w:r w:rsidR="003A5D6F" w:rsidRPr="00FE2DEC">
        <w:rPr>
          <w:rFonts w:ascii="Times New Roman" w:hAnsi="Times New Roman" w:cs="Times New Roman"/>
          <w:sz w:val="24"/>
          <w:szCs w:val="24"/>
        </w:rPr>
        <w:t xml:space="preserve">исключения </w:t>
      </w:r>
      <w:r w:rsidRPr="00FE2DEC">
        <w:rPr>
          <w:rFonts w:ascii="Times New Roman" w:hAnsi="Times New Roman" w:cs="Times New Roman"/>
          <w:sz w:val="24"/>
          <w:szCs w:val="24"/>
        </w:rPr>
        <w:t>ухода</w:t>
      </w:r>
      <w:r w:rsidRPr="00C37701">
        <w:rPr>
          <w:rFonts w:ascii="Times New Roman" w:hAnsi="Times New Roman" w:cs="Times New Roman"/>
          <w:sz w:val="24"/>
          <w:szCs w:val="24"/>
        </w:rPr>
        <w:t xml:space="preserve"> субъектами финансового мониторинга (уполномоченные банки и уполномоченные организации) от исполнения требований законодательства по отмыванию (легализации) доходов, добытых преступным путем, и финансированию терроризма введена упрощенная фиксация (ИИН и ФИО) данных клиента при проведении операций до 500 тысяч тенге.</w:t>
      </w:r>
    </w:p>
    <w:p w14:paraId="1960680E" w14:textId="77777777" w:rsidR="009B0A55" w:rsidRPr="00C37701" w:rsidRDefault="009B0A55"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Таким образом, введение данных поправок усилит безопасность потребителей финансовых услуг обменных пунктов, минимизирует риски дефицита наличной иностранной валюты, исключит факты завышения курса продажи наличной иностранной валюты в вечернее и ночное время и необоснованного возникновения ажиотажа среди населения.</w:t>
      </w:r>
    </w:p>
    <w:p w14:paraId="22849CCE" w14:textId="77777777" w:rsidR="009B0A55" w:rsidRPr="00C37701" w:rsidRDefault="009B0A55"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Поправки вступают в действие с 1 февраля 2020 года.</w:t>
      </w:r>
    </w:p>
    <w:p w14:paraId="54805BC2" w14:textId="1D62810E" w:rsidR="009B0A55" w:rsidRPr="00C37701" w:rsidRDefault="009B0A55"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За 2017-2019 годы общее количество обменных пунктов по Казахстану существенно не изменялось (по состоянию на 01.01.2020г. общее количество обменных пунктов </w:t>
      </w:r>
      <w:r w:rsidR="006E2BD1">
        <w:rPr>
          <w:rFonts w:ascii="Times New Roman" w:hAnsi="Times New Roman" w:cs="Times New Roman"/>
          <w:sz w:val="24"/>
          <w:szCs w:val="24"/>
        </w:rPr>
        <w:t xml:space="preserve">                          </w:t>
      </w:r>
      <w:r w:rsidRPr="00C37701">
        <w:rPr>
          <w:rFonts w:ascii="Times New Roman" w:hAnsi="Times New Roman" w:cs="Times New Roman"/>
          <w:sz w:val="24"/>
          <w:szCs w:val="24"/>
        </w:rPr>
        <w:t>составило 2637, из них 1888 – уполномоченных банков и АО «</w:t>
      </w:r>
      <w:proofErr w:type="spellStart"/>
      <w:r w:rsidRPr="00C37701">
        <w:rPr>
          <w:rFonts w:ascii="Times New Roman" w:hAnsi="Times New Roman" w:cs="Times New Roman"/>
          <w:sz w:val="24"/>
          <w:szCs w:val="24"/>
        </w:rPr>
        <w:t>Казпочта</w:t>
      </w:r>
      <w:proofErr w:type="spellEnd"/>
      <w:r w:rsidRPr="00C37701">
        <w:rPr>
          <w:rFonts w:ascii="Times New Roman" w:hAnsi="Times New Roman" w:cs="Times New Roman"/>
          <w:sz w:val="24"/>
          <w:szCs w:val="24"/>
        </w:rPr>
        <w:t xml:space="preserve">», 749 – уполномоченных организаций). </w:t>
      </w:r>
    </w:p>
    <w:p w14:paraId="5B4D01E8" w14:textId="77777777" w:rsidR="009E19F7" w:rsidRPr="00C37701" w:rsidRDefault="009E19F7" w:rsidP="0097449D">
      <w:pPr>
        <w:spacing w:after="0" w:line="240" w:lineRule="auto"/>
        <w:ind w:firstLine="709"/>
        <w:jc w:val="both"/>
        <w:rPr>
          <w:rFonts w:ascii="Times New Roman" w:hAnsi="Times New Roman" w:cs="Times New Roman"/>
          <w:color w:val="000000"/>
          <w:sz w:val="24"/>
          <w:szCs w:val="24"/>
          <w:lang w:eastAsia="ru-RU"/>
        </w:rPr>
      </w:pPr>
    </w:p>
    <w:p w14:paraId="344F18B8" w14:textId="1F702496" w:rsidR="008720DB" w:rsidRPr="00C37701" w:rsidRDefault="008720DB" w:rsidP="0097449D">
      <w:pPr>
        <w:spacing w:after="0" w:line="240" w:lineRule="auto"/>
        <w:ind w:firstLine="709"/>
        <w:contextualSpacing/>
        <w:jc w:val="both"/>
        <w:rPr>
          <w:rFonts w:ascii="Times New Roman" w:hAnsi="Times New Roman" w:cs="Times New Roman"/>
          <w:i/>
          <w:color w:val="000000"/>
          <w:sz w:val="24"/>
          <w:szCs w:val="24"/>
        </w:rPr>
      </w:pPr>
      <w:r w:rsidRPr="00C37701">
        <w:rPr>
          <w:rFonts w:ascii="Times New Roman" w:hAnsi="Times New Roman" w:cs="Times New Roman"/>
          <w:b/>
          <w:i/>
          <w:color w:val="000000"/>
          <w:sz w:val="24"/>
          <w:szCs w:val="24"/>
        </w:rPr>
        <w:t>Цель 2.6.</w:t>
      </w:r>
      <w:r w:rsidRPr="00C37701">
        <w:rPr>
          <w:rFonts w:ascii="Times New Roman" w:hAnsi="Times New Roman" w:cs="Times New Roman"/>
          <w:i/>
          <w:color w:val="000000"/>
          <w:sz w:val="24"/>
          <w:szCs w:val="24"/>
        </w:rPr>
        <w:t xml:space="preserve"> </w:t>
      </w:r>
      <w:r w:rsidRPr="00C37701">
        <w:rPr>
          <w:rFonts w:ascii="Times New Roman" w:hAnsi="Times New Roman" w:cs="Times New Roman"/>
          <w:b/>
          <w:i/>
          <w:color w:val="000000"/>
          <w:sz w:val="24"/>
          <w:szCs w:val="24"/>
        </w:rPr>
        <w:t>Обеспечение надлежащего уровня защиты прав и законных</w:t>
      </w:r>
      <w:r w:rsidR="00CF4EAA">
        <w:rPr>
          <w:rFonts w:ascii="Times New Roman" w:hAnsi="Times New Roman" w:cs="Times New Roman"/>
          <w:b/>
          <w:i/>
          <w:color w:val="000000"/>
          <w:sz w:val="24"/>
          <w:szCs w:val="24"/>
        </w:rPr>
        <w:t xml:space="preserve"> интересов</w:t>
      </w:r>
      <w:r w:rsidRPr="00C37701">
        <w:rPr>
          <w:rFonts w:ascii="Times New Roman" w:hAnsi="Times New Roman" w:cs="Times New Roman"/>
          <w:b/>
          <w:i/>
          <w:color w:val="000000"/>
          <w:sz w:val="24"/>
          <w:szCs w:val="24"/>
        </w:rPr>
        <w:t xml:space="preserve"> потребителей финансовых услуг</w:t>
      </w:r>
    </w:p>
    <w:p w14:paraId="597412D9" w14:textId="43BAB862" w:rsidR="008720DB" w:rsidRPr="00C37701" w:rsidRDefault="008720DB" w:rsidP="0097449D">
      <w:pPr>
        <w:spacing w:after="0" w:line="240" w:lineRule="auto"/>
        <w:ind w:firstLine="709"/>
        <w:contextualSpacing/>
        <w:jc w:val="both"/>
        <w:rPr>
          <w:rFonts w:ascii="Times New Roman" w:hAnsi="Times New Roman" w:cs="Times New Roman"/>
          <w:i/>
          <w:color w:val="000000"/>
          <w:sz w:val="24"/>
          <w:szCs w:val="24"/>
        </w:rPr>
      </w:pPr>
      <w:r w:rsidRPr="00C37701">
        <w:rPr>
          <w:rFonts w:ascii="Times New Roman" w:hAnsi="Times New Roman" w:cs="Times New Roman"/>
          <w:b/>
          <w:i/>
          <w:sz w:val="24"/>
          <w:szCs w:val="24"/>
        </w:rPr>
        <w:t>Целевой индикатор:</w:t>
      </w:r>
      <w:r w:rsidRPr="00C37701">
        <w:rPr>
          <w:rFonts w:ascii="Times New Roman" w:hAnsi="Times New Roman" w:cs="Times New Roman"/>
          <w:i/>
          <w:sz w:val="24"/>
          <w:szCs w:val="24"/>
        </w:rPr>
        <w:t xml:space="preserve"> </w:t>
      </w:r>
      <w:r w:rsidRPr="00C37701">
        <w:rPr>
          <w:rFonts w:ascii="Times New Roman" w:hAnsi="Times New Roman" w:cs="Times New Roman"/>
          <w:b/>
          <w:i/>
          <w:sz w:val="24"/>
          <w:szCs w:val="24"/>
          <w:lang w:val="kk-KZ"/>
        </w:rPr>
        <w:t xml:space="preserve">Доля потребителей, оказывающих доверие финансовому рынку, </w:t>
      </w:r>
      <w:r w:rsidRPr="00C37701">
        <w:rPr>
          <w:rFonts w:ascii="Times New Roman" w:hAnsi="Times New Roman" w:cs="Times New Roman"/>
          <w:i/>
          <w:sz w:val="24"/>
          <w:szCs w:val="24"/>
          <w:lang w:val="kk-KZ"/>
        </w:rPr>
        <w:t>(45% опрошенных)</w:t>
      </w:r>
    </w:p>
    <w:p w14:paraId="5503FE06" w14:textId="77777777" w:rsidR="008720DB" w:rsidRPr="00C37701" w:rsidRDefault="008720DB" w:rsidP="0097449D">
      <w:pPr>
        <w:spacing w:after="0" w:line="240" w:lineRule="auto"/>
        <w:ind w:firstLine="709"/>
        <w:contextualSpacing/>
        <w:jc w:val="both"/>
        <w:rPr>
          <w:rFonts w:ascii="Times New Roman" w:hAnsi="Times New Roman" w:cs="Times New Roman"/>
          <w:b/>
          <w:i/>
          <w:sz w:val="24"/>
          <w:szCs w:val="24"/>
        </w:rPr>
      </w:pPr>
      <w:r w:rsidRPr="00C37701">
        <w:rPr>
          <w:rFonts w:ascii="Times New Roman" w:hAnsi="Times New Roman" w:cs="Times New Roman"/>
          <w:b/>
          <w:bCs/>
          <w:i/>
          <w:iCs/>
          <w:sz w:val="24"/>
          <w:szCs w:val="24"/>
        </w:rPr>
        <w:t>Мероприятия для достижения целевого индикатора:</w:t>
      </w:r>
    </w:p>
    <w:p w14:paraId="15351B4D" w14:textId="77777777" w:rsidR="008720DB" w:rsidRPr="00C37701" w:rsidRDefault="008720DB"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i/>
          <w:sz w:val="24"/>
          <w:szCs w:val="24"/>
        </w:rPr>
        <w:t>Организация и проведение социологического опроса.</w:t>
      </w:r>
    </w:p>
    <w:p w14:paraId="31651AC3" w14:textId="77777777" w:rsidR="00F2659C" w:rsidRPr="00C37701" w:rsidRDefault="008720DB" w:rsidP="0097449D">
      <w:pPr>
        <w:spacing w:after="0" w:line="240" w:lineRule="auto"/>
        <w:ind w:firstLine="709"/>
        <w:jc w:val="both"/>
        <w:rPr>
          <w:rFonts w:ascii="Times New Roman" w:eastAsia="Calibri" w:hAnsi="Times New Roman" w:cs="Times New Roman"/>
          <w:sz w:val="24"/>
          <w:szCs w:val="24"/>
        </w:rPr>
      </w:pPr>
      <w:r w:rsidRPr="00C37701">
        <w:rPr>
          <w:rFonts w:ascii="Times New Roman" w:eastAsia="Calibri" w:hAnsi="Times New Roman" w:cs="Times New Roman"/>
          <w:sz w:val="24"/>
          <w:szCs w:val="24"/>
        </w:rPr>
        <w:t>В настоящее время ведется широкомасштабная информационно-разъяснительная и законотворческая работа, направленная на о</w:t>
      </w:r>
      <w:r w:rsidRPr="00C37701">
        <w:rPr>
          <w:rFonts w:ascii="Times New Roman" w:eastAsia="Calibri" w:hAnsi="Times New Roman" w:cs="Times New Roman"/>
          <w:color w:val="000000"/>
          <w:sz w:val="24"/>
          <w:szCs w:val="24"/>
        </w:rPr>
        <w:t>беспечение надлежащ</w:t>
      </w:r>
      <w:bookmarkStart w:id="0" w:name="_GoBack"/>
      <w:bookmarkEnd w:id="0"/>
      <w:r w:rsidRPr="00C37701">
        <w:rPr>
          <w:rFonts w:ascii="Times New Roman" w:eastAsia="Calibri" w:hAnsi="Times New Roman" w:cs="Times New Roman"/>
          <w:color w:val="000000"/>
          <w:sz w:val="24"/>
          <w:szCs w:val="24"/>
        </w:rPr>
        <w:t xml:space="preserve">его уровня защиты прав и законных интересов потребителей финансовых услуг и укрепление доверия населения к финансовому рынку страны. Учитывая то, что </w:t>
      </w:r>
      <w:r w:rsidRPr="00C37701">
        <w:rPr>
          <w:rFonts w:ascii="Times New Roman" w:hAnsi="Times New Roman" w:cs="Times New Roman"/>
          <w:color w:val="000000"/>
          <w:sz w:val="24"/>
          <w:szCs w:val="24"/>
          <w:lang w:eastAsia="ru-RU"/>
        </w:rPr>
        <w:t xml:space="preserve">Стратегический план Национального Банка предусмотрен на период 2017 - 2021 годы, проведение </w:t>
      </w:r>
      <w:r w:rsidRPr="00C37701">
        <w:rPr>
          <w:rFonts w:ascii="Times New Roman" w:eastAsia="Calibri" w:hAnsi="Times New Roman" w:cs="Times New Roman"/>
          <w:sz w:val="24"/>
          <w:szCs w:val="24"/>
        </w:rPr>
        <w:t>социологического опроса потребителей финансовых услуг и определение текущего уровня доверия потребителей финансовых услуг запланировано на 2020 и 2021 годы на базе вновь созданного Агентства РК по регулированию и развитию финансового рынка.</w:t>
      </w:r>
    </w:p>
    <w:p w14:paraId="5105B94E" w14:textId="77777777" w:rsidR="003E676C" w:rsidRDefault="003E676C" w:rsidP="0097449D">
      <w:pPr>
        <w:spacing w:after="0" w:line="240" w:lineRule="auto"/>
        <w:ind w:firstLine="709"/>
        <w:contextualSpacing/>
        <w:jc w:val="both"/>
        <w:rPr>
          <w:rFonts w:ascii="Times New Roman" w:hAnsi="Times New Roman" w:cs="Times New Roman"/>
          <w:b/>
          <w:i/>
          <w:color w:val="000000"/>
          <w:sz w:val="24"/>
          <w:szCs w:val="24"/>
        </w:rPr>
      </w:pPr>
    </w:p>
    <w:p w14:paraId="0EC070C0" w14:textId="77777777" w:rsidR="00F2659C" w:rsidRPr="00C37701" w:rsidRDefault="00F2659C" w:rsidP="0097449D">
      <w:pPr>
        <w:spacing w:after="0" w:line="240" w:lineRule="auto"/>
        <w:ind w:firstLine="709"/>
        <w:contextualSpacing/>
        <w:jc w:val="both"/>
        <w:rPr>
          <w:rFonts w:ascii="Times New Roman" w:hAnsi="Times New Roman" w:cs="Times New Roman"/>
          <w:i/>
          <w:color w:val="000000"/>
          <w:sz w:val="24"/>
          <w:szCs w:val="24"/>
        </w:rPr>
      </w:pPr>
      <w:r w:rsidRPr="00C37701">
        <w:rPr>
          <w:rFonts w:ascii="Times New Roman" w:hAnsi="Times New Roman" w:cs="Times New Roman"/>
          <w:b/>
          <w:i/>
          <w:color w:val="000000"/>
          <w:sz w:val="24"/>
          <w:szCs w:val="24"/>
        </w:rPr>
        <w:t>Цель 2.7.</w:t>
      </w:r>
      <w:r w:rsidRPr="00C37701">
        <w:rPr>
          <w:rFonts w:ascii="Times New Roman" w:hAnsi="Times New Roman" w:cs="Times New Roman"/>
          <w:i/>
          <w:color w:val="000000"/>
          <w:sz w:val="24"/>
          <w:szCs w:val="24"/>
        </w:rPr>
        <w:t xml:space="preserve"> </w:t>
      </w:r>
      <w:r w:rsidRPr="00C37701">
        <w:rPr>
          <w:rFonts w:ascii="Times New Roman" w:hAnsi="Times New Roman" w:cs="Times New Roman"/>
          <w:b/>
          <w:i/>
          <w:color w:val="000000"/>
          <w:sz w:val="24"/>
          <w:szCs w:val="24"/>
        </w:rPr>
        <w:t>Обеспечение функционирования платежных систем</w:t>
      </w:r>
      <w:r w:rsidRPr="00C37701">
        <w:rPr>
          <w:rFonts w:ascii="Times New Roman" w:hAnsi="Times New Roman" w:cs="Times New Roman"/>
          <w:i/>
          <w:color w:val="000000"/>
          <w:sz w:val="24"/>
          <w:szCs w:val="24"/>
        </w:rPr>
        <w:t xml:space="preserve"> </w:t>
      </w:r>
    </w:p>
    <w:p w14:paraId="07B23B4A" w14:textId="77777777" w:rsidR="00F2659C" w:rsidRPr="00C37701" w:rsidRDefault="00F2659C" w:rsidP="0097449D">
      <w:pPr>
        <w:spacing w:after="0" w:line="240" w:lineRule="auto"/>
        <w:ind w:firstLine="709"/>
        <w:contextualSpacing/>
        <w:jc w:val="both"/>
        <w:rPr>
          <w:rFonts w:ascii="Times New Roman" w:hAnsi="Times New Roman" w:cs="Times New Roman"/>
          <w:i/>
          <w:sz w:val="24"/>
          <w:szCs w:val="24"/>
        </w:rPr>
      </w:pPr>
      <w:r w:rsidRPr="00C37701">
        <w:rPr>
          <w:rFonts w:ascii="Times New Roman" w:hAnsi="Times New Roman" w:cs="Times New Roman"/>
          <w:b/>
          <w:i/>
          <w:color w:val="000000"/>
          <w:sz w:val="24"/>
          <w:szCs w:val="24"/>
        </w:rPr>
        <w:t>Целевой индикатор 1:</w:t>
      </w:r>
      <w:r w:rsidRPr="00C37701">
        <w:rPr>
          <w:rFonts w:ascii="Times New Roman" w:hAnsi="Times New Roman" w:cs="Times New Roman"/>
          <w:i/>
          <w:color w:val="000000"/>
          <w:sz w:val="24"/>
          <w:szCs w:val="24"/>
        </w:rPr>
        <w:t xml:space="preserve"> </w:t>
      </w:r>
      <w:r w:rsidRPr="00C37701">
        <w:rPr>
          <w:rFonts w:ascii="Times New Roman" w:hAnsi="Times New Roman" w:cs="Times New Roman"/>
          <w:b/>
          <w:i/>
          <w:iCs/>
          <w:sz w:val="24"/>
          <w:szCs w:val="24"/>
        </w:rPr>
        <w:t xml:space="preserve">Коэффициент работоспособности Межбанковской системы переводов денег за год </w:t>
      </w:r>
      <w:r w:rsidRPr="00C37701">
        <w:rPr>
          <w:rFonts w:ascii="Times New Roman" w:hAnsi="Times New Roman" w:cs="Times New Roman"/>
          <w:i/>
          <w:iCs/>
          <w:sz w:val="24"/>
          <w:szCs w:val="24"/>
        </w:rPr>
        <w:t>(не менее 95%).</w:t>
      </w:r>
    </w:p>
    <w:p w14:paraId="5B992893" w14:textId="77777777" w:rsidR="00F25E24" w:rsidRPr="00C37701" w:rsidRDefault="00F25E24" w:rsidP="0097449D">
      <w:pPr>
        <w:spacing w:after="0" w:line="240" w:lineRule="auto"/>
        <w:ind w:firstLine="709"/>
        <w:contextualSpacing/>
        <w:jc w:val="both"/>
        <w:rPr>
          <w:rFonts w:ascii="Times New Roman" w:hAnsi="Times New Roman" w:cs="Times New Roman"/>
          <w:spacing w:val="-6"/>
          <w:sz w:val="24"/>
          <w:szCs w:val="24"/>
        </w:rPr>
      </w:pPr>
      <w:r w:rsidRPr="00C37701">
        <w:rPr>
          <w:rFonts w:ascii="Times New Roman" w:hAnsi="Times New Roman" w:cs="Times New Roman"/>
          <w:spacing w:val="-6"/>
          <w:sz w:val="24"/>
          <w:szCs w:val="24"/>
        </w:rPr>
        <w:t>В 201</w:t>
      </w:r>
      <w:r w:rsidR="008C2682" w:rsidRPr="00C37701">
        <w:rPr>
          <w:rFonts w:ascii="Times New Roman" w:hAnsi="Times New Roman" w:cs="Times New Roman"/>
          <w:spacing w:val="-6"/>
          <w:sz w:val="24"/>
          <w:szCs w:val="24"/>
        </w:rPr>
        <w:t>9</w:t>
      </w:r>
      <w:r w:rsidRPr="00C37701">
        <w:rPr>
          <w:rFonts w:ascii="Times New Roman" w:hAnsi="Times New Roman" w:cs="Times New Roman"/>
          <w:spacing w:val="-6"/>
          <w:sz w:val="24"/>
          <w:szCs w:val="24"/>
        </w:rPr>
        <w:t xml:space="preserve"> году коэффициент работоспособности Межбанковской системы переводов денег (МСПД) </w:t>
      </w:r>
      <w:r w:rsidR="00614803" w:rsidRPr="00C37701">
        <w:rPr>
          <w:rFonts w:ascii="Times New Roman" w:hAnsi="Times New Roman" w:cs="Times New Roman"/>
          <w:spacing w:val="-6"/>
          <w:sz w:val="24"/>
          <w:szCs w:val="24"/>
        </w:rPr>
        <w:t>составил 99</w:t>
      </w:r>
      <w:r w:rsidRPr="00C37701">
        <w:rPr>
          <w:rFonts w:ascii="Times New Roman" w:hAnsi="Times New Roman" w:cs="Times New Roman"/>
          <w:spacing w:val="-6"/>
          <w:sz w:val="24"/>
          <w:szCs w:val="24"/>
        </w:rPr>
        <w:t>,99%, что характеризует высокую эффективность функционирования указанной платежной системы.</w:t>
      </w:r>
    </w:p>
    <w:p w14:paraId="1DB66D11" w14:textId="77777777" w:rsidR="00F25E24" w:rsidRPr="00C37701" w:rsidRDefault="00F25E24" w:rsidP="0097449D">
      <w:pPr>
        <w:spacing w:after="0" w:line="240" w:lineRule="auto"/>
        <w:ind w:firstLine="709"/>
        <w:contextualSpacing/>
        <w:jc w:val="both"/>
        <w:rPr>
          <w:rFonts w:ascii="Times New Roman" w:hAnsi="Times New Roman" w:cs="Times New Roman"/>
          <w:i/>
          <w:iCs/>
          <w:sz w:val="24"/>
          <w:szCs w:val="24"/>
        </w:rPr>
      </w:pPr>
      <w:r w:rsidRPr="00C37701">
        <w:rPr>
          <w:rFonts w:ascii="Times New Roman" w:hAnsi="Times New Roman" w:cs="Times New Roman"/>
          <w:b/>
          <w:i/>
          <w:color w:val="000000"/>
          <w:sz w:val="24"/>
          <w:szCs w:val="24"/>
        </w:rPr>
        <w:t>Целевой индикатор 2:</w:t>
      </w:r>
      <w:r w:rsidRPr="00C37701">
        <w:rPr>
          <w:rFonts w:ascii="Times New Roman" w:hAnsi="Times New Roman" w:cs="Times New Roman"/>
          <w:i/>
          <w:color w:val="000000"/>
          <w:sz w:val="24"/>
          <w:szCs w:val="24"/>
        </w:rPr>
        <w:t xml:space="preserve"> </w:t>
      </w:r>
      <w:r w:rsidRPr="00C37701">
        <w:rPr>
          <w:rFonts w:ascii="Times New Roman" w:hAnsi="Times New Roman" w:cs="Times New Roman"/>
          <w:b/>
          <w:i/>
          <w:iCs/>
          <w:sz w:val="24"/>
          <w:szCs w:val="24"/>
        </w:rPr>
        <w:t xml:space="preserve">Коэффициент работоспособности Системы </w:t>
      </w:r>
      <w:proofErr w:type="gramStart"/>
      <w:r w:rsidRPr="00C37701">
        <w:rPr>
          <w:rFonts w:ascii="Times New Roman" w:hAnsi="Times New Roman" w:cs="Times New Roman"/>
          <w:b/>
          <w:i/>
          <w:iCs/>
          <w:sz w:val="24"/>
          <w:szCs w:val="24"/>
        </w:rPr>
        <w:t>межбанковского  клиринга</w:t>
      </w:r>
      <w:proofErr w:type="gramEnd"/>
      <w:r w:rsidRPr="00C37701">
        <w:rPr>
          <w:rFonts w:ascii="Times New Roman" w:hAnsi="Times New Roman" w:cs="Times New Roman"/>
          <w:b/>
          <w:i/>
          <w:iCs/>
          <w:sz w:val="24"/>
          <w:szCs w:val="24"/>
        </w:rPr>
        <w:t xml:space="preserve"> за год </w:t>
      </w:r>
      <w:r w:rsidRPr="00C37701">
        <w:rPr>
          <w:rFonts w:ascii="Times New Roman" w:hAnsi="Times New Roman" w:cs="Times New Roman"/>
          <w:i/>
          <w:iCs/>
          <w:sz w:val="24"/>
          <w:szCs w:val="24"/>
        </w:rPr>
        <w:t>(не менее 95%).</w:t>
      </w:r>
    </w:p>
    <w:p w14:paraId="7A82DA99" w14:textId="77777777" w:rsidR="00F25E24" w:rsidRPr="00C37701" w:rsidRDefault="00F25E24" w:rsidP="0097449D">
      <w:pPr>
        <w:spacing w:after="0" w:line="240" w:lineRule="auto"/>
        <w:ind w:firstLine="709"/>
        <w:contextualSpacing/>
        <w:jc w:val="both"/>
        <w:rPr>
          <w:rFonts w:ascii="Times New Roman" w:hAnsi="Times New Roman" w:cs="Times New Roman"/>
          <w:spacing w:val="-6"/>
          <w:sz w:val="24"/>
          <w:szCs w:val="24"/>
        </w:rPr>
      </w:pPr>
      <w:r w:rsidRPr="00C37701">
        <w:rPr>
          <w:rFonts w:ascii="Times New Roman" w:hAnsi="Times New Roman" w:cs="Times New Roman"/>
          <w:spacing w:val="-6"/>
          <w:sz w:val="24"/>
          <w:szCs w:val="24"/>
        </w:rPr>
        <w:t>В 201</w:t>
      </w:r>
      <w:r w:rsidR="008C2682" w:rsidRPr="00C37701">
        <w:rPr>
          <w:rFonts w:ascii="Times New Roman" w:hAnsi="Times New Roman" w:cs="Times New Roman"/>
          <w:spacing w:val="-6"/>
          <w:sz w:val="24"/>
          <w:szCs w:val="24"/>
        </w:rPr>
        <w:t>9</w:t>
      </w:r>
      <w:r w:rsidRPr="00C37701">
        <w:rPr>
          <w:rFonts w:ascii="Times New Roman" w:hAnsi="Times New Roman" w:cs="Times New Roman"/>
          <w:spacing w:val="-6"/>
          <w:sz w:val="24"/>
          <w:szCs w:val="24"/>
        </w:rPr>
        <w:t xml:space="preserve"> году коэффициент работоспособности Системы межбанковского клиринга (СМК) составил 99,99%, что характеризует высокую эффективность функционирования указанной платежной системы.</w:t>
      </w:r>
    </w:p>
    <w:p w14:paraId="09090CFB" w14:textId="77777777" w:rsidR="00F25E24" w:rsidRPr="00C37701" w:rsidRDefault="00F25E24" w:rsidP="0097449D">
      <w:pPr>
        <w:spacing w:after="0" w:line="240" w:lineRule="auto"/>
        <w:ind w:firstLine="709"/>
        <w:contextualSpacing/>
        <w:jc w:val="both"/>
        <w:rPr>
          <w:rFonts w:ascii="Times New Roman" w:hAnsi="Times New Roman" w:cs="Times New Roman"/>
          <w:b/>
          <w:i/>
          <w:iCs/>
          <w:sz w:val="24"/>
          <w:szCs w:val="24"/>
        </w:rPr>
      </w:pPr>
      <w:r w:rsidRPr="00C37701">
        <w:rPr>
          <w:rFonts w:ascii="Times New Roman" w:hAnsi="Times New Roman" w:cs="Times New Roman"/>
          <w:b/>
          <w:i/>
          <w:iCs/>
          <w:sz w:val="24"/>
          <w:szCs w:val="24"/>
        </w:rPr>
        <w:t>Мероприятия для достижения целевых индикаторов:</w:t>
      </w:r>
    </w:p>
    <w:p w14:paraId="3B43B427" w14:textId="77777777" w:rsidR="00F25E24" w:rsidRPr="00C37701" w:rsidRDefault="00F25E24" w:rsidP="0097449D">
      <w:pPr>
        <w:spacing w:after="0" w:line="240" w:lineRule="auto"/>
        <w:ind w:firstLine="709"/>
        <w:contextualSpacing/>
        <w:jc w:val="both"/>
        <w:rPr>
          <w:rFonts w:ascii="Times New Roman" w:hAnsi="Times New Roman" w:cs="Times New Roman"/>
          <w:i/>
          <w:iCs/>
          <w:sz w:val="24"/>
          <w:szCs w:val="24"/>
        </w:rPr>
      </w:pPr>
      <w:r w:rsidRPr="00C37701">
        <w:rPr>
          <w:rFonts w:ascii="Times New Roman" w:hAnsi="Times New Roman" w:cs="Times New Roman"/>
          <w:i/>
          <w:iCs/>
          <w:sz w:val="24"/>
          <w:szCs w:val="24"/>
        </w:rPr>
        <w:t>Проведение совместно с КЦМР плановых (тестовых) мероприятий по переводу платежных систем на программно-технический комплекс резервного центра</w:t>
      </w:r>
    </w:p>
    <w:p w14:paraId="2F631423" w14:textId="7CADF8E8" w:rsidR="00F25E24" w:rsidRPr="00C37701" w:rsidRDefault="00F25E24" w:rsidP="0097449D">
      <w:pPr>
        <w:spacing w:after="0" w:line="240" w:lineRule="auto"/>
        <w:ind w:firstLine="709"/>
        <w:contextualSpacing/>
        <w:jc w:val="both"/>
        <w:rPr>
          <w:rFonts w:ascii="Times New Roman" w:hAnsi="Times New Roman" w:cs="Times New Roman"/>
          <w:iCs/>
          <w:sz w:val="24"/>
          <w:szCs w:val="24"/>
        </w:rPr>
      </w:pPr>
      <w:r w:rsidRPr="00C37701">
        <w:rPr>
          <w:rFonts w:ascii="Times New Roman" w:hAnsi="Times New Roman" w:cs="Times New Roman"/>
          <w:iCs/>
          <w:sz w:val="24"/>
          <w:szCs w:val="24"/>
        </w:rPr>
        <w:t>В 201</w:t>
      </w:r>
      <w:r w:rsidR="008C2682" w:rsidRPr="00C37701">
        <w:rPr>
          <w:rFonts w:ascii="Times New Roman" w:hAnsi="Times New Roman" w:cs="Times New Roman"/>
          <w:iCs/>
          <w:sz w:val="24"/>
          <w:szCs w:val="24"/>
        </w:rPr>
        <w:t>9</w:t>
      </w:r>
      <w:r w:rsidRPr="00C37701">
        <w:rPr>
          <w:rFonts w:ascii="Times New Roman" w:hAnsi="Times New Roman" w:cs="Times New Roman"/>
          <w:iCs/>
          <w:sz w:val="24"/>
          <w:szCs w:val="24"/>
        </w:rPr>
        <w:t xml:space="preserve"> году </w:t>
      </w:r>
      <w:r w:rsidR="008C2682" w:rsidRPr="00C37701">
        <w:rPr>
          <w:rFonts w:ascii="Times New Roman" w:hAnsi="Times New Roman" w:cs="Times New Roman"/>
          <w:iCs/>
          <w:sz w:val="24"/>
          <w:szCs w:val="24"/>
        </w:rPr>
        <w:t xml:space="preserve">были </w:t>
      </w:r>
      <w:r w:rsidRPr="00C37701">
        <w:rPr>
          <w:rFonts w:ascii="Times New Roman" w:hAnsi="Times New Roman" w:cs="Times New Roman"/>
          <w:iCs/>
          <w:sz w:val="24"/>
          <w:szCs w:val="24"/>
        </w:rPr>
        <w:t>проведен</w:t>
      </w:r>
      <w:r w:rsidR="008C2682" w:rsidRPr="00C37701">
        <w:rPr>
          <w:rFonts w:ascii="Times New Roman" w:hAnsi="Times New Roman" w:cs="Times New Roman"/>
          <w:iCs/>
          <w:sz w:val="24"/>
          <w:szCs w:val="24"/>
        </w:rPr>
        <w:t>ы</w:t>
      </w:r>
      <w:r w:rsidRPr="00C37701">
        <w:rPr>
          <w:rFonts w:ascii="Times New Roman" w:hAnsi="Times New Roman" w:cs="Times New Roman"/>
          <w:iCs/>
          <w:sz w:val="24"/>
          <w:szCs w:val="24"/>
        </w:rPr>
        <w:t xml:space="preserve"> мероприяти</w:t>
      </w:r>
      <w:r w:rsidR="008C2682" w:rsidRPr="00C37701">
        <w:rPr>
          <w:rFonts w:ascii="Times New Roman" w:hAnsi="Times New Roman" w:cs="Times New Roman"/>
          <w:iCs/>
          <w:sz w:val="24"/>
          <w:szCs w:val="24"/>
        </w:rPr>
        <w:t>я</w:t>
      </w:r>
      <w:r w:rsidRPr="00C37701">
        <w:rPr>
          <w:rFonts w:ascii="Times New Roman" w:hAnsi="Times New Roman" w:cs="Times New Roman"/>
          <w:iCs/>
          <w:sz w:val="24"/>
          <w:szCs w:val="24"/>
        </w:rPr>
        <w:t xml:space="preserve"> по переводу платежных систем на программно-технический комплекс резервного центра. Перевод платежных систем на программно-технический комплекс резервного центра</w:t>
      </w:r>
      <w:r w:rsidR="008C2682" w:rsidRPr="00C37701">
        <w:rPr>
          <w:rFonts w:ascii="Times New Roman" w:hAnsi="Times New Roman" w:cs="Times New Roman"/>
          <w:iCs/>
          <w:sz w:val="24"/>
          <w:szCs w:val="24"/>
        </w:rPr>
        <w:t xml:space="preserve"> были </w:t>
      </w:r>
      <w:r w:rsidRPr="00C37701">
        <w:rPr>
          <w:rFonts w:ascii="Times New Roman" w:hAnsi="Times New Roman" w:cs="Times New Roman"/>
          <w:iCs/>
          <w:sz w:val="24"/>
          <w:szCs w:val="24"/>
        </w:rPr>
        <w:t>осуществлен</w:t>
      </w:r>
      <w:r w:rsidR="008C2682" w:rsidRPr="00C37701">
        <w:rPr>
          <w:rFonts w:ascii="Times New Roman" w:hAnsi="Times New Roman" w:cs="Times New Roman"/>
          <w:iCs/>
          <w:sz w:val="24"/>
          <w:szCs w:val="24"/>
        </w:rPr>
        <w:t>ы</w:t>
      </w:r>
      <w:r w:rsidRPr="00C37701">
        <w:rPr>
          <w:rFonts w:ascii="Times New Roman" w:hAnsi="Times New Roman" w:cs="Times New Roman"/>
          <w:iCs/>
          <w:sz w:val="24"/>
          <w:szCs w:val="24"/>
        </w:rPr>
        <w:t xml:space="preserve"> </w:t>
      </w:r>
      <w:r w:rsidR="009371E6">
        <w:rPr>
          <w:rFonts w:ascii="Times New Roman" w:hAnsi="Times New Roman" w:cs="Times New Roman"/>
          <w:iCs/>
          <w:sz w:val="24"/>
          <w:szCs w:val="24"/>
          <w:lang w:val="kk-KZ"/>
        </w:rPr>
        <w:t xml:space="preserve">01 июня </w:t>
      </w:r>
      <w:r w:rsidRPr="00C37701">
        <w:rPr>
          <w:rFonts w:ascii="Times New Roman" w:hAnsi="Times New Roman" w:cs="Times New Roman"/>
          <w:iCs/>
          <w:sz w:val="24"/>
          <w:szCs w:val="24"/>
        </w:rPr>
        <w:t>201</w:t>
      </w:r>
      <w:r w:rsidR="008C2682" w:rsidRPr="00C37701">
        <w:rPr>
          <w:rFonts w:ascii="Times New Roman" w:hAnsi="Times New Roman" w:cs="Times New Roman"/>
          <w:iCs/>
          <w:sz w:val="24"/>
          <w:szCs w:val="24"/>
          <w:lang w:val="kk-KZ"/>
        </w:rPr>
        <w:t>9</w:t>
      </w:r>
      <w:r w:rsidR="009371E6">
        <w:rPr>
          <w:rFonts w:ascii="Times New Roman" w:hAnsi="Times New Roman" w:cs="Times New Roman"/>
          <w:iCs/>
          <w:sz w:val="24"/>
          <w:szCs w:val="24"/>
          <w:lang w:val="kk-KZ"/>
        </w:rPr>
        <w:t xml:space="preserve"> года и 13 декабря </w:t>
      </w:r>
      <w:r w:rsidR="008C2682" w:rsidRPr="00C37701">
        <w:rPr>
          <w:rFonts w:ascii="Times New Roman" w:hAnsi="Times New Roman" w:cs="Times New Roman"/>
          <w:iCs/>
          <w:sz w:val="24"/>
          <w:szCs w:val="24"/>
          <w:lang w:val="kk-KZ"/>
        </w:rPr>
        <w:t>2019</w:t>
      </w:r>
      <w:r w:rsidR="009371E6">
        <w:rPr>
          <w:rFonts w:ascii="Times New Roman" w:hAnsi="Times New Roman" w:cs="Times New Roman"/>
          <w:iCs/>
          <w:sz w:val="24"/>
          <w:szCs w:val="24"/>
          <w:lang w:val="kk-KZ"/>
        </w:rPr>
        <w:t xml:space="preserve"> года</w:t>
      </w:r>
      <w:r w:rsidR="008C2682" w:rsidRPr="00C37701">
        <w:rPr>
          <w:rFonts w:ascii="Times New Roman" w:hAnsi="Times New Roman" w:cs="Times New Roman"/>
          <w:iCs/>
          <w:sz w:val="24"/>
          <w:szCs w:val="24"/>
          <w:lang w:val="kk-KZ"/>
        </w:rPr>
        <w:t xml:space="preserve">. </w:t>
      </w:r>
      <w:r w:rsidRPr="00C37701">
        <w:rPr>
          <w:rFonts w:ascii="Times New Roman" w:hAnsi="Times New Roman" w:cs="Times New Roman"/>
          <w:iCs/>
          <w:sz w:val="24"/>
          <w:szCs w:val="24"/>
        </w:rPr>
        <w:t>Обратный перевод на сервера основного центра</w:t>
      </w:r>
      <w:r w:rsidR="008C2682" w:rsidRPr="00C37701">
        <w:rPr>
          <w:rFonts w:ascii="Times New Roman" w:hAnsi="Times New Roman" w:cs="Times New Roman"/>
          <w:iCs/>
          <w:sz w:val="24"/>
          <w:szCs w:val="24"/>
        </w:rPr>
        <w:t xml:space="preserve"> были</w:t>
      </w:r>
      <w:r w:rsidRPr="00C37701">
        <w:rPr>
          <w:rFonts w:ascii="Times New Roman" w:hAnsi="Times New Roman" w:cs="Times New Roman"/>
          <w:iCs/>
          <w:sz w:val="24"/>
          <w:szCs w:val="24"/>
        </w:rPr>
        <w:t xml:space="preserve"> проведен</w:t>
      </w:r>
      <w:r w:rsidR="008C2682" w:rsidRPr="00C37701">
        <w:rPr>
          <w:rFonts w:ascii="Times New Roman" w:hAnsi="Times New Roman" w:cs="Times New Roman"/>
          <w:iCs/>
          <w:sz w:val="24"/>
          <w:szCs w:val="24"/>
        </w:rPr>
        <w:t>ы</w:t>
      </w:r>
      <w:r w:rsidRPr="00C37701">
        <w:rPr>
          <w:rFonts w:ascii="Times New Roman" w:hAnsi="Times New Roman" w:cs="Times New Roman"/>
          <w:iCs/>
          <w:sz w:val="24"/>
          <w:szCs w:val="24"/>
        </w:rPr>
        <w:t xml:space="preserve"> </w:t>
      </w:r>
      <w:r w:rsidR="008C2682" w:rsidRPr="00C37701">
        <w:rPr>
          <w:rFonts w:ascii="Times New Roman" w:hAnsi="Times New Roman" w:cs="Times New Roman"/>
          <w:iCs/>
          <w:sz w:val="24"/>
          <w:szCs w:val="24"/>
          <w:lang w:val="kk-KZ"/>
        </w:rPr>
        <w:t>18</w:t>
      </w:r>
      <w:r w:rsidR="009371E6">
        <w:rPr>
          <w:rFonts w:ascii="Times New Roman" w:hAnsi="Times New Roman" w:cs="Times New Roman"/>
          <w:iCs/>
          <w:sz w:val="24"/>
          <w:szCs w:val="24"/>
          <w:lang w:val="kk-KZ"/>
        </w:rPr>
        <w:t xml:space="preserve"> октября </w:t>
      </w:r>
      <w:r w:rsidR="006709D1" w:rsidRPr="00C37701">
        <w:rPr>
          <w:rFonts w:ascii="Times New Roman" w:hAnsi="Times New Roman" w:cs="Times New Roman"/>
          <w:iCs/>
          <w:sz w:val="24"/>
          <w:szCs w:val="24"/>
          <w:lang w:val="kk-KZ"/>
        </w:rPr>
        <w:t>2019</w:t>
      </w:r>
      <w:r w:rsidR="009371E6">
        <w:rPr>
          <w:rFonts w:ascii="Times New Roman" w:hAnsi="Times New Roman" w:cs="Times New Roman"/>
          <w:iCs/>
          <w:sz w:val="24"/>
          <w:szCs w:val="24"/>
          <w:lang w:val="kk-KZ"/>
        </w:rPr>
        <w:t xml:space="preserve"> </w:t>
      </w:r>
      <w:r w:rsidR="006709D1" w:rsidRPr="00C37701">
        <w:rPr>
          <w:rFonts w:ascii="Times New Roman" w:hAnsi="Times New Roman" w:cs="Times New Roman"/>
          <w:iCs/>
          <w:sz w:val="24"/>
          <w:szCs w:val="24"/>
          <w:lang w:val="kk-KZ"/>
        </w:rPr>
        <w:t>г</w:t>
      </w:r>
      <w:r w:rsidR="009371E6">
        <w:rPr>
          <w:rFonts w:ascii="Times New Roman" w:hAnsi="Times New Roman" w:cs="Times New Roman"/>
          <w:iCs/>
          <w:sz w:val="24"/>
          <w:szCs w:val="24"/>
          <w:lang w:val="kk-KZ"/>
        </w:rPr>
        <w:t>ода</w:t>
      </w:r>
      <w:r w:rsidR="00D64116">
        <w:rPr>
          <w:rFonts w:ascii="Times New Roman" w:hAnsi="Times New Roman" w:cs="Times New Roman"/>
          <w:iCs/>
          <w:sz w:val="24"/>
          <w:szCs w:val="24"/>
          <w:lang w:val="kk-KZ"/>
        </w:rPr>
        <w:t xml:space="preserve">                             и </w:t>
      </w:r>
      <w:r w:rsidR="009371E6">
        <w:rPr>
          <w:rFonts w:ascii="Times New Roman" w:hAnsi="Times New Roman" w:cs="Times New Roman"/>
          <w:iCs/>
          <w:sz w:val="24"/>
          <w:szCs w:val="24"/>
          <w:lang w:val="kk-KZ"/>
        </w:rPr>
        <w:t xml:space="preserve">20 декабря </w:t>
      </w:r>
      <w:r w:rsidR="006709D1" w:rsidRPr="00C37701">
        <w:rPr>
          <w:rFonts w:ascii="Times New Roman" w:hAnsi="Times New Roman" w:cs="Times New Roman"/>
          <w:iCs/>
          <w:sz w:val="24"/>
          <w:szCs w:val="24"/>
          <w:lang w:val="kk-KZ"/>
        </w:rPr>
        <w:t>2019</w:t>
      </w:r>
      <w:r w:rsidR="009371E6">
        <w:rPr>
          <w:rFonts w:ascii="Times New Roman" w:hAnsi="Times New Roman" w:cs="Times New Roman"/>
          <w:iCs/>
          <w:sz w:val="24"/>
          <w:szCs w:val="24"/>
          <w:lang w:val="kk-KZ"/>
        </w:rPr>
        <w:t xml:space="preserve"> </w:t>
      </w:r>
      <w:r w:rsidR="006709D1" w:rsidRPr="00C37701">
        <w:rPr>
          <w:rFonts w:ascii="Times New Roman" w:hAnsi="Times New Roman" w:cs="Times New Roman"/>
          <w:iCs/>
          <w:sz w:val="24"/>
          <w:szCs w:val="24"/>
          <w:lang w:val="kk-KZ"/>
        </w:rPr>
        <w:t>г</w:t>
      </w:r>
      <w:r w:rsidR="009371E6">
        <w:rPr>
          <w:rFonts w:ascii="Times New Roman" w:hAnsi="Times New Roman" w:cs="Times New Roman"/>
          <w:iCs/>
          <w:sz w:val="24"/>
          <w:szCs w:val="24"/>
          <w:lang w:val="kk-KZ"/>
        </w:rPr>
        <w:t>ода</w:t>
      </w:r>
      <w:r w:rsidR="006709D1" w:rsidRPr="00C37701">
        <w:rPr>
          <w:rFonts w:ascii="Times New Roman" w:hAnsi="Times New Roman" w:cs="Times New Roman"/>
          <w:iCs/>
          <w:sz w:val="24"/>
          <w:szCs w:val="24"/>
          <w:lang w:val="kk-KZ"/>
        </w:rPr>
        <w:t xml:space="preserve"> соответственно</w:t>
      </w:r>
      <w:r w:rsidR="003E676C">
        <w:rPr>
          <w:rFonts w:ascii="Times New Roman" w:hAnsi="Times New Roman" w:cs="Times New Roman"/>
          <w:iCs/>
          <w:sz w:val="24"/>
          <w:szCs w:val="24"/>
          <w:lang w:val="kk-KZ"/>
        </w:rPr>
        <w:t>.</w:t>
      </w:r>
    </w:p>
    <w:p w14:paraId="07083FA3" w14:textId="77777777" w:rsidR="006346A7" w:rsidRPr="00C37701" w:rsidRDefault="00F25E24" w:rsidP="0097449D">
      <w:pPr>
        <w:spacing w:after="0" w:line="240" w:lineRule="auto"/>
        <w:ind w:firstLine="709"/>
        <w:contextualSpacing/>
        <w:jc w:val="both"/>
        <w:rPr>
          <w:rFonts w:ascii="Times New Roman" w:hAnsi="Times New Roman" w:cs="Times New Roman"/>
          <w:iCs/>
          <w:sz w:val="24"/>
          <w:szCs w:val="24"/>
        </w:rPr>
      </w:pPr>
      <w:r w:rsidRPr="00C37701">
        <w:rPr>
          <w:rFonts w:ascii="Times New Roman" w:hAnsi="Times New Roman" w:cs="Times New Roman"/>
          <w:iCs/>
          <w:sz w:val="24"/>
          <w:szCs w:val="24"/>
        </w:rPr>
        <w:t>Проблем в работе программного обеспечения и оборудования при переходах отмечено не было.</w:t>
      </w:r>
    </w:p>
    <w:p w14:paraId="627DF72D" w14:textId="77777777" w:rsidR="00F25E24" w:rsidRPr="00C37701" w:rsidRDefault="00F25E24" w:rsidP="0097449D">
      <w:pPr>
        <w:spacing w:after="0" w:line="240" w:lineRule="auto"/>
        <w:ind w:firstLine="709"/>
        <w:contextualSpacing/>
        <w:jc w:val="both"/>
        <w:rPr>
          <w:rFonts w:ascii="Times New Roman" w:hAnsi="Times New Roman" w:cs="Times New Roman"/>
          <w:iCs/>
          <w:sz w:val="24"/>
          <w:szCs w:val="24"/>
        </w:rPr>
      </w:pPr>
    </w:p>
    <w:p w14:paraId="15806493" w14:textId="77777777" w:rsidR="006346A7" w:rsidRPr="00C37701" w:rsidRDefault="006346A7" w:rsidP="0097449D">
      <w:pPr>
        <w:spacing w:after="0" w:line="240" w:lineRule="auto"/>
        <w:ind w:firstLine="709"/>
        <w:contextualSpacing/>
        <w:jc w:val="center"/>
        <w:rPr>
          <w:rFonts w:ascii="Times New Roman" w:hAnsi="Times New Roman" w:cs="Times New Roman"/>
          <w:b/>
          <w:sz w:val="24"/>
          <w:szCs w:val="24"/>
        </w:rPr>
      </w:pPr>
      <w:r w:rsidRPr="00C37701">
        <w:rPr>
          <w:rFonts w:ascii="Times New Roman" w:hAnsi="Times New Roman" w:cs="Times New Roman"/>
          <w:b/>
          <w:sz w:val="24"/>
          <w:szCs w:val="24"/>
        </w:rPr>
        <w:lastRenderedPageBreak/>
        <w:t>Выводы об итогах реализации Стратегического плана</w:t>
      </w:r>
    </w:p>
    <w:p w14:paraId="799F0C1A" w14:textId="77777777" w:rsidR="006346A7" w:rsidRPr="00C37701" w:rsidRDefault="006346A7" w:rsidP="0097449D">
      <w:pPr>
        <w:spacing w:after="0" w:line="240" w:lineRule="auto"/>
        <w:ind w:firstLine="709"/>
        <w:contextualSpacing/>
        <w:jc w:val="both"/>
        <w:rPr>
          <w:rFonts w:ascii="Times New Roman" w:hAnsi="Times New Roman" w:cs="Times New Roman"/>
          <w:sz w:val="24"/>
          <w:szCs w:val="24"/>
        </w:rPr>
      </w:pPr>
    </w:p>
    <w:p w14:paraId="65A04431" w14:textId="77777777" w:rsidR="006346A7" w:rsidRPr="00C37701" w:rsidRDefault="006346A7"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Результаты проведенного анализа свидетельствуют о том, что </w:t>
      </w:r>
      <w:r w:rsidR="002E0F16" w:rsidRPr="00C37701">
        <w:rPr>
          <w:rFonts w:ascii="Times New Roman" w:hAnsi="Times New Roman" w:cs="Times New Roman"/>
          <w:sz w:val="24"/>
          <w:szCs w:val="24"/>
        </w:rPr>
        <w:t>Н</w:t>
      </w:r>
      <w:r w:rsidR="0079166B" w:rsidRPr="00C37701">
        <w:rPr>
          <w:rFonts w:ascii="Times New Roman" w:hAnsi="Times New Roman" w:cs="Times New Roman"/>
          <w:sz w:val="24"/>
          <w:szCs w:val="24"/>
        </w:rPr>
        <w:t>ациональным Банком</w:t>
      </w:r>
      <w:r w:rsidRPr="00C37701">
        <w:rPr>
          <w:rFonts w:ascii="Times New Roman" w:hAnsi="Times New Roman" w:cs="Times New Roman"/>
          <w:sz w:val="24"/>
          <w:szCs w:val="24"/>
        </w:rPr>
        <w:t xml:space="preserve"> за 201</w:t>
      </w:r>
      <w:r w:rsidR="009B0A55" w:rsidRPr="00C37701">
        <w:rPr>
          <w:rFonts w:ascii="Times New Roman" w:hAnsi="Times New Roman" w:cs="Times New Roman"/>
          <w:sz w:val="24"/>
          <w:szCs w:val="24"/>
        </w:rPr>
        <w:t>9</w:t>
      </w:r>
      <w:r w:rsidRPr="00C37701">
        <w:rPr>
          <w:rFonts w:ascii="Times New Roman" w:hAnsi="Times New Roman" w:cs="Times New Roman"/>
          <w:sz w:val="24"/>
          <w:szCs w:val="24"/>
        </w:rPr>
        <w:t xml:space="preserve"> год в целом выполнены запланированные цели и целевые индикаторы по</w:t>
      </w:r>
      <w:r w:rsidR="00E1087E" w:rsidRPr="00C37701">
        <w:rPr>
          <w:rFonts w:ascii="Times New Roman" w:hAnsi="Times New Roman" w:cs="Times New Roman"/>
          <w:sz w:val="24"/>
          <w:szCs w:val="24"/>
        </w:rPr>
        <w:t xml:space="preserve"> основным </w:t>
      </w:r>
      <w:r w:rsidRPr="00C37701">
        <w:rPr>
          <w:rFonts w:ascii="Times New Roman" w:hAnsi="Times New Roman" w:cs="Times New Roman"/>
          <w:sz w:val="24"/>
          <w:szCs w:val="24"/>
        </w:rPr>
        <w:t xml:space="preserve">стратегическим направлениям деятельности </w:t>
      </w:r>
      <w:r w:rsidR="002E0F16" w:rsidRPr="00C37701">
        <w:rPr>
          <w:rFonts w:ascii="Times New Roman" w:hAnsi="Times New Roman" w:cs="Times New Roman"/>
          <w:sz w:val="24"/>
          <w:szCs w:val="24"/>
        </w:rPr>
        <w:t>Н</w:t>
      </w:r>
      <w:r w:rsidR="0079166B" w:rsidRPr="00C37701">
        <w:rPr>
          <w:rFonts w:ascii="Times New Roman" w:hAnsi="Times New Roman" w:cs="Times New Roman"/>
          <w:sz w:val="24"/>
          <w:szCs w:val="24"/>
        </w:rPr>
        <w:t>ационального Банка</w:t>
      </w:r>
      <w:r w:rsidRPr="00C37701">
        <w:rPr>
          <w:rFonts w:ascii="Times New Roman" w:hAnsi="Times New Roman" w:cs="Times New Roman"/>
          <w:sz w:val="24"/>
          <w:szCs w:val="24"/>
        </w:rPr>
        <w:t xml:space="preserve">, отраженным в Стратегическом плане </w:t>
      </w:r>
      <w:r w:rsidR="002E0F16" w:rsidRPr="00C37701">
        <w:rPr>
          <w:rFonts w:ascii="Times New Roman" w:hAnsi="Times New Roman" w:cs="Times New Roman"/>
          <w:sz w:val="24"/>
          <w:szCs w:val="24"/>
        </w:rPr>
        <w:t>Н</w:t>
      </w:r>
      <w:r w:rsidR="0079166B" w:rsidRPr="00C37701">
        <w:rPr>
          <w:rFonts w:ascii="Times New Roman" w:hAnsi="Times New Roman" w:cs="Times New Roman"/>
          <w:sz w:val="24"/>
          <w:szCs w:val="24"/>
        </w:rPr>
        <w:t>ационального Банка</w:t>
      </w:r>
      <w:r w:rsidRPr="00C37701">
        <w:rPr>
          <w:rFonts w:ascii="Times New Roman" w:hAnsi="Times New Roman" w:cs="Times New Roman"/>
          <w:sz w:val="24"/>
          <w:szCs w:val="24"/>
        </w:rPr>
        <w:t xml:space="preserve"> на 201</w:t>
      </w:r>
      <w:r w:rsidR="00E36986" w:rsidRPr="00C37701">
        <w:rPr>
          <w:rFonts w:ascii="Times New Roman" w:hAnsi="Times New Roman" w:cs="Times New Roman"/>
          <w:sz w:val="24"/>
          <w:szCs w:val="24"/>
        </w:rPr>
        <w:t>7</w:t>
      </w:r>
      <w:r w:rsidRPr="00C37701">
        <w:rPr>
          <w:rFonts w:ascii="Times New Roman" w:hAnsi="Times New Roman" w:cs="Times New Roman"/>
          <w:sz w:val="24"/>
          <w:szCs w:val="24"/>
        </w:rPr>
        <w:t>-20</w:t>
      </w:r>
      <w:r w:rsidR="00E36986" w:rsidRPr="00C37701">
        <w:rPr>
          <w:rFonts w:ascii="Times New Roman" w:hAnsi="Times New Roman" w:cs="Times New Roman"/>
          <w:sz w:val="24"/>
          <w:szCs w:val="24"/>
        </w:rPr>
        <w:t>21</w:t>
      </w:r>
      <w:r w:rsidRPr="00C37701">
        <w:rPr>
          <w:rFonts w:ascii="Times New Roman" w:hAnsi="Times New Roman" w:cs="Times New Roman"/>
          <w:sz w:val="24"/>
          <w:szCs w:val="24"/>
        </w:rPr>
        <w:t xml:space="preserve"> годы, за исключением отдельных, полноценная реализация которых не была осуществлена по не зависящим от </w:t>
      </w:r>
      <w:r w:rsidR="002E0F16" w:rsidRPr="00C37701">
        <w:rPr>
          <w:rFonts w:ascii="Times New Roman" w:hAnsi="Times New Roman" w:cs="Times New Roman"/>
          <w:sz w:val="24"/>
          <w:szCs w:val="24"/>
        </w:rPr>
        <w:t>Н</w:t>
      </w:r>
      <w:r w:rsidR="0079166B" w:rsidRPr="00C37701">
        <w:rPr>
          <w:rFonts w:ascii="Times New Roman" w:hAnsi="Times New Roman" w:cs="Times New Roman"/>
          <w:sz w:val="24"/>
          <w:szCs w:val="24"/>
        </w:rPr>
        <w:t xml:space="preserve">ационального Банка </w:t>
      </w:r>
      <w:r w:rsidRPr="00C37701">
        <w:rPr>
          <w:rFonts w:ascii="Times New Roman" w:hAnsi="Times New Roman" w:cs="Times New Roman"/>
          <w:sz w:val="24"/>
          <w:szCs w:val="24"/>
        </w:rPr>
        <w:t>причинам.</w:t>
      </w:r>
    </w:p>
    <w:p w14:paraId="50650AA7" w14:textId="77777777" w:rsidR="00FD339B" w:rsidRPr="00C37701" w:rsidRDefault="00FD339B" w:rsidP="0097449D">
      <w:pPr>
        <w:spacing w:after="0" w:line="240" w:lineRule="auto"/>
        <w:ind w:firstLine="709"/>
        <w:contextualSpacing/>
        <w:jc w:val="both"/>
        <w:rPr>
          <w:rFonts w:ascii="Times New Roman" w:hAnsi="Times New Roman" w:cs="Times New Roman"/>
          <w:b/>
          <w:sz w:val="24"/>
          <w:szCs w:val="24"/>
        </w:rPr>
      </w:pPr>
    </w:p>
    <w:p w14:paraId="4F56965D" w14:textId="77777777" w:rsidR="00FD339B" w:rsidRPr="00C37701" w:rsidRDefault="006346A7" w:rsidP="0097449D">
      <w:pPr>
        <w:spacing w:after="0" w:line="240" w:lineRule="auto"/>
        <w:ind w:firstLine="709"/>
        <w:contextualSpacing/>
        <w:jc w:val="center"/>
        <w:rPr>
          <w:rFonts w:ascii="Times New Roman" w:hAnsi="Times New Roman" w:cs="Times New Roman"/>
          <w:b/>
          <w:sz w:val="24"/>
          <w:szCs w:val="24"/>
        </w:rPr>
      </w:pPr>
      <w:r w:rsidRPr="00C37701">
        <w:rPr>
          <w:rFonts w:ascii="Times New Roman" w:hAnsi="Times New Roman" w:cs="Times New Roman"/>
          <w:b/>
          <w:sz w:val="24"/>
          <w:szCs w:val="24"/>
        </w:rPr>
        <w:t>Предложения</w:t>
      </w:r>
    </w:p>
    <w:p w14:paraId="47D344A0" w14:textId="77777777" w:rsidR="00234D95" w:rsidRPr="00C37701" w:rsidRDefault="00234D95" w:rsidP="0097449D">
      <w:pPr>
        <w:spacing w:after="0" w:line="240" w:lineRule="auto"/>
        <w:ind w:firstLine="709"/>
        <w:contextualSpacing/>
        <w:jc w:val="both"/>
        <w:rPr>
          <w:rFonts w:ascii="Times New Roman" w:hAnsi="Times New Roman" w:cs="Times New Roman"/>
          <w:b/>
          <w:sz w:val="24"/>
          <w:szCs w:val="24"/>
        </w:rPr>
      </w:pPr>
    </w:p>
    <w:p w14:paraId="0EFC9BF9" w14:textId="77777777" w:rsidR="006346A7" w:rsidRPr="00C37701" w:rsidRDefault="006346A7" w:rsidP="0097449D">
      <w:pPr>
        <w:spacing w:after="0" w:line="240" w:lineRule="auto"/>
        <w:ind w:firstLine="709"/>
        <w:contextualSpacing/>
        <w:jc w:val="both"/>
        <w:rPr>
          <w:rFonts w:ascii="Times New Roman" w:hAnsi="Times New Roman" w:cs="Times New Roman"/>
          <w:sz w:val="24"/>
          <w:szCs w:val="24"/>
        </w:rPr>
      </w:pPr>
      <w:r w:rsidRPr="00C37701">
        <w:rPr>
          <w:rFonts w:ascii="Times New Roman" w:hAnsi="Times New Roman" w:cs="Times New Roman"/>
          <w:sz w:val="24"/>
          <w:szCs w:val="24"/>
        </w:rPr>
        <w:t xml:space="preserve">Продолжить дальнейшую работу по реализации Стратегического плана </w:t>
      </w:r>
      <w:r w:rsidR="002E0F16" w:rsidRPr="00C37701">
        <w:rPr>
          <w:rFonts w:ascii="Times New Roman" w:hAnsi="Times New Roman" w:cs="Times New Roman"/>
          <w:sz w:val="24"/>
          <w:szCs w:val="24"/>
        </w:rPr>
        <w:t>Н</w:t>
      </w:r>
      <w:r w:rsidR="0079166B" w:rsidRPr="00C37701">
        <w:rPr>
          <w:rFonts w:ascii="Times New Roman" w:hAnsi="Times New Roman" w:cs="Times New Roman"/>
          <w:sz w:val="24"/>
          <w:szCs w:val="24"/>
        </w:rPr>
        <w:t>ационального Банка</w:t>
      </w:r>
      <w:r w:rsidRPr="00C37701">
        <w:rPr>
          <w:rFonts w:ascii="Times New Roman" w:hAnsi="Times New Roman" w:cs="Times New Roman"/>
          <w:sz w:val="24"/>
          <w:szCs w:val="24"/>
        </w:rPr>
        <w:t xml:space="preserve"> по выполнению запланиров</w:t>
      </w:r>
      <w:r w:rsidR="009B0A55" w:rsidRPr="00C37701">
        <w:rPr>
          <w:rFonts w:ascii="Times New Roman" w:hAnsi="Times New Roman" w:cs="Times New Roman"/>
          <w:sz w:val="24"/>
          <w:szCs w:val="24"/>
        </w:rPr>
        <w:t>анных к достижению по итогам 2020</w:t>
      </w:r>
      <w:r w:rsidRPr="00C37701">
        <w:rPr>
          <w:rFonts w:ascii="Times New Roman" w:hAnsi="Times New Roman" w:cs="Times New Roman"/>
          <w:sz w:val="24"/>
          <w:szCs w:val="24"/>
        </w:rPr>
        <w:t xml:space="preserve"> года</w:t>
      </w:r>
      <w:r w:rsidR="002E0F16" w:rsidRPr="00C37701">
        <w:rPr>
          <w:rFonts w:ascii="Times New Roman" w:hAnsi="Times New Roman" w:cs="Times New Roman"/>
          <w:sz w:val="24"/>
          <w:szCs w:val="24"/>
        </w:rPr>
        <w:t xml:space="preserve"> </w:t>
      </w:r>
      <w:r w:rsidRPr="00C37701">
        <w:rPr>
          <w:rFonts w:ascii="Times New Roman" w:hAnsi="Times New Roman" w:cs="Times New Roman"/>
          <w:sz w:val="24"/>
          <w:szCs w:val="24"/>
        </w:rPr>
        <w:t xml:space="preserve">целевых индикаторов по основным стратегическим направлениям деятельности </w:t>
      </w:r>
      <w:r w:rsidR="002E0F16" w:rsidRPr="00C37701">
        <w:rPr>
          <w:rFonts w:ascii="Times New Roman" w:hAnsi="Times New Roman" w:cs="Times New Roman"/>
          <w:sz w:val="24"/>
          <w:szCs w:val="24"/>
        </w:rPr>
        <w:t>Н</w:t>
      </w:r>
      <w:r w:rsidR="0079166B" w:rsidRPr="00C37701">
        <w:rPr>
          <w:rFonts w:ascii="Times New Roman" w:hAnsi="Times New Roman" w:cs="Times New Roman"/>
          <w:sz w:val="24"/>
          <w:szCs w:val="24"/>
        </w:rPr>
        <w:t>ационального Банка</w:t>
      </w:r>
      <w:r w:rsidRPr="00C37701">
        <w:rPr>
          <w:rFonts w:ascii="Times New Roman" w:hAnsi="Times New Roman" w:cs="Times New Roman"/>
          <w:sz w:val="24"/>
          <w:szCs w:val="24"/>
        </w:rPr>
        <w:t xml:space="preserve">. </w:t>
      </w:r>
    </w:p>
    <w:p w14:paraId="0BF85DE0" w14:textId="77777777" w:rsidR="00FD339B" w:rsidRPr="00C37701" w:rsidRDefault="00FD339B" w:rsidP="0097449D">
      <w:pPr>
        <w:spacing w:after="0" w:line="240" w:lineRule="auto"/>
        <w:ind w:firstLine="709"/>
        <w:contextualSpacing/>
        <w:jc w:val="both"/>
        <w:rPr>
          <w:rFonts w:ascii="Times New Roman" w:hAnsi="Times New Roman" w:cs="Times New Roman"/>
          <w:sz w:val="24"/>
          <w:szCs w:val="24"/>
        </w:rPr>
      </w:pPr>
    </w:p>
    <w:p w14:paraId="5236199D" w14:textId="77777777" w:rsidR="00FD339B" w:rsidRPr="00C37701" w:rsidRDefault="00FD339B" w:rsidP="0097449D">
      <w:pPr>
        <w:spacing w:after="0" w:line="240" w:lineRule="auto"/>
        <w:ind w:firstLine="709"/>
        <w:contextualSpacing/>
        <w:jc w:val="both"/>
        <w:rPr>
          <w:rFonts w:ascii="Times New Roman" w:hAnsi="Times New Roman" w:cs="Times New Roman"/>
          <w:sz w:val="24"/>
          <w:szCs w:val="24"/>
        </w:rPr>
      </w:pPr>
    </w:p>
    <w:p w14:paraId="00818191" w14:textId="77777777" w:rsidR="006346A7" w:rsidRPr="00C37701" w:rsidRDefault="006346A7" w:rsidP="0097449D">
      <w:pPr>
        <w:spacing w:after="0" w:line="240" w:lineRule="auto"/>
        <w:contextualSpacing/>
        <w:jc w:val="both"/>
        <w:rPr>
          <w:rFonts w:ascii="Times New Roman" w:hAnsi="Times New Roman" w:cs="Times New Roman"/>
          <w:sz w:val="24"/>
          <w:szCs w:val="24"/>
        </w:rPr>
      </w:pPr>
    </w:p>
    <w:p w14:paraId="364EE7D3" w14:textId="7695CFAA" w:rsidR="00686F87" w:rsidRDefault="00E446A1" w:rsidP="0097449D">
      <w:pPr>
        <w:spacing w:after="0" w:line="240" w:lineRule="auto"/>
        <w:contextualSpacing/>
        <w:jc w:val="both"/>
        <w:rPr>
          <w:rFonts w:ascii="Times New Roman" w:hAnsi="Times New Roman" w:cs="Times New Roman"/>
          <w:b/>
          <w:sz w:val="24"/>
          <w:szCs w:val="24"/>
        </w:rPr>
      </w:pPr>
      <w:r w:rsidRPr="00C37701">
        <w:rPr>
          <w:rFonts w:ascii="Times New Roman" w:hAnsi="Times New Roman" w:cs="Times New Roman"/>
          <w:b/>
          <w:sz w:val="24"/>
          <w:szCs w:val="24"/>
        </w:rPr>
        <w:t xml:space="preserve">          </w:t>
      </w:r>
      <w:r w:rsidR="00686F87">
        <w:rPr>
          <w:rFonts w:ascii="Times New Roman" w:hAnsi="Times New Roman" w:cs="Times New Roman"/>
          <w:b/>
          <w:sz w:val="24"/>
          <w:szCs w:val="24"/>
        </w:rPr>
        <w:t>И</w:t>
      </w:r>
      <w:r w:rsidR="00CC10DA">
        <w:rPr>
          <w:rFonts w:ascii="Times New Roman" w:hAnsi="Times New Roman" w:cs="Times New Roman"/>
          <w:b/>
          <w:sz w:val="24"/>
          <w:szCs w:val="24"/>
          <w:lang w:val="kk-KZ"/>
        </w:rPr>
        <w:t xml:space="preserve">сполняющий </w:t>
      </w:r>
      <w:r w:rsidR="00686F87">
        <w:rPr>
          <w:rFonts w:ascii="Times New Roman" w:hAnsi="Times New Roman" w:cs="Times New Roman"/>
          <w:b/>
          <w:sz w:val="24"/>
          <w:szCs w:val="24"/>
        </w:rPr>
        <w:t>о</w:t>
      </w:r>
      <w:r w:rsidR="00CC10DA">
        <w:rPr>
          <w:rFonts w:ascii="Times New Roman" w:hAnsi="Times New Roman" w:cs="Times New Roman"/>
          <w:b/>
          <w:sz w:val="24"/>
          <w:szCs w:val="24"/>
          <w:lang w:val="kk-KZ"/>
        </w:rPr>
        <w:t xml:space="preserve">бязанности </w:t>
      </w:r>
      <w:r w:rsidR="006346A7" w:rsidRPr="00C37701">
        <w:rPr>
          <w:rFonts w:ascii="Times New Roman" w:hAnsi="Times New Roman" w:cs="Times New Roman"/>
          <w:b/>
          <w:sz w:val="24"/>
          <w:szCs w:val="24"/>
        </w:rPr>
        <w:t>Председател</w:t>
      </w:r>
      <w:r w:rsidR="00166FD1">
        <w:rPr>
          <w:rFonts w:ascii="Times New Roman" w:hAnsi="Times New Roman" w:cs="Times New Roman"/>
          <w:b/>
          <w:sz w:val="24"/>
          <w:szCs w:val="24"/>
        </w:rPr>
        <w:t>я</w:t>
      </w:r>
      <w:r w:rsidRPr="00C37701">
        <w:rPr>
          <w:rFonts w:ascii="Times New Roman" w:hAnsi="Times New Roman" w:cs="Times New Roman"/>
          <w:b/>
          <w:sz w:val="24"/>
          <w:szCs w:val="24"/>
        </w:rPr>
        <w:t xml:space="preserve"> </w:t>
      </w:r>
    </w:p>
    <w:p w14:paraId="03544FE0" w14:textId="549B6E62" w:rsidR="006346A7" w:rsidRPr="00C37701" w:rsidRDefault="00686F87" w:rsidP="0097449D">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6346A7" w:rsidRPr="00C37701">
        <w:rPr>
          <w:rFonts w:ascii="Times New Roman" w:hAnsi="Times New Roman" w:cs="Times New Roman"/>
          <w:b/>
          <w:sz w:val="24"/>
          <w:szCs w:val="24"/>
        </w:rPr>
        <w:t xml:space="preserve">Национального Банка          </w:t>
      </w:r>
      <w:r w:rsidR="00875448" w:rsidRPr="00C37701">
        <w:rPr>
          <w:rFonts w:ascii="Times New Roman" w:hAnsi="Times New Roman" w:cs="Times New Roman"/>
          <w:b/>
          <w:sz w:val="24"/>
          <w:szCs w:val="24"/>
        </w:rPr>
        <w:t xml:space="preserve">     </w:t>
      </w:r>
      <w:r w:rsidR="006346A7" w:rsidRPr="00C37701">
        <w:rPr>
          <w:rFonts w:ascii="Times New Roman" w:hAnsi="Times New Roman" w:cs="Times New Roman"/>
          <w:b/>
          <w:sz w:val="24"/>
          <w:szCs w:val="24"/>
        </w:rPr>
        <w:t xml:space="preserve">        </w:t>
      </w:r>
      <w:r w:rsidR="00875448" w:rsidRPr="00C37701">
        <w:rPr>
          <w:rFonts w:ascii="Times New Roman" w:hAnsi="Times New Roman" w:cs="Times New Roman"/>
          <w:b/>
          <w:sz w:val="24"/>
          <w:szCs w:val="24"/>
        </w:rPr>
        <w:t xml:space="preserve">  </w:t>
      </w:r>
      <w:r w:rsidR="00E446A1" w:rsidRPr="00C3770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446A1" w:rsidRPr="00C37701">
        <w:rPr>
          <w:rFonts w:ascii="Times New Roman" w:hAnsi="Times New Roman" w:cs="Times New Roman"/>
          <w:b/>
          <w:sz w:val="24"/>
          <w:szCs w:val="24"/>
        </w:rPr>
        <w:t xml:space="preserve">  </w:t>
      </w:r>
      <w:r w:rsidR="00166FD1">
        <w:rPr>
          <w:rFonts w:ascii="Times New Roman" w:hAnsi="Times New Roman" w:cs="Times New Roman"/>
          <w:b/>
          <w:sz w:val="24"/>
          <w:szCs w:val="24"/>
        </w:rPr>
        <w:t>А</w:t>
      </w:r>
      <w:r w:rsidR="009B0A55" w:rsidRPr="00C37701">
        <w:rPr>
          <w:rFonts w:ascii="Times New Roman" w:hAnsi="Times New Roman" w:cs="Times New Roman"/>
          <w:b/>
          <w:sz w:val="24"/>
          <w:szCs w:val="24"/>
        </w:rPr>
        <w:t>.</w:t>
      </w:r>
      <w:r w:rsidR="006346A7" w:rsidRPr="00C37701">
        <w:rPr>
          <w:rFonts w:ascii="Times New Roman" w:hAnsi="Times New Roman" w:cs="Times New Roman"/>
          <w:b/>
          <w:sz w:val="24"/>
          <w:szCs w:val="24"/>
        </w:rPr>
        <w:t xml:space="preserve"> </w:t>
      </w:r>
      <w:proofErr w:type="spellStart"/>
      <w:r w:rsidR="00166FD1">
        <w:rPr>
          <w:rFonts w:ascii="Times New Roman" w:hAnsi="Times New Roman" w:cs="Times New Roman"/>
          <w:b/>
          <w:sz w:val="24"/>
          <w:szCs w:val="24"/>
        </w:rPr>
        <w:t>Молдабекова</w:t>
      </w:r>
      <w:proofErr w:type="spellEnd"/>
    </w:p>
    <w:p w14:paraId="548900B1" w14:textId="77777777" w:rsidR="006346A7" w:rsidRPr="00C37701" w:rsidRDefault="006346A7" w:rsidP="0097449D">
      <w:pPr>
        <w:spacing w:after="0" w:line="240" w:lineRule="auto"/>
        <w:contextualSpacing/>
        <w:jc w:val="both"/>
        <w:rPr>
          <w:rFonts w:ascii="Times New Roman" w:hAnsi="Times New Roman" w:cs="Times New Roman"/>
          <w:sz w:val="24"/>
          <w:szCs w:val="24"/>
        </w:rPr>
      </w:pPr>
    </w:p>
    <w:p w14:paraId="26EC741C" w14:textId="77777777" w:rsidR="00514689" w:rsidRPr="00C37701" w:rsidRDefault="00514689" w:rsidP="0097449D">
      <w:pPr>
        <w:spacing w:after="0" w:line="240" w:lineRule="auto"/>
        <w:contextualSpacing/>
        <w:jc w:val="both"/>
        <w:rPr>
          <w:rFonts w:ascii="Times New Roman" w:hAnsi="Times New Roman" w:cs="Times New Roman"/>
          <w:b/>
          <w:sz w:val="24"/>
          <w:szCs w:val="24"/>
        </w:rPr>
      </w:pPr>
    </w:p>
    <w:p w14:paraId="150DD81E" w14:textId="77777777" w:rsidR="00C83D25" w:rsidRPr="00C37701" w:rsidRDefault="00C83D25" w:rsidP="0097449D">
      <w:pPr>
        <w:spacing w:after="0" w:line="240" w:lineRule="auto"/>
        <w:ind w:firstLine="709"/>
        <w:contextualSpacing/>
        <w:jc w:val="both"/>
        <w:rPr>
          <w:rFonts w:ascii="Times New Roman" w:hAnsi="Times New Roman" w:cs="Times New Roman"/>
          <w:i/>
          <w:sz w:val="24"/>
          <w:szCs w:val="24"/>
        </w:rPr>
      </w:pPr>
    </w:p>
    <w:p w14:paraId="699DCE32" w14:textId="66CB440F" w:rsidR="00C83D25" w:rsidRDefault="00C83D25" w:rsidP="0097449D">
      <w:pPr>
        <w:spacing w:after="0" w:line="240" w:lineRule="auto"/>
        <w:ind w:firstLine="709"/>
        <w:contextualSpacing/>
        <w:jc w:val="both"/>
        <w:rPr>
          <w:rFonts w:ascii="Times New Roman" w:hAnsi="Times New Roman" w:cs="Times New Roman"/>
          <w:i/>
          <w:sz w:val="24"/>
          <w:szCs w:val="24"/>
        </w:rPr>
      </w:pPr>
    </w:p>
    <w:p w14:paraId="1EFEDEF9" w14:textId="77777777" w:rsidR="00E41DFA" w:rsidRPr="00C37701" w:rsidRDefault="00E41DFA" w:rsidP="0097449D">
      <w:pPr>
        <w:spacing w:after="0" w:line="240" w:lineRule="auto"/>
        <w:ind w:firstLine="709"/>
        <w:contextualSpacing/>
        <w:jc w:val="both"/>
        <w:rPr>
          <w:rFonts w:ascii="Times New Roman" w:hAnsi="Times New Roman" w:cs="Times New Roman"/>
          <w:i/>
          <w:sz w:val="24"/>
          <w:szCs w:val="24"/>
        </w:rPr>
      </w:pPr>
    </w:p>
    <w:p w14:paraId="770D8EA2" w14:textId="77777777" w:rsidR="00E20F8F" w:rsidRPr="00C37701" w:rsidRDefault="00E20F8F" w:rsidP="0097449D">
      <w:pPr>
        <w:spacing w:after="0" w:line="240" w:lineRule="auto"/>
        <w:contextualSpacing/>
        <w:jc w:val="both"/>
        <w:rPr>
          <w:rFonts w:ascii="Times New Roman" w:hAnsi="Times New Roman" w:cs="Times New Roman"/>
          <w:b/>
          <w:sz w:val="24"/>
          <w:szCs w:val="24"/>
        </w:rPr>
      </w:pPr>
    </w:p>
    <w:sectPr w:rsidR="00E20F8F" w:rsidRPr="00C37701" w:rsidSect="006053E2">
      <w:headerReference w:type="default" r:id="rId10"/>
      <w:pgSz w:w="11906" w:h="16838"/>
      <w:pgMar w:top="567" w:right="567" w:bottom="51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8ED80" w14:textId="77777777" w:rsidR="00A76A0D" w:rsidRDefault="00A76A0D" w:rsidP="00250274">
      <w:pPr>
        <w:spacing w:after="0" w:line="240" w:lineRule="auto"/>
      </w:pPr>
      <w:r>
        <w:separator/>
      </w:r>
    </w:p>
  </w:endnote>
  <w:endnote w:type="continuationSeparator" w:id="0">
    <w:p w14:paraId="674EEC0C" w14:textId="77777777" w:rsidR="00A76A0D" w:rsidRDefault="00A76A0D" w:rsidP="0025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32C4F" w14:textId="77777777" w:rsidR="00A76A0D" w:rsidRDefault="00A76A0D" w:rsidP="00250274">
      <w:pPr>
        <w:spacing w:after="0" w:line="240" w:lineRule="auto"/>
      </w:pPr>
      <w:r>
        <w:separator/>
      </w:r>
    </w:p>
  </w:footnote>
  <w:footnote w:type="continuationSeparator" w:id="0">
    <w:p w14:paraId="3BEACE2B" w14:textId="77777777" w:rsidR="00A76A0D" w:rsidRDefault="00A76A0D" w:rsidP="00250274">
      <w:pPr>
        <w:spacing w:after="0" w:line="240" w:lineRule="auto"/>
      </w:pPr>
      <w:r>
        <w:continuationSeparator/>
      </w:r>
    </w:p>
  </w:footnote>
  <w:footnote w:id="1">
    <w:p w14:paraId="11A0DEB7" w14:textId="77777777" w:rsidR="00CF4EAA" w:rsidRDefault="00CF4EAA" w:rsidP="00A33068">
      <w:pPr>
        <w:pStyle w:val="aa"/>
        <w:jc w:val="both"/>
      </w:pPr>
      <w:r>
        <w:rPr>
          <w:rStyle w:val="a9"/>
        </w:rPr>
        <w:footnoteRef/>
      </w:r>
      <w:r>
        <w:t xml:space="preserve"> Отношение золотовалютных резервов к трехмесячному импорту товаров и услуг</w:t>
      </w:r>
    </w:p>
  </w:footnote>
  <w:footnote w:id="2">
    <w:p w14:paraId="638CC0EF" w14:textId="77777777" w:rsidR="00CF4EAA" w:rsidRDefault="00CF4EAA" w:rsidP="00875448">
      <w:pPr>
        <w:pStyle w:val="aa"/>
        <w:jc w:val="both"/>
      </w:pPr>
      <w:r>
        <w:rPr>
          <w:rStyle w:val="a9"/>
        </w:rPr>
        <w:footnoteRef/>
      </w:r>
      <w:r>
        <w:t xml:space="preserve"> Коэффициент работоспособности платежной системы за год исчисляется как отношение реального времени работы (период времени от открытия операционного дня до закрытия операционного дня платежной системы с исключением периода времени, когда платежная система была остановлена) к общему времени работы платежной системы (период времени от открытия операционного дня до закрытия операционного дня платежной системы)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703470"/>
      <w:docPartObj>
        <w:docPartGallery w:val="Page Numbers (Top of Page)"/>
        <w:docPartUnique/>
      </w:docPartObj>
    </w:sdtPr>
    <w:sdtContent>
      <w:p w14:paraId="1F7D474A" w14:textId="727F664A" w:rsidR="00CF4EAA" w:rsidRDefault="00CF4EAA">
        <w:pPr>
          <w:pStyle w:val="af3"/>
          <w:jc w:val="center"/>
        </w:pPr>
        <w:r>
          <w:fldChar w:fldCharType="begin"/>
        </w:r>
        <w:r>
          <w:instrText>PAGE   \* MERGEFORMAT</w:instrText>
        </w:r>
        <w:r>
          <w:fldChar w:fldCharType="separate"/>
        </w:r>
        <w:r w:rsidR="000F23CC">
          <w:rPr>
            <w:noProof/>
          </w:rPr>
          <w:t>42</w:t>
        </w:r>
        <w:r>
          <w:fldChar w:fldCharType="end"/>
        </w:r>
      </w:p>
    </w:sdtContent>
  </w:sdt>
  <w:p w14:paraId="2424986F" w14:textId="77777777" w:rsidR="00CF4EAA" w:rsidRDefault="00CF4EAA">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F2E9F4E"/>
    <w:lvl w:ilvl="0">
      <w:start w:val="1"/>
      <w:numFmt w:val="bullet"/>
      <w:pStyle w:val="a"/>
      <w:lvlText w:val=""/>
      <w:lvlJc w:val="left"/>
      <w:pPr>
        <w:tabs>
          <w:tab w:val="num" w:pos="720"/>
        </w:tabs>
        <w:ind w:left="720" w:hanging="720"/>
      </w:pPr>
      <w:rPr>
        <w:rFonts w:ascii="Symbol" w:hAnsi="Symbol" w:hint="default"/>
      </w:rPr>
    </w:lvl>
  </w:abstractNum>
  <w:abstractNum w:abstractNumId="1" w15:restartNumberingAfterBreak="0">
    <w:nsid w:val="02D547FF"/>
    <w:multiLevelType w:val="hybridMultilevel"/>
    <w:tmpl w:val="A1A824A6"/>
    <w:lvl w:ilvl="0" w:tplc="183C1ED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52E5C02"/>
    <w:multiLevelType w:val="hybridMultilevel"/>
    <w:tmpl w:val="43CAF132"/>
    <w:lvl w:ilvl="0" w:tplc="A35EBE32">
      <w:start w:val="1"/>
      <w:numFmt w:val="decimal"/>
      <w:lvlText w:val="%1)"/>
      <w:lvlJc w:val="left"/>
      <w:pPr>
        <w:ind w:left="720" w:hanging="360"/>
      </w:pPr>
      <w:rPr>
        <w:rFonts w:ascii="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328F2"/>
    <w:multiLevelType w:val="hybridMultilevel"/>
    <w:tmpl w:val="00F4DB8C"/>
    <w:lvl w:ilvl="0" w:tplc="A720E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091A85"/>
    <w:multiLevelType w:val="hybridMultilevel"/>
    <w:tmpl w:val="80C69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B330DD"/>
    <w:multiLevelType w:val="hybridMultilevel"/>
    <w:tmpl w:val="BE601212"/>
    <w:lvl w:ilvl="0" w:tplc="50342D50">
      <w:start w:val="1"/>
      <w:numFmt w:val="decimal"/>
      <w:lvlText w:val="%1)"/>
      <w:lvlJc w:val="left"/>
      <w:pPr>
        <w:ind w:left="1429" w:hanging="360"/>
      </w:pPr>
      <w:rPr>
        <w:rFonts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B1025EA"/>
    <w:multiLevelType w:val="hybridMultilevel"/>
    <w:tmpl w:val="3FA89852"/>
    <w:lvl w:ilvl="0" w:tplc="706C3B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3C429F"/>
    <w:multiLevelType w:val="hybridMultilevel"/>
    <w:tmpl w:val="08F0478A"/>
    <w:lvl w:ilvl="0" w:tplc="99AAA01C">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56E5380"/>
    <w:multiLevelType w:val="hybridMultilevel"/>
    <w:tmpl w:val="214EF3E4"/>
    <w:lvl w:ilvl="0" w:tplc="A720E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57733DA"/>
    <w:multiLevelType w:val="hybridMultilevel"/>
    <w:tmpl w:val="FBBCF0A8"/>
    <w:lvl w:ilvl="0" w:tplc="A720E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597F88"/>
    <w:multiLevelType w:val="hybridMultilevel"/>
    <w:tmpl w:val="F7040200"/>
    <w:lvl w:ilvl="0" w:tplc="9DFC3CCE">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AF55755"/>
    <w:multiLevelType w:val="hybridMultilevel"/>
    <w:tmpl w:val="39EEDD44"/>
    <w:lvl w:ilvl="0" w:tplc="052A588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C80117C"/>
    <w:multiLevelType w:val="hybridMultilevel"/>
    <w:tmpl w:val="C88E9C80"/>
    <w:lvl w:ilvl="0" w:tplc="8EF6E73A">
      <w:start w:val="1"/>
      <w:numFmt w:val="decimal"/>
      <w:lvlText w:val="%1)"/>
      <w:lvlJc w:val="left"/>
      <w:pPr>
        <w:ind w:left="720" w:hanging="360"/>
      </w:pPr>
      <w:rPr>
        <w:rFonts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BC069D"/>
    <w:multiLevelType w:val="hybridMultilevel"/>
    <w:tmpl w:val="D578F780"/>
    <w:lvl w:ilvl="0" w:tplc="A04E52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CBE6D1B"/>
    <w:multiLevelType w:val="hybridMultilevel"/>
    <w:tmpl w:val="02D620AE"/>
    <w:lvl w:ilvl="0" w:tplc="F976A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2182F90"/>
    <w:multiLevelType w:val="hybridMultilevel"/>
    <w:tmpl w:val="274629DC"/>
    <w:lvl w:ilvl="0" w:tplc="04190011">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1754CE"/>
    <w:multiLevelType w:val="hybridMultilevel"/>
    <w:tmpl w:val="5B648EE4"/>
    <w:lvl w:ilvl="0" w:tplc="736C5514">
      <w:start w:val="1"/>
      <w:numFmt w:val="bullet"/>
      <w:lvlText w:val=""/>
      <w:lvlJc w:val="left"/>
      <w:pPr>
        <w:ind w:left="6173" w:hanging="360"/>
      </w:pPr>
      <w:rPr>
        <w:rFonts w:ascii="Symbol" w:hAnsi="Symbol" w:hint="default"/>
      </w:rPr>
    </w:lvl>
    <w:lvl w:ilvl="1" w:tplc="569E6212">
      <w:start w:val="1"/>
      <w:numFmt w:val="decimal"/>
      <w:lvlText w:val="%2)"/>
      <w:lvlJc w:val="left"/>
      <w:pPr>
        <w:ind w:left="-259" w:hanging="1005"/>
      </w:pPr>
      <w:rPr>
        <w:rFonts w:hint="default"/>
      </w:rPr>
    </w:lvl>
    <w:lvl w:ilvl="2" w:tplc="0419001B" w:tentative="1">
      <w:start w:val="1"/>
      <w:numFmt w:val="lowerRoman"/>
      <w:lvlText w:val="%3."/>
      <w:lvlJc w:val="right"/>
      <w:pPr>
        <w:ind w:left="-184" w:hanging="180"/>
      </w:pPr>
    </w:lvl>
    <w:lvl w:ilvl="3" w:tplc="0419000F" w:tentative="1">
      <w:start w:val="1"/>
      <w:numFmt w:val="decimal"/>
      <w:lvlText w:val="%4."/>
      <w:lvlJc w:val="left"/>
      <w:pPr>
        <w:ind w:left="536" w:hanging="360"/>
      </w:pPr>
    </w:lvl>
    <w:lvl w:ilvl="4" w:tplc="04190019" w:tentative="1">
      <w:start w:val="1"/>
      <w:numFmt w:val="lowerLetter"/>
      <w:lvlText w:val="%5."/>
      <w:lvlJc w:val="left"/>
      <w:pPr>
        <w:ind w:left="1256" w:hanging="360"/>
      </w:pPr>
    </w:lvl>
    <w:lvl w:ilvl="5" w:tplc="0419001B" w:tentative="1">
      <w:start w:val="1"/>
      <w:numFmt w:val="lowerRoman"/>
      <w:lvlText w:val="%6."/>
      <w:lvlJc w:val="right"/>
      <w:pPr>
        <w:ind w:left="1976" w:hanging="180"/>
      </w:pPr>
    </w:lvl>
    <w:lvl w:ilvl="6" w:tplc="0419000F" w:tentative="1">
      <w:start w:val="1"/>
      <w:numFmt w:val="decimal"/>
      <w:lvlText w:val="%7."/>
      <w:lvlJc w:val="left"/>
      <w:pPr>
        <w:ind w:left="2696" w:hanging="360"/>
      </w:pPr>
    </w:lvl>
    <w:lvl w:ilvl="7" w:tplc="04190019" w:tentative="1">
      <w:start w:val="1"/>
      <w:numFmt w:val="lowerLetter"/>
      <w:lvlText w:val="%8."/>
      <w:lvlJc w:val="left"/>
      <w:pPr>
        <w:ind w:left="3416" w:hanging="360"/>
      </w:pPr>
    </w:lvl>
    <w:lvl w:ilvl="8" w:tplc="0419001B" w:tentative="1">
      <w:start w:val="1"/>
      <w:numFmt w:val="lowerRoman"/>
      <w:lvlText w:val="%9."/>
      <w:lvlJc w:val="right"/>
      <w:pPr>
        <w:ind w:left="4136" w:hanging="180"/>
      </w:pPr>
    </w:lvl>
  </w:abstractNum>
  <w:abstractNum w:abstractNumId="17" w15:restartNumberingAfterBreak="0">
    <w:nsid w:val="26997A79"/>
    <w:multiLevelType w:val="hybridMultilevel"/>
    <w:tmpl w:val="A626AC4E"/>
    <w:lvl w:ilvl="0" w:tplc="A720E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195002"/>
    <w:multiLevelType w:val="hybridMultilevel"/>
    <w:tmpl w:val="1D98D1F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15:restartNumberingAfterBreak="0">
    <w:nsid w:val="31611682"/>
    <w:multiLevelType w:val="hybridMultilevel"/>
    <w:tmpl w:val="32DEC4DE"/>
    <w:lvl w:ilvl="0" w:tplc="4BBA796A">
      <w:start w:val="1"/>
      <w:numFmt w:val="decimal"/>
      <w:lvlText w:val="%1)"/>
      <w:lvlJc w:val="left"/>
      <w:pPr>
        <w:ind w:left="720" w:hanging="360"/>
      </w:pPr>
      <w:rPr>
        <w:rFonts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8F20F1"/>
    <w:multiLevelType w:val="hybridMultilevel"/>
    <w:tmpl w:val="EA2AF1CE"/>
    <w:lvl w:ilvl="0" w:tplc="CD4C8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69C43B9"/>
    <w:multiLevelType w:val="hybridMultilevel"/>
    <w:tmpl w:val="1BC81E68"/>
    <w:lvl w:ilvl="0" w:tplc="FED84994">
      <w:start w:val="1"/>
      <w:numFmt w:val="decimal"/>
      <w:lvlText w:val="%1."/>
      <w:lvlJc w:val="left"/>
      <w:pPr>
        <w:ind w:left="540" w:hanging="256"/>
      </w:pPr>
      <w:rPr>
        <w:rFonts w:hint="default"/>
        <w:spacing w:val="0"/>
        <w:w w:val="100"/>
        <w:position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0C031A"/>
    <w:multiLevelType w:val="hybridMultilevel"/>
    <w:tmpl w:val="3B92BDC2"/>
    <w:lvl w:ilvl="0" w:tplc="A04E52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422E71"/>
    <w:multiLevelType w:val="hybridMultilevel"/>
    <w:tmpl w:val="E20A32DE"/>
    <w:lvl w:ilvl="0" w:tplc="736C55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CBA6A96"/>
    <w:multiLevelType w:val="hybridMultilevel"/>
    <w:tmpl w:val="A3242980"/>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E2F3F9D"/>
    <w:multiLevelType w:val="hybridMultilevel"/>
    <w:tmpl w:val="16700820"/>
    <w:lvl w:ilvl="0" w:tplc="1786D8AA">
      <w:start w:val="1"/>
      <w:numFmt w:val="decimal"/>
      <w:lvlText w:val="%1."/>
      <w:lvlJc w:val="left"/>
      <w:pPr>
        <w:ind w:left="1068" w:hanging="360"/>
      </w:pPr>
      <w:rPr>
        <w:rFonts w:ascii="Times New Roman" w:eastAsia="Times New Roman"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3F473BCB"/>
    <w:multiLevelType w:val="hybridMultilevel"/>
    <w:tmpl w:val="2654B7BE"/>
    <w:lvl w:ilvl="0" w:tplc="05D06DA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07459CB"/>
    <w:multiLevelType w:val="hybridMultilevel"/>
    <w:tmpl w:val="30F8EE78"/>
    <w:lvl w:ilvl="0" w:tplc="05D06DA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6FD20E3"/>
    <w:multiLevelType w:val="hybridMultilevel"/>
    <w:tmpl w:val="A5645AE4"/>
    <w:lvl w:ilvl="0" w:tplc="A720E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8011291"/>
    <w:multiLevelType w:val="hybridMultilevel"/>
    <w:tmpl w:val="4C025B12"/>
    <w:lvl w:ilvl="0" w:tplc="F448F7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C8006EC"/>
    <w:multiLevelType w:val="hybridMultilevel"/>
    <w:tmpl w:val="6D560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CC02AA6"/>
    <w:multiLevelType w:val="hybridMultilevel"/>
    <w:tmpl w:val="8D4077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D655656"/>
    <w:multiLevelType w:val="hybridMultilevel"/>
    <w:tmpl w:val="C22CAC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4E456B34"/>
    <w:multiLevelType w:val="hybridMultilevel"/>
    <w:tmpl w:val="DAE8849E"/>
    <w:lvl w:ilvl="0" w:tplc="A720E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2B37056"/>
    <w:multiLevelType w:val="hybridMultilevel"/>
    <w:tmpl w:val="B2B09798"/>
    <w:lvl w:ilvl="0" w:tplc="A04E52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69673E9"/>
    <w:multiLevelType w:val="hybridMultilevel"/>
    <w:tmpl w:val="319C9232"/>
    <w:lvl w:ilvl="0" w:tplc="83DC1D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15:restartNumberingAfterBreak="0">
    <w:nsid w:val="5DA71081"/>
    <w:multiLevelType w:val="hybridMultilevel"/>
    <w:tmpl w:val="8B4EC950"/>
    <w:lvl w:ilvl="0" w:tplc="A04E52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DD90EBA"/>
    <w:multiLevelType w:val="hybridMultilevel"/>
    <w:tmpl w:val="54A6B62C"/>
    <w:lvl w:ilvl="0" w:tplc="6CF8D9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5F0F18FE"/>
    <w:multiLevelType w:val="hybridMultilevel"/>
    <w:tmpl w:val="2230E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FB568DF"/>
    <w:multiLevelType w:val="hybridMultilevel"/>
    <w:tmpl w:val="7A2C83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00035FE"/>
    <w:multiLevelType w:val="hybridMultilevel"/>
    <w:tmpl w:val="8F66C88E"/>
    <w:lvl w:ilvl="0" w:tplc="C0B09C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659F60F5"/>
    <w:multiLevelType w:val="hybridMultilevel"/>
    <w:tmpl w:val="A73E6948"/>
    <w:lvl w:ilvl="0" w:tplc="C3C866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79215E2"/>
    <w:multiLevelType w:val="hybridMultilevel"/>
    <w:tmpl w:val="80B8A4B0"/>
    <w:lvl w:ilvl="0" w:tplc="A04E52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7D93148"/>
    <w:multiLevelType w:val="hybridMultilevel"/>
    <w:tmpl w:val="C15C7B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A948FD"/>
    <w:multiLevelType w:val="hybridMultilevel"/>
    <w:tmpl w:val="B9C0A31A"/>
    <w:lvl w:ilvl="0" w:tplc="05307CB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6B586A14"/>
    <w:multiLevelType w:val="hybridMultilevel"/>
    <w:tmpl w:val="17F4483A"/>
    <w:lvl w:ilvl="0" w:tplc="488EC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6B5B4AF0"/>
    <w:multiLevelType w:val="hybridMultilevel"/>
    <w:tmpl w:val="F42A7538"/>
    <w:lvl w:ilvl="0" w:tplc="05D06DA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C0B2216"/>
    <w:multiLevelType w:val="hybridMultilevel"/>
    <w:tmpl w:val="D7A44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D9E2870"/>
    <w:multiLevelType w:val="hybridMultilevel"/>
    <w:tmpl w:val="13D098C8"/>
    <w:lvl w:ilvl="0" w:tplc="04190001">
      <w:start w:val="1"/>
      <w:numFmt w:val="decimal"/>
      <w:lvlText w:val="%1."/>
      <w:lvlJc w:val="left"/>
      <w:pPr>
        <w:tabs>
          <w:tab w:val="num" w:pos="540"/>
        </w:tabs>
        <w:ind w:left="5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9" w15:restartNumberingAfterBreak="0">
    <w:nsid w:val="72F6177C"/>
    <w:multiLevelType w:val="hybridMultilevel"/>
    <w:tmpl w:val="C1DC9F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D91F80"/>
    <w:multiLevelType w:val="hybridMultilevel"/>
    <w:tmpl w:val="4CB42B74"/>
    <w:lvl w:ilvl="0" w:tplc="CD4C8FF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15:restartNumberingAfterBreak="0">
    <w:nsid w:val="7A48689E"/>
    <w:multiLevelType w:val="hybridMultilevel"/>
    <w:tmpl w:val="55DAFD12"/>
    <w:lvl w:ilvl="0" w:tplc="763414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7B972384"/>
    <w:multiLevelType w:val="hybridMultilevel"/>
    <w:tmpl w:val="6A9A232A"/>
    <w:lvl w:ilvl="0" w:tplc="AC140664">
      <w:start w:val="1"/>
      <w:numFmt w:val="decimal"/>
      <w:lvlText w:val="%1."/>
      <w:lvlJc w:val="center"/>
      <w:pPr>
        <w:tabs>
          <w:tab w:val="num" w:pos="252"/>
        </w:tabs>
        <w:ind w:left="252" w:hanging="7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C035675"/>
    <w:multiLevelType w:val="hybridMultilevel"/>
    <w:tmpl w:val="DECA7624"/>
    <w:lvl w:ilvl="0" w:tplc="EBEC405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4" w15:restartNumberingAfterBreak="0">
    <w:nsid w:val="7ED76286"/>
    <w:multiLevelType w:val="multilevel"/>
    <w:tmpl w:val="13D098C8"/>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25"/>
  </w:num>
  <w:num w:numId="3">
    <w:abstractNumId w:val="16"/>
  </w:num>
  <w:num w:numId="4">
    <w:abstractNumId w:val="0"/>
  </w:num>
  <w:num w:numId="5">
    <w:abstractNumId w:val="29"/>
  </w:num>
  <w:num w:numId="6">
    <w:abstractNumId w:val="1"/>
  </w:num>
  <w:num w:numId="7">
    <w:abstractNumId w:val="45"/>
  </w:num>
  <w:num w:numId="8">
    <w:abstractNumId w:val="14"/>
  </w:num>
  <w:num w:numId="9">
    <w:abstractNumId w:val="23"/>
  </w:num>
  <w:num w:numId="10">
    <w:abstractNumId w:val="44"/>
  </w:num>
  <w:num w:numId="11">
    <w:abstractNumId w:val="30"/>
  </w:num>
  <w:num w:numId="12">
    <w:abstractNumId w:val="47"/>
  </w:num>
  <w:num w:numId="13">
    <w:abstractNumId w:val="40"/>
  </w:num>
  <w:num w:numId="14">
    <w:abstractNumId w:val="26"/>
  </w:num>
  <w:num w:numId="15">
    <w:abstractNumId w:val="32"/>
  </w:num>
  <w:num w:numId="16">
    <w:abstractNumId w:val="31"/>
  </w:num>
  <w:num w:numId="17">
    <w:abstractNumId w:val="9"/>
  </w:num>
  <w:num w:numId="18">
    <w:abstractNumId w:val="7"/>
  </w:num>
  <w:num w:numId="19">
    <w:abstractNumId w:val="37"/>
  </w:num>
  <w:num w:numId="20">
    <w:abstractNumId w:val="10"/>
  </w:num>
  <w:num w:numId="21">
    <w:abstractNumId w:val="5"/>
  </w:num>
  <w:num w:numId="22">
    <w:abstractNumId w:val="3"/>
  </w:num>
  <w:num w:numId="23">
    <w:abstractNumId w:val="12"/>
  </w:num>
  <w:num w:numId="24">
    <w:abstractNumId w:val="8"/>
  </w:num>
  <w:num w:numId="25">
    <w:abstractNumId w:val="19"/>
  </w:num>
  <w:num w:numId="26">
    <w:abstractNumId w:val="18"/>
  </w:num>
  <w:num w:numId="27">
    <w:abstractNumId w:val="48"/>
  </w:num>
  <w:num w:numId="28">
    <w:abstractNumId w:val="24"/>
  </w:num>
  <w:num w:numId="29">
    <w:abstractNumId w:val="39"/>
  </w:num>
  <w:num w:numId="30">
    <w:abstractNumId w:val="54"/>
  </w:num>
  <w:num w:numId="31">
    <w:abstractNumId w:val="52"/>
  </w:num>
  <w:num w:numId="32">
    <w:abstractNumId w:val="15"/>
  </w:num>
  <w:num w:numId="33">
    <w:abstractNumId w:val="51"/>
  </w:num>
  <w:num w:numId="34">
    <w:abstractNumId w:val="20"/>
  </w:num>
  <w:num w:numId="35">
    <w:abstractNumId w:val="43"/>
  </w:num>
  <w:num w:numId="36">
    <w:abstractNumId w:val="33"/>
  </w:num>
  <w:num w:numId="37">
    <w:abstractNumId w:val="53"/>
  </w:num>
  <w:num w:numId="38">
    <w:abstractNumId w:val="35"/>
  </w:num>
  <w:num w:numId="39">
    <w:abstractNumId w:val="50"/>
  </w:num>
  <w:num w:numId="40">
    <w:abstractNumId w:val="49"/>
  </w:num>
  <w:num w:numId="41">
    <w:abstractNumId w:val="6"/>
  </w:num>
  <w:num w:numId="42">
    <w:abstractNumId w:val="21"/>
  </w:num>
  <w:num w:numId="43">
    <w:abstractNumId w:val="2"/>
  </w:num>
  <w:num w:numId="44">
    <w:abstractNumId w:val="11"/>
  </w:num>
  <w:num w:numId="45">
    <w:abstractNumId w:val="28"/>
  </w:num>
  <w:num w:numId="46">
    <w:abstractNumId w:val="46"/>
  </w:num>
  <w:num w:numId="47">
    <w:abstractNumId w:val="41"/>
  </w:num>
  <w:num w:numId="48">
    <w:abstractNumId w:val="17"/>
  </w:num>
  <w:num w:numId="49">
    <w:abstractNumId w:val="27"/>
  </w:num>
  <w:num w:numId="50">
    <w:abstractNumId w:val="34"/>
  </w:num>
  <w:num w:numId="51">
    <w:abstractNumId w:val="42"/>
  </w:num>
  <w:num w:numId="52">
    <w:abstractNumId w:val="22"/>
  </w:num>
  <w:num w:numId="53">
    <w:abstractNumId w:val="13"/>
  </w:num>
  <w:num w:numId="54">
    <w:abstractNumId w:val="38"/>
  </w:num>
  <w:num w:numId="55">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F5"/>
    <w:rsid w:val="00006FD2"/>
    <w:rsid w:val="000147A6"/>
    <w:rsid w:val="00021B0A"/>
    <w:rsid w:val="00022BFA"/>
    <w:rsid w:val="00032932"/>
    <w:rsid w:val="00032A50"/>
    <w:rsid w:val="000344F4"/>
    <w:rsid w:val="000356E3"/>
    <w:rsid w:val="00035CC3"/>
    <w:rsid w:val="00037318"/>
    <w:rsid w:val="00041A57"/>
    <w:rsid w:val="000421B3"/>
    <w:rsid w:val="00042958"/>
    <w:rsid w:val="00055A2B"/>
    <w:rsid w:val="0006058A"/>
    <w:rsid w:val="000658E9"/>
    <w:rsid w:val="00066F53"/>
    <w:rsid w:val="00067F4F"/>
    <w:rsid w:val="00067FC8"/>
    <w:rsid w:val="0007612C"/>
    <w:rsid w:val="00076FAD"/>
    <w:rsid w:val="00082E7E"/>
    <w:rsid w:val="00086953"/>
    <w:rsid w:val="00086AD4"/>
    <w:rsid w:val="0009391F"/>
    <w:rsid w:val="000A086C"/>
    <w:rsid w:val="000C2504"/>
    <w:rsid w:val="000C31C9"/>
    <w:rsid w:val="000C5F96"/>
    <w:rsid w:val="000D2FDA"/>
    <w:rsid w:val="000D33DA"/>
    <w:rsid w:val="000E1294"/>
    <w:rsid w:val="000E2AEF"/>
    <w:rsid w:val="000E4255"/>
    <w:rsid w:val="000E51F0"/>
    <w:rsid w:val="000E5775"/>
    <w:rsid w:val="000F23CC"/>
    <w:rsid w:val="000F4282"/>
    <w:rsid w:val="000F4A3A"/>
    <w:rsid w:val="000F5445"/>
    <w:rsid w:val="000F74A8"/>
    <w:rsid w:val="0010332A"/>
    <w:rsid w:val="001036FF"/>
    <w:rsid w:val="00103C77"/>
    <w:rsid w:val="00103FB6"/>
    <w:rsid w:val="00104A8E"/>
    <w:rsid w:val="00106F19"/>
    <w:rsid w:val="00107FBD"/>
    <w:rsid w:val="00111335"/>
    <w:rsid w:val="00114B15"/>
    <w:rsid w:val="00117CFF"/>
    <w:rsid w:val="001205DD"/>
    <w:rsid w:val="00130616"/>
    <w:rsid w:val="0013272A"/>
    <w:rsid w:val="001360EF"/>
    <w:rsid w:val="001364B5"/>
    <w:rsid w:val="00142BA0"/>
    <w:rsid w:val="001430E8"/>
    <w:rsid w:val="00152409"/>
    <w:rsid w:val="00152958"/>
    <w:rsid w:val="0015428A"/>
    <w:rsid w:val="001545A7"/>
    <w:rsid w:val="0015585C"/>
    <w:rsid w:val="0015683D"/>
    <w:rsid w:val="0016305F"/>
    <w:rsid w:val="00163FE0"/>
    <w:rsid w:val="00166E1D"/>
    <w:rsid w:val="00166FD1"/>
    <w:rsid w:val="00175583"/>
    <w:rsid w:val="0018755E"/>
    <w:rsid w:val="00191E1A"/>
    <w:rsid w:val="001924B8"/>
    <w:rsid w:val="00192F3A"/>
    <w:rsid w:val="0019339D"/>
    <w:rsid w:val="00195D2D"/>
    <w:rsid w:val="00196A2B"/>
    <w:rsid w:val="001A1137"/>
    <w:rsid w:val="001A514A"/>
    <w:rsid w:val="001B4EF4"/>
    <w:rsid w:val="001C1940"/>
    <w:rsid w:val="001D338B"/>
    <w:rsid w:val="001D36FB"/>
    <w:rsid w:val="001D4834"/>
    <w:rsid w:val="001D5FEF"/>
    <w:rsid w:val="001E1769"/>
    <w:rsid w:val="001E187B"/>
    <w:rsid w:val="001E3619"/>
    <w:rsid w:val="001F20D3"/>
    <w:rsid w:val="001F3BC4"/>
    <w:rsid w:val="001F49CA"/>
    <w:rsid w:val="001F4F33"/>
    <w:rsid w:val="00200032"/>
    <w:rsid w:val="00200805"/>
    <w:rsid w:val="002055D3"/>
    <w:rsid w:val="002077CE"/>
    <w:rsid w:val="002078C2"/>
    <w:rsid w:val="00207A6B"/>
    <w:rsid w:val="00217163"/>
    <w:rsid w:val="00234D95"/>
    <w:rsid w:val="0024448D"/>
    <w:rsid w:val="002468F9"/>
    <w:rsid w:val="00247EE2"/>
    <w:rsid w:val="00250274"/>
    <w:rsid w:val="002534C2"/>
    <w:rsid w:val="0025395A"/>
    <w:rsid w:val="00254770"/>
    <w:rsid w:val="00254B9E"/>
    <w:rsid w:val="00256AED"/>
    <w:rsid w:val="002570A3"/>
    <w:rsid w:val="00262661"/>
    <w:rsid w:val="00262693"/>
    <w:rsid w:val="00263B50"/>
    <w:rsid w:val="00271E80"/>
    <w:rsid w:val="0027703C"/>
    <w:rsid w:val="002811CC"/>
    <w:rsid w:val="002A0D34"/>
    <w:rsid w:val="002A109A"/>
    <w:rsid w:val="002A26FE"/>
    <w:rsid w:val="002A4D38"/>
    <w:rsid w:val="002B32E4"/>
    <w:rsid w:val="002B52F9"/>
    <w:rsid w:val="002B5485"/>
    <w:rsid w:val="002B7781"/>
    <w:rsid w:val="002C14DC"/>
    <w:rsid w:val="002C29A5"/>
    <w:rsid w:val="002C4811"/>
    <w:rsid w:val="002C7015"/>
    <w:rsid w:val="002D3533"/>
    <w:rsid w:val="002D4B93"/>
    <w:rsid w:val="002E0F16"/>
    <w:rsid w:val="002E10EA"/>
    <w:rsid w:val="002E2AAA"/>
    <w:rsid w:val="002E2FCE"/>
    <w:rsid w:val="002E38C5"/>
    <w:rsid w:val="002E3AFC"/>
    <w:rsid w:val="002F1C48"/>
    <w:rsid w:val="002F6AF0"/>
    <w:rsid w:val="002F7156"/>
    <w:rsid w:val="002F7749"/>
    <w:rsid w:val="003027CC"/>
    <w:rsid w:val="003072A2"/>
    <w:rsid w:val="00307FF5"/>
    <w:rsid w:val="00310025"/>
    <w:rsid w:val="003100B8"/>
    <w:rsid w:val="0031137F"/>
    <w:rsid w:val="0031156C"/>
    <w:rsid w:val="00312279"/>
    <w:rsid w:val="00313813"/>
    <w:rsid w:val="003248D6"/>
    <w:rsid w:val="003279DF"/>
    <w:rsid w:val="00330669"/>
    <w:rsid w:val="003316E1"/>
    <w:rsid w:val="00331AB0"/>
    <w:rsid w:val="00333A5C"/>
    <w:rsid w:val="00334F33"/>
    <w:rsid w:val="00341BCE"/>
    <w:rsid w:val="00342398"/>
    <w:rsid w:val="003431C6"/>
    <w:rsid w:val="003523B2"/>
    <w:rsid w:val="00352C25"/>
    <w:rsid w:val="00361B17"/>
    <w:rsid w:val="00373493"/>
    <w:rsid w:val="003776EC"/>
    <w:rsid w:val="00383548"/>
    <w:rsid w:val="00384110"/>
    <w:rsid w:val="00390096"/>
    <w:rsid w:val="00390631"/>
    <w:rsid w:val="00392104"/>
    <w:rsid w:val="00393F04"/>
    <w:rsid w:val="00394043"/>
    <w:rsid w:val="00397C03"/>
    <w:rsid w:val="003A0A5B"/>
    <w:rsid w:val="003A4975"/>
    <w:rsid w:val="003A4FFA"/>
    <w:rsid w:val="003A5D6F"/>
    <w:rsid w:val="003A637D"/>
    <w:rsid w:val="003B2361"/>
    <w:rsid w:val="003B301A"/>
    <w:rsid w:val="003C4827"/>
    <w:rsid w:val="003D08A5"/>
    <w:rsid w:val="003D379F"/>
    <w:rsid w:val="003D3E25"/>
    <w:rsid w:val="003D468A"/>
    <w:rsid w:val="003D7F63"/>
    <w:rsid w:val="003E201D"/>
    <w:rsid w:val="003E676C"/>
    <w:rsid w:val="003F2FD3"/>
    <w:rsid w:val="003F5446"/>
    <w:rsid w:val="003F5B65"/>
    <w:rsid w:val="0040052C"/>
    <w:rsid w:val="00405DE0"/>
    <w:rsid w:val="00413106"/>
    <w:rsid w:val="00414947"/>
    <w:rsid w:val="004157EB"/>
    <w:rsid w:val="00425575"/>
    <w:rsid w:val="00430EA9"/>
    <w:rsid w:val="00430F53"/>
    <w:rsid w:val="00433A47"/>
    <w:rsid w:val="00434459"/>
    <w:rsid w:val="00434482"/>
    <w:rsid w:val="004363B3"/>
    <w:rsid w:val="00436EE4"/>
    <w:rsid w:val="0044469B"/>
    <w:rsid w:val="00445187"/>
    <w:rsid w:val="00445DDD"/>
    <w:rsid w:val="00446694"/>
    <w:rsid w:val="00450B5D"/>
    <w:rsid w:val="00453DF7"/>
    <w:rsid w:val="00453F24"/>
    <w:rsid w:val="00455514"/>
    <w:rsid w:val="00456328"/>
    <w:rsid w:val="0046062E"/>
    <w:rsid w:val="00460DCD"/>
    <w:rsid w:val="00475FAF"/>
    <w:rsid w:val="00476A57"/>
    <w:rsid w:val="004839D9"/>
    <w:rsid w:val="00483C0A"/>
    <w:rsid w:val="00486159"/>
    <w:rsid w:val="00490F8C"/>
    <w:rsid w:val="00495F3E"/>
    <w:rsid w:val="004971BA"/>
    <w:rsid w:val="004C09F5"/>
    <w:rsid w:val="004C1806"/>
    <w:rsid w:val="004C79AA"/>
    <w:rsid w:val="004C7B82"/>
    <w:rsid w:val="004C7E1C"/>
    <w:rsid w:val="004E149F"/>
    <w:rsid w:val="004E1857"/>
    <w:rsid w:val="004E25AB"/>
    <w:rsid w:val="004F3544"/>
    <w:rsid w:val="0050235E"/>
    <w:rsid w:val="00504FEA"/>
    <w:rsid w:val="00507A43"/>
    <w:rsid w:val="0051180B"/>
    <w:rsid w:val="005134D6"/>
    <w:rsid w:val="00513D6F"/>
    <w:rsid w:val="00514689"/>
    <w:rsid w:val="00520B7F"/>
    <w:rsid w:val="005218EB"/>
    <w:rsid w:val="005219BA"/>
    <w:rsid w:val="005234B7"/>
    <w:rsid w:val="00524FE5"/>
    <w:rsid w:val="00530BDE"/>
    <w:rsid w:val="00535488"/>
    <w:rsid w:val="005359E2"/>
    <w:rsid w:val="00535A38"/>
    <w:rsid w:val="00540BA6"/>
    <w:rsid w:val="00541C19"/>
    <w:rsid w:val="00542283"/>
    <w:rsid w:val="00542F73"/>
    <w:rsid w:val="0054364E"/>
    <w:rsid w:val="00545402"/>
    <w:rsid w:val="00552348"/>
    <w:rsid w:val="00554080"/>
    <w:rsid w:val="0055441B"/>
    <w:rsid w:val="005554F4"/>
    <w:rsid w:val="00557B4B"/>
    <w:rsid w:val="00562767"/>
    <w:rsid w:val="00565036"/>
    <w:rsid w:val="0056518F"/>
    <w:rsid w:val="005743FE"/>
    <w:rsid w:val="00576567"/>
    <w:rsid w:val="0057675A"/>
    <w:rsid w:val="00576A60"/>
    <w:rsid w:val="0057757B"/>
    <w:rsid w:val="00581AD1"/>
    <w:rsid w:val="00581FC7"/>
    <w:rsid w:val="00584056"/>
    <w:rsid w:val="0059069B"/>
    <w:rsid w:val="00593C83"/>
    <w:rsid w:val="00593DA1"/>
    <w:rsid w:val="005957C0"/>
    <w:rsid w:val="005A03EC"/>
    <w:rsid w:val="005A4D07"/>
    <w:rsid w:val="005A56FC"/>
    <w:rsid w:val="005A64D1"/>
    <w:rsid w:val="005B1125"/>
    <w:rsid w:val="005B7903"/>
    <w:rsid w:val="005C06EB"/>
    <w:rsid w:val="005C14AB"/>
    <w:rsid w:val="005C1E78"/>
    <w:rsid w:val="005C6214"/>
    <w:rsid w:val="005C657A"/>
    <w:rsid w:val="005D4A64"/>
    <w:rsid w:val="005D7DA0"/>
    <w:rsid w:val="005E6AC1"/>
    <w:rsid w:val="005F0475"/>
    <w:rsid w:val="005F1A41"/>
    <w:rsid w:val="005F758C"/>
    <w:rsid w:val="006053E2"/>
    <w:rsid w:val="00611502"/>
    <w:rsid w:val="006138C3"/>
    <w:rsid w:val="00613B6A"/>
    <w:rsid w:val="00614803"/>
    <w:rsid w:val="006209E7"/>
    <w:rsid w:val="0062235C"/>
    <w:rsid w:val="00624584"/>
    <w:rsid w:val="006301B1"/>
    <w:rsid w:val="00631395"/>
    <w:rsid w:val="0063451F"/>
    <w:rsid w:val="006346A7"/>
    <w:rsid w:val="00644BA0"/>
    <w:rsid w:val="00644C81"/>
    <w:rsid w:val="00646F53"/>
    <w:rsid w:val="006475D2"/>
    <w:rsid w:val="006524F9"/>
    <w:rsid w:val="00657FCE"/>
    <w:rsid w:val="0066273A"/>
    <w:rsid w:val="00662C8F"/>
    <w:rsid w:val="00665803"/>
    <w:rsid w:val="006709D1"/>
    <w:rsid w:val="00672DF4"/>
    <w:rsid w:val="006748BA"/>
    <w:rsid w:val="0067639B"/>
    <w:rsid w:val="00680893"/>
    <w:rsid w:val="00680DB4"/>
    <w:rsid w:val="00686F87"/>
    <w:rsid w:val="006928EA"/>
    <w:rsid w:val="00693F16"/>
    <w:rsid w:val="00694493"/>
    <w:rsid w:val="006958CC"/>
    <w:rsid w:val="006A25D6"/>
    <w:rsid w:val="006A2A0F"/>
    <w:rsid w:val="006A312D"/>
    <w:rsid w:val="006A39A2"/>
    <w:rsid w:val="006A43EB"/>
    <w:rsid w:val="006A444C"/>
    <w:rsid w:val="006A4A13"/>
    <w:rsid w:val="006B1E43"/>
    <w:rsid w:val="006B2DA2"/>
    <w:rsid w:val="006B5219"/>
    <w:rsid w:val="006B58E3"/>
    <w:rsid w:val="006B7760"/>
    <w:rsid w:val="006C1858"/>
    <w:rsid w:val="006C4B63"/>
    <w:rsid w:val="006D6FCC"/>
    <w:rsid w:val="006D7487"/>
    <w:rsid w:val="006D7D71"/>
    <w:rsid w:val="006E2BD1"/>
    <w:rsid w:val="00701994"/>
    <w:rsid w:val="0070264D"/>
    <w:rsid w:val="007042AA"/>
    <w:rsid w:val="00704DB9"/>
    <w:rsid w:val="00705801"/>
    <w:rsid w:val="00707D6D"/>
    <w:rsid w:val="00707DE7"/>
    <w:rsid w:val="0071116F"/>
    <w:rsid w:val="007122A2"/>
    <w:rsid w:val="0072013D"/>
    <w:rsid w:val="00721550"/>
    <w:rsid w:val="00721B48"/>
    <w:rsid w:val="0072453D"/>
    <w:rsid w:val="00724B4B"/>
    <w:rsid w:val="00730DD1"/>
    <w:rsid w:val="0073338F"/>
    <w:rsid w:val="0073540E"/>
    <w:rsid w:val="00735A35"/>
    <w:rsid w:val="00735B5A"/>
    <w:rsid w:val="00735D15"/>
    <w:rsid w:val="00736141"/>
    <w:rsid w:val="00736D84"/>
    <w:rsid w:val="00742396"/>
    <w:rsid w:val="00742FA9"/>
    <w:rsid w:val="00743C9E"/>
    <w:rsid w:val="0074547A"/>
    <w:rsid w:val="00747F8E"/>
    <w:rsid w:val="00755194"/>
    <w:rsid w:val="007607E0"/>
    <w:rsid w:val="00764FD1"/>
    <w:rsid w:val="007656B7"/>
    <w:rsid w:val="0076597B"/>
    <w:rsid w:val="007666DF"/>
    <w:rsid w:val="0076731F"/>
    <w:rsid w:val="00771CD3"/>
    <w:rsid w:val="00775D2A"/>
    <w:rsid w:val="00781280"/>
    <w:rsid w:val="00782142"/>
    <w:rsid w:val="00785E24"/>
    <w:rsid w:val="0079136C"/>
    <w:rsid w:val="0079166B"/>
    <w:rsid w:val="0079351A"/>
    <w:rsid w:val="00797851"/>
    <w:rsid w:val="00797FEA"/>
    <w:rsid w:val="007A1698"/>
    <w:rsid w:val="007A4247"/>
    <w:rsid w:val="007A42E7"/>
    <w:rsid w:val="007B43AA"/>
    <w:rsid w:val="007B5EEE"/>
    <w:rsid w:val="007C219B"/>
    <w:rsid w:val="007C4A35"/>
    <w:rsid w:val="007C6D00"/>
    <w:rsid w:val="007D2188"/>
    <w:rsid w:val="007D2FAE"/>
    <w:rsid w:val="007D35E5"/>
    <w:rsid w:val="007D60D2"/>
    <w:rsid w:val="007D7DE4"/>
    <w:rsid w:val="007E1397"/>
    <w:rsid w:val="007E1EE6"/>
    <w:rsid w:val="007E2163"/>
    <w:rsid w:val="007E263B"/>
    <w:rsid w:val="007E2DED"/>
    <w:rsid w:val="007E3F8E"/>
    <w:rsid w:val="007E58AE"/>
    <w:rsid w:val="007F252B"/>
    <w:rsid w:val="007F3151"/>
    <w:rsid w:val="007F6D0B"/>
    <w:rsid w:val="007F7E89"/>
    <w:rsid w:val="00801A56"/>
    <w:rsid w:val="00805A8C"/>
    <w:rsid w:val="00811FB1"/>
    <w:rsid w:val="00812B67"/>
    <w:rsid w:val="00813FA5"/>
    <w:rsid w:val="00817335"/>
    <w:rsid w:val="00821B2B"/>
    <w:rsid w:val="0082349A"/>
    <w:rsid w:val="00823557"/>
    <w:rsid w:val="008335B7"/>
    <w:rsid w:val="008363AD"/>
    <w:rsid w:val="0084368E"/>
    <w:rsid w:val="008450B7"/>
    <w:rsid w:val="00852E0F"/>
    <w:rsid w:val="00853C0B"/>
    <w:rsid w:val="00854A8A"/>
    <w:rsid w:val="00857832"/>
    <w:rsid w:val="0086072C"/>
    <w:rsid w:val="008656D6"/>
    <w:rsid w:val="008667F1"/>
    <w:rsid w:val="008720DB"/>
    <w:rsid w:val="008729E5"/>
    <w:rsid w:val="00873449"/>
    <w:rsid w:val="00875448"/>
    <w:rsid w:val="00880646"/>
    <w:rsid w:val="00895732"/>
    <w:rsid w:val="00897354"/>
    <w:rsid w:val="008A26CF"/>
    <w:rsid w:val="008A559D"/>
    <w:rsid w:val="008A5F40"/>
    <w:rsid w:val="008A76F6"/>
    <w:rsid w:val="008B5E8A"/>
    <w:rsid w:val="008C1BB2"/>
    <w:rsid w:val="008C2682"/>
    <w:rsid w:val="008C42DE"/>
    <w:rsid w:val="008C4FE4"/>
    <w:rsid w:val="008C5F32"/>
    <w:rsid w:val="008D4D57"/>
    <w:rsid w:val="008D71F9"/>
    <w:rsid w:val="008E3172"/>
    <w:rsid w:val="008E3E4F"/>
    <w:rsid w:val="008E40C2"/>
    <w:rsid w:val="008E7577"/>
    <w:rsid w:val="008F13F7"/>
    <w:rsid w:val="008F530E"/>
    <w:rsid w:val="008F61E3"/>
    <w:rsid w:val="009039BA"/>
    <w:rsid w:val="00906226"/>
    <w:rsid w:val="00906D40"/>
    <w:rsid w:val="00907199"/>
    <w:rsid w:val="00910D24"/>
    <w:rsid w:val="0091449F"/>
    <w:rsid w:val="009162B5"/>
    <w:rsid w:val="0091739C"/>
    <w:rsid w:val="00917EAF"/>
    <w:rsid w:val="009311CD"/>
    <w:rsid w:val="00931D92"/>
    <w:rsid w:val="00933030"/>
    <w:rsid w:val="009339C5"/>
    <w:rsid w:val="009371E6"/>
    <w:rsid w:val="00940771"/>
    <w:rsid w:val="0094193E"/>
    <w:rsid w:val="009434E7"/>
    <w:rsid w:val="00944C42"/>
    <w:rsid w:val="009502CA"/>
    <w:rsid w:val="0095436B"/>
    <w:rsid w:val="00957BDC"/>
    <w:rsid w:val="00960D67"/>
    <w:rsid w:val="00964EB0"/>
    <w:rsid w:val="00965853"/>
    <w:rsid w:val="0097284E"/>
    <w:rsid w:val="00972DB4"/>
    <w:rsid w:val="0097449D"/>
    <w:rsid w:val="00975AAF"/>
    <w:rsid w:val="00976A30"/>
    <w:rsid w:val="00977C80"/>
    <w:rsid w:val="00982486"/>
    <w:rsid w:val="00990697"/>
    <w:rsid w:val="00993814"/>
    <w:rsid w:val="009947B7"/>
    <w:rsid w:val="00995571"/>
    <w:rsid w:val="00995612"/>
    <w:rsid w:val="009A1F59"/>
    <w:rsid w:val="009A2932"/>
    <w:rsid w:val="009A2DB4"/>
    <w:rsid w:val="009A6BFD"/>
    <w:rsid w:val="009A7889"/>
    <w:rsid w:val="009B0A55"/>
    <w:rsid w:val="009C65F4"/>
    <w:rsid w:val="009C6F38"/>
    <w:rsid w:val="009C77E4"/>
    <w:rsid w:val="009D0B1C"/>
    <w:rsid w:val="009D2E0B"/>
    <w:rsid w:val="009E19F7"/>
    <w:rsid w:val="009E2774"/>
    <w:rsid w:val="009F0B98"/>
    <w:rsid w:val="009F3B66"/>
    <w:rsid w:val="00A02619"/>
    <w:rsid w:val="00A04663"/>
    <w:rsid w:val="00A122D4"/>
    <w:rsid w:val="00A1549C"/>
    <w:rsid w:val="00A161A4"/>
    <w:rsid w:val="00A23893"/>
    <w:rsid w:val="00A267DE"/>
    <w:rsid w:val="00A27105"/>
    <w:rsid w:val="00A31BDE"/>
    <w:rsid w:val="00A31E63"/>
    <w:rsid w:val="00A32CBD"/>
    <w:rsid w:val="00A33068"/>
    <w:rsid w:val="00A34D59"/>
    <w:rsid w:val="00A35C7B"/>
    <w:rsid w:val="00A3624C"/>
    <w:rsid w:val="00A37197"/>
    <w:rsid w:val="00A4247F"/>
    <w:rsid w:val="00A44EDF"/>
    <w:rsid w:val="00A47560"/>
    <w:rsid w:val="00A51279"/>
    <w:rsid w:val="00A52E53"/>
    <w:rsid w:val="00A561A6"/>
    <w:rsid w:val="00A56609"/>
    <w:rsid w:val="00A65AFD"/>
    <w:rsid w:val="00A66D2F"/>
    <w:rsid w:val="00A72FCB"/>
    <w:rsid w:val="00A766F1"/>
    <w:rsid w:val="00A76A0D"/>
    <w:rsid w:val="00A775B6"/>
    <w:rsid w:val="00A8002C"/>
    <w:rsid w:val="00A8274C"/>
    <w:rsid w:val="00A87C32"/>
    <w:rsid w:val="00A87E7F"/>
    <w:rsid w:val="00A950CF"/>
    <w:rsid w:val="00A9575D"/>
    <w:rsid w:val="00AA10F9"/>
    <w:rsid w:val="00AA134E"/>
    <w:rsid w:val="00AA2BB2"/>
    <w:rsid w:val="00AA7404"/>
    <w:rsid w:val="00AB0EE6"/>
    <w:rsid w:val="00AC2BBA"/>
    <w:rsid w:val="00AC4AD9"/>
    <w:rsid w:val="00AD0C07"/>
    <w:rsid w:val="00AD1E8C"/>
    <w:rsid w:val="00AD38F8"/>
    <w:rsid w:val="00AE7525"/>
    <w:rsid w:val="00AF331B"/>
    <w:rsid w:val="00AF5F45"/>
    <w:rsid w:val="00B0717E"/>
    <w:rsid w:val="00B07835"/>
    <w:rsid w:val="00B11FFB"/>
    <w:rsid w:val="00B203A3"/>
    <w:rsid w:val="00B252FD"/>
    <w:rsid w:val="00B264CA"/>
    <w:rsid w:val="00B35DA7"/>
    <w:rsid w:val="00B35F66"/>
    <w:rsid w:val="00B404F5"/>
    <w:rsid w:val="00B45EFC"/>
    <w:rsid w:val="00B471E6"/>
    <w:rsid w:val="00B5284F"/>
    <w:rsid w:val="00B551CA"/>
    <w:rsid w:val="00B55290"/>
    <w:rsid w:val="00B70402"/>
    <w:rsid w:val="00B724D0"/>
    <w:rsid w:val="00B74594"/>
    <w:rsid w:val="00B81641"/>
    <w:rsid w:val="00B8527F"/>
    <w:rsid w:val="00B852C8"/>
    <w:rsid w:val="00B9357B"/>
    <w:rsid w:val="00B962C5"/>
    <w:rsid w:val="00BA3388"/>
    <w:rsid w:val="00BA4DBC"/>
    <w:rsid w:val="00BA52D6"/>
    <w:rsid w:val="00BB0803"/>
    <w:rsid w:val="00BB14D3"/>
    <w:rsid w:val="00BB22BB"/>
    <w:rsid w:val="00BB5BBB"/>
    <w:rsid w:val="00BB639F"/>
    <w:rsid w:val="00BC1511"/>
    <w:rsid w:val="00BC1EEC"/>
    <w:rsid w:val="00BC5C6D"/>
    <w:rsid w:val="00BD34A1"/>
    <w:rsid w:val="00BD6A7F"/>
    <w:rsid w:val="00BE1AA6"/>
    <w:rsid w:val="00BE2244"/>
    <w:rsid w:val="00BE7758"/>
    <w:rsid w:val="00BF0FDE"/>
    <w:rsid w:val="00BF3F99"/>
    <w:rsid w:val="00BF7AC3"/>
    <w:rsid w:val="00C028C5"/>
    <w:rsid w:val="00C02AFD"/>
    <w:rsid w:val="00C03618"/>
    <w:rsid w:val="00C10890"/>
    <w:rsid w:val="00C127A3"/>
    <w:rsid w:val="00C15D2A"/>
    <w:rsid w:val="00C207AF"/>
    <w:rsid w:val="00C2205A"/>
    <w:rsid w:val="00C2271F"/>
    <w:rsid w:val="00C24CED"/>
    <w:rsid w:val="00C36440"/>
    <w:rsid w:val="00C37701"/>
    <w:rsid w:val="00C3799B"/>
    <w:rsid w:val="00C41B9A"/>
    <w:rsid w:val="00C61AA4"/>
    <w:rsid w:val="00C62050"/>
    <w:rsid w:val="00C62139"/>
    <w:rsid w:val="00C63385"/>
    <w:rsid w:val="00C64A6B"/>
    <w:rsid w:val="00C7576A"/>
    <w:rsid w:val="00C804B8"/>
    <w:rsid w:val="00C80F6C"/>
    <w:rsid w:val="00C83D25"/>
    <w:rsid w:val="00C917FF"/>
    <w:rsid w:val="00C91930"/>
    <w:rsid w:val="00C936FC"/>
    <w:rsid w:val="00C9485F"/>
    <w:rsid w:val="00C97C57"/>
    <w:rsid w:val="00CA34B0"/>
    <w:rsid w:val="00CA4A4B"/>
    <w:rsid w:val="00CA5B89"/>
    <w:rsid w:val="00CA68CA"/>
    <w:rsid w:val="00CB1656"/>
    <w:rsid w:val="00CB30BD"/>
    <w:rsid w:val="00CC0991"/>
    <w:rsid w:val="00CC0AF4"/>
    <w:rsid w:val="00CC0C7D"/>
    <w:rsid w:val="00CC10DA"/>
    <w:rsid w:val="00CC1BC0"/>
    <w:rsid w:val="00CC52FD"/>
    <w:rsid w:val="00CC6EA2"/>
    <w:rsid w:val="00CD13F7"/>
    <w:rsid w:val="00CD5B1A"/>
    <w:rsid w:val="00CE194B"/>
    <w:rsid w:val="00CE4B4B"/>
    <w:rsid w:val="00CE4DFD"/>
    <w:rsid w:val="00CE5981"/>
    <w:rsid w:val="00CF0ED2"/>
    <w:rsid w:val="00CF22FA"/>
    <w:rsid w:val="00CF309F"/>
    <w:rsid w:val="00CF4EAA"/>
    <w:rsid w:val="00CF5D71"/>
    <w:rsid w:val="00CF6E39"/>
    <w:rsid w:val="00D05052"/>
    <w:rsid w:val="00D0673B"/>
    <w:rsid w:val="00D06D62"/>
    <w:rsid w:val="00D07028"/>
    <w:rsid w:val="00D12FDF"/>
    <w:rsid w:val="00D1437C"/>
    <w:rsid w:val="00D14D17"/>
    <w:rsid w:val="00D151A6"/>
    <w:rsid w:val="00D204CA"/>
    <w:rsid w:val="00D20529"/>
    <w:rsid w:val="00D208B3"/>
    <w:rsid w:val="00D2128F"/>
    <w:rsid w:val="00D234E8"/>
    <w:rsid w:val="00D24CE7"/>
    <w:rsid w:val="00D33C34"/>
    <w:rsid w:val="00D3728F"/>
    <w:rsid w:val="00D4012D"/>
    <w:rsid w:val="00D4046F"/>
    <w:rsid w:val="00D417A8"/>
    <w:rsid w:val="00D454F0"/>
    <w:rsid w:val="00D47458"/>
    <w:rsid w:val="00D5325E"/>
    <w:rsid w:val="00D537AE"/>
    <w:rsid w:val="00D538E2"/>
    <w:rsid w:val="00D56804"/>
    <w:rsid w:val="00D63474"/>
    <w:rsid w:val="00D64116"/>
    <w:rsid w:val="00D648A4"/>
    <w:rsid w:val="00D64B14"/>
    <w:rsid w:val="00D660A1"/>
    <w:rsid w:val="00D662DA"/>
    <w:rsid w:val="00D72BCD"/>
    <w:rsid w:val="00D741C0"/>
    <w:rsid w:val="00D7466E"/>
    <w:rsid w:val="00D7572A"/>
    <w:rsid w:val="00D811ED"/>
    <w:rsid w:val="00D83FDB"/>
    <w:rsid w:val="00D86CBB"/>
    <w:rsid w:val="00D92C54"/>
    <w:rsid w:val="00D941F4"/>
    <w:rsid w:val="00D9450D"/>
    <w:rsid w:val="00D954F6"/>
    <w:rsid w:val="00D9626D"/>
    <w:rsid w:val="00D97039"/>
    <w:rsid w:val="00DA09BF"/>
    <w:rsid w:val="00DA0EBD"/>
    <w:rsid w:val="00DA1B40"/>
    <w:rsid w:val="00DA218D"/>
    <w:rsid w:val="00DA3614"/>
    <w:rsid w:val="00DB6129"/>
    <w:rsid w:val="00DB6ECE"/>
    <w:rsid w:val="00DC002C"/>
    <w:rsid w:val="00DC0425"/>
    <w:rsid w:val="00DC50C9"/>
    <w:rsid w:val="00DC5D03"/>
    <w:rsid w:val="00DC7941"/>
    <w:rsid w:val="00DC7E47"/>
    <w:rsid w:val="00DD00CC"/>
    <w:rsid w:val="00DD027A"/>
    <w:rsid w:val="00DD090A"/>
    <w:rsid w:val="00DD37BC"/>
    <w:rsid w:val="00DD7DCB"/>
    <w:rsid w:val="00DE30C3"/>
    <w:rsid w:val="00DF0801"/>
    <w:rsid w:val="00DF6880"/>
    <w:rsid w:val="00E02869"/>
    <w:rsid w:val="00E02AA6"/>
    <w:rsid w:val="00E077D2"/>
    <w:rsid w:val="00E1087E"/>
    <w:rsid w:val="00E120B8"/>
    <w:rsid w:val="00E17B58"/>
    <w:rsid w:val="00E20F8F"/>
    <w:rsid w:val="00E218E2"/>
    <w:rsid w:val="00E22060"/>
    <w:rsid w:val="00E23D64"/>
    <w:rsid w:val="00E30A9A"/>
    <w:rsid w:val="00E36986"/>
    <w:rsid w:val="00E4024D"/>
    <w:rsid w:val="00E41DFA"/>
    <w:rsid w:val="00E42DAC"/>
    <w:rsid w:val="00E446A1"/>
    <w:rsid w:val="00E53E2A"/>
    <w:rsid w:val="00E53E32"/>
    <w:rsid w:val="00E56B41"/>
    <w:rsid w:val="00E6136C"/>
    <w:rsid w:val="00E623CF"/>
    <w:rsid w:val="00E66D83"/>
    <w:rsid w:val="00E72186"/>
    <w:rsid w:val="00E721BD"/>
    <w:rsid w:val="00E7677C"/>
    <w:rsid w:val="00E77377"/>
    <w:rsid w:val="00E779CE"/>
    <w:rsid w:val="00E81559"/>
    <w:rsid w:val="00E836E0"/>
    <w:rsid w:val="00E87F8C"/>
    <w:rsid w:val="00E9059E"/>
    <w:rsid w:val="00E91D10"/>
    <w:rsid w:val="00EA0A73"/>
    <w:rsid w:val="00EA725E"/>
    <w:rsid w:val="00EB1C48"/>
    <w:rsid w:val="00EB1DDB"/>
    <w:rsid w:val="00EB595A"/>
    <w:rsid w:val="00EC4460"/>
    <w:rsid w:val="00ED565D"/>
    <w:rsid w:val="00EE0879"/>
    <w:rsid w:val="00EE1D01"/>
    <w:rsid w:val="00EE6A30"/>
    <w:rsid w:val="00EE6B39"/>
    <w:rsid w:val="00EE74C5"/>
    <w:rsid w:val="00EF0088"/>
    <w:rsid w:val="00EF4211"/>
    <w:rsid w:val="00F0095D"/>
    <w:rsid w:val="00F023D5"/>
    <w:rsid w:val="00F02CA3"/>
    <w:rsid w:val="00F03D81"/>
    <w:rsid w:val="00F056E8"/>
    <w:rsid w:val="00F10731"/>
    <w:rsid w:val="00F11B55"/>
    <w:rsid w:val="00F13226"/>
    <w:rsid w:val="00F13441"/>
    <w:rsid w:val="00F17E4A"/>
    <w:rsid w:val="00F24630"/>
    <w:rsid w:val="00F25E24"/>
    <w:rsid w:val="00F2659C"/>
    <w:rsid w:val="00F26793"/>
    <w:rsid w:val="00F279D4"/>
    <w:rsid w:val="00F3351E"/>
    <w:rsid w:val="00F35DFB"/>
    <w:rsid w:val="00F452AC"/>
    <w:rsid w:val="00F46196"/>
    <w:rsid w:val="00F47C46"/>
    <w:rsid w:val="00F5004A"/>
    <w:rsid w:val="00F500E0"/>
    <w:rsid w:val="00F50B22"/>
    <w:rsid w:val="00F530FC"/>
    <w:rsid w:val="00F54111"/>
    <w:rsid w:val="00F54B4B"/>
    <w:rsid w:val="00F551ED"/>
    <w:rsid w:val="00F55534"/>
    <w:rsid w:val="00F5650A"/>
    <w:rsid w:val="00F60687"/>
    <w:rsid w:val="00F60949"/>
    <w:rsid w:val="00F60B69"/>
    <w:rsid w:val="00F61774"/>
    <w:rsid w:val="00F645E9"/>
    <w:rsid w:val="00F65757"/>
    <w:rsid w:val="00F7181D"/>
    <w:rsid w:val="00F7448C"/>
    <w:rsid w:val="00F7586B"/>
    <w:rsid w:val="00F8174D"/>
    <w:rsid w:val="00F827EE"/>
    <w:rsid w:val="00F849C5"/>
    <w:rsid w:val="00F85AF0"/>
    <w:rsid w:val="00F8749F"/>
    <w:rsid w:val="00F94299"/>
    <w:rsid w:val="00F965BF"/>
    <w:rsid w:val="00F96A87"/>
    <w:rsid w:val="00FA0DEB"/>
    <w:rsid w:val="00FA3A35"/>
    <w:rsid w:val="00FA605D"/>
    <w:rsid w:val="00FB107F"/>
    <w:rsid w:val="00FB1376"/>
    <w:rsid w:val="00FB19A8"/>
    <w:rsid w:val="00FB241C"/>
    <w:rsid w:val="00FB55D2"/>
    <w:rsid w:val="00FB7EF5"/>
    <w:rsid w:val="00FC1475"/>
    <w:rsid w:val="00FC1908"/>
    <w:rsid w:val="00FC6083"/>
    <w:rsid w:val="00FC73C6"/>
    <w:rsid w:val="00FD339B"/>
    <w:rsid w:val="00FD54FE"/>
    <w:rsid w:val="00FD5615"/>
    <w:rsid w:val="00FD56BE"/>
    <w:rsid w:val="00FE1B67"/>
    <w:rsid w:val="00FE26A6"/>
    <w:rsid w:val="00FE2DEC"/>
    <w:rsid w:val="00FE678E"/>
    <w:rsid w:val="00FF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20FE"/>
  <w15:docId w15:val="{B92DFE70-747B-42F1-B218-0C193964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F2659C"/>
    <w:pPr>
      <w:keepNext/>
      <w:spacing w:before="240" w:after="60" w:line="240" w:lineRule="auto"/>
      <w:jc w:val="both"/>
      <w:outlineLvl w:val="0"/>
    </w:pPr>
    <w:rPr>
      <w:rFonts w:ascii="Arial" w:eastAsia="Calibri" w:hAnsi="Arial" w:cs="Arial"/>
      <w:b/>
      <w:bCs/>
      <w:kern w:val="32"/>
      <w:sz w:val="32"/>
      <w:szCs w:val="32"/>
    </w:rPr>
  </w:style>
  <w:style w:type="paragraph" w:styleId="2">
    <w:name w:val="heading 2"/>
    <w:basedOn w:val="a0"/>
    <w:next w:val="a0"/>
    <w:link w:val="20"/>
    <w:qFormat/>
    <w:rsid w:val="006346A7"/>
    <w:pPr>
      <w:keepNext/>
      <w:spacing w:before="240" w:after="60" w:line="240" w:lineRule="auto"/>
      <w:ind w:firstLine="720"/>
      <w:jc w:val="both"/>
      <w:outlineLvl w:val="1"/>
    </w:pPr>
    <w:rPr>
      <w:rFonts w:ascii="Arial" w:eastAsia="Times New Roman" w:hAnsi="Arial" w:cs="Arial"/>
      <w:b/>
      <w:bCs/>
      <w:i/>
      <w:iCs/>
      <w:sz w:val="28"/>
      <w:szCs w:val="28"/>
    </w:rPr>
  </w:style>
  <w:style w:type="paragraph" w:styleId="3">
    <w:name w:val="heading 3"/>
    <w:basedOn w:val="a0"/>
    <w:next w:val="a0"/>
    <w:link w:val="30"/>
    <w:qFormat/>
    <w:rsid w:val="006346A7"/>
    <w:pPr>
      <w:keepNext/>
      <w:tabs>
        <w:tab w:val="num" w:pos="1800"/>
      </w:tabs>
      <w:spacing w:before="240" w:after="60" w:line="240" w:lineRule="auto"/>
      <w:ind w:left="1440"/>
      <w:outlineLvl w:val="2"/>
    </w:pPr>
    <w:rPr>
      <w:rFonts w:ascii="Arial" w:eastAsia="Times New Roman" w:hAnsi="Arial" w:cs="Arial"/>
      <w:b/>
      <w:bCs/>
      <w:sz w:val="26"/>
      <w:szCs w:val="26"/>
      <w:lang w:eastAsia="ru-RU"/>
    </w:rPr>
  </w:style>
  <w:style w:type="paragraph" w:styleId="4">
    <w:name w:val="heading 4"/>
    <w:basedOn w:val="a0"/>
    <w:next w:val="a0"/>
    <w:link w:val="40"/>
    <w:qFormat/>
    <w:rsid w:val="006346A7"/>
    <w:pPr>
      <w:keepNext/>
      <w:tabs>
        <w:tab w:val="num" w:pos="2520"/>
      </w:tabs>
      <w:spacing w:after="0" w:line="240" w:lineRule="auto"/>
      <w:ind w:left="2160"/>
      <w:jc w:val="right"/>
      <w:outlineLvl w:val="3"/>
    </w:pPr>
    <w:rPr>
      <w:rFonts w:ascii="Times New Roman" w:eastAsia="Times New Roman" w:hAnsi="Times New Roman" w:cs="Times New Roman"/>
      <w:i/>
      <w:iCs/>
      <w:color w:val="000000"/>
      <w:sz w:val="28"/>
      <w:szCs w:val="28"/>
      <w:lang w:eastAsia="ru-RU"/>
    </w:rPr>
  </w:style>
  <w:style w:type="paragraph" w:styleId="5">
    <w:name w:val="heading 5"/>
    <w:basedOn w:val="a0"/>
    <w:next w:val="a0"/>
    <w:link w:val="50"/>
    <w:qFormat/>
    <w:rsid w:val="006346A7"/>
    <w:pPr>
      <w:keepNext/>
      <w:tabs>
        <w:tab w:val="num" w:pos="3240"/>
      </w:tabs>
      <w:spacing w:after="0" w:line="240" w:lineRule="auto"/>
      <w:ind w:left="2880"/>
      <w:jc w:val="center"/>
      <w:outlineLvl w:val="4"/>
    </w:pPr>
    <w:rPr>
      <w:rFonts w:ascii="Times New Roman" w:eastAsia="Times New Roman" w:hAnsi="Times New Roman" w:cs="Times New Roman"/>
      <w:b/>
      <w:bCs/>
      <w:color w:val="000000"/>
      <w:sz w:val="40"/>
      <w:szCs w:val="40"/>
      <w:lang w:eastAsia="ru-RU"/>
    </w:rPr>
  </w:style>
  <w:style w:type="paragraph" w:styleId="6">
    <w:name w:val="heading 6"/>
    <w:basedOn w:val="a0"/>
    <w:next w:val="a0"/>
    <w:link w:val="60"/>
    <w:qFormat/>
    <w:rsid w:val="006346A7"/>
    <w:pPr>
      <w:tabs>
        <w:tab w:val="num" w:pos="3960"/>
      </w:tabs>
      <w:spacing w:before="240" w:after="60" w:line="240" w:lineRule="auto"/>
      <w:ind w:left="3600"/>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6346A7"/>
    <w:pPr>
      <w:tabs>
        <w:tab w:val="num" w:pos="4680"/>
      </w:tabs>
      <w:spacing w:before="240" w:after="60" w:line="240" w:lineRule="auto"/>
      <w:ind w:left="4320"/>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6346A7"/>
    <w:pPr>
      <w:tabs>
        <w:tab w:val="num" w:pos="5400"/>
      </w:tabs>
      <w:spacing w:before="240" w:after="60" w:line="240" w:lineRule="auto"/>
      <w:ind w:left="5040"/>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6346A7"/>
    <w:pPr>
      <w:tabs>
        <w:tab w:val="num" w:pos="6120"/>
      </w:tabs>
      <w:spacing w:before="240" w:after="60" w:line="240" w:lineRule="auto"/>
      <w:ind w:left="5760"/>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
    <w:basedOn w:val="a0"/>
    <w:link w:val="a5"/>
    <w:uiPriority w:val="99"/>
    <w:rsid w:val="00B252F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5">
    <w:name w:val="Обычный (веб) Знак"/>
    <w:aliases w:val="Обычный (Web)1 Знак2,Знак Знак3 Знак2,Обычный (Web) Знак2,Обычный (веб) Знак1 Знак2,Обычный (веб) Знак Знак1 Знак2,Знак Знак1 Знак Знак3,Обычный (веб) Знак Знак Знак Знак3,Знак Знак1 Знак Знак Знак2,Знак Знак Знак Знак Знак Знак1"/>
    <w:link w:val="a4"/>
    <w:uiPriority w:val="99"/>
    <w:locked/>
    <w:rsid w:val="00B252FD"/>
    <w:rPr>
      <w:rFonts w:ascii="Times New Roman" w:eastAsia="Calibri" w:hAnsi="Times New Roman" w:cs="Times New Roman"/>
      <w:sz w:val="24"/>
      <w:szCs w:val="24"/>
      <w:lang w:eastAsia="ru-RU"/>
    </w:rPr>
  </w:style>
  <w:style w:type="character" w:customStyle="1" w:styleId="apple-converted-space">
    <w:name w:val="apple-converted-space"/>
    <w:basedOn w:val="a1"/>
    <w:rsid w:val="00B252FD"/>
  </w:style>
  <w:style w:type="paragraph" w:styleId="a6">
    <w:name w:val="List Paragraph"/>
    <w:aliases w:val="без абзаца,ненум_список,Heading1,Colorful List - Accent 11,маркированный,References,NUMBERED PARAGRAPH,List Paragraph 1,Bullets,List_Paragraph,Multilevel para_II,List Paragraph1,Akapit z listą BS,List Paragraph (numbered (a))"/>
    <w:basedOn w:val="a0"/>
    <w:link w:val="a7"/>
    <w:uiPriority w:val="34"/>
    <w:qFormat/>
    <w:rsid w:val="00B252FD"/>
    <w:pPr>
      <w:ind w:left="720"/>
      <w:contextualSpacing/>
    </w:pPr>
  </w:style>
  <w:style w:type="table" w:styleId="a8">
    <w:name w:val="Table Grid"/>
    <w:basedOn w:val="a2"/>
    <w:rsid w:val="00D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aliases w:val="Footnote Reference Number,Footnote Reference_LVL6,Footnote Reference_LVL61,Footnote Reference_LVL62,Footnote Reference_LVL63,Footnote Reference_LVL64,fr,PIC Footnote Reference,Текст сноски Знак2 Знак Знак"/>
    <w:uiPriority w:val="99"/>
    <w:rsid w:val="008D71F9"/>
    <w:rPr>
      <w:vertAlign w:val="superscript"/>
    </w:rPr>
  </w:style>
  <w:style w:type="paragraph" w:styleId="aa">
    <w:name w:val="footnote text"/>
    <w:aliases w:val="Текст сноски-FN,single space,footnote text"/>
    <w:basedOn w:val="a0"/>
    <w:link w:val="ab"/>
    <w:uiPriority w:val="99"/>
    <w:rsid w:val="008D71F9"/>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Текст сноски-FN Знак1,single space Знак1,footnote text Знак"/>
    <w:basedOn w:val="a1"/>
    <w:link w:val="aa"/>
    <w:uiPriority w:val="99"/>
    <w:rsid w:val="008D71F9"/>
    <w:rPr>
      <w:rFonts w:ascii="Times New Roman" w:eastAsia="Times New Roman" w:hAnsi="Times New Roman" w:cs="Times New Roman"/>
      <w:sz w:val="20"/>
      <w:szCs w:val="20"/>
      <w:lang w:eastAsia="ru-RU"/>
    </w:rPr>
  </w:style>
  <w:style w:type="character" w:customStyle="1" w:styleId="20">
    <w:name w:val="Заголовок 2 Знак"/>
    <w:basedOn w:val="a1"/>
    <w:link w:val="2"/>
    <w:rsid w:val="006346A7"/>
    <w:rPr>
      <w:rFonts w:ascii="Arial" w:eastAsia="Times New Roman" w:hAnsi="Arial" w:cs="Arial"/>
      <w:b/>
      <w:bCs/>
      <w:i/>
      <w:iCs/>
      <w:sz w:val="28"/>
      <w:szCs w:val="28"/>
    </w:rPr>
  </w:style>
  <w:style w:type="character" w:customStyle="1" w:styleId="30">
    <w:name w:val="Заголовок 3 Знак"/>
    <w:basedOn w:val="a1"/>
    <w:link w:val="3"/>
    <w:rsid w:val="006346A7"/>
    <w:rPr>
      <w:rFonts w:ascii="Arial" w:eastAsia="Times New Roman" w:hAnsi="Arial" w:cs="Arial"/>
      <w:b/>
      <w:bCs/>
      <w:sz w:val="26"/>
      <w:szCs w:val="26"/>
      <w:lang w:eastAsia="ru-RU"/>
    </w:rPr>
  </w:style>
  <w:style w:type="character" w:customStyle="1" w:styleId="40">
    <w:name w:val="Заголовок 4 Знак"/>
    <w:basedOn w:val="a1"/>
    <w:link w:val="4"/>
    <w:rsid w:val="006346A7"/>
    <w:rPr>
      <w:rFonts w:ascii="Times New Roman" w:eastAsia="Times New Roman" w:hAnsi="Times New Roman" w:cs="Times New Roman"/>
      <w:i/>
      <w:iCs/>
      <w:color w:val="000000"/>
      <w:sz w:val="28"/>
      <w:szCs w:val="28"/>
      <w:lang w:eastAsia="ru-RU"/>
    </w:rPr>
  </w:style>
  <w:style w:type="character" w:customStyle="1" w:styleId="50">
    <w:name w:val="Заголовок 5 Знак"/>
    <w:basedOn w:val="a1"/>
    <w:link w:val="5"/>
    <w:rsid w:val="006346A7"/>
    <w:rPr>
      <w:rFonts w:ascii="Times New Roman" w:eastAsia="Times New Roman" w:hAnsi="Times New Roman" w:cs="Times New Roman"/>
      <w:b/>
      <w:bCs/>
      <w:color w:val="000000"/>
      <w:sz w:val="40"/>
      <w:szCs w:val="40"/>
      <w:lang w:eastAsia="ru-RU"/>
    </w:rPr>
  </w:style>
  <w:style w:type="character" w:customStyle="1" w:styleId="60">
    <w:name w:val="Заголовок 6 Знак"/>
    <w:basedOn w:val="a1"/>
    <w:link w:val="6"/>
    <w:rsid w:val="006346A7"/>
    <w:rPr>
      <w:rFonts w:ascii="Times New Roman" w:eastAsia="Times New Roman" w:hAnsi="Times New Roman" w:cs="Times New Roman"/>
      <w:b/>
      <w:bCs/>
      <w:lang w:eastAsia="ru-RU"/>
    </w:rPr>
  </w:style>
  <w:style w:type="character" w:customStyle="1" w:styleId="70">
    <w:name w:val="Заголовок 7 Знак"/>
    <w:basedOn w:val="a1"/>
    <w:link w:val="7"/>
    <w:rsid w:val="006346A7"/>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6346A7"/>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6346A7"/>
    <w:rPr>
      <w:rFonts w:ascii="Arial" w:eastAsia="Times New Roman" w:hAnsi="Arial" w:cs="Arial"/>
      <w:lang w:eastAsia="ru-RU"/>
    </w:rPr>
  </w:style>
  <w:style w:type="paragraph" w:customStyle="1" w:styleId="ac">
    <w:name w:val="Знак"/>
    <w:basedOn w:val="a0"/>
    <w:autoRedefine/>
    <w:rsid w:val="006346A7"/>
    <w:pPr>
      <w:spacing w:after="160" w:line="240" w:lineRule="exact"/>
    </w:pPr>
    <w:rPr>
      <w:rFonts w:ascii="Times New Roman" w:eastAsia="Times New Roman" w:hAnsi="Times New Roman" w:cs="Times New Roman"/>
      <w:sz w:val="28"/>
      <w:szCs w:val="20"/>
      <w:lang w:val="en-US"/>
    </w:rPr>
  </w:style>
  <w:style w:type="character" w:customStyle="1" w:styleId="s1">
    <w:name w:val="s1"/>
    <w:rsid w:val="006346A7"/>
    <w:rPr>
      <w:rFonts w:ascii="Times New Roman" w:hAnsi="Times New Roman" w:cs="Times New Roman" w:hint="default"/>
      <w:b/>
      <w:bCs/>
      <w:i w:val="0"/>
      <w:iCs w:val="0"/>
      <w:strike w:val="0"/>
      <w:dstrike w:val="0"/>
      <w:color w:val="000000"/>
      <w:sz w:val="20"/>
      <w:szCs w:val="20"/>
      <w:u w:val="none"/>
      <w:effect w:val="none"/>
    </w:rPr>
  </w:style>
  <w:style w:type="paragraph" w:customStyle="1" w:styleId="11">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d">
    <w:name w:val="Инфляционный обзор_обычный"/>
    <w:basedOn w:val="a0"/>
    <w:rsid w:val="006346A7"/>
    <w:pPr>
      <w:spacing w:after="0" w:line="240" w:lineRule="auto"/>
      <w:ind w:firstLine="720"/>
      <w:jc w:val="both"/>
    </w:pPr>
    <w:rPr>
      <w:rFonts w:ascii="Times New Roman" w:eastAsia="Times New Roman" w:hAnsi="Times New Roman" w:cs="Times New Roman"/>
      <w:sz w:val="24"/>
      <w:szCs w:val="20"/>
      <w:lang w:eastAsia="ru-RU"/>
    </w:rPr>
  </w:style>
  <w:style w:type="paragraph" w:styleId="ae">
    <w:name w:val="Body Text Indent"/>
    <w:basedOn w:val="a0"/>
    <w:link w:val="af"/>
    <w:rsid w:val="006346A7"/>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1"/>
    <w:link w:val="ae"/>
    <w:rsid w:val="006346A7"/>
    <w:rPr>
      <w:rFonts w:ascii="Times New Roman" w:eastAsia="Times New Roman" w:hAnsi="Times New Roman" w:cs="Times New Roman"/>
      <w:sz w:val="24"/>
      <w:szCs w:val="24"/>
      <w:lang w:eastAsia="ru-RU"/>
    </w:rPr>
  </w:style>
  <w:style w:type="paragraph" w:customStyle="1" w:styleId="CharChar1">
    <w:name w:val="Char Char1"/>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f0">
    <w:name w:val="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12">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s0">
    <w:name w:val="s0"/>
    <w:rsid w:val="006346A7"/>
    <w:rPr>
      <w:rFonts w:ascii="Times New Roman" w:hAnsi="Times New Roman" w:cs="Times New Roman" w:hint="default"/>
      <w:b w:val="0"/>
      <w:bCs w:val="0"/>
      <w:i w:val="0"/>
      <w:iCs w:val="0"/>
      <w:strike w:val="0"/>
      <w:dstrike w:val="0"/>
      <w:color w:val="000000"/>
      <w:sz w:val="20"/>
      <w:szCs w:val="20"/>
      <w:u w:val="none"/>
      <w:effect w:val="none"/>
    </w:rPr>
  </w:style>
  <w:style w:type="character" w:styleId="af1">
    <w:name w:val="Hyperlink"/>
    <w:rsid w:val="006346A7"/>
    <w:rPr>
      <w:color w:val="0000FF"/>
      <w:u w:val="single"/>
    </w:rPr>
  </w:style>
  <w:style w:type="paragraph" w:customStyle="1" w:styleId="13">
    <w:name w:val="Стиль1"/>
    <w:basedOn w:val="a0"/>
    <w:rsid w:val="006346A7"/>
    <w:pPr>
      <w:autoSpaceDE w:val="0"/>
      <w:autoSpaceDN w:val="0"/>
      <w:spacing w:after="0" w:line="240" w:lineRule="auto"/>
      <w:jc w:val="both"/>
    </w:pPr>
    <w:rPr>
      <w:rFonts w:ascii="Times New Roman" w:eastAsia="Times New Roman" w:hAnsi="Times New Roman" w:cs="Arial"/>
      <w:color w:val="000000"/>
      <w:sz w:val="28"/>
      <w:szCs w:val="24"/>
      <w:lang w:eastAsia="ru-RU"/>
    </w:rPr>
  </w:style>
  <w:style w:type="paragraph" w:customStyle="1" w:styleId="af2">
    <w:name w:val="Знак Знак Знак Знак Знак Знак Знак 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61">
    <w:name w:val="Стиль6"/>
    <w:basedOn w:val="a0"/>
    <w:rsid w:val="006346A7"/>
    <w:pPr>
      <w:keepNext/>
      <w:spacing w:after="0" w:line="240" w:lineRule="auto"/>
      <w:jc w:val="both"/>
      <w:outlineLvl w:val="1"/>
    </w:pPr>
    <w:rPr>
      <w:rFonts w:ascii="Times New Roman" w:eastAsia="Times New Roman" w:hAnsi="Times New Roman" w:cs="Arial"/>
      <w:bCs/>
      <w:iCs/>
      <w:color w:val="000000"/>
      <w:sz w:val="28"/>
      <w:szCs w:val="28"/>
      <w:lang w:eastAsia="ru-RU"/>
    </w:rPr>
  </w:style>
  <w:style w:type="paragraph" w:styleId="af3">
    <w:name w:val="header"/>
    <w:basedOn w:val="a0"/>
    <w:link w:val="af4"/>
    <w:uiPriority w:val="99"/>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4">
    <w:name w:val="Верхний колонтитул Знак"/>
    <w:basedOn w:val="a1"/>
    <w:link w:val="af3"/>
    <w:uiPriority w:val="99"/>
    <w:rsid w:val="006346A7"/>
    <w:rPr>
      <w:rFonts w:ascii="Calibri" w:eastAsia="Times New Roman" w:hAnsi="Calibri" w:cs="Times New Roman"/>
    </w:rPr>
  </w:style>
  <w:style w:type="character" w:styleId="af5">
    <w:name w:val="page number"/>
    <w:basedOn w:val="a1"/>
    <w:rsid w:val="006346A7"/>
  </w:style>
  <w:style w:type="paragraph" w:styleId="af6">
    <w:name w:val="footer"/>
    <w:basedOn w:val="a0"/>
    <w:link w:val="af7"/>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7">
    <w:name w:val="Нижний колонтитул Знак"/>
    <w:basedOn w:val="a1"/>
    <w:link w:val="af6"/>
    <w:rsid w:val="006346A7"/>
    <w:rPr>
      <w:rFonts w:ascii="Calibri" w:eastAsia="Times New Roman" w:hAnsi="Calibri" w:cs="Times New Roman"/>
    </w:rPr>
  </w:style>
  <w:style w:type="paragraph" w:customStyle="1" w:styleId="14">
    <w:name w:val="Знак Знак Знак1 Знак Знак Знак Знак Знак Знак Знак Знак Знак Знак"/>
    <w:basedOn w:val="a0"/>
    <w:autoRedefine/>
    <w:rsid w:val="006346A7"/>
    <w:pPr>
      <w:spacing w:after="160" w:line="240" w:lineRule="exact"/>
    </w:pPr>
    <w:rPr>
      <w:rFonts w:ascii="Times New Roman" w:eastAsia="SimSun" w:hAnsi="Times New Roman" w:cs="Times New Roman"/>
      <w:b/>
      <w:bCs/>
      <w:sz w:val="28"/>
      <w:szCs w:val="28"/>
      <w:lang w:val="en-US"/>
    </w:rPr>
  </w:style>
  <w:style w:type="paragraph" w:customStyle="1" w:styleId="15">
    <w:name w:val="Знак Знак Знак Знак Знак Знак1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af8">
    <w:name w:val="Знак Знак Знак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16">
    <w:name w:val="Абзац списка1"/>
    <w:basedOn w:val="a0"/>
    <w:rsid w:val="006346A7"/>
    <w:pPr>
      <w:spacing w:after="0" w:line="240" w:lineRule="auto"/>
      <w:ind w:left="720"/>
      <w:contextualSpacing/>
    </w:pPr>
    <w:rPr>
      <w:rFonts w:ascii="Times New Roman" w:eastAsia="Times New Roman" w:hAnsi="Times New Roman" w:cs="Times New Roman"/>
      <w:sz w:val="28"/>
    </w:rPr>
  </w:style>
  <w:style w:type="character" w:customStyle="1" w:styleId="Web1">
    <w:name w:val="Обычный (Web)1 Знак"/>
    <w:aliases w:val="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ocked/>
    <w:rsid w:val="006346A7"/>
    <w:rPr>
      <w:rFonts w:eastAsia="Calibri"/>
      <w:sz w:val="24"/>
      <w:szCs w:val="24"/>
      <w:lang w:val="ru-RU" w:eastAsia="ru-RU" w:bidi="ar-SA"/>
    </w:rPr>
  </w:style>
  <w:style w:type="character" w:customStyle="1" w:styleId="FootnoteTextChar">
    <w:name w:val="Footnote Text Char"/>
    <w:aliases w:val="Текст сноски-FN Char,single space Char,footnote text Char"/>
    <w:locked/>
    <w:rsid w:val="006346A7"/>
    <w:rPr>
      <w:rFonts w:ascii="Calibri" w:hAnsi="Calibri"/>
      <w:lang w:val="ru-RU" w:eastAsia="ru-RU" w:bidi="ar-SA"/>
    </w:rPr>
  </w:style>
  <w:style w:type="paragraph" w:styleId="af9">
    <w:name w:val="Body Text"/>
    <w:aliases w:val="gl,Body3,paragraph 2,paragraph 21,L1 Body Text"/>
    <w:basedOn w:val="a0"/>
    <w:link w:val="afa"/>
    <w:rsid w:val="006346A7"/>
    <w:pPr>
      <w:widowControl w:val="0"/>
      <w:spacing w:after="120" w:line="240" w:lineRule="auto"/>
      <w:jc w:val="both"/>
    </w:pPr>
    <w:rPr>
      <w:rFonts w:ascii="Times New Roman" w:eastAsia="Times New Roman" w:hAnsi="Times New Roman" w:cs="Times New Roman"/>
      <w:sz w:val="28"/>
      <w:szCs w:val="20"/>
      <w:lang w:eastAsia="ru-RU"/>
    </w:rPr>
  </w:style>
  <w:style w:type="character" w:customStyle="1" w:styleId="afa">
    <w:name w:val="Основной текст Знак"/>
    <w:aliases w:val="gl Знак,Body3 Знак,paragraph 2 Знак,paragraph 21 Знак,L1 Body Text Знак"/>
    <w:basedOn w:val="a1"/>
    <w:link w:val="af9"/>
    <w:rsid w:val="006346A7"/>
    <w:rPr>
      <w:rFonts w:ascii="Times New Roman" w:eastAsia="Times New Roman" w:hAnsi="Times New Roman" w:cs="Times New Roman"/>
      <w:sz w:val="28"/>
      <w:szCs w:val="20"/>
      <w:lang w:eastAsia="ru-RU"/>
    </w:rPr>
  </w:style>
  <w:style w:type="character" w:customStyle="1" w:styleId="Web11">
    <w:name w:val="Обычный (Web)1 Знак1"/>
    <w:aliases w:val="Знак Знак3 Знак1,Обычный (Web) Знак1,Обычный (веб) Знак1 Знак1,Обычный (веб) Знак Знак1 Знак1,Знак Знак1 Знак Знак2,Обычный (веб) Знак Знак Знак Знак2,Знак Знак1 Знак Знак Знак1,Обычный (веб) Знак Знак Знак Знак Знак1, Знак4 Знак"/>
    <w:locked/>
    <w:rsid w:val="006346A7"/>
    <w:rPr>
      <w:rFonts w:eastAsia="Calibri"/>
      <w:sz w:val="24"/>
      <w:szCs w:val="24"/>
      <w:lang w:val="ru-RU" w:eastAsia="ru-RU" w:bidi="ar-SA"/>
    </w:rPr>
  </w:style>
  <w:style w:type="paragraph" w:styleId="afb">
    <w:name w:val="Balloon Text"/>
    <w:basedOn w:val="a0"/>
    <w:link w:val="afc"/>
    <w:semiHidden/>
    <w:rsid w:val="006346A7"/>
    <w:pPr>
      <w:spacing w:after="0" w:line="240" w:lineRule="auto"/>
      <w:jc w:val="both"/>
    </w:pPr>
    <w:rPr>
      <w:rFonts w:ascii="Tahoma" w:eastAsia="Calibri" w:hAnsi="Tahoma" w:cs="Tahoma"/>
      <w:sz w:val="16"/>
      <w:szCs w:val="16"/>
    </w:rPr>
  </w:style>
  <w:style w:type="character" w:customStyle="1" w:styleId="afc">
    <w:name w:val="Текст выноски Знак"/>
    <w:basedOn w:val="a1"/>
    <w:link w:val="afb"/>
    <w:semiHidden/>
    <w:rsid w:val="006346A7"/>
    <w:rPr>
      <w:rFonts w:ascii="Tahoma" w:eastAsia="Calibri" w:hAnsi="Tahoma" w:cs="Tahoma"/>
      <w:sz w:val="16"/>
      <w:szCs w:val="16"/>
    </w:rPr>
  </w:style>
  <w:style w:type="character" w:customStyle="1" w:styleId="afd">
    <w:name w:val="Заголовок Знак"/>
    <w:link w:val="afe"/>
    <w:locked/>
    <w:rsid w:val="006346A7"/>
    <w:rPr>
      <w:lang w:eastAsia="ru-RU"/>
    </w:rPr>
  </w:style>
  <w:style w:type="paragraph" w:styleId="aff">
    <w:name w:val="No Spacing"/>
    <w:qFormat/>
    <w:rsid w:val="006346A7"/>
    <w:pPr>
      <w:spacing w:after="0" w:line="240" w:lineRule="auto"/>
    </w:pPr>
    <w:rPr>
      <w:rFonts w:ascii="Calibri" w:eastAsia="Calibri" w:hAnsi="Calibri" w:cs="Times New Roman"/>
    </w:rPr>
  </w:style>
  <w:style w:type="paragraph" w:customStyle="1" w:styleId="aff0">
    <w:name w:val="?????"/>
    <w:basedOn w:val="a0"/>
    <w:rsid w:val="006346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ff1">
    <w:name w:val="endnote text"/>
    <w:basedOn w:val="a0"/>
    <w:link w:val="aff2"/>
    <w:semiHidden/>
    <w:rsid w:val="006346A7"/>
    <w:pPr>
      <w:spacing w:after="0" w:line="240" w:lineRule="auto"/>
      <w:ind w:firstLine="720"/>
      <w:jc w:val="both"/>
    </w:pPr>
    <w:rPr>
      <w:rFonts w:ascii="Calibri" w:eastAsia="Times New Roman" w:hAnsi="Calibri" w:cs="Times New Roman"/>
      <w:sz w:val="20"/>
      <w:szCs w:val="20"/>
    </w:rPr>
  </w:style>
  <w:style w:type="character" w:customStyle="1" w:styleId="aff2">
    <w:name w:val="Текст концевой сноски Знак"/>
    <w:basedOn w:val="a1"/>
    <w:link w:val="aff1"/>
    <w:semiHidden/>
    <w:rsid w:val="006346A7"/>
    <w:rPr>
      <w:rFonts w:ascii="Calibri" w:eastAsia="Times New Roman" w:hAnsi="Calibri" w:cs="Times New Roman"/>
      <w:sz w:val="20"/>
      <w:szCs w:val="20"/>
    </w:rPr>
  </w:style>
  <w:style w:type="character" w:styleId="aff3">
    <w:name w:val="endnote reference"/>
    <w:semiHidden/>
    <w:rsid w:val="006346A7"/>
    <w:rPr>
      <w:vertAlign w:val="superscript"/>
    </w:rPr>
  </w:style>
  <w:style w:type="paragraph" w:styleId="aff4">
    <w:name w:val="Plain Text"/>
    <w:basedOn w:val="a0"/>
    <w:link w:val="aff5"/>
    <w:unhideWhenUsed/>
    <w:rsid w:val="006346A7"/>
    <w:pPr>
      <w:spacing w:after="0" w:line="240" w:lineRule="auto"/>
    </w:pPr>
    <w:rPr>
      <w:rFonts w:ascii="Calibri" w:eastAsia="Calibri" w:hAnsi="Calibri" w:cs="Times New Roman"/>
      <w:szCs w:val="21"/>
    </w:rPr>
  </w:style>
  <w:style w:type="character" w:customStyle="1" w:styleId="aff5">
    <w:name w:val="Текст Знак"/>
    <w:basedOn w:val="a1"/>
    <w:link w:val="aff4"/>
    <w:rsid w:val="006346A7"/>
    <w:rPr>
      <w:rFonts w:ascii="Calibri" w:eastAsia="Calibri" w:hAnsi="Calibri" w:cs="Times New Roman"/>
      <w:szCs w:val="21"/>
    </w:rPr>
  </w:style>
  <w:style w:type="paragraph" w:styleId="21">
    <w:name w:val="Quote"/>
    <w:basedOn w:val="a0"/>
    <w:next w:val="a0"/>
    <w:link w:val="22"/>
    <w:qFormat/>
    <w:rsid w:val="006346A7"/>
    <w:pPr>
      <w:spacing w:after="0" w:line="240" w:lineRule="auto"/>
      <w:ind w:firstLine="720"/>
      <w:jc w:val="both"/>
    </w:pPr>
    <w:rPr>
      <w:rFonts w:ascii="Calibri" w:eastAsia="Times New Roman" w:hAnsi="Calibri" w:cs="Times New Roman"/>
      <w:i/>
      <w:iCs/>
      <w:color w:val="000000"/>
    </w:rPr>
  </w:style>
  <w:style w:type="character" w:customStyle="1" w:styleId="22">
    <w:name w:val="Цитата 2 Знак"/>
    <w:basedOn w:val="a1"/>
    <w:link w:val="21"/>
    <w:rsid w:val="006346A7"/>
    <w:rPr>
      <w:rFonts w:ascii="Calibri" w:eastAsia="Times New Roman" w:hAnsi="Calibri" w:cs="Times New Roman"/>
      <w:i/>
      <w:iCs/>
      <w:color w:val="000000"/>
    </w:rPr>
  </w:style>
  <w:style w:type="character" w:customStyle="1" w:styleId="-FN">
    <w:name w:val="Текст сноски-FN Знак"/>
    <w:aliases w:val="single space Знак,footnote text Знак Знак"/>
    <w:locked/>
    <w:rsid w:val="006346A7"/>
    <w:rPr>
      <w:lang w:val="ru-RU" w:eastAsia="ru-RU" w:bidi="ar-SA"/>
    </w:rPr>
  </w:style>
  <w:style w:type="paragraph" w:styleId="afe">
    <w:name w:val="Title"/>
    <w:basedOn w:val="a0"/>
    <w:link w:val="afd"/>
    <w:qFormat/>
    <w:rsid w:val="006346A7"/>
    <w:pPr>
      <w:spacing w:after="0" w:line="240" w:lineRule="auto"/>
      <w:jc w:val="center"/>
    </w:pPr>
    <w:rPr>
      <w:lang w:eastAsia="ru-RU"/>
    </w:rPr>
  </w:style>
  <w:style w:type="character" w:customStyle="1" w:styleId="17">
    <w:name w:val="Название Знак1"/>
    <w:basedOn w:val="a1"/>
    <w:uiPriority w:val="10"/>
    <w:rsid w:val="006346A7"/>
    <w:rPr>
      <w:rFonts w:asciiTheme="majorHAnsi" w:eastAsiaTheme="majorEastAsia" w:hAnsiTheme="majorHAnsi" w:cstheme="majorBidi"/>
      <w:color w:val="17365D" w:themeColor="text2" w:themeShade="BF"/>
      <w:spacing w:val="5"/>
      <w:kern w:val="28"/>
      <w:sz w:val="52"/>
      <w:szCs w:val="52"/>
    </w:rPr>
  </w:style>
  <w:style w:type="paragraph" w:styleId="23">
    <w:name w:val="Body Text Indent 2"/>
    <w:basedOn w:val="a0"/>
    <w:link w:val="24"/>
    <w:rsid w:val="006346A7"/>
    <w:pPr>
      <w:spacing w:after="120" w:line="480" w:lineRule="auto"/>
      <w:ind w:left="283" w:firstLine="720"/>
      <w:jc w:val="both"/>
    </w:pPr>
    <w:rPr>
      <w:rFonts w:ascii="Calibri" w:eastAsia="Times New Roman" w:hAnsi="Calibri" w:cs="Times New Roman"/>
    </w:rPr>
  </w:style>
  <w:style w:type="character" w:customStyle="1" w:styleId="24">
    <w:name w:val="Основной текст с отступом 2 Знак"/>
    <w:basedOn w:val="a1"/>
    <w:link w:val="23"/>
    <w:rsid w:val="006346A7"/>
    <w:rPr>
      <w:rFonts w:ascii="Calibri" w:eastAsia="Times New Roman" w:hAnsi="Calibri" w:cs="Times New Roman"/>
    </w:rPr>
  </w:style>
  <w:style w:type="paragraph" w:customStyle="1" w:styleId="Default">
    <w:name w:val="Default"/>
    <w:rsid w:val="006346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6">
    <w:name w:val="Strong"/>
    <w:qFormat/>
    <w:rsid w:val="006346A7"/>
    <w:rPr>
      <w:b/>
      <w:bCs/>
    </w:rPr>
  </w:style>
  <w:style w:type="character" w:customStyle="1" w:styleId="aff7">
    <w:name w:val="Информационное письмо"/>
    <w:rsid w:val="006346A7"/>
    <w:rPr>
      <w:sz w:val="24"/>
    </w:rPr>
  </w:style>
  <w:style w:type="character" w:customStyle="1" w:styleId="TitleChar">
    <w:name w:val="Title Char"/>
    <w:locked/>
    <w:rsid w:val="006346A7"/>
    <w:rPr>
      <w:rFonts w:ascii="Times New Roman" w:hAnsi="Times New Roman" w:cs="Times New Roman"/>
      <w:sz w:val="20"/>
      <w:szCs w:val="20"/>
      <w:lang w:val="x-none" w:eastAsia="ru-RU"/>
    </w:rPr>
  </w:style>
  <w:style w:type="paragraph" w:styleId="aff8">
    <w:name w:val="annotation text"/>
    <w:basedOn w:val="a0"/>
    <w:link w:val="aff9"/>
    <w:rsid w:val="006346A7"/>
    <w:pPr>
      <w:spacing w:after="0" w:line="240" w:lineRule="auto"/>
      <w:ind w:firstLine="720"/>
      <w:jc w:val="both"/>
    </w:pPr>
    <w:rPr>
      <w:rFonts w:ascii="Calibri" w:eastAsia="Times New Roman" w:hAnsi="Calibri" w:cs="Times New Roman"/>
      <w:sz w:val="20"/>
      <w:szCs w:val="20"/>
    </w:rPr>
  </w:style>
  <w:style w:type="character" w:customStyle="1" w:styleId="aff9">
    <w:name w:val="Текст примечания Знак"/>
    <w:basedOn w:val="a1"/>
    <w:link w:val="aff8"/>
    <w:rsid w:val="006346A7"/>
    <w:rPr>
      <w:rFonts w:ascii="Calibri" w:eastAsia="Times New Roman" w:hAnsi="Calibri" w:cs="Times New Roman"/>
      <w:sz w:val="20"/>
      <w:szCs w:val="20"/>
    </w:rPr>
  </w:style>
  <w:style w:type="character" w:styleId="affa">
    <w:name w:val="annotation reference"/>
    <w:rsid w:val="006346A7"/>
    <w:rPr>
      <w:sz w:val="16"/>
      <w:szCs w:val="16"/>
    </w:rPr>
  </w:style>
  <w:style w:type="paragraph" w:styleId="a">
    <w:name w:val="List Bullet"/>
    <w:basedOn w:val="a0"/>
    <w:uiPriority w:val="2"/>
    <w:qFormat/>
    <w:rsid w:val="006346A7"/>
    <w:pPr>
      <w:numPr>
        <w:numId w:val="4"/>
      </w:numPr>
      <w:spacing w:after="240" w:line="240" w:lineRule="auto"/>
    </w:pPr>
    <w:rPr>
      <w:rFonts w:ascii="Times New Roman" w:eastAsia="Times New Roman" w:hAnsi="Times New Roman" w:cs="Times New Roman"/>
      <w:sz w:val="24"/>
      <w:szCs w:val="24"/>
      <w:lang w:val="en-US"/>
    </w:rPr>
  </w:style>
  <w:style w:type="character" w:styleId="HTML">
    <w:name w:val="HTML Cite"/>
    <w:uiPriority w:val="99"/>
    <w:unhideWhenUsed/>
    <w:rsid w:val="006346A7"/>
    <w:rPr>
      <w:i/>
      <w:iCs/>
    </w:rPr>
  </w:style>
  <w:style w:type="paragraph" w:styleId="affb">
    <w:name w:val="annotation subject"/>
    <w:basedOn w:val="aff8"/>
    <w:next w:val="aff8"/>
    <w:link w:val="affc"/>
    <w:uiPriority w:val="99"/>
    <w:semiHidden/>
    <w:unhideWhenUsed/>
    <w:rsid w:val="00E9059E"/>
    <w:pPr>
      <w:spacing w:after="200"/>
      <w:ind w:firstLine="0"/>
      <w:jc w:val="left"/>
    </w:pPr>
    <w:rPr>
      <w:rFonts w:asciiTheme="minorHAnsi" w:eastAsiaTheme="minorHAnsi" w:hAnsiTheme="minorHAnsi" w:cstheme="minorBidi"/>
      <w:b/>
      <w:bCs/>
    </w:rPr>
  </w:style>
  <w:style w:type="character" w:customStyle="1" w:styleId="affc">
    <w:name w:val="Тема примечания Знак"/>
    <w:basedOn w:val="aff9"/>
    <w:link w:val="affb"/>
    <w:uiPriority w:val="99"/>
    <w:semiHidden/>
    <w:rsid w:val="00E9059E"/>
    <w:rPr>
      <w:rFonts w:ascii="Calibri" w:eastAsia="Times New Roman" w:hAnsi="Calibri" w:cs="Times New Roman"/>
      <w:b/>
      <w:bCs/>
      <w:sz w:val="20"/>
      <w:szCs w:val="20"/>
    </w:rPr>
  </w:style>
  <w:style w:type="character" w:customStyle="1" w:styleId="a7">
    <w:name w:val="Абзац списка Знак"/>
    <w:aliases w:val="без абзаца Знак,ненум_список Знак,Heading1 Знак,Colorful List - Accent 11 Знак,маркированный Знак,References Знак,NUMBERED PARAGRAPH Знак,List Paragraph 1 Знак,Bullets Знак,List_Paragraph Знак,Multilevel para_II Знак"/>
    <w:link w:val="a6"/>
    <w:uiPriority w:val="34"/>
    <w:locked/>
    <w:rsid w:val="00FC73C6"/>
  </w:style>
  <w:style w:type="character" w:customStyle="1" w:styleId="10">
    <w:name w:val="Заголовок 1 Знак"/>
    <w:basedOn w:val="a1"/>
    <w:link w:val="1"/>
    <w:rsid w:val="00F2659C"/>
    <w:rPr>
      <w:rFonts w:ascii="Arial" w:eastAsia="Calibri" w:hAnsi="Arial" w:cs="Arial"/>
      <w:b/>
      <w:bCs/>
      <w:kern w:val="32"/>
      <w:sz w:val="32"/>
      <w:szCs w:val="32"/>
    </w:rPr>
  </w:style>
  <w:style w:type="paragraph" w:customStyle="1" w:styleId="18">
    <w:name w:val="Знак Знак Знак Знак Знак Знак1 Знак"/>
    <w:basedOn w:val="a0"/>
    <w:autoRedefine/>
    <w:rsid w:val="00F2659C"/>
    <w:pPr>
      <w:spacing w:after="160" w:line="240" w:lineRule="exact"/>
    </w:pPr>
    <w:rPr>
      <w:rFonts w:ascii="Times New Roman" w:eastAsia="SimSun" w:hAnsi="Times New Roman" w:cs="Times New Roman"/>
      <w:b/>
      <w:sz w:val="28"/>
      <w:szCs w:val="24"/>
      <w:lang w:val="en-US"/>
    </w:rPr>
  </w:style>
  <w:style w:type="paragraph" w:customStyle="1" w:styleId="31">
    <w:name w:val="Знак3 Знак Знак Знак Знак Знак Знак Знак Знак Знак Знак Знак Знак Знак Знак Знак Знак Знак Знак"/>
    <w:basedOn w:val="a0"/>
    <w:autoRedefine/>
    <w:rsid w:val="00F2659C"/>
    <w:pPr>
      <w:spacing w:after="160" w:line="240" w:lineRule="exact"/>
    </w:pPr>
    <w:rPr>
      <w:rFonts w:ascii="Times New Roman" w:eastAsia="SimSun" w:hAnsi="Times New Roman" w:cs="Times New Roman"/>
      <w:b/>
      <w:bCs/>
      <w:sz w:val="28"/>
      <w:szCs w:val="28"/>
      <w:lang w:val="en-US"/>
    </w:rPr>
  </w:style>
  <w:style w:type="paragraph" w:customStyle="1" w:styleId="2Char">
    <w:name w:val="Знак2 Знак Знак Знак Знак Знак Знак Знак Знак Знак Знак Знак Знак Знак Знак Знак Знак Знак Знак Знак Знак Знак Знак Знак Знак Знак Знак Char"/>
    <w:basedOn w:val="a0"/>
    <w:rsid w:val="00F2659C"/>
    <w:pPr>
      <w:spacing w:after="160" w:line="240" w:lineRule="exact"/>
      <w:jc w:val="both"/>
    </w:pPr>
    <w:rPr>
      <w:rFonts w:ascii="Times New Roman" w:eastAsia="Times New Roman" w:hAnsi="Times New Roman" w:cs="Times New Roman"/>
      <w:sz w:val="24"/>
      <w:szCs w:val="24"/>
      <w:lang w:val="en-US"/>
    </w:rPr>
  </w:style>
  <w:style w:type="paragraph" w:customStyle="1" w:styleId="affd">
    <w:name w:val="Знак Знак"/>
    <w:basedOn w:val="a0"/>
    <w:autoRedefine/>
    <w:rsid w:val="00F2659C"/>
    <w:pPr>
      <w:spacing w:after="160" w:line="240" w:lineRule="exact"/>
    </w:pPr>
    <w:rPr>
      <w:rFonts w:ascii="Times New Roman" w:eastAsia="SimSun" w:hAnsi="Times New Roman" w:cs="Times New Roman"/>
      <w:b/>
      <w:bCs/>
      <w:sz w:val="28"/>
      <w:szCs w:val="28"/>
      <w:lang w:val="en-US"/>
    </w:rPr>
  </w:style>
  <w:style w:type="paragraph" w:customStyle="1" w:styleId="25">
    <w:name w:val="Абзац списка2"/>
    <w:basedOn w:val="a0"/>
    <w:rsid w:val="00F2659C"/>
    <w:pPr>
      <w:spacing w:after="0" w:line="240" w:lineRule="auto"/>
      <w:ind w:left="720"/>
      <w:contextualSpacing/>
      <w:jc w:val="both"/>
    </w:pPr>
    <w:rPr>
      <w:rFonts w:ascii="Calibri" w:eastAsia="Times New Roman" w:hAnsi="Calibri" w:cs="Times New Roman"/>
    </w:rPr>
  </w:style>
  <w:style w:type="paragraph" w:customStyle="1" w:styleId="19">
    <w:name w:val="Без интервала1"/>
    <w:rsid w:val="00F2659C"/>
    <w:pPr>
      <w:spacing w:after="0" w:line="240" w:lineRule="auto"/>
    </w:pPr>
    <w:rPr>
      <w:rFonts w:ascii="Calibri" w:eastAsia="Calibri" w:hAnsi="Calibri" w:cs="Times New Roman"/>
    </w:rPr>
  </w:style>
  <w:style w:type="paragraph" w:customStyle="1" w:styleId="introduction">
    <w:name w:val="introduction"/>
    <w:basedOn w:val="a0"/>
    <w:rsid w:val="00F265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0"/>
    <w:rsid w:val="00F2659C"/>
    <w:rPr>
      <w:rFonts w:ascii="Calibri" w:eastAsia="Times New Roman" w:hAnsi="Calibri" w:cs="Times New Roman"/>
      <w:szCs w:val="20"/>
      <w:lang w:eastAsia="ru-RU"/>
    </w:rPr>
  </w:style>
  <w:style w:type="paragraph" w:customStyle="1" w:styleId="PlainText">
    <w:name w:val="PlainText"/>
    <w:link w:val="PlainText2"/>
    <w:qFormat/>
    <w:rsid w:val="00F2659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PlainText2">
    <w:name w:val="PlainText Знак2"/>
    <w:link w:val="PlainText"/>
    <w:rsid w:val="00F2659C"/>
    <w:rPr>
      <w:rFonts w:ascii="Times New Roman" w:eastAsia="Times New Roman" w:hAnsi="Times New Roman" w:cs="Times New Roman"/>
      <w:sz w:val="24"/>
      <w:szCs w:val="24"/>
      <w:lang w:eastAsia="ru-RU"/>
    </w:rPr>
  </w:style>
  <w:style w:type="paragraph" w:customStyle="1" w:styleId="1a">
    <w:name w:val="Знак Знак Знак1 Знак Знак Знак Знак Знак Знак"/>
    <w:basedOn w:val="a0"/>
    <w:next w:val="2"/>
    <w:autoRedefine/>
    <w:rsid w:val="00F2659C"/>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ffe">
    <w:name w:val="Знак"/>
    <w:basedOn w:val="a0"/>
    <w:autoRedefine/>
    <w:rsid w:val="00F2659C"/>
    <w:pPr>
      <w:spacing w:after="160" w:line="240" w:lineRule="exact"/>
    </w:pPr>
    <w:rPr>
      <w:rFonts w:ascii="Times New Roman" w:eastAsia="Times New Roman" w:hAnsi="Times New Roman" w:cs="Times New Roman"/>
      <w:sz w:val="28"/>
      <w:szCs w:val="20"/>
      <w:lang w:val="en-US"/>
    </w:rPr>
  </w:style>
  <w:style w:type="paragraph" w:styleId="1b">
    <w:name w:val="toc 1"/>
    <w:basedOn w:val="a0"/>
    <w:next w:val="a0"/>
    <w:autoRedefine/>
    <w:semiHidden/>
    <w:rsid w:val="00F2659C"/>
    <w:pPr>
      <w:tabs>
        <w:tab w:val="left" w:pos="709"/>
        <w:tab w:val="left" w:pos="1200"/>
        <w:tab w:val="right" w:leader="dot" w:pos="9356"/>
      </w:tabs>
      <w:spacing w:after="0" w:line="240" w:lineRule="auto"/>
    </w:pPr>
    <w:rPr>
      <w:rFonts w:ascii="Times New Roman" w:eastAsia="Times New Roman" w:hAnsi="Times New Roman" w:cs="Times New Roman"/>
      <w:b/>
      <w:bCs/>
      <w:noProof/>
      <w:sz w:val="28"/>
      <w:szCs w:val="28"/>
      <w:lang w:eastAsia="ru-RU"/>
    </w:rPr>
  </w:style>
  <w:style w:type="paragraph" w:customStyle="1" w:styleId="1c">
    <w:name w:val="1"/>
    <w:basedOn w:val="a0"/>
    <w:autoRedefine/>
    <w:rsid w:val="00F2659C"/>
    <w:pPr>
      <w:spacing w:after="160" w:line="240" w:lineRule="exact"/>
    </w:pPr>
    <w:rPr>
      <w:rFonts w:ascii="Times New Roman" w:eastAsia="SimSun" w:hAnsi="Times New Roman" w:cs="Times New Roman"/>
      <w:b/>
      <w:sz w:val="28"/>
      <w:szCs w:val="24"/>
      <w:lang w:val="en-US"/>
    </w:rPr>
  </w:style>
  <w:style w:type="paragraph" w:customStyle="1" w:styleId="CharChar">
    <w:name w:val="Char Char"/>
    <w:basedOn w:val="a0"/>
    <w:autoRedefine/>
    <w:rsid w:val="00F2659C"/>
    <w:pPr>
      <w:spacing w:after="160" w:line="240" w:lineRule="exact"/>
    </w:pPr>
    <w:rPr>
      <w:rFonts w:ascii="Times New Roman" w:eastAsia="SimSun" w:hAnsi="Times New Roman" w:cs="Times New Roman"/>
      <w:b/>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9946">
      <w:bodyDiv w:val="1"/>
      <w:marLeft w:val="0"/>
      <w:marRight w:val="0"/>
      <w:marTop w:val="0"/>
      <w:marBottom w:val="0"/>
      <w:divBdr>
        <w:top w:val="none" w:sz="0" w:space="0" w:color="auto"/>
        <w:left w:val="none" w:sz="0" w:space="0" w:color="auto"/>
        <w:bottom w:val="none" w:sz="0" w:space="0" w:color="auto"/>
        <w:right w:val="none" w:sz="0" w:space="0" w:color="auto"/>
      </w:divBdr>
    </w:div>
    <w:div w:id="528371162">
      <w:bodyDiv w:val="1"/>
      <w:marLeft w:val="0"/>
      <w:marRight w:val="0"/>
      <w:marTop w:val="0"/>
      <w:marBottom w:val="0"/>
      <w:divBdr>
        <w:top w:val="none" w:sz="0" w:space="0" w:color="auto"/>
        <w:left w:val="none" w:sz="0" w:space="0" w:color="auto"/>
        <w:bottom w:val="none" w:sz="0" w:space="0" w:color="auto"/>
        <w:right w:val="none" w:sz="0" w:space="0" w:color="auto"/>
      </w:divBdr>
    </w:div>
    <w:div w:id="134967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k.kz/ru/potreb/fin-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fk.kz/ru/potreb/about-fi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0C328-0012-43B9-8E88-851D7CD3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43</Pages>
  <Words>19700</Words>
  <Characters>112290</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 Мыктыбекова</dc:creator>
  <cp:lastModifiedBy>Жанар Кудайбергенова</cp:lastModifiedBy>
  <cp:revision>3</cp:revision>
  <cp:lastPrinted>2020-02-20T05:39:00Z</cp:lastPrinted>
  <dcterms:created xsi:type="dcterms:W3CDTF">2020-02-20T05:21:00Z</dcterms:created>
  <dcterms:modified xsi:type="dcterms:W3CDTF">2020-02-20T05:46:00Z</dcterms:modified>
</cp:coreProperties>
</file>