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387"/>
        <w:tblW w:w="9645" w:type="dxa"/>
        <w:tblLayout w:type="fixed"/>
        <w:tblLook w:val="01E0" w:firstRow="1" w:lastRow="1" w:firstColumn="1" w:lastColumn="1" w:noHBand="0" w:noVBand="0"/>
      </w:tblPr>
      <w:tblGrid>
        <w:gridCol w:w="3972"/>
        <w:gridCol w:w="1702"/>
        <w:gridCol w:w="3971"/>
      </w:tblGrid>
      <w:tr w:rsidR="009A2D0B" w:rsidTr="00837B24">
        <w:trPr>
          <w:trHeight w:val="1903"/>
        </w:trPr>
        <w:tc>
          <w:tcPr>
            <w:tcW w:w="3972" w:type="dxa"/>
            <w:vAlign w:val="center"/>
          </w:tcPr>
          <w:p w:rsidR="009A2D0B" w:rsidRDefault="009A2D0B" w:rsidP="00837B24">
            <w:pPr>
              <w:widowControl w:val="0"/>
              <w:ind w:firstLine="34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val="kk-KZ" w:eastAsia="en-US"/>
              </w:rPr>
              <w:t>«ҚАЗАҚСТАН РЕСПУБЛИКАСЫНЫҢ ҰЛТТЫҚ БАНКІ»</w:t>
            </w:r>
          </w:p>
          <w:p w:rsidR="009A2D0B" w:rsidRDefault="009A2D0B" w:rsidP="00837B24">
            <w:pPr>
              <w:widowControl w:val="0"/>
              <w:ind w:firstLine="34"/>
              <w:jc w:val="center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</w:p>
          <w:p w:rsidR="009A2D0B" w:rsidRDefault="009A2D0B" w:rsidP="00837B24">
            <w:pPr>
              <w:widowControl w:val="0"/>
              <w:ind w:firstLine="34"/>
              <w:jc w:val="center"/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>РЕСПУБЛИКАЛЫҚ</w:t>
            </w:r>
          </w:p>
          <w:p w:rsidR="009A2D0B" w:rsidRDefault="009A2D0B" w:rsidP="00837B24">
            <w:pPr>
              <w:widowControl w:val="0"/>
              <w:ind w:firstLine="34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 xml:space="preserve"> МЕМЛЕКЕТТІК МЕКЕМЕСІ</w:t>
            </w:r>
          </w:p>
        </w:tc>
        <w:tc>
          <w:tcPr>
            <w:tcW w:w="1702" w:type="dxa"/>
            <w:hideMark/>
          </w:tcPr>
          <w:p w:rsidR="009A2D0B" w:rsidRDefault="009A2D0B" w:rsidP="00837B24">
            <w:pPr>
              <w:widowControl w:val="0"/>
              <w:ind w:firstLine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2E05AB8D" wp14:editId="2A92FCEB">
                  <wp:extent cx="1029970" cy="10299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  <w:vAlign w:val="center"/>
          </w:tcPr>
          <w:p w:rsidR="009A2D0B" w:rsidRDefault="009A2D0B" w:rsidP="00837B24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РЕСПУБЛИКАНСКОЕ ГОСУДАРСТВЕННОЕ УЧРЕЖДЕНИЕ</w:t>
            </w:r>
          </w:p>
          <w:p w:rsidR="009A2D0B" w:rsidRDefault="009A2D0B" w:rsidP="00837B24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9A2D0B" w:rsidRDefault="009A2D0B" w:rsidP="00837B24">
            <w:pPr>
              <w:widowControl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«НАЦИОНАЛЬНЫЙ БАНК</w:t>
            </w:r>
            <w:r>
              <w:rPr>
                <w:rFonts w:eastAsia="Calibri"/>
                <w:b/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РЕСПУБЛИКИ КАЗАХСТАН</w:t>
            </w: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9A2D0B" w:rsidTr="00837B24">
        <w:trPr>
          <w:trHeight w:val="680"/>
        </w:trPr>
        <w:tc>
          <w:tcPr>
            <w:tcW w:w="3972" w:type="dxa"/>
            <w:vAlign w:val="center"/>
            <w:hideMark/>
          </w:tcPr>
          <w:p w:rsidR="009A2D0B" w:rsidRDefault="009A2D0B" w:rsidP="00837B24">
            <w:pPr>
              <w:widowControl w:val="0"/>
              <w:tabs>
                <w:tab w:val="left" w:pos="34"/>
              </w:tabs>
              <w:ind w:firstLine="34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БАСҚАРМАСЫНЫ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kk-KZ" w:eastAsia="en-US"/>
              </w:rPr>
              <w:t xml:space="preserve">Ң </w:t>
            </w:r>
          </w:p>
          <w:p w:rsidR="009A2D0B" w:rsidRDefault="009A2D0B" w:rsidP="00837B24">
            <w:pPr>
              <w:widowControl w:val="0"/>
              <w:tabs>
                <w:tab w:val="left" w:pos="34"/>
              </w:tabs>
              <w:ind w:firstLine="34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ҚАУЛЫСЫ</w:t>
            </w:r>
          </w:p>
        </w:tc>
        <w:tc>
          <w:tcPr>
            <w:tcW w:w="1702" w:type="dxa"/>
            <w:vAlign w:val="center"/>
          </w:tcPr>
          <w:p w:rsidR="009A2D0B" w:rsidRDefault="009A2D0B" w:rsidP="00837B24">
            <w:pPr>
              <w:widowControl w:val="0"/>
              <w:tabs>
                <w:tab w:val="left" w:pos="709"/>
              </w:tabs>
              <w:ind w:firstLine="709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971" w:type="dxa"/>
            <w:vAlign w:val="center"/>
            <w:hideMark/>
          </w:tcPr>
          <w:p w:rsidR="009A2D0B" w:rsidRDefault="009A2D0B" w:rsidP="00837B24">
            <w:pPr>
              <w:widowControl w:val="0"/>
              <w:tabs>
                <w:tab w:val="left" w:pos="768"/>
              </w:tabs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ПОСТАНОВЛЕНИЕ ПРАВЛЕНИЯ</w:t>
            </w:r>
          </w:p>
        </w:tc>
      </w:tr>
      <w:tr w:rsidR="009A2D0B" w:rsidTr="00837B24">
        <w:trPr>
          <w:trHeight w:val="988"/>
        </w:trPr>
        <w:tc>
          <w:tcPr>
            <w:tcW w:w="3972" w:type="dxa"/>
            <w:vAlign w:val="center"/>
          </w:tcPr>
          <w:p w:rsidR="009A2D0B" w:rsidRDefault="009A2D0B" w:rsidP="00837B24">
            <w:pPr>
              <w:tabs>
                <w:tab w:val="left" w:pos="34"/>
              </w:tabs>
              <w:ind w:firstLine="34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2019 жылғы 1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қазан</w:t>
            </w:r>
          </w:p>
          <w:p w:rsidR="009A2D0B" w:rsidRDefault="009A2D0B" w:rsidP="00837B24">
            <w:pPr>
              <w:tabs>
                <w:tab w:val="left" w:pos="709"/>
              </w:tabs>
              <w:ind w:firstLine="34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9A2D0B" w:rsidRDefault="009A2D0B" w:rsidP="00837B24">
            <w:pPr>
              <w:widowControl w:val="0"/>
              <w:tabs>
                <w:tab w:val="left" w:pos="709"/>
              </w:tabs>
              <w:ind w:firstLine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Алматы қаласы</w:t>
            </w:r>
          </w:p>
        </w:tc>
        <w:tc>
          <w:tcPr>
            <w:tcW w:w="1702" w:type="dxa"/>
            <w:vAlign w:val="center"/>
          </w:tcPr>
          <w:p w:rsidR="009A2D0B" w:rsidRDefault="009A2D0B" w:rsidP="00837B24">
            <w:pPr>
              <w:widowControl w:val="0"/>
              <w:tabs>
                <w:tab w:val="left" w:pos="709"/>
              </w:tabs>
              <w:ind w:firstLine="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1" w:type="dxa"/>
            <w:vAlign w:val="center"/>
          </w:tcPr>
          <w:p w:rsidR="009A2D0B" w:rsidRDefault="009A2D0B" w:rsidP="00837B24">
            <w:pPr>
              <w:widowControl w:val="0"/>
              <w:tabs>
                <w:tab w:val="left" w:pos="709"/>
              </w:tabs>
              <w:jc w:val="center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  <w:t>172</w:t>
            </w:r>
          </w:p>
          <w:p w:rsidR="009A2D0B" w:rsidRDefault="009A2D0B" w:rsidP="00837B24">
            <w:pPr>
              <w:widowControl w:val="0"/>
              <w:tabs>
                <w:tab w:val="left" w:pos="709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9A2D0B" w:rsidRDefault="009A2D0B" w:rsidP="00837B24">
            <w:pPr>
              <w:widowControl w:val="0"/>
              <w:tabs>
                <w:tab w:val="left" w:pos="709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город Алматы</w:t>
            </w:r>
          </w:p>
        </w:tc>
      </w:tr>
    </w:tbl>
    <w:p w:rsidR="00AD234C" w:rsidRDefault="00AD234C"/>
    <w:p w:rsidR="00837B24" w:rsidRPr="00AD234C" w:rsidRDefault="00837B24"/>
    <w:p w:rsidR="009106E3" w:rsidRPr="009106E3" w:rsidRDefault="009106E3" w:rsidP="006B33D2">
      <w:pPr>
        <w:tabs>
          <w:tab w:val="left" w:pos="1440"/>
        </w:tabs>
        <w:jc w:val="center"/>
        <w:rPr>
          <w:lang w:val="en-US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9554"/>
      </w:tblGrid>
      <w:tr w:rsidR="0077031B" w:rsidRPr="00837B24" w:rsidTr="000C0C24">
        <w:trPr>
          <w:trHeight w:val="70"/>
        </w:trPr>
        <w:tc>
          <w:tcPr>
            <w:tcW w:w="9554" w:type="dxa"/>
          </w:tcPr>
          <w:p w:rsidR="00973C09" w:rsidRPr="001A7B59" w:rsidRDefault="00973C09" w:rsidP="00973C09">
            <w:pPr>
              <w:jc w:val="center"/>
              <w:rPr>
                <w:b/>
                <w:lang w:val="kk-KZ"/>
              </w:rPr>
            </w:pPr>
            <w:r w:rsidRPr="001A7B59">
              <w:rPr>
                <w:b/>
                <w:lang w:val="kk-KZ"/>
              </w:rPr>
              <w:t xml:space="preserve">«Брокерлік қызмет бойынша операциялар туралы ақпаратты </w:t>
            </w:r>
          </w:p>
          <w:p w:rsidR="00973C09" w:rsidRPr="001A7B59" w:rsidRDefault="00973C09" w:rsidP="00973C09">
            <w:pPr>
              <w:jc w:val="center"/>
              <w:rPr>
                <w:b/>
                <w:lang w:val="kk-KZ"/>
              </w:rPr>
            </w:pPr>
            <w:r w:rsidRPr="001A7B59">
              <w:rPr>
                <w:b/>
                <w:lang w:val="kk-KZ"/>
              </w:rPr>
              <w:t>есепке алу және ашу» 33 бухгалтерлік есеп стандартын бекіту туралы»</w:t>
            </w:r>
            <w:r w:rsidRPr="001A7B59">
              <w:rPr>
                <w:b/>
                <w:lang w:val="kk-KZ"/>
              </w:rPr>
              <w:br/>
              <w:t xml:space="preserve">Қазақстан Республикасы Ұлттық Банкі Басқармасының </w:t>
            </w:r>
          </w:p>
          <w:p w:rsidR="00973C09" w:rsidRPr="001A7B59" w:rsidRDefault="00973C09" w:rsidP="00973C09">
            <w:pPr>
              <w:jc w:val="center"/>
              <w:rPr>
                <w:b/>
                <w:lang w:val="kk-KZ"/>
              </w:rPr>
            </w:pPr>
            <w:r w:rsidRPr="001A7B59">
              <w:rPr>
                <w:b/>
                <w:lang w:val="kk-KZ"/>
              </w:rPr>
              <w:t>2014 жылғы 16 шілдедегі № 137 қаулысына</w:t>
            </w:r>
          </w:p>
          <w:p w:rsidR="0077031B" w:rsidRPr="00722B86" w:rsidRDefault="00973C09" w:rsidP="004E2427">
            <w:pPr>
              <w:widowControl w:val="0"/>
              <w:jc w:val="center"/>
              <w:rPr>
                <w:b/>
                <w:szCs w:val="28"/>
                <w:lang w:val="kk-KZ"/>
              </w:rPr>
            </w:pPr>
            <w:r w:rsidRPr="001A7B59">
              <w:rPr>
                <w:b/>
                <w:lang w:val="kk-KZ"/>
              </w:rPr>
              <w:t>өзгерістер енгізу туралы</w:t>
            </w:r>
          </w:p>
        </w:tc>
      </w:tr>
    </w:tbl>
    <w:p w:rsidR="00AD7A6F" w:rsidRPr="00AD7A6F" w:rsidRDefault="00AD7A6F" w:rsidP="00AD7A6F">
      <w:pPr>
        <w:jc w:val="center"/>
        <w:rPr>
          <w:color w:val="000000"/>
          <w:sz w:val="24"/>
          <w:szCs w:val="24"/>
          <w:lang w:val="kk-KZ" w:eastAsia="kk-KZ"/>
        </w:rPr>
      </w:pPr>
    </w:p>
    <w:p w:rsidR="00FA663B" w:rsidRPr="00722B86" w:rsidRDefault="00FA663B" w:rsidP="009106E3">
      <w:pPr>
        <w:tabs>
          <w:tab w:val="left" w:pos="1440"/>
        </w:tabs>
        <w:rPr>
          <w:lang w:val="kk-KZ"/>
        </w:rPr>
      </w:pPr>
    </w:p>
    <w:p w:rsidR="00973C09" w:rsidRDefault="00973C09" w:rsidP="008C529A">
      <w:pPr>
        <w:widowControl w:val="0"/>
        <w:ind w:firstLine="709"/>
        <w:rPr>
          <w:b/>
          <w:szCs w:val="28"/>
          <w:lang w:val="kk-KZ"/>
        </w:rPr>
      </w:pPr>
      <w:r w:rsidRPr="001A7B59">
        <w:rPr>
          <w:szCs w:val="28"/>
          <w:lang w:val="kk-KZ"/>
        </w:rPr>
        <w:t xml:space="preserve">«Қазақстан Республикасының Ұлттық Банкі туралы» 1995 жылғы </w:t>
      </w:r>
      <w:r w:rsidRPr="001A7B59">
        <w:rPr>
          <w:szCs w:val="28"/>
          <w:lang w:val="kk-KZ"/>
        </w:rPr>
        <w:br/>
        <w:t xml:space="preserve">30 наурыздағы Қазақстан Республикасының </w:t>
      </w:r>
      <w:bookmarkStart w:id="0" w:name="sub1001117383"/>
      <w:r w:rsidRPr="001A7B59">
        <w:rPr>
          <w:szCs w:val="28"/>
          <w:lang w:val="kk-KZ"/>
        </w:rPr>
        <w:fldChar w:fldCharType="begin"/>
      </w:r>
      <w:r w:rsidRPr="001A7B59">
        <w:rPr>
          <w:szCs w:val="28"/>
          <w:lang w:val="kk-KZ"/>
        </w:rPr>
        <w:instrText xml:space="preserve"> HYPERLINK "jl:30092072.0%2051003548.0%20" </w:instrText>
      </w:r>
      <w:r w:rsidRPr="001A7B59">
        <w:rPr>
          <w:szCs w:val="28"/>
          <w:lang w:val="kk-KZ"/>
        </w:rPr>
        <w:fldChar w:fldCharType="separate"/>
      </w:r>
      <w:r w:rsidRPr="001A7B59">
        <w:rPr>
          <w:szCs w:val="28"/>
          <w:lang w:val="kk-KZ"/>
        </w:rPr>
        <w:t>Заңына</w:t>
      </w:r>
      <w:r w:rsidRPr="001A7B59">
        <w:rPr>
          <w:szCs w:val="28"/>
          <w:lang w:val="kk-KZ"/>
        </w:rPr>
        <w:fldChar w:fldCharType="end"/>
      </w:r>
      <w:bookmarkEnd w:id="0"/>
      <w:r w:rsidRPr="001A7B59">
        <w:rPr>
          <w:szCs w:val="28"/>
          <w:lang w:val="kk-KZ"/>
        </w:rPr>
        <w:t xml:space="preserve"> сәйкес </w:t>
      </w:r>
      <w:r w:rsidRPr="00B95DF0">
        <w:rPr>
          <w:szCs w:val="28"/>
          <w:lang w:val="kk-KZ"/>
        </w:rPr>
        <w:t>бағалы қағаздар нарығында брокерлік қызметті жүзеге асыратын ұйымдардағы бухгалтерлік есепті жетілдіру</w:t>
      </w:r>
      <w:r w:rsidRPr="001A7B59">
        <w:rPr>
          <w:szCs w:val="28"/>
          <w:lang w:val="kk-KZ"/>
        </w:rPr>
        <w:t xml:space="preserve"> мақсатында Қазақстан Республикасы Ұлттық Банкінің Басқармасы </w:t>
      </w:r>
      <w:r w:rsidRPr="001A7B59">
        <w:rPr>
          <w:b/>
          <w:szCs w:val="28"/>
          <w:lang w:val="kk-KZ"/>
        </w:rPr>
        <w:t>ҚАУЛЫ ЕТЕДІ:</w:t>
      </w:r>
    </w:p>
    <w:p w:rsidR="009106E3" w:rsidRDefault="009106E3">
      <w:pPr>
        <w:widowControl w:val="0"/>
        <w:ind w:firstLine="709"/>
        <w:rPr>
          <w:szCs w:val="28"/>
          <w:lang w:val="kk-KZ"/>
        </w:rPr>
      </w:pPr>
      <w:r w:rsidRPr="006B33D2">
        <w:rPr>
          <w:szCs w:val="28"/>
          <w:lang w:val="kk-KZ"/>
        </w:rPr>
        <w:t xml:space="preserve">1. </w:t>
      </w:r>
      <w:r w:rsidR="00AD7A6F" w:rsidRPr="001A7B59">
        <w:rPr>
          <w:szCs w:val="28"/>
          <w:lang w:val="kk-KZ"/>
        </w:rPr>
        <w:t>«Брокерлік қызмет бойынша операциялар туралы ақпаратты есепке алу және ашу» 33 бухгалтерлік есеп стандартын бекіту туралы»</w:t>
      </w:r>
      <w:r w:rsidR="00AD7A6F" w:rsidRPr="001A7B59">
        <w:rPr>
          <w:szCs w:val="28"/>
          <w:lang w:val="kk-KZ"/>
        </w:rPr>
        <w:br/>
        <w:t xml:space="preserve">Қазақстан Республикасы Ұлттық Банкі Басқармасының 2014 жылғы 16 шілдедегі № 137 қаулысына (Нормативтік құқықтық актілерді мемлекеттік тіркеу тізілімінде № 9735 болып тіркелген, </w:t>
      </w:r>
      <w:r w:rsidR="00AD7A6F" w:rsidRPr="001A7B59">
        <w:rPr>
          <w:color w:val="000000"/>
          <w:lang w:val="kk-KZ"/>
        </w:rPr>
        <w:t>2014 жылғы 7 қарашада «Заң газеті» газетінде № 169 (2563) жарияланған</w:t>
      </w:r>
      <w:r w:rsidR="00AD7A6F" w:rsidRPr="001A7B59">
        <w:rPr>
          <w:szCs w:val="28"/>
          <w:lang w:val="kk-KZ"/>
        </w:rPr>
        <w:t>) мынадай өзгерістер енгізілсін:</w:t>
      </w:r>
    </w:p>
    <w:p w:rsidR="007917E9" w:rsidRPr="006B33D2" w:rsidRDefault="007917E9">
      <w:pPr>
        <w:widowControl w:val="0"/>
        <w:ind w:firstLine="709"/>
        <w:rPr>
          <w:rFonts w:eastAsiaTheme="minorHAnsi"/>
          <w:color w:val="000000"/>
          <w:szCs w:val="28"/>
          <w:lang w:val="kk-KZ" w:eastAsia="en-US"/>
        </w:rPr>
      </w:pPr>
      <w:r w:rsidRPr="007917E9">
        <w:rPr>
          <w:rFonts w:eastAsiaTheme="minorHAnsi"/>
          <w:color w:val="000000"/>
          <w:szCs w:val="28"/>
          <w:lang w:val="kk-KZ" w:eastAsia="en-US"/>
        </w:rPr>
        <w:t>көрсетілген қаулымен бекітілген «Брокерлік қызмет бойынша операциялар туралы ақпаратты есепке алу және ашу» 33 бухгалтерлік есеп стандартында:</w:t>
      </w:r>
    </w:p>
    <w:p w:rsidR="00AD7A6F" w:rsidRDefault="00AD7A6F" w:rsidP="00DA6215">
      <w:pPr>
        <w:ind w:firstLine="708"/>
        <w:rPr>
          <w:szCs w:val="28"/>
          <w:lang w:val="kk-KZ"/>
        </w:rPr>
      </w:pPr>
      <w:r w:rsidRPr="001B3066">
        <w:rPr>
          <w:rFonts w:eastAsiaTheme="minorHAnsi"/>
          <w:color w:val="000000"/>
          <w:szCs w:val="28"/>
          <w:lang w:val="kk-KZ" w:eastAsia="en-US"/>
        </w:rPr>
        <w:t>1-тараудың тақырыбы мынадай редакцияда жазылсын</w:t>
      </w:r>
      <w:r>
        <w:rPr>
          <w:rFonts w:eastAsiaTheme="minorHAnsi"/>
          <w:color w:val="000000"/>
          <w:szCs w:val="28"/>
          <w:lang w:val="kk-KZ" w:eastAsia="en-US"/>
        </w:rPr>
        <w:t>:</w:t>
      </w:r>
    </w:p>
    <w:p w:rsidR="00AD7A6F" w:rsidRDefault="00AD7A6F" w:rsidP="00DA6215">
      <w:pPr>
        <w:ind w:firstLine="708"/>
        <w:rPr>
          <w:szCs w:val="28"/>
          <w:lang w:val="kk-KZ"/>
        </w:rPr>
      </w:pPr>
      <w:r>
        <w:rPr>
          <w:rFonts w:eastAsiaTheme="minorHAnsi"/>
          <w:color w:val="000000"/>
          <w:szCs w:val="28"/>
          <w:lang w:val="kk-KZ" w:eastAsia="en-US"/>
        </w:rPr>
        <w:t xml:space="preserve">«1-тарау. </w:t>
      </w:r>
      <w:r w:rsidR="00722B86" w:rsidRPr="00722B86">
        <w:rPr>
          <w:rFonts w:eastAsiaTheme="minorHAnsi"/>
          <w:color w:val="000000"/>
          <w:szCs w:val="28"/>
          <w:lang w:val="kk-KZ" w:eastAsia="en-US"/>
        </w:rPr>
        <w:t>Мақсаты және қолданылу аясы</w:t>
      </w:r>
      <w:r>
        <w:rPr>
          <w:rFonts w:eastAsiaTheme="minorHAnsi"/>
          <w:color w:val="000000"/>
          <w:szCs w:val="28"/>
          <w:lang w:val="kk-KZ" w:eastAsia="en-US"/>
        </w:rPr>
        <w:t>»;</w:t>
      </w:r>
    </w:p>
    <w:p w:rsidR="00AD7A6F" w:rsidRDefault="00AD7A6F" w:rsidP="00527B6C">
      <w:pPr>
        <w:widowControl w:val="0"/>
        <w:ind w:firstLine="709"/>
        <w:rPr>
          <w:szCs w:val="28"/>
          <w:lang w:val="kk-KZ"/>
        </w:rPr>
      </w:pPr>
      <w:r w:rsidRPr="001A7B59">
        <w:rPr>
          <w:szCs w:val="28"/>
          <w:lang w:val="kk-KZ"/>
        </w:rPr>
        <w:t>1-тармақ мынадай редакцияда жазылсын:</w:t>
      </w:r>
    </w:p>
    <w:p w:rsidR="00973505" w:rsidRPr="006B33D2" w:rsidRDefault="00AD7A6F">
      <w:pPr>
        <w:widowControl w:val="0"/>
        <w:ind w:firstLine="709"/>
        <w:rPr>
          <w:szCs w:val="28"/>
          <w:lang w:val="kk-KZ"/>
        </w:rPr>
      </w:pPr>
      <w:r w:rsidRPr="001A7B59">
        <w:rPr>
          <w:szCs w:val="28"/>
          <w:lang w:val="kk-KZ"/>
        </w:rPr>
        <w:t>«1. Осы «Брокерлік қызмет бойынша операциялар туралы ақпаратты есепке алу және ашу» 33 бухгалтерлік есеп стандарты (бұдан әрі – Стандарт) «Қазақстан Республикасының Ұлттық Банкі туралы» 1995 жылғы 30 наурыздағы, «Бухгалтерлік есеп пен қаржылық есептілік туралы» 2007 жылғы 28 ақпандағы Қазақстан Республикасының заңдарына, «</w:t>
      </w:r>
      <w:r w:rsidRPr="001A7B59">
        <w:rPr>
          <w:rStyle w:val="s1"/>
          <w:lang w:val="kk-KZ"/>
        </w:rPr>
        <w:t>Бағалы қағаздар нарығында брокерлік және (немесе) дилерлік қызметті жүзеге асыру қағидаларын, брокердің және (немесе) дилердің банк операцияларын жүргізу тәртібін бекіту туралы</w:t>
      </w:r>
      <w:r w:rsidRPr="001A7B59">
        <w:rPr>
          <w:szCs w:val="28"/>
          <w:lang w:val="kk-KZ"/>
        </w:rPr>
        <w:t xml:space="preserve">» Қазақстан Республикасы Ұлттық Банкі Басқармасының 2014 жылғы 3 ақпандағы № 9 қаулысымен (Нормативтік құқықтық актілерді мемлекеттік тіркеу тізілімінде № 9249 болып тіркелген) бекітілген </w:t>
      </w:r>
      <w:r w:rsidRPr="001A7B59">
        <w:rPr>
          <w:rStyle w:val="s1"/>
          <w:lang w:val="kk-KZ"/>
        </w:rPr>
        <w:t>Бағалы қағаздар нарығында брокерлік және (немесе) дилерлік қызметті жүзеге асыру қағидаларына, брокердің және (немесе) дилердің банк операцияларын жүргізу тәртібіне</w:t>
      </w:r>
      <w:r w:rsidRPr="001A7B59">
        <w:rPr>
          <w:szCs w:val="28"/>
          <w:lang w:val="kk-KZ"/>
        </w:rPr>
        <w:t xml:space="preserve"> сәйкес әзірленді және бағалы қағаздар нарығында брокерлік қызметті жүзеге асыратын ұйымның (бұдан әрі – брокер) қаржылық есептілікті жасаған кезде қолдануына арналған.»;</w:t>
      </w:r>
    </w:p>
    <w:p w:rsidR="00AD7A6F" w:rsidRDefault="00AD7A6F" w:rsidP="00527B6C">
      <w:pPr>
        <w:widowControl w:val="0"/>
        <w:ind w:firstLine="709"/>
        <w:rPr>
          <w:szCs w:val="28"/>
          <w:lang w:val="kk-KZ"/>
        </w:rPr>
      </w:pPr>
      <w:r>
        <w:rPr>
          <w:rFonts w:eastAsiaTheme="minorHAnsi"/>
          <w:color w:val="000000"/>
          <w:szCs w:val="28"/>
          <w:lang w:val="kk-KZ" w:eastAsia="en-US"/>
        </w:rPr>
        <w:t>2 және 3-</w:t>
      </w:r>
      <w:r w:rsidRPr="001B3066">
        <w:rPr>
          <w:rFonts w:eastAsiaTheme="minorHAnsi"/>
          <w:color w:val="000000"/>
          <w:szCs w:val="28"/>
          <w:lang w:val="kk-KZ" w:eastAsia="en-US"/>
        </w:rPr>
        <w:t>тарау</w:t>
      </w:r>
      <w:r>
        <w:rPr>
          <w:rFonts w:eastAsiaTheme="minorHAnsi"/>
          <w:color w:val="000000"/>
          <w:szCs w:val="28"/>
          <w:lang w:val="kk-KZ" w:eastAsia="en-US"/>
        </w:rPr>
        <w:t>лар</w:t>
      </w:r>
      <w:r w:rsidRPr="001B3066">
        <w:rPr>
          <w:rFonts w:eastAsiaTheme="minorHAnsi"/>
          <w:color w:val="000000"/>
          <w:szCs w:val="28"/>
          <w:lang w:val="kk-KZ" w:eastAsia="en-US"/>
        </w:rPr>
        <w:t>дың тақыры</w:t>
      </w:r>
      <w:r>
        <w:rPr>
          <w:rFonts w:eastAsiaTheme="minorHAnsi"/>
          <w:color w:val="000000"/>
          <w:szCs w:val="28"/>
          <w:lang w:val="kk-KZ" w:eastAsia="en-US"/>
        </w:rPr>
        <w:t>птары</w:t>
      </w:r>
      <w:r w:rsidRPr="001B3066">
        <w:rPr>
          <w:rFonts w:eastAsiaTheme="minorHAnsi"/>
          <w:color w:val="000000"/>
          <w:szCs w:val="28"/>
          <w:lang w:val="kk-KZ" w:eastAsia="en-US"/>
        </w:rPr>
        <w:t xml:space="preserve"> мынадай редакцияда жазылсын</w:t>
      </w:r>
      <w:r>
        <w:rPr>
          <w:rFonts w:eastAsiaTheme="minorHAnsi"/>
          <w:color w:val="000000"/>
          <w:szCs w:val="28"/>
          <w:lang w:val="kk-KZ" w:eastAsia="en-US"/>
        </w:rPr>
        <w:t>:</w:t>
      </w:r>
    </w:p>
    <w:p w:rsidR="00AD7A6F" w:rsidRDefault="00AD7A6F" w:rsidP="00AD7A6F">
      <w:pPr>
        <w:ind w:firstLine="709"/>
        <w:rPr>
          <w:szCs w:val="28"/>
          <w:lang w:val="kk-KZ"/>
        </w:rPr>
      </w:pPr>
      <w:r>
        <w:rPr>
          <w:szCs w:val="28"/>
          <w:lang w:val="kk-KZ"/>
        </w:rPr>
        <w:t xml:space="preserve">«2-тарау. </w:t>
      </w:r>
      <w:r w:rsidRPr="001B3066">
        <w:rPr>
          <w:lang w:val="kk-KZ"/>
        </w:rPr>
        <w:t>Стандартта пайдаланылатын ұғымдар</w:t>
      </w:r>
      <w:r>
        <w:rPr>
          <w:szCs w:val="28"/>
          <w:lang w:val="kk-KZ"/>
        </w:rPr>
        <w:t>»;</w:t>
      </w:r>
    </w:p>
    <w:p w:rsidR="00AD7A6F" w:rsidRDefault="00AD7A6F" w:rsidP="00AD7A6F">
      <w:pPr>
        <w:widowControl w:val="0"/>
        <w:ind w:firstLine="709"/>
        <w:rPr>
          <w:szCs w:val="28"/>
          <w:lang w:val="kk-KZ"/>
        </w:rPr>
      </w:pPr>
      <w:r>
        <w:rPr>
          <w:szCs w:val="28"/>
          <w:lang w:val="kk-KZ"/>
        </w:rPr>
        <w:t xml:space="preserve">«3-тарау. </w:t>
      </w:r>
      <w:r w:rsidRPr="001B3066">
        <w:rPr>
          <w:lang w:val="kk-KZ"/>
        </w:rPr>
        <w:t>Есепке алу және бастапқы тану</w:t>
      </w:r>
      <w:r>
        <w:rPr>
          <w:szCs w:val="28"/>
          <w:lang w:val="kk-KZ"/>
        </w:rPr>
        <w:t>»;</w:t>
      </w:r>
    </w:p>
    <w:p w:rsidR="00AD7A6F" w:rsidRDefault="00AD7A6F" w:rsidP="00527B6C">
      <w:pPr>
        <w:widowControl w:val="0"/>
        <w:ind w:firstLine="709"/>
        <w:rPr>
          <w:szCs w:val="28"/>
          <w:lang w:val="kk-KZ"/>
        </w:rPr>
      </w:pPr>
      <w:r w:rsidRPr="001A7B59">
        <w:rPr>
          <w:szCs w:val="28"/>
          <w:lang w:val="kk-KZ"/>
        </w:rPr>
        <w:t xml:space="preserve">8-тармақтың </w:t>
      </w:r>
      <w:r>
        <w:rPr>
          <w:szCs w:val="28"/>
          <w:lang w:val="kk-KZ"/>
        </w:rPr>
        <w:t>екінші</w:t>
      </w:r>
      <w:r w:rsidRPr="001A7B59">
        <w:rPr>
          <w:szCs w:val="28"/>
          <w:lang w:val="kk-KZ"/>
        </w:rPr>
        <w:t xml:space="preserve"> және </w:t>
      </w:r>
      <w:r>
        <w:rPr>
          <w:szCs w:val="28"/>
          <w:lang w:val="kk-KZ"/>
        </w:rPr>
        <w:t>үшінші</w:t>
      </w:r>
      <w:r w:rsidRPr="001A7B59">
        <w:rPr>
          <w:szCs w:val="28"/>
          <w:lang w:val="kk-KZ"/>
        </w:rPr>
        <w:t xml:space="preserve"> бөліктер</w:t>
      </w:r>
      <w:r>
        <w:rPr>
          <w:szCs w:val="28"/>
          <w:lang w:val="kk-KZ"/>
        </w:rPr>
        <w:t>і</w:t>
      </w:r>
      <w:r w:rsidRPr="001A7B59">
        <w:rPr>
          <w:szCs w:val="28"/>
          <w:lang w:val="kk-KZ"/>
        </w:rPr>
        <w:t xml:space="preserve"> мынадай редакцияда жазылсын:</w:t>
      </w:r>
    </w:p>
    <w:p w:rsidR="00AD7A6F" w:rsidRDefault="00AD7A6F" w:rsidP="00AD7A6F">
      <w:pPr>
        <w:ind w:firstLine="709"/>
        <w:rPr>
          <w:szCs w:val="28"/>
          <w:lang w:val="kk-KZ"/>
        </w:rPr>
      </w:pPr>
      <w:r w:rsidRPr="001A7B59">
        <w:rPr>
          <w:szCs w:val="28"/>
          <w:lang w:val="kk-KZ"/>
        </w:rPr>
        <w:t xml:space="preserve">«Егер брокерлік қызмет көрсету туралы шарт талаптарына сәйкес </w:t>
      </w:r>
      <w:r w:rsidR="002A5E50" w:rsidRPr="001B3066">
        <w:rPr>
          <w:szCs w:val="28"/>
          <w:lang w:val="kk-KZ"/>
        </w:rPr>
        <w:t>осы тармақтың бірінші бөлігінде көзделген</w:t>
      </w:r>
      <w:r w:rsidR="002A5E50" w:rsidRPr="001A7B59">
        <w:rPr>
          <w:szCs w:val="28"/>
          <w:lang w:val="kk-KZ"/>
        </w:rPr>
        <w:t xml:space="preserve"> </w:t>
      </w:r>
      <w:r w:rsidRPr="001A7B59">
        <w:rPr>
          <w:szCs w:val="28"/>
          <w:lang w:val="kk-KZ"/>
        </w:rPr>
        <w:t xml:space="preserve">клиенттен қабылданған ақшаны </w:t>
      </w:r>
      <w:r w:rsidRPr="001B3066">
        <w:rPr>
          <w:szCs w:val="28"/>
          <w:lang w:val="kk-KZ"/>
        </w:rPr>
        <w:t>брокердің меншікті бухгалтерлік балансында</w:t>
      </w:r>
      <w:r w:rsidRPr="001A7B59">
        <w:rPr>
          <w:szCs w:val="28"/>
          <w:lang w:val="kk-KZ"/>
        </w:rPr>
        <w:t xml:space="preserve"> актив ретінде тану </w:t>
      </w:r>
      <w:r w:rsidRPr="001B3066">
        <w:rPr>
          <w:szCs w:val="28"/>
          <w:lang w:val="kk-KZ"/>
        </w:rPr>
        <w:t>критерийлерінің жиынтығында орындалса, онда клиенттен қабылданған ақша баланстық шоттарда көрсетіледі және брокердің меншікті бухгалтерлік балансында меншікті активтер ретінде танылады.</w:t>
      </w:r>
    </w:p>
    <w:p w:rsidR="00AD7A6F" w:rsidRDefault="00AD7A6F" w:rsidP="00AD7A6F">
      <w:pPr>
        <w:widowControl w:val="0"/>
        <w:ind w:firstLine="709"/>
        <w:rPr>
          <w:szCs w:val="28"/>
          <w:lang w:val="kk-KZ"/>
        </w:rPr>
      </w:pPr>
      <w:r w:rsidRPr="001A089A">
        <w:rPr>
          <w:szCs w:val="28"/>
          <w:lang w:val="kk-KZ"/>
        </w:rPr>
        <w:t xml:space="preserve">Егер брокерлік қызмет көрсету туралы шарт талаптарына сәйкес </w:t>
      </w:r>
      <w:r w:rsidR="002A5E50" w:rsidRPr="001B3066">
        <w:rPr>
          <w:szCs w:val="28"/>
          <w:lang w:val="kk-KZ"/>
        </w:rPr>
        <w:t>осы тармақтың бірінші бөлігінде көзделген</w:t>
      </w:r>
      <w:r w:rsidR="002A5E50" w:rsidRPr="001A089A">
        <w:rPr>
          <w:szCs w:val="28"/>
          <w:lang w:val="kk-KZ"/>
        </w:rPr>
        <w:t xml:space="preserve"> </w:t>
      </w:r>
      <w:r w:rsidRPr="001A089A">
        <w:rPr>
          <w:szCs w:val="28"/>
          <w:lang w:val="kk-KZ"/>
        </w:rPr>
        <w:t xml:space="preserve">клиенттен қабылданған ақшаны </w:t>
      </w:r>
      <w:r w:rsidRPr="001B3066">
        <w:rPr>
          <w:szCs w:val="28"/>
          <w:lang w:val="kk-KZ"/>
        </w:rPr>
        <w:t>брокердің меншікті бухгалтерлік балансында</w:t>
      </w:r>
      <w:r w:rsidRPr="001A089A">
        <w:rPr>
          <w:szCs w:val="28"/>
          <w:lang w:val="kk-KZ"/>
        </w:rPr>
        <w:t xml:space="preserve"> актив ретінде тану</w:t>
      </w:r>
      <w:r>
        <w:rPr>
          <w:szCs w:val="28"/>
          <w:lang w:val="kk-KZ"/>
        </w:rPr>
        <w:t xml:space="preserve"> </w:t>
      </w:r>
      <w:r w:rsidRPr="001B3066">
        <w:rPr>
          <w:szCs w:val="28"/>
          <w:lang w:val="kk-KZ"/>
        </w:rPr>
        <w:t xml:space="preserve">критерийлерінің жиынтығында </w:t>
      </w:r>
      <w:r w:rsidRPr="001A089A">
        <w:rPr>
          <w:szCs w:val="28"/>
          <w:lang w:val="kk-KZ"/>
        </w:rPr>
        <w:t>орындалмаса, онда клиенттен қабылданған ақша баланстық шоттарда көрсетілмейді және брокердің меншікті бухгалтерлік балансында меншікті активтері ретінде танылмайды.</w:t>
      </w:r>
      <w:r>
        <w:rPr>
          <w:szCs w:val="28"/>
          <w:lang w:val="kk-KZ"/>
        </w:rPr>
        <w:t>»;</w:t>
      </w:r>
    </w:p>
    <w:p w:rsidR="002A5E50" w:rsidRPr="00B95DF0" w:rsidRDefault="002A5E50" w:rsidP="002A5E50">
      <w:pPr>
        <w:ind w:firstLine="708"/>
        <w:rPr>
          <w:rFonts w:eastAsiaTheme="minorHAnsi"/>
          <w:color w:val="000000"/>
          <w:szCs w:val="28"/>
          <w:lang w:val="kk-KZ" w:eastAsia="en-US"/>
        </w:rPr>
      </w:pPr>
      <w:r w:rsidRPr="00B95DF0">
        <w:rPr>
          <w:rFonts w:eastAsiaTheme="minorHAnsi"/>
          <w:color w:val="000000"/>
          <w:szCs w:val="28"/>
          <w:lang w:val="kk-KZ" w:eastAsia="en-US"/>
        </w:rPr>
        <w:t>4 және 5</w:t>
      </w:r>
      <w:r>
        <w:rPr>
          <w:rFonts w:eastAsiaTheme="minorHAnsi"/>
          <w:color w:val="000000"/>
          <w:szCs w:val="28"/>
          <w:lang w:val="kk-KZ" w:eastAsia="en-US"/>
        </w:rPr>
        <w:t>-</w:t>
      </w:r>
      <w:r w:rsidRPr="00B95DF0">
        <w:rPr>
          <w:rFonts w:eastAsiaTheme="minorHAnsi"/>
          <w:color w:val="000000"/>
          <w:szCs w:val="28"/>
          <w:lang w:val="kk-KZ" w:eastAsia="en-US"/>
        </w:rPr>
        <w:t>тараулардың тақырыптары мынадай редакцияда жазылсын:</w:t>
      </w:r>
    </w:p>
    <w:p w:rsidR="002A5E50" w:rsidRPr="00B95DF0" w:rsidRDefault="002A5E50" w:rsidP="002A5E50">
      <w:pPr>
        <w:ind w:firstLine="708"/>
        <w:rPr>
          <w:szCs w:val="28"/>
          <w:lang w:val="kk-KZ"/>
        </w:rPr>
      </w:pPr>
      <w:r w:rsidRPr="00B95DF0">
        <w:rPr>
          <w:szCs w:val="28"/>
          <w:lang w:val="kk-KZ"/>
        </w:rPr>
        <w:t>«</w:t>
      </w:r>
      <w:r w:rsidRPr="00B95DF0">
        <w:rPr>
          <w:color w:val="000000"/>
          <w:szCs w:val="28"/>
          <w:lang w:val="kk-KZ"/>
        </w:rPr>
        <w:t>4-тарау. Брокерлік қызмет көрсету бойынша қызметтер көрсетуден кірістер (шығыстар)</w:t>
      </w:r>
      <w:r w:rsidRPr="00B95DF0">
        <w:rPr>
          <w:szCs w:val="28"/>
          <w:lang w:val="kk-KZ"/>
        </w:rPr>
        <w:t>»;</w:t>
      </w:r>
    </w:p>
    <w:p w:rsidR="002A5E50" w:rsidRDefault="002A5E50" w:rsidP="002A5E50">
      <w:pPr>
        <w:ind w:left="708"/>
        <w:rPr>
          <w:szCs w:val="28"/>
          <w:lang w:val="kk-KZ"/>
        </w:rPr>
      </w:pPr>
      <w:r w:rsidRPr="00B95DF0">
        <w:rPr>
          <w:szCs w:val="28"/>
          <w:lang w:val="kk-KZ"/>
        </w:rPr>
        <w:t>«</w:t>
      </w:r>
      <w:r w:rsidRPr="007974D5">
        <w:rPr>
          <w:color w:val="000000"/>
          <w:szCs w:val="28"/>
          <w:lang w:val="kk-KZ"/>
        </w:rPr>
        <w:t>5</w:t>
      </w:r>
      <w:r w:rsidRPr="00B95DF0">
        <w:rPr>
          <w:color w:val="000000"/>
          <w:szCs w:val="28"/>
          <w:lang w:val="kk-KZ"/>
        </w:rPr>
        <w:t>-тарау</w:t>
      </w:r>
      <w:r w:rsidRPr="007974D5">
        <w:rPr>
          <w:color w:val="000000"/>
          <w:szCs w:val="28"/>
          <w:lang w:val="kk-KZ"/>
        </w:rPr>
        <w:t>. Ақпаратты ашу</w:t>
      </w:r>
      <w:r w:rsidRPr="00B95DF0">
        <w:rPr>
          <w:szCs w:val="28"/>
          <w:lang w:val="kk-KZ"/>
        </w:rPr>
        <w:t>»</w:t>
      </w:r>
      <w:r>
        <w:rPr>
          <w:szCs w:val="28"/>
          <w:lang w:val="kk-KZ"/>
        </w:rPr>
        <w:t>;</w:t>
      </w:r>
    </w:p>
    <w:p w:rsidR="002A5E50" w:rsidRDefault="002A5E50" w:rsidP="00590B01">
      <w:pPr>
        <w:widowControl w:val="0"/>
        <w:ind w:firstLine="709"/>
        <w:rPr>
          <w:szCs w:val="28"/>
          <w:lang w:val="kk-KZ"/>
        </w:rPr>
      </w:pPr>
      <w:r>
        <w:rPr>
          <w:szCs w:val="28"/>
          <w:lang w:val="kk-KZ"/>
        </w:rPr>
        <w:t>6-тарау алып тасталсын.</w:t>
      </w:r>
    </w:p>
    <w:p w:rsidR="002A5E50" w:rsidRPr="001B0DEF" w:rsidRDefault="002A5E50" w:rsidP="002A5E50">
      <w:pPr>
        <w:ind w:firstLine="709"/>
        <w:rPr>
          <w:szCs w:val="28"/>
          <w:lang w:val="kk-KZ"/>
        </w:rPr>
      </w:pPr>
      <w:r w:rsidRPr="004960DC">
        <w:rPr>
          <w:lang w:val="kk-KZ"/>
        </w:rPr>
        <w:t xml:space="preserve">2. </w:t>
      </w:r>
      <w:r w:rsidRPr="00F00AED">
        <w:rPr>
          <w:lang w:val="kk-KZ"/>
        </w:rPr>
        <w:t xml:space="preserve">Бухгалтерлік есеп департаменті (Рахметова С.К.) </w:t>
      </w:r>
      <w:r w:rsidRPr="001B0DEF">
        <w:rPr>
          <w:szCs w:val="28"/>
          <w:lang w:val="kk-KZ"/>
        </w:rPr>
        <w:t>Қазақстан Республикасының заңнамасында белгіленген тәртіппен:</w:t>
      </w:r>
    </w:p>
    <w:p w:rsidR="002A5E50" w:rsidRPr="00F00AED" w:rsidRDefault="002A5E50" w:rsidP="002A5E50">
      <w:pPr>
        <w:ind w:firstLine="709"/>
        <w:rPr>
          <w:szCs w:val="28"/>
          <w:lang w:val="kk-KZ"/>
        </w:rPr>
      </w:pPr>
      <w:r w:rsidRPr="00783B4C">
        <w:rPr>
          <w:szCs w:val="28"/>
          <w:lang w:val="kk-KZ"/>
        </w:rPr>
        <w:t>1) Заң департаментімен (</w:t>
      </w:r>
      <w:r>
        <w:rPr>
          <w:szCs w:val="28"/>
          <w:lang w:val="kk-KZ"/>
        </w:rPr>
        <w:t>Қасенов А.С.</w:t>
      </w:r>
      <w:r w:rsidRPr="00783B4C">
        <w:rPr>
          <w:szCs w:val="28"/>
          <w:lang w:val="kk-KZ"/>
        </w:rPr>
        <w:t>) бірлесіп осы қаулыны Қазақстан Ре</w:t>
      </w:r>
      <w:r w:rsidRPr="009C71EE">
        <w:rPr>
          <w:szCs w:val="28"/>
          <w:lang w:val="kk-KZ"/>
        </w:rPr>
        <w:t xml:space="preserve">спубликасының Әділет министрлігінде мемлекеттік </w:t>
      </w:r>
      <w:r w:rsidRPr="009C71EE">
        <w:rPr>
          <w:color w:val="000000"/>
          <w:szCs w:val="28"/>
          <w:lang w:val="kk-KZ"/>
        </w:rPr>
        <w:t>тіркеуді</w:t>
      </w:r>
      <w:r w:rsidRPr="00F00AED">
        <w:rPr>
          <w:szCs w:val="28"/>
          <w:lang w:val="kk-KZ"/>
        </w:rPr>
        <w:t>;</w:t>
      </w:r>
    </w:p>
    <w:p w:rsidR="002A5E50" w:rsidRPr="009C71EE" w:rsidRDefault="004D1913" w:rsidP="002A5E50">
      <w:pPr>
        <w:ind w:firstLine="709"/>
        <w:rPr>
          <w:szCs w:val="28"/>
          <w:lang w:val="kk-KZ"/>
        </w:rPr>
      </w:pPr>
      <w:r>
        <w:rPr>
          <w:szCs w:val="28"/>
          <w:lang w:val="kk-KZ"/>
        </w:rPr>
        <w:t>2</w:t>
      </w:r>
      <w:r w:rsidR="002A5E50" w:rsidRPr="009C71EE">
        <w:rPr>
          <w:szCs w:val="28"/>
          <w:lang w:val="kk-KZ"/>
        </w:rPr>
        <w:t xml:space="preserve">) </w:t>
      </w:r>
      <w:r w:rsidR="002A5E50" w:rsidRPr="009C71EE">
        <w:rPr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="002A5E50" w:rsidRPr="009C71EE">
        <w:rPr>
          <w:szCs w:val="28"/>
          <w:lang w:val="kk-KZ"/>
        </w:rPr>
        <w:t>;</w:t>
      </w:r>
    </w:p>
    <w:p w:rsidR="002A5E50" w:rsidRDefault="004D1913" w:rsidP="002A5E50">
      <w:pPr>
        <w:widowControl w:val="0"/>
        <w:ind w:firstLine="709"/>
        <w:rPr>
          <w:szCs w:val="28"/>
          <w:lang w:val="kk-KZ"/>
        </w:rPr>
      </w:pPr>
      <w:r>
        <w:rPr>
          <w:szCs w:val="28"/>
          <w:lang w:val="kk-KZ"/>
        </w:rPr>
        <w:t>3</w:t>
      </w:r>
      <w:r w:rsidR="002A5E50" w:rsidRPr="009C71EE">
        <w:rPr>
          <w:szCs w:val="28"/>
          <w:lang w:val="kk-KZ"/>
        </w:rPr>
        <w:t>) осы қаулы мемлекеттік тіркелгеннен кейін он жұмыс күні ішінде Заң департаментіне осы</w:t>
      </w:r>
      <w:r>
        <w:rPr>
          <w:szCs w:val="28"/>
          <w:lang w:val="kk-KZ"/>
        </w:rPr>
        <w:t xml:space="preserve"> қаулының осы тармағының 2) </w:t>
      </w:r>
      <w:r w:rsidR="002A5E50" w:rsidRPr="009C71EE">
        <w:rPr>
          <w:szCs w:val="28"/>
          <w:lang w:val="kk-KZ"/>
        </w:rPr>
        <w:t>тармақша</w:t>
      </w:r>
      <w:r>
        <w:rPr>
          <w:szCs w:val="28"/>
          <w:lang w:val="kk-KZ"/>
        </w:rPr>
        <w:t>с</w:t>
      </w:r>
      <w:r w:rsidR="002A5E50" w:rsidRPr="009C71EE">
        <w:rPr>
          <w:szCs w:val="28"/>
          <w:lang w:val="kk-KZ"/>
        </w:rPr>
        <w:t xml:space="preserve">ында және </w:t>
      </w:r>
      <w:r w:rsidR="002A5E50">
        <w:rPr>
          <w:szCs w:val="28"/>
          <w:lang w:val="kk-KZ"/>
        </w:rPr>
        <w:t>3</w:t>
      </w:r>
      <w:r w:rsidR="002A5E50" w:rsidRPr="009C71EE">
        <w:rPr>
          <w:szCs w:val="28"/>
          <w:lang w:val="kk-KZ"/>
        </w:rPr>
        <w:t>-тармағында көзделген іс-шаралардың орындалуы туралы мәліметтерді ұсынуды қамтамасыз етсін.</w:t>
      </w:r>
    </w:p>
    <w:p w:rsidR="002A5E50" w:rsidRPr="009C71EE" w:rsidRDefault="002A5E50" w:rsidP="002A5E50">
      <w:pPr>
        <w:widowControl w:val="0"/>
        <w:ind w:firstLine="709"/>
        <w:rPr>
          <w:spacing w:val="2"/>
          <w:kern w:val="28"/>
          <w:szCs w:val="28"/>
          <w:lang w:val="kk-KZ"/>
        </w:rPr>
      </w:pPr>
      <w:r>
        <w:rPr>
          <w:szCs w:val="28"/>
          <w:lang w:val="kk-KZ"/>
        </w:rPr>
        <w:t>3</w:t>
      </w:r>
      <w:r w:rsidRPr="009C71EE">
        <w:rPr>
          <w:szCs w:val="28"/>
          <w:lang w:val="kk-KZ"/>
        </w:rPr>
        <w:t>. Сыртқы коммуникациялар департаменті – Ұлттық Банктің баспасөз қызметі (</w:t>
      </w:r>
      <w:r w:rsidRPr="004960DC">
        <w:rPr>
          <w:lang w:val="kk-KZ"/>
        </w:rPr>
        <w:t xml:space="preserve">Адамбаева </w:t>
      </w:r>
      <w:r>
        <w:rPr>
          <w:lang w:val="kk-KZ"/>
        </w:rPr>
        <w:t>Ә</w:t>
      </w:r>
      <w:r w:rsidRPr="004960DC">
        <w:rPr>
          <w:lang w:val="kk-KZ"/>
        </w:rPr>
        <w:t>.Р.</w:t>
      </w:r>
      <w:r w:rsidRPr="009C71EE">
        <w:rPr>
          <w:szCs w:val="28"/>
          <w:lang w:val="kk-KZ"/>
        </w:rPr>
        <w:t>)</w:t>
      </w:r>
      <w:r w:rsidRPr="00F00AED">
        <w:rPr>
          <w:szCs w:val="28"/>
          <w:lang w:val="kk-KZ"/>
        </w:rPr>
        <w:t xml:space="preserve"> </w:t>
      </w:r>
      <w:r w:rsidRPr="001B0DEF">
        <w:rPr>
          <w:szCs w:val="28"/>
          <w:lang w:val="kk-KZ"/>
        </w:rPr>
        <w:t>осы қаулы мемлекеттік тіркелгеннен кейін күнтізбелік он күн ішінде о</w:t>
      </w:r>
      <w:r w:rsidRPr="00783B4C">
        <w:rPr>
          <w:szCs w:val="28"/>
          <w:lang w:val="kk-KZ"/>
        </w:rPr>
        <w:t>н</w:t>
      </w:r>
      <w:r w:rsidRPr="009C71EE">
        <w:rPr>
          <w:szCs w:val="28"/>
          <w:lang w:val="kk-KZ"/>
        </w:rPr>
        <w:t xml:space="preserve">ың </w:t>
      </w:r>
      <w:r w:rsidRPr="001C4E4C">
        <w:rPr>
          <w:szCs w:val="28"/>
          <w:lang w:val="kk-KZ"/>
        </w:rPr>
        <w:t>көшірмесін м</w:t>
      </w:r>
      <w:r w:rsidRPr="009C71EE">
        <w:rPr>
          <w:szCs w:val="28"/>
          <w:lang w:val="kk-KZ"/>
        </w:rPr>
        <w:t>ерзімді баспасөз басылымдарында ресми жариялауға жіберуді қамтамасыз етсін.</w:t>
      </w:r>
    </w:p>
    <w:p w:rsidR="002A5E50" w:rsidRPr="009C71EE" w:rsidRDefault="002A5E50" w:rsidP="002A5E50">
      <w:pPr>
        <w:widowControl w:val="0"/>
        <w:autoSpaceDE w:val="0"/>
        <w:autoSpaceDN w:val="0"/>
        <w:adjustRightInd w:val="0"/>
        <w:ind w:firstLine="709"/>
        <w:rPr>
          <w:szCs w:val="28"/>
          <w:lang w:val="kk-KZ"/>
        </w:rPr>
      </w:pPr>
      <w:r>
        <w:rPr>
          <w:spacing w:val="2"/>
          <w:kern w:val="28"/>
          <w:szCs w:val="28"/>
          <w:lang w:val="kk-KZ"/>
        </w:rPr>
        <w:t>4</w:t>
      </w:r>
      <w:r w:rsidRPr="009C71EE">
        <w:rPr>
          <w:spacing w:val="2"/>
          <w:kern w:val="28"/>
          <w:szCs w:val="28"/>
          <w:lang w:val="kk-KZ"/>
        </w:rPr>
        <w:t xml:space="preserve">. </w:t>
      </w:r>
      <w:r w:rsidRPr="009C71EE">
        <w:rPr>
          <w:szCs w:val="28"/>
          <w:lang w:val="kk-KZ"/>
        </w:rPr>
        <w:t>Осы қаулының орындалуын бақылау Қазақстан Республикасының Ұлттық Банкі Төрағасының орынбасары Д.Т. Ғалиеваға жүктелсін.</w:t>
      </w:r>
    </w:p>
    <w:p w:rsidR="002A5E50" w:rsidRDefault="002A5E50" w:rsidP="006B33D2">
      <w:pPr>
        <w:ind w:firstLine="709"/>
        <w:rPr>
          <w:spacing w:val="2"/>
          <w:kern w:val="28"/>
          <w:szCs w:val="28"/>
          <w:lang w:val="kk-KZ"/>
        </w:rPr>
      </w:pPr>
      <w:r>
        <w:rPr>
          <w:spacing w:val="2"/>
          <w:kern w:val="28"/>
          <w:szCs w:val="28"/>
          <w:lang w:val="kk-KZ"/>
        </w:rPr>
        <w:t>5</w:t>
      </w:r>
      <w:r w:rsidRPr="009C71EE">
        <w:rPr>
          <w:spacing w:val="2"/>
          <w:kern w:val="28"/>
          <w:szCs w:val="28"/>
          <w:lang w:val="kk-KZ"/>
        </w:rPr>
        <w:t>. Осы қаулы алғашқы ресми жарияланған күнінен кейін күнтізбелік он күн өткен соң қолданысқа енгізіледі.</w:t>
      </w:r>
    </w:p>
    <w:p w:rsidR="009106E3" w:rsidRPr="006B33D2" w:rsidRDefault="009106E3">
      <w:pPr>
        <w:ind w:firstLine="709"/>
        <w:rPr>
          <w:szCs w:val="28"/>
          <w:lang w:val="kk-KZ"/>
        </w:rPr>
      </w:pPr>
    </w:p>
    <w:p w:rsidR="002A5E50" w:rsidRDefault="002A5E50" w:rsidP="002A5E50">
      <w:pPr>
        <w:ind w:firstLine="708"/>
        <w:rPr>
          <w:b/>
          <w:szCs w:val="28"/>
          <w:lang w:val="kk-KZ"/>
        </w:rPr>
      </w:pPr>
    </w:p>
    <w:p w:rsidR="002A5E50" w:rsidRPr="009C71EE" w:rsidRDefault="002A5E50" w:rsidP="002A5E50">
      <w:pPr>
        <w:ind w:firstLine="708"/>
        <w:rPr>
          <w:b/>
          <w:szCs w:val="28"/>
          <w:lang w:val="kk-KZ"/>
        </w:rPr>
      </w:pPr>
      <w:r w:rsidRPr="009C71EE">
        <w:rPr>
          <w:b/>
          <w:szCs w:val="28"/>
          <w:lang w:val="kk-KZ"/>
        </w:rPr>
        <w:t xml:space="preserve">Ұлттық Банк </w:t>
      </w:r>
    </w:p>
    <w:p w:rsidR="002A5E50" w:rsidRPr="004960DC" w:rsidRDefault="002A5E50" w:rsidP="002A5E50">
      <w:pPr>
        <w:widowControl w:val="0"/>
        <w:ind w:firstLine="709"/>
        <w:rPr>
          <w:lang w:val="kk-KZ"/>
        </w:rPr>
      </w:pPr>
      <w:r>
        <w:rPr>
          <w:b/>
          <w:szCs w:val="28"/>
          <w:lang w:val="kk-KZ"/>
        </w:rPr>
        <w:t xml:space="preserve">    </w:t>
      </w:r>
      <w:r w:rsidRPr="009C71EE">
        <w:rPr>
          <w:b/>
          <w:szCs w:val="28"/>
          <w:lang w:val="kk-KZ"/>
        </w:rPr>
        <w:t xml:space="preserve">Төрағасы </w:t>
      </w:r>
      <w:r w:rsidRPr="009C71EE">
        <w:rPr>
          <w:b/>
          <w:szCs w:val="28"/>
          <w:lang w:val="kk-KZ"/>
        </w:rPr>
        <w:tab/>
      </w:r>
      <w:r w:rsidRPr="009C71EE">
        <w:rPr>
          <w:b/>
          <w:szCs w:val="28"/>
          <w:lang w:val="kk-KZ"/>
        </w:rPr>
        <w:tab/>
      </w:r>
      <w:r w:rsidRPr="009C71EE">
        <w:rPr>
          <w:b/>
          <w:szCs w:val="28"/>
          <w:lang w:val="kk-KZ"/>
        </w:rPr>
        <w:tab/>
      </w:r>
      <w:r w:rsidRPr="009C71EE">
        <w:rPr>
          <w:b/>
          <w:szCs w:val="28"/>
          <w:lang w:val="kk-KZ"/>
        </w:rPr>
        <w:tab/>
      </w:r>
      <w:r w:rsidRPr="009C71EE">
        <w:rPr>
          <w:b/>
          <w:szCs w:val="28"/>
          <w:lang w:val="kk-KZ"/>
        </w:rPr>
        <w:tab/>
      </w:r>
      <w:r w:rsidRPr="009C71EE">
        <w:rPr>
          <w:b/>
          <w:szCs w:val="28"/>
          <w:lang w:val="kk-KZ"/>
        </w:rPr>
        <w:tab/>
      </w:r>
      <w:r w:rsidRPr="009C71EE">
        <w:rPr>
          <w:b/>
          <w:szCs w:val="28"/>
          <w:lang w:val="kk-KZ"/>
        </w:rPr>
        <w:tab/>
      </w:r>
      <w:r w:rsidRPr="009C71EE">
        <w:rPr>
          <w:b/>
          <w:szCs w:val="28"/>
          <w:lang w:val="kk-KZ"/>
        </w:rPr>
        <w:tab/>
        <w:t>Е. Досаев</w:t>
      </w:r>
    </w:p>
    <w:p w:rsidR="002A5E50" w:rsidRDefault="002A5E50" w:rsidP="002A5E50">
      <w:pPr>
        <w:tabs>
          <w:tab w:val="left" w:pos="1440"/>
        </w:tabs>
        <w:rPr>
          <w:lang w:val="kk-KZ"/>
        </w:rPr>
      </w:pPr>
    </w:p>
    <w:p w:rsidR="002111F2" w:rsidRPr="004960DC" w:rsidRDefault="002111F2" w:rsidP="002A5E50">
      <w:pPr>
        <w:tabs>
          <w:tab w:val="left" w:pos="1440"/>
        </w:tabs>
        <w:rPr>
          <w:lang w:val="kk-KZ"/>
        </w:rPr>
      </w:pPr>
    </w:p>
    <w:p w:rsidR="002A5E50" w:rsidRPr="006B33D2" w:rsidRDefault="002A5E50" w:rsidP="002A5E50">
      <w:pPr>
        <w:rPr>
          <w:szCs w:val="28"/>
          <w:lang w:val="kk-KZ"/>
        </w:rPr>
      </w:pPr>
    </w:p>
    <w:p w:rsidR="002A5E50" w:rsidRPr="006B33D2" w:rsidRDefault="002A5E50" w:rsidP="002A5E50">
      <w:pPr>
        <w:ind w:firstLine="709"/>
        <w:jc w:val="left"/>
        <w:rPr>
          <w:color w:val="000000"/>
          <w:szCs w:val="28"/>
          <w:lang w:val="kk-KZ"/>
        </w:rPr>
      </w:pPr>
      <w:r w:rsidRPr="006B33D2">
        <w:rPr>
          <w:color w:val="000000"/>
          <w:szCs w:val="28"/>
          <w:lang w:val="kk-KZ"/>
        </w:rPr>
        <w:t>«КЕЛІСІЛДІ»</w:t>
      </w:r>
    </w:p>
    <w:p w:rsidR="002A5E50" w:rsidRPr="006B33D2" w:rsidRDefault="002A5E50" w:rsidP="002A5E50">
      <w:pPr>
        <w:ind w:firstLine="709"/>
        <w:jc w:val="left"/>
        <w:rPr>
          <w:color w:val="000000"/>
          <w:szCs w:val="28"/>
          <w:lang w:val="kk-KZ"/>
        </w:rPr>
      </w:pPr>
      <w:r w:rsidRPr="006B33D2">
        <w:rPr>
          <w:color w:val="000000"/>
          <w:szCs w:val="28"/>
          <w:lang w:val="kk-KZ"/>
        </w:rPr>
        <w:t>Қазақстан Республикасының</w:t>
      </w:r>
    </w:p>
    <w:p w:rsidR="002A5E50" w:rsidRPr="006B33D2" w:rsidRDefault="002A5E50" w:rsidP="002A5E50">
      <w:pPr>
        <w:ind w:firstLine="709"/>
        <w:jc w:val="left"/>
        <w:rPr>
          <w:color w:val="000000"/>
          <w:szCs w:val="28"/>
          <w:lang w:val="kk-KZ"/>
        </w:rPr>
      </w:pPr>
      <w:r w:rsidRPr="006B33D2">
        <w:rPr>
          <w:color w:val="000000"/>
          <w:szCs w:val="28"/>
          <w:lang w:val="kk-KZ"/>
        </w:rPr>
        <w:t>Қаржы министрлігі</w:t>
      </w:r>
    </w:p>
    <w:p w:rsidR="009106E3" w:rsidRPr="006B33D2" w:rsidRDefault="009106E3" w:rsidP="002A5E50">
      <w:pPr>
        <w:ind w:firstLine="709"/>
        <w:rPr>
          <w:color w:val="000000"/>
          <w:szCs w:val="28"/>
        </w:rPr>
      </w:pPr>
    </w:p>
    <w:sectPr w:rsidR="009106E3" w:rsidRPr="006B33D2" w:rsidSect="004570C2">
      <w:headerReference w:type="default" r:id="rId8"/>
      <w:headerReference w:type="first" r:id="rId9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646" w:rsidRDefault="00153646" w:rsidP="004570C2">
      <w:r>
        <w:separator/>
      </w:r>
    </w:p>
  </w:endnote>
  <w:endnote w:type="continuationSeparator" w:id="0">
    <w:p w:rsidR="00153646" w:rsidRDefault="00153646" w:rsidP="0045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646" w:rsidRDefault="00153646" w:rsidP="004570C2">
      <w:r>
        <w:separator/>
      </w:r>
    </w:p>
  </w:footnote>
  <w:footnote w:type="continuationSeparator" w:id="0">
    <w:p w:rsidR="00153646" w:rsidRDefault="00153646" w:rsidP="00457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98143"/>
      <w:docPartObj>
        <w:docPartGallery w:val="Page Numbers (Top of Page)"/>
        <w:docPartUnique/>
      </w:docPartObj>
    </w:sdtPr>
    <w:sdtEndPr/>
    <w:sdtContent>
      <w:p w:rsidR="004570C2" w:rsidRDefault="004570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225">
          <w:rPr>
            <w:noProof/>
          </w:rPr>
          <w:t>3</w:t>
        </w:r>
        <w:r>
          <w:fldChar w:fldCharType="end"/>
        </w:r>
      </w:p>
    </w:sdtContent>
  </w:sdt>
  <w:p w:rsidR="004570C2" w:rsidRDefault="004570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B24" w:rsidRPr="00837B24" w:rsidRDefault="00837B24" w:rsidP="00837B24">
    <w:pPr>
      <w:pStyle w:val="a6"/>
      <w:jc w:val="center"/>
      <w:rPr>
        <w:i/>
        <w:sz w:val="24"/>
        <w:lang w:val="kk-KZ"/>
      </w:rPr>
    </w:pPr>
    <w:r w:rsidRPr="00837B24">
      <w:rPr>
        <w:i/>
        <w:sz w:val="24"/>
        <w:lang w:val="kk-KZ"/>
      </w:rPr>
      <w:t>Қазақстан Республикасы Әділет министрлігінде</w:t>
    </w:r>
  </w:p>
  <w:p w:rsidR="004570C2" w:rsidRPr="00837B24" w:rsidRDefault="00837B24" w:rsidP="00837B24">
    <w:pPr>
      <w:pStyle w:val="a6"/>
      <w:jc w:val="center"/>
      <w:rPr>
        <w:i/>
        <w:sz w:val="24"/>
        <w:lang w:val="kk-KZ"/>
      </w:rPr>
    </w:pPr>
    <w:r w:rsidRPr="00837B24">
      <w:rPr>
        <w:i/>
        <w:sz w:val="24"/>
        <w:lang w:val="kk-KZ"/>
      </w:rPr>
      <w:t xml:space="preserve">2019 жылғы </w:t>
    </w:r>
    <w:r w:rsidR="002B1D25">
      <w:rPr>
        <w:i/>
        <w:sz w:val="24"/>
        <w:lang w:val="kk-KZ"/>
      </w:rPr>
      <w:t>2</w:t>
    </w:r>
    <w:r w:rsidR="009C73EE">
      <w:rPr>
        <w:i/>
        <w:sz w:val="24"/>
        <w:lang w:val="kk-KZ"/>
      </w:rPr>
      <w:t>3</w:t>
    </w:r>
    <w:r w:rsidRPr="00837B24">
      <w:rPr>
        <w:i/>
        <w:sz w:val="24"/>
        <w:lang w:val="kk-KZ"/>
      </w:rPr>
      <w:t xml:space="preserve"> </w:t>
    </w:r>
    <w:r w:rsidR="002B1D25">
      <w:rPr>
        <w:i/>
        <w:sz w:val="24"/>
        <w:lang w:val="kk-KZ"/>
      </w:rPr>
      <w:t>қазанда</w:t>
    </w:r>
    <w:r w:rsidRPr="00837B24">
      <w:rPr>
        <w:i/>
        <w:sz w:val="24"/>
        <w:lang w:val="kk-KZ"/>
      </w:rPr>
      <w:t xml:space="preserve"> №19</w:t>
    </w:r>
    <w:r w:rsidR="002B1D25">
      <w:rPr>
        <w:i/>
        <w:sz w:val="24"/>
        <w:lang w:val="kk-KZ"/>
      </w:rPr>
      <w:t>505</w:t>
    </w:r>
    <w:r w:rsidRPr="00837B24">
      <w:rPr>
        <w:i/>
        <w:sz w:val="24"/>
        <w:lang w:val="kk-KZ"/>
      </w:rPr>
      <w:t xml:space="preserve"> тіркелген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E3"/>
    <w:rsid w:val="0001636D"/>
    <w:rsid w:val="0006052A"/>
    <w:rsid w:val="00076185"/>
    <w:rsid w:val="00083E46"/>
    <w:rsid w:val="000F6215"/>
    <w:rsid w:val="000F6C12"/>
    <w:rsid w:val="001176A0"/>
    <w:rsid w:val="00153646"/>
    <w:rsid w:val="002111F2"/>
    <w:rsid w:val="002A5E50"/>
    <w:rsid w:val="002B1D25"/>
    <w:rsid w:val="003514EA"/>
    <w:rsid w:val="003553DB"/>
    <w:rsid w:val="003B4652"/>
    <w:rsid w:val="003E55CD"/>
    <w:rsid w:val="0041410B"/>
    <w:rsid w:val="00431031"/>
    <w:rsid w:val="0043378B"/>
    <w:rsid w:val="004570C2"/>
    <w:rsid w:val="004D1913"/>
    <w:rsid w:val="004E2427"/>
    <w:rsid w:val="004E2B1D"/>
    <w:rsid w:val="004F2BAE"/>
    <w:rsid w:val="00527B6C"/>
    <w:rsid w:val="00560088"/>
    <w:rsid w:val="00590B01"/>
    <w:rsid w:val="00591EBD"/>
    <w:rsid w:val="005B038C"/>
    <w:rsid w:val="005B7468"/>
    <w:rsid w:val="005C156C"/>
    <w:rsid w:val="00622225"/>
    <w:rsid w:val="006274A8"/>
    <w:rsid w:val="006846D6"/>
    <w:rsid w:val="00690F20"/>
    <w:rsid w:val="006A7B1E"/>
    <w:rsid w:val="006B33D2"/>
    <w:rsid w:val="00722B86"/>
    <w:rsid w:val="00770192"/>
    <w:rsid w:val="0077031B"/>
    <w:rsid w:val="007917E9"/>
    <w:rsid w:val="00793B5D"/>
    <w:rsid w:val="007E2574"/>
    <w:rsid w:val="007E72D3"/>
    <w:rsid w:val="00837B24"/>
    <w:rsid w:val="008512DB"/>
    <w:rsid w:val="008909C7"/>
    <w:rsid w:val="008C529A"/>
    <w:rsid w:val="008F22B3"/>
    <w:rsid w:val="008F447E"/>
    <w:rsid w:val="009106E3"/>
    <w:rsid w:val="00923E7C"/>
    <w:rsid w:val="00950F5B"/>
    <w:rsid w:val="00953F83"/>
    <w:rsid w:val="00973505"/>
    <w:rsid w:val="00973C09"/>
    <w:rsid w:val="009A2D0B"/>
    <w:rsid w:val="009C73EE"/>
    <w:rsid w:val="00A539CC"/>
    <w:rsid w:val="00A7503E"/>
    <w:rsid w:val="00A92016"/>
    <w:rsid w:val="00AA2BC6"/>
    <w:rsid w:val="00AD234C"/>
    <w:rsid w:val="00AD7A6F"/>
    <w:rsid w:val="00AF607A"/>
    <w:rsid w:val="00B258A4"/>
    <w:rsid w:val="00B43BF7"/>
    <w:rsid w:val="00B76A1A"/>
    <w:rsid w:val="00B836E5"/>
    <w:rsid w:val="00BA025F"/>
    <w:rsid w:val="00BE317B"/>
    <w:rsid w:val="00C02E69"/>
    <w:rsid w:val="00C0790D"/>
    <w:rsid w:val="00C34349"/>
    <w:rsid w:val="00C91C5A"/>
    <w:rsid w:val="00D87833"/>
    <w:rsid w:val="00DA6215"/>
    <w:rsid w:val="00DD0A56"/>
    <w:rsid w:val="00E02F8F"/>
    <w:rsid w:val="00E4774A"/>
    <w:rsid w:val="00E577ED"/>
    <w:rsid w:val="00E63B94"/>
    <w:rsid w:val="00EB1E57"/>
    <w:rsid w:val="00EB5BCE"/>
    <w:rsid w:val="00EE0F93"/>
    <w:rsid w:val="00F46249"/>
    <w:rsid w:val="00FA663B"/>
    <w:rsid w:val="00FB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18F2C-CBA7-417A-9ACA-672E44FB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basedOn w:val="a0"/>
    <w:rsid w:val="009106E3"/>
    <w:rPr>
      <w:color w:val="000000"/>
    </w:rPr>
  </w:style>
  <w:style w:type="paragraph" w:styleId="a5">
    <w:name w:val="List Paragraph"/>
    <w:basedOn w:val="a"/>
    <w:uiPriority w:val="34"/>
    <w:qFormat/>
    <w:rsid w:val="009735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570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70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570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70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1">
    <w:name w:val="s1"/>
    <w:basedOn w:val="a0"/>
    <w:rsid w:val="003E55C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AA2CA-6B34-4548-9963-7C9EE4FF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Әйгерім Амангелдыева</dc:creator>
  <cp:lastModifiedBy>Любаша</cp:lastModifiedBy>
  <cp:revision>1</cp:revision>
  <cp:lastPrinted>2019-07-22T10:02:00Z</cp:lastPrinted>
  <dcterms:created xsi:type="dcterms:W3CDTF">2020-04-21T01:02:00Z</dcterms:created>
  <dcterms:modified xsi:type="dcterms:W3CDTF">2020-04-21T01:02:00Z</dcterms:modified>
</cp:coreProperties>
</file>