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0C" w:rsidRDefault="00C1260C" w:rsidP="00D233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Панорама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33BF">
        <w:rPr>
          <w:rFonts w:ascii="Times New Roman" w:hAnsi="Times New Roman" w:cs="Times New Roman"/>
          <w:b/>
          <w:bCs/>
          <w:sz w:val="28"/>
          <w:szCs w:val="28"/>
        </w:rPr>
        <w:t xml:space="preserve">Кайрат Келимбетов, </w:t>
      </w:r>
      <w:proofErr w:type="spellStart"/>
      <w:r w:rsidRPr="00D233BF">
        <w:rPr>
          <w:rFonts w:ascii="Times New Roman" w:hAnsi="Times New Roman" w:cs="Times New Roman"/>
          <w:b/>
          <w:bCs/>
          <w:sz w:val="28"/>
          <w:szCs w:val="28"/>
        </w:rPr>
        <w:t>Нацбанк</w:t>
      </w:r>
      <w:proofErr w:type="spellEnd"/>
      <w:r w:rsidRPr="00D233BF">
        <w:rPr>
          <w:rFonts w:ascii="Times New Roman" w:hAnsi="Times New Roman" w:cs="Times New Roman"/>
          <w:b/>
          <w:bCs/>
          <w:sz w:val="28"/>
          <w:szCs w:val="28"/>
        </w:rPr>
        <w:t xml:space="preserve">: “Мы поставили для себя внутреннюю задачу перейти к </w:t>
      </w:r>
      <w:proofErr w:type="gramStart"/>
      <w:r w:rsidRPr="00D233BF">
        <w:rPr>
          <w:rFonts w:ascii="Times New Roman" w:hAnsi="Times New Roman" w:cs="Times New Roman"/>
          <w:b/>
          <w:bCs/>
          <w:sz w:val="28"/>
          <w:szCs w:val="28"/>
        </w:rPr>
        <w:t>инфляционному</w:t>
      </w:r>
      <w:proofErr w:type="gramEnd"/>
      <w:r w:rsidRPr="00D233BF">
        <w:rPr>
          <w:rFonts w:ascii="Times New Roman" w:hAnsi="Times New Roman" w:cs="Times New Roman"/>
          <w:b/>
          <w:bCs/>
          <w:sz w:val="28"/>
          <w:szCs w:val="28"/>
        </w:rPr>
        <w:t xml:space="preserve"> таргетированию в течение трех лет. Если будут предпосылки к тому, чтобы сделать это раньше, пойдем на это” </w:t>
      </w:r>
    </w:p>
    <w:p w:rsidR="00737706" w:rsidRPr="00D233BF" w:rsidRDefault="00374DCD" w:rsidP="00374DC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37706" w:rsidRPr="00D233BF">
          <w:rPr>
            <w:rStyle w:val="a3"/>
            <w:rFonts w:ascii="Times New Roman" w:hAnsi="Times New Roman" w:cs="Times New Roman"/>
            <w:sz w:val="28"/>
            <w:szCs w:val="28"/>
          </w:rPr>
          <w:t>Николай Дрозд</w:t>
        </w:r>
      </w:hyperlink>
      <w:r w:rsidR="00737706" w:rsidRPr="00D23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706" w:rsidRPr="00D233BF" w:rsidRDefault="00737706" w:rsidP="00374DCD">
      <w:pPr>
        <w:jc w:val="both"/>
        <w:rPr>
          <w:rFonts w:ascii="Times New Roman" w:hAnsi="Times New Roman" w:cs="Times New Roman"/>
          <w:sz w:val="28"/>
          <w:szCs w:val="28"/>
        </w:rPr>
      </w:pPr>
      <w:r w:rsidRPr="00D233BF">
        <w:rPr>
          <w:rFonts w:ascii="Times New Roman" w:hAnsi="Times New Roman" w:cs="Times New Roman"/>
          <w:sz w:val="28"/>
          <w:szCs w:val="28"/>
        </w:rPr>
        <w:t xml:space="preserve">2015-05-29 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BF">
        <w:rPr>
          <w:rFonts w:ascii="Times New Roman" w:hAnsi="Times New Roman" w:cs="Times New Roman"/>
          <w:b/>
          <w:sz w:val="28"/>
          <w:szCs w:val="28"/>
        </w:rPr>
        <w:t xml:space="preserve">Председатель Национального банка РК Кайрат Келимбетов прокомментировал для Панорамы необходимость и перспективы перехода к </w:t>
      </w:r>
      <w:proofErr w:type="gramStart"/>
      <w:r w:rsidRPr="00D233BF">
        <w:rPr>
          <w:rFonts w:ascii="Times New Roman" w:hAnsi="Times New Roman" w:cs="Times New Roman"/>
          <w:b/>
          <w:sz w:val="28"/>
          <w:szCs w:val="28"/>
        </w:rPr>
        <w:t>инфляционному</w:t>
      </w:r>
      <w:proofErr w:type="gramEnd"/>
      <w:r w:rsidRPr="00D233BF">
        <w:rPr>
          <w:rFonts w:ascii="Times New Roman" w:hAnsi="Times New Roman" w:cs="Times New Roman"/>
          <w:b/>
          <w:sz w:val="28"/>
          <w:szCs w:val="28"/>
        </w:rPr>
        <w:t xml:space="preserve"> таргетированию.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BF">
        <w:rPr>
          <w:rFonts w:ascii="Times New Roman" w:hAnsi="Times New Roman" w:cs="Times New Roman"/>
          <w:b/>
          <w:sz w:val="28"/>
          <w:szCs w:val="28"/>
        </w:rPr>
        <w:t>“Система позволяла п</w:t>
      </w:r>
      <w:bookmarkStart w:id="0" w:name="_GoBack"/>
      <w:bookmarkEnd w:id="0"/>
      <w:r w:rsidRPr="00D233BF">
        <w:rPr>
          <w:rFonts w:ascii="Times New Roman" w:hAnsi="Times New Roman" w:cs="Times New Roman"/>
          <w:b/>
          <w:sz w:val="28"/>
          <w:szCs w:val="28"/>
        </w:rPr>
        <w:t>роводить стабильную денежно-кредитную политику, но была не до конца совершенна”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sz w:val="28"/>
          <w:szCs w:val="28"/>
        </w:rPr>
      </w:pPr>
      <w:r w:rsidRPr="00D233BF">
        <w:rPr>
          <w:rFonts w:ascii="Times New Roman" w:hAnsi="Times New Roman" w:cs="Times New Roman"/>
          <w:sz w:val="28"/>
          <w:szCs w:val="28"/>
        </w:rPr>
        <w:t xml:space="preserve">Если начать издалека, с того, каковы роль центрального банка и денежно-кредитной политики в экономике, то предыдущие 15 лет мы все де-факто находились в режиме фиксированного обменного курса, поддержанного связкой фискальной и денежно-кредитной политик.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Нацфонд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аккумулировал все накопления из нефтегазовых отраслей, инвестировал их за рубежом для того, чтобы не допускать серьезного укрепления курса тенге. Это так называемый макроэкономический инструментарий для борьбы с голландской болезнью и всем остальным негативом. Поскольку резервы, в принципе, всегда были достаточно большие в процентном выражении относительно ВВП - порядка 30%, все это позволяло защищать экономику от различных шоков. Стрессы для нас - это серьезное изменение цен на нефть, ускорение или замедление роста в Китае или аналогичные события в России. Это приблизительно те каналы, которые оказывают на нас влияние. Ну, и иногда вступает в действие глобальный канал, как в 2008-2010 годах или в 2007 году, когда у нас закрывается доступ к мировым рынкам капитала. Именно так произошло в 2007 году для нашего банковского сектора. В этом смысле финансовая система в предыдущих реинкарнациях позволяла проводить стабильную экономическую политику, но все равно она была не до конца совершенной, поскольку в определенный период времени - 1999, 2009 и 2013-14 годах, оказываемое давление вынуждало проводить корректировки. Мы живем при одной реальности, связанной с определенным курсом, а потом нам надо перейти от Т80 к Т120 за доллар, затем и к Т150 и к Т180. Потому что в какой-то момент этот номинальный обменный курс не позволяет в реальном измерении отвечать вызовам времени. То есть с одной стороны - </w:t>
      </w:r>
      <w:r w:rsidRPr="00D233BF">
        <w:rPr>
          <w:rFonts w:ascii="Times New Roman" w:hAnsi="Times New Roman" w:cs="Times New Roman"/>
          <w:sz w:val="28"/>
          <w:szCs w:val="28"/>
        </w:rPr>
        <w:lastRenderedPageBreak/>
        <w:t xml:space="preserve">это была реальность, с другой - все это породило определенную политическую экономику вокруг обесценения тенге. Рынок и население в целом ожидают определенную девальвацию и между проведением корректировок время от времени происходят спекулятивные атаки, рост нервозности и высоких девальвационных ожиданий. Это, в свою очередь, влияет на экономику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высокую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долларизацию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. Население предпочитает держать накопления в долларах, смягчая внутренние шоки, связанные с решениями центрального банка. Все это создает большую неопределенность у инвесторов и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, поскольку трудно прогнозировать развитие событий. Последняя корректировка показала, что достаточно сложным оказалось и восприятие рынком, хотя сама корректировка была проведена в диапазоне 20-25%. Если сравнить с коррекцией, которая была в России, то там это 120% за прошлый год, декабрь к январю. В большинстве экономик валюты девальвировались на 20-30%. Это то, что происходило раньше. Таким образом, вопрос в том, может ли дальше такая система быть устойчивой, и является ли она наиболее подготовленной к имеющимся внешним шокам.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Надо упомянуть и о том, что консенсус-прогноз состоит в том, что в ближайшие 10 лет цены на нефть, скорее всего, высокими не будут, а очень много оценок, что они будут болтаться в коридоре $50-70 за баррель и иногда совсем уходить куда-то вниз, и в этом смысле управление рисками в денежно-кредитной политике должно быть адекватно выстроено.</w:t>
      </w:r>
      <w:proofErr w:type="gramEnd"/>
    </w:p>
    <w:p w:rsidR="00737706" w:rsidRPr="00D233BF" w:rsidRDefault="00737706" w:rsidP="00D2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BF">
        <w:rPr>
          <w:rFonts w:ascii="Times New Roman" w:hAnsi="Times New Roman" w:cs="Times New Roman"/>
          <w:b/>
          <w:sz w:val="28"/>
          <w:szCs w:val="28"/>
        </w:rPr>
        <w:t>“В феврале 2014 года мы предполагали, что рубль может обесцениться до уровня в 50 за $1”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sz w:val="28"/>
          <w:szCs w:val="28"/>
        </w:rPr>
      </w:pPr>
      <w:r w:rsidRPr="00D233BF">
        <w:rPr>
          <w:rFonts w:ascii="Times New Roman" w:hAnsi="Times New Roman" w:cs="Times New Roman"/>
          <w:sz w:val="28"/>
          <w:szCs w:val="28"/>
        </w:rPr>
        <w:t xml:space="preserve">У корректировки февраля 2014 года было два основных смысла. Один из них - скорректировать диспропорции, которые возникли с 2009 по 2013 год, в том числе в связи с обесценением российского рубля. Причем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произошедшего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в условиях достаточно высоких цен на нефть. Для нас определенным триггером было обесценение с 26-28 рублей за доллар до 32. И с 2011 по 2013 год импорт российских товаров рос ежегодно на 15-20%. А во-вторых, мы понимали, что Россия движется к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инфляционному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таргетированию, у них более гибкое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курсообразование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. В феврале 2014 года мы считали, что пара рубль-доллар в 2014-2015 году будет обесцениваться, и, возможно, до уровня в 50 рублей за доллар. При проведении корректировки закладывали в своих расчетах возможность выдержать подобное обесценение. Понимая, что корректировка проводится не то что не ежедневно, но и не ежегодно, мы закладывали и снижение цены нефти до $60 за баррель. То есть все это было и реакцией на прошлое и в то же время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форвард-подходом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на будущее. Тогда, в феврале 2014 года, нам это все представлялось достаточно </w:t>
      </w:r>
      <w:r w:rsidRPr="00D233BF">
        <w:rPr>
          <w:rFonts w:ascii="Times New Roman" w:hAnsi="Times New Roman" w:cs="Times New Roman"/>
          <w:sz w:val="28"/>
          <w:szCs w:val="28"/>
        </w:rPr>
        <w:lastRenderedPageBreak/>
        <w:t xml:space="preserve">реалистичным развитием событий. Мы уже хотели бы начать переход к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инфляционному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таргетированию, но, как правило, но занимает от 3 до 5 лет. Понимается под этим, прежде всего, подготовка инструментария по управлению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тенговой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ликвидностью и влияние через эффективную ставку на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таргет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инфляции, а с другой стороны, подразумевается более гибкое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курсообразование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. Мы, в принципе, считали, что это одна из последних такого рода корректировок, которая должна закончиться по российскому сценарию расширением коридора и затем отказом от коридора и более гибким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курсообразованием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. Имелась в виду примерно такая последовательность.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Когда летом расширяли границы коридора до Т170-188 за доллар (об оценках главы Нацбанка, делавшихся в тот момент, пожалуйста, Панорама №34 за 2014 год), понимание было таким, что корректировка была проведена с запасом, и расширение было свидетельством того, что мы ориентировались на определенное укрепление в период 2014 года, и, может быть, определенное обесценение в последующем.</w:t>
      </w:r>
      <w:proofErr w:type="gramEnd"/>
    </w:p>
    <w:p w:rsidR="00737706" w:rsidRPr="00D233BF" w:rsidRDefault="00737706" w:rsidP="00D2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BF">
        <w:rPr>
          <w:rFonts w:ascii="Times New Roman" w:hAnsi="Times New Roman" w:cs="Times New Roman"/>
          <w:b/>
          <w:sz w:val="28"/>
          <w:szCs w:val="28"/>
        </w:rPr>
        <w:t>“Выбор для монетарных властей - нырять ли вслед за рублем - был условным”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sz w:val="28"/>
          <w:szCs w:val="28"/>
        </w:rPr>
      </w:pPr>
      <w:r w:rsidRPr="00D233BF">
        <w:rPr>
          <w:rFonts w:ascii="Times New Roman" w:hAnsi="Times New Roman" w:cs="Times New Roman"/>
          <w:sz w:val="28"/>
          <w:szCs w:val="28"/>
        </w:rPr>
        <w:t xml:space="preserve">Но геополитические события и последовавшее начало обесценения рубля, более стремительное в ноябре и декабре, и на два месяца более ранний переход на свободное плавание привели к достаточно большим флуктуациям.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Достаточно сказать, что у них в начале года было 32 рубля за доллар, а потом они достаточно быстро добежали до 55-60, а 16 декабря у них в один день было и 80 рублей за доллар, что абсолютный рекорд - обесценение на 120%. И это происходило на фоне коллапса нефтяных цен, практически до $45 за баррель, причем все крепко верили, что, скорее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всего, цена на нефть пойдет еще дальше стремительно вниз. Понятно, у казахстанских монетарных властей был, подчеркиваю, условный выбор, нырять ли вместе со свободным плаванием российского рубля, Существовало понимание, что в России при всех обесценениях, которые были в 2009 году и ранее, настолько диверсифицированная и большая экономика, что она может позволить абсорбировать подобные шоки. Сегодня, когда мы наблюдаем колебания к доллару по 80 рублей в декабре и совершенно спокойно 49 рублей в мае - то это российские реалии. Если вернуться к моменту, когда доллар был 80 рублей в декабре, то все ожидали, что он может быть и 100, на их рынке были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достаточно панические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настроения. Но если 100 рублей за доллар, то старый паритет Т5 за рубль - Т500 - за доллар в апогее. И возвращаясь условно к сегодняшнему уровню в Т185 и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возможными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Т500, понятно, что это было абсолютно недопустимо. Мы не можем себе позволить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</w:t>
      </w:r>
      <w:r w:rsidRPr="00D233BF">
        <w:rPr>
          <w:rFonts w:ascii="Times New Roman" w:hAnsi="Times New Roman" w:cs="Times New Roman"/>
          <w:sz w:val="28"/>
          <w:szCs w:val="28"/>
        </w:rPr>
        <w:lastRenderedPageBreak/>
        <w:t xml:space="preserve">волатильность и никогда не могли позволить. Поэтому твердо верили, что любые отскоки по нефти не вечны и заканчиваются периодами восстановления, и то же самое касается российского рубля. Фундаментально при 5-6% профицита текущего счета в российской экономике, даже несмотря на жесточайшие санкции, с учетом того, что они добывают 10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баррелей в день, и газ поставляют в Европу и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полутриллионом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долларов резервов на максимуме, на наш взгляд, такое обесценение рубля было не слишком логичным. Спрашивал у своих коллег, почему это произошло в тот момент, фундаментальные факторы никто не приводил с уверенностью.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 xml:space="preserve">Сегодня цены на нефть находятся на уровне около $60 за баррель, не очень существенно выше декабрьских, Россия продолжает находиться под санкциями, не отменила свои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контрсанкции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>, по-прежнему нет доступа к рынкам капитала, плюс в декабре был жесткий график выплат по долгам.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Это кардинальные отличия от нашей ситуации,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тем не менее сейчас российские власти борются с укреплением рубля. Рубль укрепляется, и экономические власти делают вербальные интервенции, чтобы этого не происходило. Но доллар стоит 49, а тогда он стоил 80 рублей. То есть это вопрос психологического восприятия и определенной спекулятивной нервозности на рынке.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Поскольку мы понимали, что такую волатильность привносить в казахстанскую экономику не нужно, и наши расчеты показывали, что два фактора - текущая курсовая политика и уровень фискальных резервов - позволяют выдержать этот стресс.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По поводу резервов еще раз хотел сказать, что еще в период кризиса 2008-10 годов их уровень был в два раза ниже. Мы тогда спокойно справились с банковским кризисом, возникшим из-за слишком высоких внешних заимствований, были потрачены выделенные Президентом порядка $10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из стабилизационного фонда, но даже при этом совокупные резервы не только восстановились, но и приблизились к $100 млрд. Мы чувствовали себя уверенно благодаря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Нацфонду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, сейчас мы чувствуем себя в два раза увереннее. У нас практически $70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Нацфонде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, $28-29 млрд - размер ЗВР. Второе обстоятельство, что, по нашим расчетам, при цене нефти выше $55 за баррель мы не проедаем тело Нацфонда. То есть притоки в фонд у нас больше, чем оттоки. Мы в этот раз, даже осуществляя все регулярные трансферты ($8-9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в год и программу “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Нурлы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>” - $3-4 млрд), в состоянии не трогать стабилизационный портфель в $20 млрд и тело Нацфонда при цене нефти свыше $55 за баррель.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BF">
        <w:rPr>
          <w:rFonts w:ascii="Times New Roman" w:hAnsi="Times New Roman" w:cs="Times New Roman"/>
          <w:b/>
          <w:sz w:val="28"/>
          <w:szCs w:val="28"/>
        </w:rPr>
        <w:t>“Среди лучших в мире экспертов существует консенсус по поводу инфляционного таргетирования и того, что оставаться в рамках политики фиксированного обменного курса больше нельзя”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sz w:val="28"/>
          <w:szCs w:val="28"/>
        </w:rPr>
      </w:pPr>
      <w:r w:rsidRPr="00D233BF">
        <w:rPr>
          <w:rFonts w:ascii="Times New Roman" w:hAnsi="Times New Roman" w:cs="Times New Roman"/>
          <w:sz w:val="28"/>
          <w:szCs w:val="28"/>
        </w:rPr>
        <w:lastRenderedPageBreak/>
        <w:t xml:space="preserve">Тогда вопрос: зачем реформа, если у нас мощнейший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Нацфонд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, который позволяет демпфировать внешние проблемы как для бюджета, так и для денежно-кредитной политики, которые возникают? Затем у нас задана стабильность политики обменного курса, мы в коридоре Т170-188, рассчитанном примерно на те параметры, которые видим. Эти оценки оказались правильными, они позволили в этот турбулентный период не привнести внешнюю нестабильность. В сухом остатке мы через этот период прошли лучше, чем другие. Несмотря на переход к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инфляционному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таргетированию и снижение темпов роста цен, инфляция в России в первом квартале - 17%, в Казахстане - 5,2%. Экономический рост, мы ожидаем, будет у нас не меньше 3%, по оценкам Нацбанка. В России, скорее всего, спад будет около 3%. Есть разные оценки - 3,8%, 3,4%, 2,5%. Думаю, что ближе всего - минус 3%. Плюс у нас рост резервов по сравнению с январем 2014 года. Мы считаем, что через турбулентный период прошли нормально, при том, что давление было достаточно высоким, в том числе и внутреннее, частично искусственное. Поскольку мы наблюдали, что после заявления главы государства и совместного заявления с правительством в начале года в целом у нас нет давления ни на валютном рынке, ни на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спотовом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рынке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тенговой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ликвидности. Но вся эта история показывает, что, да, у нас хорошие краткосрочные ответы, но долгосрочно нужен переход к другой политике. И здесь организацией,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так или иначе формулирует рекомендации, является МВФ. Мы обратились к нему за помощью, и в 2013, 2014 и 2015 годы очень тесно с ними работаем. Здесь есть разные подходы, но большинство таких стран, как наша, за последние 20 лет перешли к режиму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инфляционного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таргетирования. Можно задаться вопросом, а может быть, есть какой-то другой выбор? Кстати, читал одну из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статей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и хотелось бы прокомментировать. Мы работаем с МВФ и множеством консультантов, можно смело сказать, что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так или иначе советовались со всеми лучшими специалистами в мире в сфере монетарной политики. Среди них есть консенсус по поводу инфляционного таргетирования и того, что оставаться в режиме фиксированного курса уже нельзя. Но была статья, где говорится о том, что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Джейкоб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Френкель рекомендует нам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таргетировать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номинальный ВВП. Но, во-первых,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Джейкоб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Френкель - это один из наших консультантов, к нему мы с большим уважением относимся. Он консультант Федерального резервного банка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Нью- Йорка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и профессор Гарвардского университета. Мы с ним работаем долгие годы, с 2004-го. Одна из его гипотез состояла в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таргетировании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ВВП, не хотел бы оценивать эту академическую модель. Но есть простой факт - это нигде еще не было реализовано. Хотим ли мы быть страной, на которой в первый раз проверяется та или иная гипотеза? Думаю, </w:t>
      </w:r>
      <w:r w:rsidRPr="00D233BF">
        <w:rPr>
          <w:rFonts w:ascii="Times New Roman" w:hAnsi="Times New Roman" w:cs="Times New Roman"/>
          <w:sz w:val="28"/>
          <w:szCs w:val="28"/>
        </w:rPr>
        <w:lastRenderedPageBreak/>
        <w:t xml:space="preserve">что вряд ли, все-таки надо идти по тому пути, по которому успешно прошло большинство стран с переходной экономикой, например, польский, чешский, новозеландский или австралийский центральные банки. Как правило, переход к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инфляционному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таргетированию был успешен для большинства стран. Конечно, российский опыт - это новый сценарий, как переходить к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инфляционному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таргетированию в условиях жесточайших санкций, но они тоже успешно перешли в конечном итоге. Курс отпустили, ситуация стабилизировалась, резервы не уменьшаются. В экономике очень большого шока не возникло. Я все же оптимист в том, что касается российской экономики, и считаю, что инфляция придет в норму и в течение 2016-2018 года начнется восстановительный рост. Да, и российская экономика, и австралийская также очень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сырьевые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>, что похоже на нас. У перехода есть свои издержки, но надо выбирать, какой политики мы придерживаемся - предсказуемого, понятного, заранее объявляемого курса, либо все будет в таком же режиме, как раньше. Как показывает общественная реакция, то, что было раньше, не очень устраивает. Более того, в мировых экономиках с учетом неопределенности и высокой волатильности, власти переходят к экономической политике 2.0 или 3.0, которая позволяет населению и рынкам по крайней мере приготовиться к тем или иным изменениям. Не узнавать о них постфактум, а заранее. Поэтому мы и планировали начать переход к инфляционному таргетированию уже в 2014 году, к сожалению, эти события в России немного отложили переход. Предполагалось, что расширение коридора будет большим, а курс более гибким, но ситуацию надо было удержать. Мы это сделали и сейчас двигаемся в двух параллельных направлениях.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BF">
        <w:rPr>
          <w:rFonts w:ascii="Times New Roman" w:hAnsi="Times New Roman" w:cs="Times New Roman"/>
          <w:b/>
          <w:sz w:val="28"/>
          <w:szCs w:val="28"/>
        </w:rPr>
        <w:t xml:space="preserve">“Инфляционное таргетирование - это только на 30% более свободное </w:t>
      </w:r>
      <w:proofErr w:type="spellStart"/>
      <w:r w:rsidRPr="00D233BF">
        <w:rPr>
          <w:rFonts w:ascii="Times New Roman" w:hAnsi="Times New Roman" w:cs="Times New Roman"/>
          <w:b/>
          <w:sz w:val="28"/>
          <w:szCs w:val="28"/>
        </w:rPr>
        <w:t>курсообразование</w:t>
      </w:r>
      <w:proofErr w:type="spellEnd"/>
      <w:r w:rsidRPr="00D233BF">
        <w:rPr>
          <w:rFonts w:ascii="Times New Roman" w:hAnsi="Times New Roman" w:cs="Times New Roman"/>
          <w:b/>
          <w:sz w:val="28"/>
          <w:szCs w:val="28"/>
        </w:rPr>
        <w:t>. Хорошей стороной ситуации с дефицитом ликвидности стало то, что мы нащупали инструмент в виде ключевой ставки”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sz w:val="28"/>
          <w:szCs w:val="28"/>
        </w:rPr>
      </w:pPr>
      <w:r w:rsidRPr="00D233BF">
        <w:rPr>
          <w:rFonts w:ascii="Times New Roman" w:hAnsi="Times New Roman" w:cs="Times New Roman"/>
          <w:sz w:val="28"/>
          <w:szCs w:val="28"/>
        </w:rPr>
        <w:t xml:space="preserve">Когда говорят инфляционное таргетирование, необходимо понимать, что свобода движения курса - это примерно 30% вопроса. 70% - это управление инфляцией через ставки. В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предыдущие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15 лет у нас близко ничего подобного не было.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Нацбанк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очень символически участвовал в межбанковском кредитовании, только для того, чтобы погасить какие-то всплески. На сей раз этим очень активно занимались в ноябре-декабре, и если ежедневное участие обычно не больше $100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, то тогда запрос на тенге доходил до $3 млрд. Это происходило потому, что все “перевернулись” в доллары, и счет, по их мнению, шел на часы - до обеда будет девальвация </w:t>
      </w:r>
      <w:r w:rsidRPr="00D233BF">
        <w:rPr>
          <w:rFonts w:ascii="Times New Roman" w:hAnsi="Times New Roman" w:cs="Times New Roman"/>
          <w:sz w:val="28"/>
          <w:szCs w:val="28"/>
        </w:rPr>
        <w:lastRenderedPageBreak/>
        <w:t xml:space="preserve">или после обеда. Но поскольку ее не происходило, было такое напряжение - $3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и высокие ставки - свыше 100%. То есть представляете, как рынок друг другу вместо понимания и солидарности предоставлял ликвидность под 100%? Это убийственно - не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что кредитовать экономику, можно и финансовые институты привести к кризису.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Нацбанк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решительно вмешался и снизил ставки со 100% до 15%. Долго было 15%, потом снизили до 14%, недавно произошло снижение до 13,75% по краткосрочным свопам под залог долларов. И ставки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репо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под залог гособлигаций мы снизили до 12%. И планируем снижать дальше, если не будет ажиотажа на рынке. У нас по идее ключевой ставкой должна была быть ставка рефинансирования. Она сейчас 5,5%, и за все эти годы она мало кому подавала сигнал - честно говоря, это не работающий инструмент.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sz w:val="28"/>
          <w:szCs w:val="28"/>
        </w:rPr>
      </w:pPr>
      <w:r w:rsidRPr="00D233BF">
        <w:rPr>
          <w:rFonts w:ascii="Times New Roman" w:hAnsi="Times New Roman" w:cs="Times New Roman"/>
          <w:sz w:val="28"/>
          <w:szCs w:val="28"/>
        </w:rPr>
        <w:t>Были тревожные моменты, когда было давление на валютном рынке в декабре и начале января. Мы ему противостояли. Но хорошая сторона в том, что мы нащупали появление некоего инструмента - ключевой ставки, которую можем использовать, и ощутили, что рынок ориентируется на это. Например, говорим, что ставка - 14%, и банки начинают ориентироваться на нее как на исходную и давать с учетом ее уровня кредиты в экономику.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BF">
        <w:rPr>
          <w:rFonts w:ascii="Times New Roman" w:hAnsi="Times New Roman" w:cs="Times New Roman"/>
          <w:b/>
          <w:sz w:val="28"/>
          <w:szCs w:val="28"/>
        </w:rPr>
        <w:t>“Мне кажется, у нас взвешенная, поэтапная, последовательная политика”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sz w:val="28"/>
          <w:szCs w:val="28"/>
        </w:rPr>
      </w:pPr>
      <w:r w:rsidRPr="00D233BF">
        <w:rPr>
          <w:rFonts w:ascii="Times New Roman" w:hAnsi="Times New Roman" w:cs="Times New Roman"/>
          <w:sz w:val="28"/>
          <w:szCs w:val="28"/>
        </w:rPr>
        <w:t xml:space="preserve">Будет ли ставка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репо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или ставка по валютным свопам превращаться в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ключевую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- сегодня это тот методологический вопрос, над которым мы работаем. Год-полтора, и выработаем все инструменты денежно-кредитной политики на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тенговом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рынке. И выбор правильного инструмента влияния на рынок зависит от многих моментов. Какова сама кредитная политика, как мы поддерживаем ставки кредитов в экономике. Хотя эта краткосрочная ликвидность, а не та долгосрочная, которую мы, кстати, также активно предоставляли в 2014 году. Важно, каким будет прогноз дефицита предоставления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тенговой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массы для рынка. Определенная часть исходит от “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Самрук-Казыны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”, часть - депозиты населения, заимствования, это все надо совместить с тем, что нужно краткосрочно от нас, уметь прогнозировать, не паниковать в какие-то моменты. Необходимо понимать, что процентный канал заработает, только если будет более свободное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курсообразование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. То есть надо будет расширить валютный коридор, или вообще от него отказываться при достаточно благоприятных внешних условиях. Президент поставил перед нами задачу перейти в течение 5 лет, это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дедлайн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, который нас ждет. Мы для себя поставили внутреннюю задачу перейти в течение трех </w:t>
      </w:r>
      <w:r w:rsidRPr="00D233BF">
        <w:rPr>
          <w:rFonts w:ascii="Times New Roman" w:hAnsi="Times New Roman" w:cs="Times New Roman"/>
          <w:sz w:val="28"/>
          <w:szCs w:val="28"/>
        </w:rPr>
        <w:lastRenderedPageBreak/>
        <w:t xml:space="preserve">лет, если будем готовы раньше, то будем переходить раньше, но все это зависит от множества обстоятельств. От того, насколько готова команда внутри Нацбанка, насколько правильно выстроены коммуникации с рынком, чтобы не было паники, как будет складываться внешняя ситуация. В целом мы с МВФ имеем полное понимание, их техническая помощь активно работает. У нас очень много консультантов мирового уровня, которые нам помогают решать те или иные методологические вопросы. То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есть на сегодняшний день нет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поводов для беспокойства, поскольку у нас огромные резервы, и они не проедаются даже при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контрциклической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экономической политике. С другой стороны, систему надо менять, для того чтобы она могла в большей степени абсорбировать те или иные шоки. Мне кажется, у нас взвешенная последовательная поэтапная политика, которая позволяет пройти региональный шторм. По ситуации в ближайшие три года мы считаем, что будем оперировать в условиях более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транспарентной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, предсказуемой и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под¬отчетной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экономической политики, которую хотим проводить, и именно об этом вся эта большая реформа в “100 шагов”. То есть государство должно быть понятным, и в это идеально вписывается инфляционное таргетирование. Сам дефицит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тенговой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ликвидности связан с высокими девальвационными ожиданиями. Все заявления должностных лиц уже прозвучали, и это не просто заклинания, есть четкие расчеты, которые позволяют говорить, что мы не допустим резких колебаний валютного курса в этом году, но это не значит, что мы во что-то вцепились и ничего не двигается. Изменения происходят, но последовательно, поэтапно. Ликвидность, которой не хватало, мы предоставляем несколькими инструментами - БРК мы предоставили определенные свопы годичные, до Т60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Каз¬Агро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>” мы предоставили Т80 млрд из ЕНПФ, мы помогаем банковскому сектору пенсионными накоплениями начиная с июля прошлого года. В целом в прошлом году мы дали ликвидности на сумму около Т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трлн за счет долгосрочных свопов и средств ЕНПФ. Жизнь, однако, показала, что это не увеличило кредитование первой десятки банков даже на 1%. Соответственно, мы понимаем, что предоставление долгосрочной ликвидности - это вопрос фискальной политики. Вся программа “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Нурлы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” - это $9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заимствования от ВБ, ЕБРР и АБР, около $10 млрд, которые будут предоставляться для поддержки МСБ. Напоминаю, что был Т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трлн, который предоставлялся через “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”. Сейчас Т130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, начиная с июня, предоставляются на рефинансирование ипотеки банкам. А Т250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будут предоставлены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Казкому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на решение проблемы NPL и Т250 млрд, как мы ожидаем, в сентябре-октябре правительство предоставит для решения проблемы NPL другим банкам.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BF">
        <w:rPr>
          <w:rFonts w:ascii="Times New Roman" w:hAnsi="Times New Roman" w:cs="Times New Roman"/>
          <w:b/>
          <w:sz w:val="28"/>
          <w:szCs w:val="28"/>
        </w:rPr>
        <w:lastRenderedPageBreak/>
        <w:t>“Всегда есть ожидания: давайте чуть-чуть “</w:t>
      </w:r>
      <w:proofErr w:type="spellStart"/>
      <w:r w:rsidRPr="00D233BF">
        <w:rPr>
          <w:rFonts w:ascii="Times New Roman" w:hAnsi="Times New Roman" w:cs="Times New Roman"/>
          <w:b/>
          <w:sz w:val="28"/>
          <w:szCs w:val="28"/>
        </w:rPr>
        <w:t>девальнем</w:t>
      </w:r>
      <w:proofErr w:type="spellEnd"/>
      <w:r w:rsidRPr="00D233BF">
        <w:rPr>
          <w:rFonts w:ascii="Times New Roman" w:hAnsi="Times New Roman" w:cs="Times New Roman"/>
          <w:b/>
          <w:sz w:val="28"/>
          <w:szCs w:val="28"/>
        </w:rPr>
        <w:t>” и получим экономический рост”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sz w:val="28"/>
          <w:szCs w:val="28"/>
        </w:rPr>
      </w:pPr>
      <w:r w:rsidRPr="00D233BF">
        <w:rPr>
          <w:rFonts w:ascii="Times New Roman" w:hAnsi="Times New Roman" w:cs="Times New Roman"/>
          <w:sz w:val="28"/>
          <w:szCs w:val="28"/>
        </w:rPr>
        <w:t>Безусловно, 2015 год - это не год экономического бума в Казахстане. Всегда есть ожидания, а давайте мы “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девальнем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” чуть-чуть, и экономический рост будет выше - что нам стоит. Но на самом деле всегда, когда мы проводили корректировки тенге, то понимали, что страдает потребительский спрос со стороны населения. Незначительно кратковременно выигрывали компании-экспортеры и банковские агенты. Для банков это возможность быстро зафиксировать прибыль - с учетом того, что это после кризиса в ипотеке и не допущенного коллапса двух системообразующих банков (они обожглись на ипотеке и, в общем, возились вокруг потребительского кредитования, перегрев которого был тоже возможен, и к счастью, остановлен). Сейчас они в процессе восстановления своей реальной кредитной активности, не говорю про индустриализацию, а просто про самую ключевую роль - брать деньги от населения и предоставлять МСБ. Этот процесс в последние годы затормозился, реальный рост был в районе 5-7%, возможно, в этом году он будет в нижней точке диапазона, рост кредитного портфеля в 5%, что, безусловно, сказывается на том, что падают инвестиции и снижается экономический рост. Он мог бы сильнее снижаться, если бы не последовательная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контрциклическая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политика правительства. У нас реально очень льготные ставки для поддержки МСБ, либо отдельных поддерживаемых секторов, как перерабатывающая индустрия. И здесь мы двигаемся к координации фискальной и денежно-кредитной политик, каждая из которых имеет свою логику. Сегодня расширенная фискальная политика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контрциклична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и при этом, скажем так, проводится жесткая денежно-кредитная политика с постепенным ослаблением. Это то, что мы предлагаем. Либо можно пытаться решать вопросы низкой производительности за счет денежно-кредитной политики и ослабления тенге. Приведу один очень хороший пример. Есть такая страна Венесуэла, которая решала проблемы с помощью обесценения национальной валюты. Дозы были огромными, и в результате у них гиперинфляция, а производительности они никак не помогли. Обесценение тенге сказывается на покупательской способности населения, а с другой стороны, экспортному сектору это никак не помогает. Да, он экономит доллары, чтобы платить зарплату в тенге. Но сектор - это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высококапитализированные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предприятия, которым нужны валютные вливания. И вся их жизнь зависит от того, что на внешних рынках. Если это горнорудный сектор, то от того, что происходит в Китае, если нефтегазовый - от того, что происходит на Ближнем Востоке. Что касается цен, то мы </w:t>
      </w:r>
      <w:r w:rsidRPr="00D233BF">
        <w:rPr>
          <w:rFonts w:ascii="Times New Roman" w:hAnsi="Times New Roman" w:cs="Times New Roman"/>
          <w:sz w:val="28"/>
          <w:szCs w:val="28"/>
        </w:rPr>
        <w:lastRenderedPageBreak/>
        <w:t xml:space="preserve">ожидаем, что даже если нефть будет в коридоре $50-70, а правительство сократило расходы исходя из прогнозной цены на нефть в ближайшие три года в $50, то есть готовность к самому сложному развитию ситуации, даже если это будет в течение 3-5 лет. Второй мощный фактор - у нас в 2017 году при всех скептических оценках заработает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Кашаган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>. Есть предварительные договоренности, что в 2020 году заработает Проект расширения на Тенгизе.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BF">
        <w:rPr>
          <w:rFonts w:ascii="Times New Roman" w:hAnsi="Times New Roman" w:cs="Times New Roman"/>
          <w:b/>
          <w:sz w:val="28"/>
          <w:szCs w:val="28"/>
        </w:rPr>
        <w:t>“Мы не видим ни одного банка, который бы не соответствовал норме не более чем в 10% NPL на конец года”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sz w:val="28"/>
          <w:szCs w:val="28"/>
        </w:rPr>
      </w:pPr>
      <w:r w:rsidRPr="00D233BF">
        <w:rPr>
          <w:rFonts w:ascii="Times New Roman" w:hAnsi="Times New Roman" w:cs="Times New Roman"/>
          <w:sz w:val="28"/>
          <w:szCs w:val="28"/>
        </w:rPr>
        <w:t xml:space="preserve">Мы посмотрели на ситуацию с NPL, а это наше наследство от бума 2004-2007 годов, которое выстрелило в 2008-2010 годах. Как помните, тогда 80% кредитования приходилось на 4 банка: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, БТА, Альянс и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Казком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. 80% тогдашней проблемы - это эти 4 банка. В “Альянсе” и БТА ситуация резко ухудшилась, и у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Казкома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были тоже достаточно существенные сложности. Эти банки прошли свой путь. Их проблемы решены, сейчас идет завершение восстановления активов БТА и Альянса, с другой стороны, их государство приватизировало, там более эффективные собственники, которые NPL сейчас занимаются, произошла еще и консолидация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Казкома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с БТА,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Forte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, Альянс и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Тем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также объединились. Из оставшихся проблем из проблемного портфеля - свыше Т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трлн, 75% - это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Казком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и БТА. Проблема NPL в Казахстане - это проблема максимум 3-4 банков. Потому что другие не были так сильно вовлечены в сектор недвижимости в абсолютном размере, во-вторых, все банки создали достаточные провизии. То есть у нас плохой портфель был достаточно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спровизован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, но не списывался, потому что не было политической воли. Она должна присутствовать с трех сторон: у правительства, которое пошло за последние два года навстречу очень существенно и решило подавляющее большинство проблем в налогообложении, воля к списаниям со стороны самих банков, ну и содействие, чтобы это стало возможным, со стороны Нацбанка. Мы предложили показать без розовых очков реальный уровень плохих кредитов. Был показан максимальный уровень в 35%. За счет того, что правительство проявило добрую волю и снизило большинство налоговых обязательств, которые возникают при списаниях, кроме индивидуального подоходного налога, банки пошли навстречу и снизили уровень проблемных кредитов с 35% до 23%. Большая работа уже проделана. Хотя, когда у банковского сектора примерно треть плохих кредитов, не очень верится в гениальность и эффективность этих ребят. На любом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роуд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-шоу, в котором мы участвуем с правительством, первый вопрос - “что у вас творится?”. “У вас что, война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что-ли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происходит, что за руины?” Мы говорим, что это не совсем </w:t>
      </w:r>
      <w:r w:rsidRPr="00D233BF">
        <w:rPr>
          <w:rFonts w:ascii="Times New Roman" w:hAnsi="Times New Roman" w:cs="Times New Roman"/>
          <w:sz w:val="28"/>
          <w:szCs w:val="28"/>
        </w:rPr>
        <w:lastRenderedPageBreak/>
        <w:t xml:space="preserve">справедливо, нам надо навести порядок в доме и просто сделать статистически определенные упражнения. Мы снизили уровень NPL до 23%, и теперь на очереди переход до 10%. В основном банки имеют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спровизованный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портфель, который позволяет производить списания. И проблемные долги в старых портфелях уже ниже нормы. Внутри того, что осталось - 75% это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Казком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и БТА, они объединились. Сейчас мы приняли новое законодательство, которое позволяет плохие активы отдать БТА, хорошие -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Казкому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Казком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будет “хорошим” банком, БТА - “плохим банком”. И у “плохого банка” БТА мы просто отзовем лицензию, и все. И тогда у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Казкома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уровень NPL в середине года будет 13%, в конце года - 10%. Плюс на ситуацию повлияют Т250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, которые даются через Фонд проблемных кредитов сейчас, и еще часть средств из второго транша в Т250 млрд. Вот решение 75% проблем. Оставшиеся 25% - это бывший Альянс и пара банков, мы решаем их вторым траншем в Т250 млрд. Возникает вопрос, а не появляются ли новые плохие кредиты? В 2013 году потребительское кредитование выросло на 100%. Речь шла опять же о 4-5 банках.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 xml:space="preserve">Мы сказали -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беззалоговые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портфели банков не могут расти больше чем на 30%, взвешивание рисков увеличено до 150%, и отношение платежей к доходам заемщика не должно превышать 50%. Это привело к тому, что в 2014 году рост потребительского кредитования снизился до 7,9%. Потребительское кредитование краткосрочное на 6 месяцев и на 12 - пока мы не наблюдаем существенного ухудшения портфелей ни в одном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из банков. Если вернуться к корпоративному сектору, то МСБ поддерживается за счет рефинансирования институтов развития. Что касается других корпоративных заемщиков, то тут есть проблемы, но есть простое правило - необходимо больше кредитовать, и тогда за счет нового портфеля будет происходить снижение уровня проблемных кредитов.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 xml:space="preserve">Мы следим за каждым банком и не видим, чтобы кто-то, ни с учетом старых, ни с учетом новых проблемных активов, не выдержал этой нормы об уровне NPL не выше 10%. Если кто-то не выдержит, то это уже отдельный разговор, поскольку это уже </w:t>
      </w:r>
      <w:proofErr w:type="spellStart"/>
      <w:r w:rsidRPr="00D233BF">
        <w:rPr>
          <w:rFonts w:ascii="Times New Roman" w:hAnsi="Times New Roman" w:cs="Times New Roman"/>
          <w:sz w:val="28"/>
          <w:szCs w:val="28"/>
        </w:rPr>
        <w:t>пруденциальный</w:t>
      </w:r>
      <w:proofErr w:type="spellEnd"/>
      <w:r w:rsidRPr="00D233BF">
        <w:rPr>
          <w:rFonts w:ascii="Times New Roman" w:hAnsi="Times New Roman" w:cs="Times New Roman"/>
          <w:sz w:val="28"/>
          <w:szCs w:val="28"/>
        </w:rPr>
        <w:t xml:space="preserve"> норматив с 1 января 2016 года, а мы оцениваем, выполняются ли он или нет.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Если они не выполняются, теоретически возможно заключение соглашения о сроках, в которые вы будете их выполнять. Но для рынка это будет очень нехороший сигнал: “плохо работаете, неправильно выдаете кредиты, а может, у вас коррупция”? “Может быть, вы выдаете кредиты самим себе, а потом не возвращаете”? Это очень простая схема, в рамках которой банки либо наводят порядок, либо не наводят.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BF">
        <w:rPr>
          <w:rFonts w:ascii="Times New Roman" w:hAnsi="Times New Roman" w:cs="Times New Roman"/>
          <w:b/>
          <w:sz w:val="28"/>
          <w:szCs w:val="28"/>
        </w:rPr>
        <w:lastRenderedPageBreak/>
        <w:t>“Мы спокойны, но это не повод расслабляться, а возможность подготовиться к будущим вызовам”</w:t>
      </w:r>
    </w:p>
    <w:p w:rsidR="00737706" w:rsidRPr="00D233BF" w:rsidRDefault="00737706" w:rsidP="00D233BF">
      <w:pPr>
        <w:jc w:val="both"/>
        <w:rPr>
          <w:rFonts w:ascii="Times New Roman" w:hAnsi="Times New Roman" w:cs="Times New Roman"/>
          <w:sz w:val="28"/>
          <w:szCs w:val="28"/>
        </w:rPr>
      </w:pPr>
      <w:r w:rsidRPr="00D233BF">
        <w:rPr>
          <w:rFonts w:ascii="Times New Roman" w:hAnsi="Times New Roman" w:cs="Times New Roman"/>
          <w:sz w:val="28"/>
          <w:szCs w:val="28"/>
        </w:rPr>
        <w:t xml:space="preserve">На самом деле мы страна, в наибольшей степени подготовленная на постсоветском пространстве к внешним шокам. Когда “100 шагов” будут осуществлены, тогда риски уменьшатся. Поскольку повышение конкурентоспособности происходит не под воздействием монетарной политики, а внутренних структурных реформ. </w:t>
      </w:r>
      <w:proofErr w:type="gramStart"/>
      <w:r w:rsidRPr="00D233BF">
        <w:rPr>
          <w:rFonts w:ascii="Times New Roman" w:hAnsi="Times New Roman" w:cs="Times New Roman"/>
          <w:sz w:val="28"/>
          <w:szCs w:val="28"/>
        </w:rPr>
        <w:t>Решение, которое было принято о “100 шагах”, и в том числе внутри них - финансовый центр и привлечение инвесторов, независимый финансовый суд, английское право, безвизовый режим “открытое небо” в Астане - это набор ключевых структурных реформ.</w:t>
      </w:r>
      <w:proofErr w:type="gramEnd"/>
      <w:r w:rsidRPr="00D233BF">
        <w:rPr>
          <w:rFonts w:ascii="Times New Roman" w:hAnsi="Times New Roman" w:cs="Times New Roman"/>
          <w:sz w:val="28"/>
          <w:szCs w:val="28"/>
        </w:rPr>
        <w:t xml:space="preserve"> И вообще, курс правительства на приведение всех реформ к стандартам ОЭСР - это и есть ответ на кризис. Мы понимаем, что сейчас можем быть спокойны, но это не повод расслабляться, а возможность подготовиться к будущим вызовам.</w:t>
      </w:r>
    </w:p>
    <w:p w:rsidR="002A6A08" w:rsidRPr="00D233BF" w:rsidRDefault="00374DCD" w:rsidP="00D233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6A08" w:rsidRPr="00D2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12A"/>
    <w:multiLevelType w:val="multilevel"/>
    <w:tmpl w:val="5F4E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A49E1"/>
    <w:multiLevelType w:val="multilevel"/>
    <w:tmpl w:val="0EEA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06"/>
    <w:rsid w:val="00374DCD"/>
    <w:rsid w:val="005718E0"/>
    <w:rsid w:val="00584ACC"/>
    <w:rsid w:val="00737706"/>
    <w:rsid w:val="00C1260C"/>
    <w:rsid w:val="00CA5FF1"/>
    <w:rsid w:val="00D233BF"/>
    <w:rsid w:val="00D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7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oramakz.com/index.php/economics/finance/itemlist/user/864-%D0%BD%D0%B8%D0%BA%D0%BE%D0%BB%D0%B0%D0%B9%D0%B4%D1%80%D0%BE%D0%B7%D0%B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4316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 Mukhanova</dc:creator>
  <cp:lastModifiedBy>Saule Yntykbaeva</cp:lastModifiedBy>
  <cp:revision>3</cp:revision>
  <dcterms:created xsi:type="dcterms:W3CDTF">2015-05-29T09:44:00Z</dcterms:created>
  <dcterms:modified xsi:type="dcterms:W3CDTF">2015-06-02T04:27:00Z</dcterms:modified>
</cp:coreProperties>
</file>