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48" w:rsidRPr="005D7C7A" w:rsidRDefault="000B501D" w:rsidP="006D19CE">
      <w:pPr>
        <w:pStyle w:val="aa"/>
        <w:spacing w:before="0"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5D7C7A">
        <w:rPr>
          <w:rFonts w:ascii="Times New Roman" w:hAnsi="Times New Roman"/>
          <w:sz w:val="24"/>
          <w:szCs w:val="24"/>
          <w:lang w:val="kk-KZ"/>
        </w:rPr>
        <w:t>«Кредит нарығының жағдайы және өлшемдерінің болжамы» екінші деңгейдегі банктерге зерттеу жүргізу</w:t>
      </w:r>
      <w:r w:rsidRPr="005D7C7A">
        <w:rPr>
          <w:rStyle w:val="a5"/>
          <w:rFonts w:ascii="Times New Roman" w:hAnsi="Times New Roman"/>
          <w:sz w:val="24"/>
          <w:szCs w:val="24"/>
          <w:lang w:val="kk-KZ"/>
        </w:rPr>
        <w:footnoteReference w:id="1"/>
      </w:r>
      <w:r w:rsidRPr="005D7C7A">
        <w:rPr>
          <w:rFonts w:ascii="Times New Roman" w:hAnsi="Times New Roman"/>
          <w:sz w:val="24"/>
          <w:szCs w:val="24"/>
          <w:lang w:val="kk-KZ"/>
        </w:rPr>
        <w:t>, 2016 жылғы қаңтар</w:t>
      </w:r>
      <w:r w:rsidR="00CF12B8" w:rsidRPr="005D7C7A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FE51DB" w:rsidRPr="005D7C7A" w:rsidRDefault="00FE51DB" w:rsidP="00BA7344">
      <w:pPr>
        <w:autoSpaceDE w:val="0"/>
        <w:autoSpaceDN w:val="0"/>
        <w:adjustRightInd w:val="0"/>
        <w:ind w:firstLine="708"/>
        <w:jc w:val="both"/>
        <w:rPr>
          <w:b/>
          <w:lang w:val="kk-KZ"/>
        </w:rPr>
      </w:pPr>
      <w:bookmarkStart w:id="0" w:name="_GoBack"/>
      <w:bookmarkEnd w:id="0"/>
    </w:p>
    <w:tbl>
      <w:tblPr>
        <w:tblStyle w:val="a9"/>
        <w:tblpPr w:leftFromText="180" w:rightFromText="180" w:vertAnchor="text" w:horzAnchor="margin" w:tblpXSpec="right" w:tblpY="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</w:tblGrid>
      <w:tr w:rsidR="00E54147" w:rsidRPr="007D751A" w:rsidTr="00857D0C">
        <w:trPr>
          <w:trHeight w:val="279"/>
        </w:trPr>
        <w:tc>
          <w:tcPr>
            <w:tcW w:w="7514" w:type="dxa"/>
          </w:tcPr>
          <w:p w:rsidR="00E54147" w:rsidRPr="005D7C7A" w:rsidRDefault="00766202" w:rsidP="007662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7C7A">
              <w:rPr>
                <w:b/>
                <w:sz w:val="20"/>
                <w:szCs w:val="20"/>
                <w:lang w:val="kk-KZ"/>
              </w:rPr>
              <w:t>1</w:t>
            </w:r>
            <w:r w:rsidR="000B501D" w:rsidRPr="005D7C7A">
              <w:rPr>
                <w:b/>
                <w:sz w:val="20"/>
                <w:szCs w:val="20"/>
                <w:lang w:val="kk-KZ"/>
              </w:rPr>
              <w:t>-диаграмма. Кредиттеу субъектілері бойынша кредит саясатының өзгеруі</w:t>
            </w:r>
          </w:p>
        </w:tc>
      </w:tr>
      <w:tr w:rsidR="00E54147" w:rsidRPr="00BD1210" w:rsidTr="00857D0C">
        <w:trPr>
          <w:trHeight w:val="2541"/>
        </w:trPr>
        <w:tc>
          <w:tcPr>
            <w:tcW w:w="7514" w:type="dxa"/>
          </w:tcPr>
          <w:p w:rsidR="00E54147" w:rsidRPr="005D7C7A" w:rsidRDefault="00BD1210" w:rsidP="00E5414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20197F0" wp14:editId="022E9B79">
                  <wp:extent cx="4666890" cy="1535502"/>
                  <wp:effectExtent l="0" t="0" r="635" b="762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54147" w:rsidRPr="005D7C7A" w:rsidTr="00857D0C">
        <w:trPr>
          <w:trHeight w:val="178"/>
        </w:trPr>
        <w:tc>
          <w:tcPr>
            <w:tcW w:w="7514" w:type="dxa"/>
          </w:tcPr>
          <w:p w:rsidR="00E54147" w:rsidRPr="005D7C7A" w:rsidRDefault="00766202" w:rsidP="0076620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D7C7A"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="00E54147" w:rsidRPr="005D7C7A">
              <w:rPr>
                <w:i/>
                <w:color w:val="000000"/>
                <w:sz w:val="16"/>
                <w:szCs w:val="16"/>
                <w:lang w:val="kk-KZ"/>
              </w:rPr>
              <w:t xml:space="preserve">: </w:t>
            </w:r>
            <w:r w:rsidRPr="005D7C7A">
              <w:rPr>
                <w:i/>
                <w:color w:val="000000"/>
                <w:sz w:val="16"/>
                <w:szCs w:val="16"/>
                <w:lang w:val="kk-KZ"/>
              </w:rPr>
              <w:t>ҚРҰ</w:t>
            </w:r>
            <w:r w:rsidR="00E54147" w:rsidRPr="005D7C7A">
              <w:rPr>
                <w:i/>
                <w:color w:val="000000"/>
                <w:sz w:val="16"/>
                <w:szCs w:val="16"/>
                <w:lang w:val="kk-KZ"/>
              </w:rPr>
              <w:t>Б</w:t>
            </w:r>
          </w:p>
        </w:tc>
      </w:tr>
    </w:tbl>
    <w:p w:rsidR="008142B9" w:rsidRPr="005D7C7A" w:rsidRDefault="000B501D" w:rsidP="0011270F">
      <w:pPr>
        <w:pStyle w:val="afa"/>
        <w:numPr>
          <w:ilvl w:val="0"/>
          <w:numId w:val="5"/>
        </w:numPr>
        <w:autoSpaceDE w:val="0"/>
        <w:autoSpaceDN w:val="0"/>
        <w:adjustRightInd w:val="0"/>
        <w:ind w:left="993" w:hanging="285"/>
        <w:jc w:val="both"/>
        <w:rPr>
          <w:b/>
          <w:lang w:val="kk-KZ"/>
        </w:rPr>
      </w:pPr>
      <w:r w:rsidRPr="005D7C7A">
        <w:rPr>
          <w:b/>
          <w:lang w:val="kk-KZ"/>
        </w:rPr>
        <w:t>Корпоративтік секторды кредиттеу нарығы</w:t>
      </w:r>
    </w:p>
    <w:p w:rsidR="00E54147" w:rsidRPr="005D7C7A" w:rsidRDefault="00E54147" w:rsidP="00BA7344">
      <w:pPr>
        <w:autoSpaceDE w:val="0"/>
        <w:autoSpaceDN w:val="0"/>
        <w:adjustRightInd w:val="0"/>
        <w:ind w:firstLine="708"/>
        <w:jc w:val="both"/>
        <w:rPr>
          <w:b/>
          <w:lang w:val="kk-KZ"/>
        </w:rPr>
      </w:pPr>
    </w:p>
    <w:p w:rsidR="00B166E5" w:rsidRDefault="00766202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  <w:r w:rsidRPr="005D7C7A">
        <w:rPr>
          <w:lang w:val="kk-KZ"/>
        </w:rPr>
        <w:t>Кредиттік портфельдің сапасы үшін алаңдауға байланысты банктердің 28%-ы 2015 жылғы 4-тоқсанда кредит саясатын қатаңдатты, кредит саясатының қолданыстағы өлшемдері</w:t>
      </w:r>
      <w:r w:rsidR="009C391E" w:rsidRPr="005D7C7A">
        <w:rPr>
          <w:lang w:val="kk-KZ"/>
        </w:rPr>
        <w:t xml:space="preserve"> активтер сапасының күрт нашарлауының алдын алуға қабілетті деп санайтын</w:t>
      </w:r>
      <w:r w:rsidRPr="005D7C7A">
        <w:rPr>
          <w:lang w:val="kk-KZ"/>
        </w:rPr>
        <w:t xml:space="preserve"> банктердің 69%-ы </w:t>
      </w:r>
      <w:r w:rsidR="009C391E" w:rsidRPr="005D7C7A">
        <w:rPr>
          <w:lang w:val="kk-KZ"/>
        </w:rPr>
        <w:t xml:space="preserve">өз саясатын өзгеріссіз қалдыруды шешті </w:t>
      </w:r>
      <w:r w:rsidR="00E6749F" w:rsidRPr="005D7C7A">
        <w:rPr>
          <w:lang w:val="kk-KZ"/>
        </w:rPr>
        <w:t>(</w:t>
      </w:r>
      <w:r w:rsidR="009C391E" w:rsidRPr="005D7C7A">
        <w:rPr>
          <w:lang w:val="kk-KZ"/>
        </w:rPr>
        <w:t>1-д</w:t>
      </w:r>
      <w:r w:rsidR="00E6749F" w:rsidRPr="005D7C7A">
        <w:rPr>
          <w:lang w:val="kk-KZ"/>
        </w:rPr>
        <w:t>иаграмма</w:t>
      </w:r>
      <w:r w:rsidR="00E6749F" w:rsidRPr="005D7C7A">
        <w:rPr>
          <w:rStyle w:val="a5"/>
          <w:lang w:val="kk-KZ"/>
        </w:rPr>
        <w:footnoteReference w:id="2"/>
      </w:r>
      <w:r w:rsidR="00E6749F" w:rsidRPr="005D7C7A">
        <w:rPr>
          <w:lang w:val="kk-KZ"/>
        </w:rPr>
        <w:t xml:space="preserve">). </w:t>
      </w:r>
      <w:r w:rsidR="009C391E" w:rsidRPr="005D7C7A">
        <w:rPr>
          <w:lang w:val="kk-KZ"/>
        </w:rPr>
        <w:t xml:space="preserve">Банктердің кредиттеудегі ұстамдылығы өтімділікке қолжетімділіктің төмен болуымен және </w:t>
      </w:r>
      <w:r w:rsidR="00DA2AC9" w:rsidRPr="005D7C7A">
        <w:rPr>
          <w:lang w:val="kk-KZ"/>
        </w:rPr>
        <w:t>4-тоқсанда банктердің 40%-ы ұлғаюын атап өткен кредиттік тәуекелдің жоғары болуымен түсініледі</w:t>
      </w:r>
      <w:r w:rsidR="00E6749F" w:rsidRPr="005D7C7A">
        <w:rPr>
          <w:lang w:val="kk-KZ"/>
        </w:rPr>
        <w:t>.</w:t>
      </w:r>
      <w:r w:rsidR="00C42901" w:rsidRPr="005D7C7A">
        <w:rPr>
          <w:lang w:val="kk-KZ"/>
        </w:rPr>
        <w:t xml:space="preserve"> </w:t>
      </w:r>
    </w:p>
    <w:tbl>
      <w:tblPr>
        <w:tblStyle w:val="a9"/>
        <w:tblpPr w:leftFromText="180" w:rightFromText="180" w:vertAnchor="text" w:horzAnchor="margin" w:tblpXSpec="right" w:tblpY="6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7"/>
      </w:tblGrid>
      <w:tr w:rsidR="00857D0C" w:rsidRPr="007D751A" w:rsidTr="00857D0C">
        <w:tc>
          <w:tcPr>
            <w:tcW w:w="7547" w:type="dxa"/>
          </w:tcPr>
          <w:p w:rsidR="00857D0C" w:rsidRPr="005D7C7A" w:rsidRDefault="00857D0C" w:rsidP="00857D0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7C7A">
              <w:rPr>
                <w:b/>
                <w:sz w:val="20"/>
                <w:szCs w:val="20"/>
                <w:lang w:val="kk-KZ"/>
              </w:rPr>
              <w:t>2-диаграмма. Жекелеген факторлардың банктердің кредит саясатының өзгеруіне әсері</w:t>
            </w:r>
          </w:p>
        </w:tc>
      </w:tr>
      <w:tr w:rsidR="00857D0C" w:rsidRPr="005D7C7A" w:rsidTr="00857D0C">
        <w:trPr>
          <w:trHeight w:val="2653"/>
        </w:trPr>
        <w:tc>
          <w:tcPr>
            <w:tcW w:w="7547" w:type="dxa"/>
          </w:tcPr>
          <w:p w:rsidR="00857D0C" w:rsidRPr="005D7C7A" w:rsidRDefault="00857D0C" w:rsidP="00857D0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7B47142" wp14:editId="2069B7C9">
                  <wp:extent cx="4684144" cy="1518249"/>
                  <wp:effectExtent l="0" t="0" r="2540" b="635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57D0C" w:rsidRPr="005D7C7A" w:rsidTr="00857D0C">
        <w:trPr>
          <w:trHeight w:val="64"/>
        </w:trPr>
        <w:tc>
          <w:tcPr>
            <w:tcW w:w="7547" w:type="dxa"/>
          </w:tcPr>
          <w:p w:rsidR="00857D0C" w:rsidRPr="005D7C7A" w:rsidRDefault="00857D0C" w:rsidP="00857D0C">
            <w:pPr>
              <w:jc w:val="both"/>
              <w:rPr>
                <w:i/>
                <w:sz w:val="15"/>
                <w:szCs w:val="15"/>
                <w:lang w:val="kk-KZ"/>
              </w:rPr>
            </w:pP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>A</w:t>
            </w:r>
            <w:r w:rsidRPr="005D7C7A">
              <w:rPr>
                <w:i/>
                <w:sz w:val="15"/>
                <w:szCs w:val="15"/>
                <w:lang w:val="kk-KZ"/>
              </w:rPr>
              <w:t xml:space="preserve"> - Сыртқы капитал нарықтары; 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 xml:space="preserve">B – </w:t>
            </w:r>
            <w:r w:rsidRPr="005D7C7A">
              <w:rPr>
                <w:i/>
                <w:sz w:val="15"/>
                <w:szCs w:val="15"/>
                <w:lang w:val="kk-KZ"/>
              </w:rPr>
              <w:t xml:space="preserve">Ішкі  капитал нарықтары; 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 xml:space="preserve">C – </w:t>
            </w:r>
            <w:r w:rsidRPr="005D7C7A">
              <w:rPr>
                <w:i/>
                <w:sz w:val="15"/>
                <w:szCs w:val="15"/>
                <w:lang w:val="kk-KZ"/>
              </w:rPr>
              <w:t>Акционерлердің қаражаты;</w:t>
            </w:r>
          </w:p>
          <w:p w:rsidR="00857D0C" w:rsidRPr="005D7C7A" w:rsidRDefault="00857D0C" w:rsidP="00857D0C">
            <w:pPr>
              <w:jc w:val="both"/>
              <w:rPr>
                <w:i/>
                <w:color w:val="000000"/>
                <w:sz w:val="15"/>
                <w:szCs w:val="15"/>
                <w:lang w:val="kk-KZ"/>
              </w:rPr>
            </w:pP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>D – Өтімділік көрсеткіштерінің өзгеруі</w:t>
            </w:r>
            <w:r w:rsidRPr="005D7C7A">
              <w:rPr>
                <w:i/>
                <w:sz w:val="15"/>
                <w:szCs w:val="15"/>
                <w:lang w:val="kk-KZ"/>
              </w:rPr>
              <w:t xml:space="preserve">; 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 xml:space="preserve">E - </w:t>
            </w:r>
            <w:r w:rsidRPr="005D7C7A">
              <w:rPr>
                <w:i/>
                <w:sz w:val="15"/>
                <w:szCs w:val="15"/>
                <w:lang w:val="kk-KZ"/>
              </w:rPr>
              <w:t>Клиенттер депозиттерінің қо жетімділігі және құны;</w:t>
            </w:r>
          </w:p>
          <w:p w:rsidR="00857D0C" w:rsidRPr="005D7C7A" w:rsidRDefault="00857D0C" w:rsidP="00857D0C">
            <w:pPr>
              <w:jc w:val="both"/>
              <w:rPr>
                <w:sz w:val="15"/>
                <w:szCs w:val="15"/>
                <w:lang w:val="kk-KZ"/>
              </w:rPr>
            </w:pP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 xml:space="preserve">F - </w:t>
            </w:r>
            <w:r w:rsidRPr="005D7C7A">
              <w:rPr>
                <w:i/>
                <w:sz w:val="15"/>
                <w:szCs w:val="15"/>
                <w:lang w:val="kk-KZ"/>
              </w:rPr>
              <w:t xml:space="preserve"> ҚР Ұлттық Банк</w:t>
            </w:r>
            <w:r>
              <w:rPr>
                <w:i/>
                <w:sz w:val="15"/>
                <w:szCs w:val="15"/>
                <w:lang w:val="kk-KZ"/>
              </w:rPr>
              <w:t>і</w:t>
            </w:r>
            <w:r w:rsidRPr="005D7C7A">
              <w:rPr>
                <w:i/>
                <w:sz w:val="15"/>
                <w:szCs w:val="15"/>
                <w:lang w:val="kk-KZ"/>
              </w:rPr>
              <w:t>мен операциялар бойынша құралдардың қолжетімділігі;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>G – Басқа банктер тарапынан бәсекелестік</w:t>
            </w:r>
            <w:r w:rsidRPr="005D7C7A">
              <w:rPr>
                <w:i/>
                <w:sz w:val="15"/>
                <w:szCs w:val="15"/>
                <w:lang w:val="kk-KZ"/>
              </w:rPr>
              <w:t xml:space="preserve">; 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 xml:space="preserve">H - </w:t>
            </w:r>
            <w:r w:rsidRPr="005D7C7A">
              <w:rPr>
                <w:i/>
                <w:sz w:val="15"/>
                <w:szCs w:val="15"/>
                <w:lang w:val="kk-KZ"/>
              </w:rPr>
              <w:t>Жалпы экономикалық күтулер (өсу/құлдырау;)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>I – Экономиканың қанда да болсын саласының тәуекелі бейінінің өзгеруі</w:t>
            </w:r>
            <w:r w:rsidRPr="005D7C7A">
              <w:rPr>
                <w:i/>
                <w:sz w:val="15"/>
                <w:szCs w:val="15"/>
                <w:lang w:val="kk-KZ"/>
              </w:rPr>
              <w:t xml:space="preserve">; 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>J –</w:t>
            </w:r>
            <w:r w:rsidRPr="005D7C7A">
              <w:rPr>
                <w:i/>
                <w:sz w:val="15"/>
                <w:szCs w:val="15"/>
                <w:lang w:val="kk-KZ"/>
              </w:rPr>
              <w:t xml:space="preserve"> Кепілмен қамтамасыз ету құнының өзгеру тәуекелі. Дереккөз</w:t>
            </w:r>
            <w:r w:rsidRPr="005D7C7A">
              <w:rPr>
                <w:i/>
                <w:color w:val="000000"/>
                <w:sz w:val="15"/>
                <w:szCs w:val="15"/>
                <w:lang w:val="kk-KZ"/>
              </w:rPr>
              <w:t>: ҚРҰБ</w:t>
            </w:r>
          </w:p>
        </w:tc>
      </w:tr>
    </w:tbl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Pr="00857D0C" w:rsidRDefault="00857D0C" w:rsidP="00DA2AC9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tbl>
      <w:tblPr>
        <w:tblStyle w:val="a9"/>
        <w:tblpPr w:leftFromText="180" w:rightFromText="180" w:vertAnchor="text" w:horzAnchor="margin" w:tblpXSpec="right" w:tblpY="906"/>
        <w:tblOverlap w:val="never"/>
        <w:tblW w:w="7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4"/>
      </w:tblGrid>
      <w:tr w:rsidR="00857D0C" w:rsidTr="00857D0C">
        <w:tc>
          <w:tcPr>
            <w:tcW w:w="7614" w:type="dxa"/>
          </w:tcPr>
          <w:p w:rsidR="00857D0C" w:rsidRDefault="00857D0C" w:rsidP="00857D0C">
            <w:pPr>
              <w:autoSpaceDE w:val="0"/>
              <w:autoSpaceDN w:val="0"/>
              <w:adjustRightInd w:val="0"/>
              <w:jc w:val="center"/>
            </w:pPr>
            <w:r w:rsidRPr="00B166E5">
              <w:rPr>
                <w:b/>
                <w:sz w:val="20"/>
                <w:szCs w:val="20"/>
                <w:lang w:val="kk-KZ"/>
              </w:rPr>
              <w:lastRenderedPageBreak/>
              <w:t>4-д</w:t>
            </w:r>
            <w:proofErr w:type="spellStart"/>
            <w:r w:rsidRPr="00B166E5">
              <w:rPr>
                <w:b/>
                <w:sz w:val="20"/>
                <w:szCs w:val="20"/>
              </w:rPr>
              <w:t>иаграмма</w:t>
            </w:r>
            <w:proofErr w:type="spellEnd"/>
            <w:r w:rsidRPr="00B166E5">
              <w:rPr>
                <w:b/>
                <w:sz w:val="20"/>
                <w:szCs w:val="20"/>
              </w:rPr>
              <w:t xml:space="preserve">. </w:t>
            </w:r>
            <w:r w:rsidRPr="00B166E5">
              <w:rPr>
                <w:b/>
                <w:sz w:val="20"/>
                <w:szCs w:val="20"/>
                <w:lang w:val="kk-KZ"/>
              </w:rPr>
              <w:t>Кредиттеу талаптарының өзгеруі</w:t>
            </w:r>
          </w:p>
        </w:tc>
      </w:tr>
      <w:tr w:rsidR="00857D0C" w:rsidTr="00857D0C">
        <w:trPr>
          <w:trHeight w:val="3154"/>
        </w:trPr>
        <w:tc>
          <w:tcPr>
            <w:tcW w:w="7614" w:type="dxa"/>
          </w:tcPr>
          <w:p w:rsidR="00857D0C" w:rsidRPr="00992888" w:rsidRDefault="00857D0C" w:rsidP="00857D0C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52A88E97" wp14:editId="27731558">
                  <wp:extent cx="4718649" cy="2406770"/>
                  <wp:effectExtent l="0" t="0" r="6350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857D0C" w:rsidTr="00857D0C">
        <w:trPr>
          <w:trHeight w:val="982"/>
        </w:trPr>
        <w:tc>
          <w:tcPr>
            <w:tcW w:w="7614" w:type="dxa"/>
          </w:tcPr>
          <w:p w:rsidR="00857D0C" w:rsidRPr="00605E3A" w:rsidRDefault="00857D0C" w:rsidP="00857D0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605E3A">
              <w:rPr>
                <w:i/>
                <w:sz w:val="16"/>
                <w:szCs w:val="16"/>
              </w:rPr>
              <w:t xml:space="preserve"> 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стандарт</w:t>
            </w: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ты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кредит</w:t>
            </w: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тер бойынша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 банк маржа</w:t>
            </w: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сы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–</w:t>
            </w: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кредиттеудің неғұрлым тәуекелді түрлері бойынша банк маржасы</w:t>
            </w:r>
            <w:r w:rsidRPr="00605E3A">
              <w:rPr>
                <w:i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605E3A">
              <w:rPr>
                <w:i/>
                <w:sz w:val="16"/>
                <w:szCs w:val="16"/>
              </w:rPr>
              <w:t>кредит</w:t>
            </w:r>
            <w:r w:rsidRPr="00605E3A">
              <w:rPr>
                <w:i/>
                <w:sz w:val="16"/>
                <w:szCs w:val="16"/>
                <w:lang w:val="kk-KZ"/>
              </w:rPr>
              <w:t>тің</w:t>
            </w:r>
            <w:r w:rsidRPr="00605E3A">
              <w:rPr>
                <w:i/>
                <w:sz w:val="16"/>
                <w:szCs w:val="16"/>
              </w:rPr>
              <w:t>/кредит</w:t>
            </w:r>
            <w:r w:rsidRPr="00605E3A">
              <w:rPr>
                <w:i/>
                <w:sz w:val="16"/>
                <w:szCs w:val="16"/>
                <w:lang w:val="kk-KZ"/>
              </w:rPr>
              <w:t>тік желінің ең жоғары мөлшері</w:t>
            </w:r>
            <w:r w:rsidRPr="00605E3A">
              <w:rPr>
                <w:i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605E3A">
              <w:rPr>
                <w:i/>
                <w:sz w:val="16"/>
                <w:szCs w:val="16"/>
              </w:rPr>
              <w:t>кредит</w:t>
            </w:r>
            <w:r w:rsidRPr="00605E3A">
              <w:rPr>
                <w:i/>
                <w:sz w:val="16"/>
                <w:szCs w:val="16"/>
                <w:lang w:val="kk-KZ"/>
              </w:rPr>
              <w:t>ті</w:t>
            </w:r>
            <w:r w:rsidRPr="00605E3A">
              <w:rPr>
                <w:i/>
                <w:sz w:val="16"/>
                <w:szCs w:val="16"/>
              </w:rPr>
              <w:t>/кредит</w:t>
            </w:r>
            <w:r w:rsidRPr="00605E3A">
              <w:rPr>
                <w:i/>
                <w:sz w:val="16"/>
                <w:szCs w:val="16"/>
                <w:lang w:val="kk-KZ"/>
              </w:rPr>
              <w:t>тік желіні өтеу мерзімі</w:t>
            </w:r>
            <w:r w:rsidRPr="00605E3A">
              <w:rPr>
                <w:i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– </w:t>
            </w: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кепілдік талап</w:t>
            </w:r>
            <w:r w:rsidRPr="00605E3A">
              <w:rPr>
                <w:i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–</w:t>
            </w: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қарыз алушының қаржылық жағдайына/кредит қабілеттігіне қойылатын талаптар</w:t>
            </w:r>
            <w:r w:rsidRPr="00605E3A">
              <w:rPr>
                <w:i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605E3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05E3A">
              <w:rPr>
                <w:i/>
                <w:sz w:val="16"/>
                <w:szCs w:val="16"/>
              </w:rPr>
              <w:t>ковенант</w:t>
            </w:r>
            <w:proofErr w:type="spellEnd"/>
            <w:r w:rsidRPr="00605E3A">
              <w:rPr>
                <w:i/>
                <w:sz w:val="16"/>
                <w:szCs w:val="16"/>
                <w:lang w:val="kk-KZ"/>
              </w:rPr>
              <w:t>алар</w:t>
            </w:r>
            <w:r w:rsidRPr="00605E3A">
              <w:rPr>
                <w:i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–</w:t>
            </w:r>
            <w:r w:rsidRPr="00605E3A">
              <w:rPr>
                <w:i/>
                <w:sz w:val="16"/>
                <w:szCs w:val="16"/>
              </w:rPr>
              <w:t xml:space="preserve"> </w:t>
            </w:r>
            <w:r w:rsidRPr="00605E3A">
              <w:rPr>
                <w:i/>
                <w:sz w:val="16"/>
                <w:szCs w:val="16"/>
                <w:lang w:val="kk-KZ"/>
              </w:rPr>
              <w:t xml:space="preserve">пайыздық мөлшерлемеген байланысты емес </w:t>
            </w:r>
            <w:proofErr w:type="spellStart"/>
            <w:r w:rsidRPr="00605E3A">
              <w:rPr>
                <w:i/>
                <w:sz w:val="16"/>
                <w:szCs w:val="16"/>
              </w:rPr>
              <w:t>комисси</w:t>
            </w:r>
            <w:proofErr w:type="spellEnd"/>
            <w:r w:rsidRPr="00605E3A">
              <w:rPr>
                <w:i/>
                <w:sz w:val="16"/>
                <w:szCs w:val="16"/>
                <w:lang w:val="kk-KZ"/>
              </w:rPr>
              <w:t>ялар</w:t>
            </w:r>
            <w:r w:rsidRPr="00605E3A">
              <w:rPr>
                <w:i/>
                <w:sz w:val="16"/>
                <w:szCs w:val="16"/>
              </w:rPr>
              <w:t xml:space="preserve">; </w:t>
            </w:r>
            <w:r w:rsidRPr="00605E3A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 -  </w:t>
            </w:r>
            <w:r w:rsidRPr="00605E3A">
              <w:rPr>
                <w:i/>
                <w:sz w:val="16"/>
                <w:szCs w:val="16"/>
              </w:rPr>
              <w:t xml:space="preserve"> </w:t>
            </w:r>
            <w:r w:rsidRPr="00605E3A">
              <w:rPr>
                <w:i/>
                <w:sz w:val="16"/>
                <w:szCs w:val="16"/>
                <w:lang w:val="kk-KZ"/>
              </w:rPr>
              <w:t>негізгі борыш сомасы бойынша жеңілдік кезеңі</w:t>
            </w:r>
            <w:r w:rsidRPr="00605E3A">
              <w:rPr>
                <w:i/>
                <w:sz w:val="16"/>
                <w:szCs w:val="16"/>
              </w:rPr>
              <w:t>.</w:t>
            </w:r>
          </w:p>
          <w:p w:rsidR="00857D0C" w:rsidRDefault="00857D0C" w:rsidP="00857D0C">
            <w:pPr>
              <w:autoSpaceDE w:val="0"/>
              <w:autoSpaceDN w:val="0"/>
              <w:adjustRightInd w:val="0"/>
              <w:jc w:val="both"/>
            </w:pP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605E3A">
              <w:rPr>
                <w:i/>
                <w:color w:val="000000"/>
                <w:sz w:val="16"/>
                <w:szCs w:val="16"/>
              </w:rPr>
              <w:t xml:space="preserve">: </w:t>
            </w:r>
            <w:r w:rsidRPr="00605E3A">
              <w:rPr>
                <w:i/>
                <w:color w:val="000000"/>
                <w:sz w:val="16"/>
                <w:szCs w:val="16"/>
                <w:lang w:val="kk-KZ"/>
              </w:rPr>
              <w:t>ҚРҰ</w:t>
            </w:r>
            <w:r w:rsidRPr="00605E3A">
              <w:rPr>
                <w:i/>
                <w:color w:val="000000"/>
                <w:sz w:val="16"/>
                <w:szCs w:val="16"/>
              </w:rPr>
              <w:t>Б</w:t>
            </w:r>
          </w:p>
        </w:tc>
      </w:tr>
    </w:tbl>
    <w:p w:rsidR="00B166E5" w:rsidRPr="00857D0C" w:rsidRDefault="00E3159A" w:rsidP="00DA2AC9">
      <w:pPr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5D7C7A">
        <w:rPr>
          <w:lang w:val="kk-KZ"/>
        </w:rPr>
        <w:t xml:space="preserve">Банктердің бағалауы бойынша кредит саясатын қатаңдатуға әсер еткен қосымша факторлар елдегі экономикалық белгісіздік, кепілмен қамтамасыз ету құнының нашарлау тәуекелі, сондай-ақ қарыз алушылардың тәуекел бейінінің нашарлау қаупі болып табылады  (2-диаграмма).      </w:t>
      </w:r>
    </w:p>
    <w:tbl>
      <w:tblPr>
        <w:tblStyle w:val="a9"/>
        <w:tblpPr w:leftFromText="180" w:rightFromText="180" w:vertAnchor="text" w:horzAnchor="margin" w:tblpY="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4"/>
      </w:tblGrid>
      <w:tr w:rsidR="00857D0C" w:rsidTr="00857D0C">
        <w:tc>
          <w:tcPr>
            <w:tcW w:w="7614" w:type="dxa"/>
          </w:tcPr>
          <w:p w:rsidR="00857D0C" w:rsidRDefault="00857D0C" w:rsidP="00857D0C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  <w:lang w:val="kk-KZ"/>
              </w:rPr>
              <w:t>3-д</w:t>
            </w:r>
            <w:proofErr w:type="spellStart"/>
            <w:r>
              <w:rPr>
                <w:b/>
                <w:sz w:val="20"/>
                <w:szCs w:val="20"/>
              </w:rPr>
              <w:t>иаграмма</w:t>
            </w:r>
            <w:proofErr w:type="spellEnd"/>
            <w:r w:rsidRPr="00FF652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Экономика салалары  бойынша</w:t>
            </w:r>
            <w:r w:rsidRPr="00554360">
              <w:rPr>
                <w:b/>
                <w:sz w:val="20"/>
                <w:szCs w:val="20"/>
              </w:rPr>
              <w:t xml:space="preserve"> кредит</w:t>
            </w:r>
            <w:r>
              <w:rPr>
                <w:b/>
                <w:sz w:val="20"/>
                <w:szCs w:val="20"/>
                <w:lang w:val="kk-KZ"/>
              </w:rPr>
              <w:t xml:space="preserve"> тәуекелінің өзгеруі</w:t>
            </w:r>
          </w:p>
        </w:tc>
      </w:tr>
      <w:tr w:rsidR="00857D0C" w:rsidTr="00857D0C">
        <w:trPr>
          <w:trHeight w:val="3302"/>
        </w:trPr>
        <w:tc>
          <w:tcPr>
            <w:tcW w:w="7614" w:type="dxa"/>
          </w:tcPr>
          <w:p w:rsidR="00857D0C" w:rsidRPr="00CF1E60" w:rsidRDefault="00857D0C" w:rsidP="00857D0C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66D518BA" wp14:editId="1822765B">
                  <wp:extent cx="4675517" cy="2044460"/>
                  <wp:effectExtent l="0" t="0" r="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857D0C" w:rsidRPr="00B166E5" w:rsidTr="00857D0C">
        <w:trPr>
          <w:trHeight w:val="64"/>
        </w:trPr>
        <w:tc>
          <w:tcPr>
            <w:tcW w:w="7614" w:type="dxa"/>
          </w:tcPr>
          <w:p w:rsidR="00857D0C" w:rsidRPr="00B166E5" w:rsidRDefault="00857D0C" w:rsidP="00857D0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–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Аулы шаруашылығы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–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Кен өндіру өнеркәсібі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–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Өңдеуші өнеркәсіп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B166E5">
              <w:rPr>
                <w:i/>
                <w:sz w:val="16"/>
                <w:szCs w:val="16"/>
              </w:rPr>
              <w:t xml:space="preserve"> </w:t>
            </w:r>
            <w:r w:rsidRPr="00B166E5">
              <w:rPr>
                <w:i/>
                <w:sz w:val="16"/>
                <w:szCs w:val="16"/>
                <w:lang w:val="kk-KZ"/>
              </w:rPr>
              <w:t>Сауда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B166E5">
              <w:rPr>
                <w:i/>
                <w:sz w:val="16"/>
                <w:szCs w:val="16"/>
              </w:rPr>
              <w:t xml:space="preserve"> </w:t>
            </w:r>
            <w:r w:rsidRPr="00B166E5">
              <w:rPr>
                <w:i/>
                <w:sz w:val="16"/>
                <w:szCs w:val="16"/>
                <w:lang w:val="kk-KZ"/>
              </w:rPr>
              <w:t>Құрылыс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B166E5">
              <w:rPr>
                <w:i/>
                <w:sz w:val="16"/>
                <w:szCs w:val="16"/>
              </w:rPr>
              <w:t xml:space="preserve"> 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Э</w:t>
            </w:r>
            <w:proofErr w:type="spellStart"/>
            <w:r w:rsidRPr="00B166E5">
              <w:rPr>
                <w:i/>
                <w:color w:val="000000"/>
                <w:sz w:val="16"/>
                <w:szCs w:val="16"/>
              </w:rPr>
              <w:t>лектр</w:t>
            </w:r>
            <w:proofErr w:type="spellEnd"/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166E5">
              <w:rPr>
                <w:i/>
                <w:color w:val="000000"/>
                <w:sz w:val="16"/>
                <w:szCs w:val="16"/>
              </w:rPr>
              <w:t>энерги</w:t>
            </w:r>
            <w:proofErr w:type="spellEnd"/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ясын</w:t>
            </w:r>
            <w:r w:rsidRPr="00B166E5">
              <w:rPr>
                <w:i/>
                <w:color w:val="000000"/>
                <w:sz w:val="16"/>
                <w:szCs w:val="16"/>
              </w:rPr>
              <w:t>, газ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ды және суды өндіру мен бөлу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- 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Қонақ үйлер мен мейрамханалар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–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Көлік және байланыс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166E5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–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Жылжымайтын мүлікпен о</w:t>
            </w:r>
            <w:r w:rsidRPr="00B166E5">
              <w:rPr>
                <w:i/>
                <w:color w:val="000000"/>
                <w:sz w:val="16"/>
                <w:szCs w:val="16"/>
              </w:rPr>
              <w:t>пера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ц</w:t>
            </w:r>
            <w:r w:rsidRPr="00B166E5">
              <w:rPr>
                <w:i/>
                <w:color w:val="000000"/>
                <w:sz w:val="16"/>
                <w:szCs w:val="16"/>
              </w:rPr>
              <w:t>и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ялар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жалдау және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тұтынушыларға қызмет көрсету</w:t>
            </w:r>
          </w:p>
          <w:p w:rsidR="00857D0C" w:rsidRPr="00605E3A" w:rsidRDefault="00857D0C" w:rsidP="00857D0C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  <w:lang w:val="en-US"/>
              </w:rPr>
            </w:pP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B166E5">
              <w:rPr>
                <w:i/>
                <w:color w:val="000000"/>
                <w:sz w:val="16"/>
                <w:szCs w:val="16"/>
              </w:rPr>
              <w:t xml:space="preserve">: </w:t>
            </w:r>
            <w:r w:rsidRPr="00B166E5"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8E0187" w:rsidRPr="00605E3A" w:rsidRDefault="008E0187" w:rsidP="008E0187">
      <w:pPr>
        <w:jc w:val="both"/>
        <w:rPr>
          <w:b/>
        </w:rPr>
      </w:pPr>
    </w:p>
    <w:p w:rsidR="00857D0C" w:rsidRDefault="00857D0C" w:rsidP="008E0187">
      <w:pPr>
        <w:ind w:firstLine="708"/>
        <w:jc w:val="both"/>
        <w:rPr>
          <w:lang w:val="en-US"/>
        </w:rPr>
      </w:pPr>
    </w:p>
    <w:p w:rsidR="00857D0C" w:rsidRDefault="00857D0C" w:rsidP="008E0187">
      <w:pPr>
        <w:ind w:firstLine="708"/>
        <w:jc w:val="both"/>
        <w:rPr>
          <w:lang w:val="en-US"/>
        </w:rPr>
      </w:pPr>
    </w:p>
    <w:p w:rsidR="00857D0C" w:rsidRDefault="00857D0C" w:rsidP="008E0187">
      <w:pPr>
        <w:ind w:firstLine="708"/>
        <w:jc w:val="both"/>
        <w:rPr>
          <w:lang w:val="en-US"/>
        </w:rPr>
      </w:pPr>
    </w:p>
    <w:p w:rsidR="00857D0C" w:rsidRDefault="00857D0C" w:rsidP="008E0187">
      <w:pPr>
        <w:ind w:firstLine="708"/>
        <w:jc w:val="both"/>
        <w:rPr>
          <w:lang w:val="en-US"/>
        </w:rPr>
      </w:pPr>
    </w:p>
    <w:p w:rsidR="008E0187" w:rsidRPr="00B166E5" w:rsidRDefault="008E0187" w:rsidP="008E0187">
      <w:pPr>
        <w:ind w:firstLine="708"/>
        <w:jc w:val="both"/>
      </w:pPr>
      <w:r w:rsidRPr="00B166E5">
        <w:t>Банк</w:t>
      </w:r>
      <w:r w:rsidRPr="00B166E5">
        <w:rPr>
          <w:lang w:val="kk-KZ"/>
        </w:rPr>
        <w:t>тер экономиканың барлық салалары бойынша кредит тәуекелінің елеулі өсуін атап өтуде.</w:t>
      </w:r>
      <w:r w:rsidRPr="00857D0C">
        <w:rPr>
          <w:lang w:val="en-US"/>
        </w:rPr>
        <w:t xml:space="preserve"> </w:t>
      </w:r>
      <w:r w:rsidRPr="00B166E5">
        <w:rPr>
          <w:lang w:val="kk-KZ"/>
        </w:rPr>
        <w:t xml:space="preserve">Банктердің көпшілігі іскерлік  белсенділіктің баяулау салдарлары және сыртқы экономикалық </w:t>
      </w:r>
      <w:r w:rsidRPr="00B166E5">
        <w:t>конъюнктур</w:t>
      </w:r>
      <w:r w:rsidRPr="00B166E5">
        <w:rPr>
          <w:lang w:val="kk-KZ"/>
        </w:rPr>
        <w:t>аның айтарлықтай  нашарлауы құрылыспен, жылжымайтын  мүлік  нарығымен  байланысты тарихи тәуекелді салаларға ғана  емес, сондай-ақ ауыл шаруашылығына, сонымен қатар банктер басым деп санайтын секторларға (тау  кен өндіруші және  өңдеуші өнеркәсіп) әсері  болды деп есептейді</w:t>
      </w:r>
      <w:r w:rsidRPr="00B166E5">
        <w:t xml:space="preserve"> (</w:t>
      </w:r>
      <w:r w:rsidRPr="00B166E5">
        <w:rPr>
          <w:lang w:val="kk-KZ"/>
        </w:rPr>
        <w:t>3-д</w:t>
      </w:r>
      <w:proofErr w:type="spellStart"/>
      <w:r w:rsidRPr="00B166E5">
        <w:t>иаграмма</w:t>
      </w:r>
      <w:proofErr w:type="spellEnd"/>
      <w:r w:rsidRPr="00B166E5">
        <w:t xml:space="preserve">). </w:t>
      </w:r>
      <w:r w:rsidRPr="00B166E5">
        <w:rPr>
          <w:lang w:val="kk-KZ"/>
        </w:rPr>
        <w:t>Банктік кредиттеу талаптарын  қатаңдату оның  нәтижесі  болды</w:t>
      </w:r>
      <w:r w:rsidRPr="00B166E5">
        <w:t xml:space="preserve">. </w:t>
      </w:r>
    </w:p>
    <w:p w:rsidR="008E0187" w:rsidRPr="00B166E5" w:rsidRDefault="008E0187" w:rsidP="008E0187">
      <w:pPr>
        <w:jc w:val="both"/>
      </w:pPr>
    </w:p>
    <w:p w:rsidR="008E0187" w:rsidRPr="00B166E5" w:rsidRDefault="008E0187" w:rsidP="008E0187">
      <w:pPr>
        <w:jc w:val="both"/>
        <w:rPr>
          <w:b/>
        </w:rPr>
      </w:pPr>
    </w:p>
    <w:p w:rsidR="008E0187" w:rsidRPr="00B166E5" w:rsidRDefault="008E0187" w:rsidP="008E0187">
      <w:pPr>
        <w:jc w:val="both"/>
        <w:rPr>
          <w:b/>
        </w:rPr>
      </w:pPr>
    </w:p>
    <w:p w:rsidR="008E0187" w:rsidRPr="00B166E5" w:rsidRDefault="008E0187" w:rsidP="008E0187">
      <w:pPr>
        <w:jc w:val="both"/>
        <w:rPr>
          <w:b/>
        </w:rPr>
      </w:pPr>
    </w:p>
    <w:p w:rsidR="008E0187" w:rsidRPr="00663062" w:rsidRDefault="008E0187" w:rsidP="008E0187">
      <w:pPr>
        <w:ind w:firstLine="708"/>
        <w:jc w:val="both"/>
        <w:rPr>
          <w:b/>
          <w:lang w:val="en-US"/>
        </w:rPr>
      </w:pPr>
    </w:p>
    <w:p w:rsidR="008E0187" w:rsidRDefault="008E0187" w:rsidP="008E0187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Default="00857D0C" w:rsidP="008E0187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Pr="00857D0C" w:rsidRDefault="00857D0C" w:rsidP="008E0187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tbl>
      <w:tblPr>
        <w:tblStyle w:val="a9"/>
        <w:tblpPr w:leftFromText="180" w:rightFromText="180" w:vertAnchor="text" w:horzAnchor="margin" w:tblpXSpec="right" w:tblpY="4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</w:tblGrid>
      <w:tr w:rsidR="00857D0C" w:rsidRPr="007D751A" w:rsidTr="00263930">
        <w:trPr>
          <w:trHeight w:val="421"/>
        </w:trPr>
        <w:tc>
          <w:tcPr>
            <w:tcW w:w="7560" w:type="dxa"/>
          </w:tcPr>
          <w:p w:rsidR="00857D0C" w:rsidRPr="007D751A" w:rsidRDefault="00857D0C" w:rsidP="00857D0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D751A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7D751A">
              <w:rPr>
                <w:b/>
                <w:sz w:val="20"/>
                <w:szCs w:val="20"/>
                <w:lang w:val="kk-KZ"/>
              </w:rPr>
              <w:t xml:space="preserve">иаграмма.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7D751A">
              <w:rPr>
                <w:b/>
                <w:sz w:val="20"/>
                <w:szCs w:val="20"/>
                <w:lang w:val="kk-KZ"/>
              </w:rPr>
              <w:t>изнес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751A">
              <w:rPr>
                <w:b/>
                <w:sz w:val="20"/>
                <w:szCs w:val="20"/>
                <w:lang w:val="kk-KZ"/>
              </w:rPr>
              <w:t>субъект</w:t>
            </w:r>
            <w:r>
              <w:rPr>
                <w:b/>
                <w:sz w:val="20"/>
                <w:szCs w:val="20"/>
                <w:lang w:val="kk-KZ"/>
              </w:rPr>
              <w:t>ілері үшін кредиттік ресурстарға сыйақы мөлшерлемесінің өзгеруі</w:t>
            </w:r>
          </w:p>
        </w:tc>
      </w:tr>
      <w:tr w:rsidR="00857D0C" w:rsidTr="00263930">
        <w:trPr>
          <w:trHeight w:val="2929"/>
        </w:trPr>
        <w:tc>
          <w:tcPr>
            <w:tcW w:w="7560" w:type="dxa"/>
          </w:tcPr>
          <w:p w:rsidR="00857D0C" w:rsidRPr="00384F4A" w:rsidRDefault="00857D0C" w:rsidP="00857D0C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184023D8" wp14:editId="6FABD155">
                  <wp:extent cx="4710023" cy="1768415"/>
                  <wp:effectExtent l="0" t="0" r="0" b="381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857D0C" w:rsidTr="00263930">
        <w:trPr>
          <w:trHeight w:val="186"/>
        </w:trPr>
        <w:tc>
          <w:tcPr>
            <w:tcW w:w="7560" w:type="dxa"/>
          </w:tcPr>
          <w:p w:rsidR="00857D0C" w:rsidRDefault="00857D0C" w:rsidP="00857D0C">
            <w:pPr>
              <w:autoSpaceDE w:val="0"/>
              <w:autoSpaceDN w:val="0"/>
              <w:adjustRightInd w:val="0"/>
              <w:jc w:val="both"/>
            </w:pPr>
            <w:r>
              <w:rPr>
                <w:i/>
                <w:color w:val="000000"/>
                <w:sz w:val="18"/>
                <w:szCs w:val="18"/>
                <w:lang w:val="kk-KZ"/>
              </w:rPr>
              <w:t>Дереккөзі: ҚРҰБ</w:t>
            </w:r>
          </w:p>
        </w:tc>
      </w:tr>
    </w:tbl>
    <w:p w:rsidR="008E0187" w:rsidRPr="007D751A" w:rsidRDefault="008E0187" w:rsidP="00605E3A">
      <w:pPr>
        <w:autoSpaceDE w:val="0"/>
        <w:autoSpaceDN w:val="0"/>
        <w:adjustRightInd w:val="0"/>
        <w:ind w:firstLine="708"/>
        <w:jc w:val="both"/>
        <w:rPr>
          <w:lang w:val="kk-KZ"/>
        </w:rPr>
      </w:pPr>
      <w:r>
        <w:rPr>
          <w:lang w:val="kk-KZ"/>
        </w:rPr>
        <w:t>Қарыз алушының  қаржылық  жағдайына  талаптар ғана  емес, сол сияқты тәуекелді, сол сияқты  стандарттық кредиттер бойынша пайыздық  мөлшерлеме де көтерілді</w:t>
      </w:r>
      <w:r>
        <w:t xml:space="preserve"> (4, 5</w:t>
      </w:r>
      <w:r>
        <w:rPr>
          <w:lang w:val="kk-KZ"/>
        </w:rPr>
        <w:t>-диаграммалар</w:t>
      </w:r>
      <w:r>
        <w:t xml:space="preserve">), </w:t>
      </w:r>
      <w:r>
        <w:rPr>
          <w:lang w:val="kk-KZ"/>
        </w:rPr>
        <w:t>бұл қаржылық  емес ұйымдар бойынша орташа алынған пайыздық мөлшерлеменің  нақты өсуімен расталады</w:t>
      </w:r>
      <w:r w:rsidRPr="00C6094E">
        <w:t xml:space="preserve"> (</w:t>
      </w:r>
      <w:r>
        <w:rPr>
          <w:lang w:val="kk-KZ"/>
        </w:rPr>
        <w:t>5.1-д</w:t>
      </w:r>
      <w:proofErr w:type="spellStart"/>
      <w:r w:rsidRPr="00C6094E">
        <w:t>иаграмма</w:t>
      </w:r>
      <w:proofErr w:type="spellEnd"/>
      <w:r w:rsidRPr="00C6094E">
        <w:t>)</w:t>
      </w:r>
      <w:r>
        <w:t>.</w:t>
      </w:r>
      <w:r>
        <w:rPr>
          <w:lang w:val="kk-KZ"/>
        </w:rPr>
        <w:t xml:space="preserve"> Бизнес үшін кредиттер  бойынша пайыздық мөлшерлеменің өсуі туралы </w:t>
      </w:r>
      <w:r w:rsidRPr="00D03214">
        <w:rPr>
          <w:lang w:val="kk-KZ"/>
        </w:rPr>
        <w:t>банк</w:t>
      </w:r>
      <w:r>
        <w:rPr>
          <w:lang w:val="kk-KZ"/>
        </w:rPr>
        <w:t xml:space="preserve">тердің </w:t>
      </w:r>
      <w:r w:rsidRPr="00D03214">
        <w:rPr>
          <w:lang w:val="kk-KZ"/>
        </w:rPr>
        <w:t>39%</w:t>
      </w:r>
      <w:r>
        <w:rPr>
          <w:lang w:val="kk-KZ"/>
        </w:rPr>
        <w:t xml:space="preserve">-ы, </w:t>
      </w:r>
      <w:r w:rsidRPr="00D03214">
        <w:rPr>
          <w:lang w:val="kk-KZ"/>
        </w:rPr>
        <w:t xml:space="preserve"> банк</w:t>
      </w:r>
      <w:r>
        <w:rPr>
          <w:lang w:val="kk-KZ"/>
        </w:rPr>
        <w:t xml:space="preserve">тердің </w:t>
      </w:r>
      <w:r w:rsidRPr="00D03214">
        <w:rPr>
          <w:lang w:val="kk-KZ"/>
        </w:rPr>
        <w:t>6%</w:t>
      </w:r>
      <w:r>
        <w:rPr>
          <w:lang w:val="kk-KZ"/>
        </w:rPr>
        <w:t xml:space="preserve">-ы </w:t>
      </w:r>
      <w:r w:rsidRPr="00D03214">
        <w:rPr>
          <w:lang w:val="kk-KZ"/>
        </w:rPr>
        <w:t xml:space="preserve">– </w:t>
      </w:r>
      <w:r>
        <w:rPr>
          <w:lang w:val="kk-KZ"/>
        </w:rPr>
        <w:t>мөлшерлеменің төмендеуі туралы хабарлады</w:t>
      </w:r>
      <w:r w:rsidRPr="00D03214">
        <w:rPr>
          <w:lang w:val="kk-KZ"/>
        </w:rPr>
        <w:t>,</w:t>
      </w:r>
      <w:r>
        <w:rPr>
          <w:lang w:val="kk-KZ"/>
        </w:rPr>
        <w:t xml:space="preserve"> қалған  банктер мөлшерлемені  өзгеріссіз  қалдырды.</w:t>
      </w:r>
      <w:r w:rsidRPr="00D03214">
        <w:rPr>
          <w:lang w:val="kk-KZ"/>
        </w:rPr>
        <w:t xml:space="preserve">    </w:t>
      </w:r>
    </w:p>
    <w:p w:rsidR="00663062" w:rsidRDefault="00663062" w:rsidP="00605E3A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663062" w:rsidRDefault="00663062" w:rsidP="00605E3A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663062" w:rsidRDefault="00663062" w:rsidP="00605E3A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663062" w:rsidRDefault="00663062" w:rsidP="00605E3A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663062" w:rsidRDefault="00663062" w:rsidP="00605E3A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663062" w:rsidRDefault="00663062" w:rsidP="00605E3A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57D0C" w:rsidRPr="00663062" w:rsidRDefault="00857D0C" w:rsidP="00605E3A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tbl>
      <w:tblPr>
        <w:tblStyle w:val="a9"/>
        <w:tblpPr w:leftFromText="180" w:rightFromText="180" w:vertAnchor="text" w:horzAnchor="margin" w:tblpY="18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7655"/>
      </w:tblGrid>
      <w:tr w:rsidR="00605E3A" w:rsidTr="00263930">
        <w:tc>
          <w:tcPr>
            <w:tcW w:w="7479" w:type="dxa"/>
          </w:tcPr>
          <w:p w:rsidR="00605E3A" w:rsidRPr="00DD790C" w:rsidRDefault="00605E3A" w:rsidP="00CA57D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D790C">
              <w:rPr>
                <w:b/>
                <w:sz w:val="20"/>
                <w:szCs w:val="20"/>
                <w:lang w:val="kk-KZ"/>
              </w:rPr>
              <w:t>5.1-диаграмма  Кредиттер бойынша орташа алын</w:t>
            </w:r>
            <w:r>
              <w:rPr>
                <w:b/>
                <w:sz w:val="20"/>
                <w:szCs w:val="20"/>
                <w:lang w:val="kk-KZ"/>
              </w:rPr>
              <w:t xml:space="preserve">ған </w:t>
            </w:r>
            <w:r w:rsidRPr="00DD790C"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айыздық  мөлшерлеме</w:t>
            </w:r>
          </w:p>
        </w:tc>
        <w:tc>
          <w:tcPr>
            <w:tcW w:w="7655" w:type="dxa"/>
          </w:tcPr>
          <w:p w:rsidR="00605E3A" w:rsidRPr="000D4F34" w:rsidRDefault="00605E3A" w:rsidP="00CA57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149BE">
              <w:rPr>
                <w:b/>
                <w:sz w:val="20"/>
                <w:szCs w:val="20"/>
                <w:lang w:val="kk-KZ"/>
              </w:rPr>
              <w:t>6-д</w:t>
            </w:r>
            <w:r w:rsidRPr="000D4F34">
              <w:rPr>
                <w:b/>
                <w:sz w:val="20"/>
                <w:szCs w:val="20"/>
                <w:lang w:val="kk-KZ"/>
              </w:rPr>
              <w:t xml:space="preserve">иаграмма. </w:t>
            </w:r>
            <w:r w:rsidRPr="008149BE">
              <w:rPr>
                <w:b/>
                <w:sz w:val="20"/>
                <w:szCs w:val="20"/>
                <w:lang w:val="kk-KZ"/>
              </w:rPr>
              <w:t xml:space="preserve"> Кредиттік ресурстарға сұраныс пен ұсыныстың өзгеруі</w:t>
            </w:r>
            <w:r w:rsidRPr="000D4F34">
              <w:rPr>
                <w:b/>
                <w:sz w:val="20"/>
                <w:szCs w:val="20"/>
                <w:lang w:val="kk-KZ"/>
              </w:rPr>
              <w:t xml:space="preserve"> ,  </w:t>
            </w:r>
          </w:p>
          <w:p w:rsidR="00605E3A" w:rsidRDefault="00605E3A" w:rsidP="00605E3A">
            <w:pPr>
              <w:autoSpaceDE w:val="0"/>
              <w:autoSpaceDN w:val="0"/>
              <w:adjustRightInd w:val="0"/>
              <w:ind w:firstLine="708"/>
              <w:jc w:val="center"/>
            </w:pPr>
            <w:r w:rsidRPr="008149BE">
              <w:rPr>
                <w:b/>
                <w:sz w:val="20"/>
                <w:szCs w:val="20"/>
                <w:lang w:val="kk-KZ"/>
              </w:rPr>
              <w:t>респонденттердің %-ы (корпоративтік сектор)</w:t>
            </w:r>
          </w:p>
        </w:tc>
      </w:tr>
      <w:tr w:rsidR="00605E3A" w:rsidTr="00263930">
        <w:trPr>
          <w:trHeight w:val="3351"/>
        </w:trPr>
        <w:tc>
          <w:tcPr>
            <w:tcW w:w="7479" w:type="dxa"/>
          </w:tcPr>
          <w:p w:rsidR="00605E3A" w:rsidRPr="00384F4A" w:rsidRDefault="00605E3A" w:rsidP="00CA57D0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2DFD5CC9" wp14:editId="6BDD47DC">
                  <wp:extent cx="4537494" cy="2389517"/>
                  <wp:effectExtent l="0" t="0" r="0" b="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05E3A" w:rsidRPr="00384F4A" w:rsidRDefault="00605E3A" w:rsidP="00CA57D0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231AAFA5" wp14:editId="51D115FF">
                  <wp:extent cx="4692770" cy="2182483"/>
                  <wp:effectExtent l="0" t="0" r="0" b="889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605E3A" w:rsidTr="00263930">
        <w:trPr>
          <w:trHeight w:val="249"/>
        </w:trPr>
        <w:tc>
          <w:tcPr>
            <w:tcW w:w="7479" w:type="dxa"/>
          </w:tcPr>
          <w:p w:rsidR="00605E3A" w:rsidRDefault="00605E3A" w:rsidP="00CA57D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065B44">
              <w:rPr>
                <w:i/>
                <w:sz w:val="18"/>
                <w:szCs w:val="18"/>
              </w:rPr>
              <w:t xml:space="preserve">* </w:t>
            </w:r>
            <w:r>
              <w:rPr>
                <w:i/>
                <w:sz w:val="18"/>
                <w:szCs w:val="18"/>
                <w:lang w:val="kk-KZ"/>
              </w:rPr>
              <w:t>Банктердің есепті кезеңде берілген кредиттері бойынша орташа алынған пайыздық мөлшерлеме</w:t>
            </w:r>
            <w:r w:rsidRPr="00065B44">
              <w:rPr>
                <w:i/>
                <w:sz w:val="18"/>
                <w:szCs w:val="18"/>
              </w:rPr>
              <w:t xml:space="preserve"> (банк</w:t>
            </w:r>
            <w:r>
              <w:rPr>
                <w:i/>
                <w:sz w:val="18"/>
                <w:szCs w:val="18"/>
                <w:lang w:val="kk-KZ"/>
              </w:rPr>
              <w:t>аралық</w:t>
            </w:r>
            <w:r w:rsidRPr="00065B44">
              <w:rPr>
                <w:i/>
                <w:sz w:val="18"/>
                <w:szCs w:val="18"/>
              </w:rPr>
              <w:t xml:space="preserve"> кредит</w:t>
            </w:r>
            <w:r>
              <w:rPr>
                <w:i/>
                <w:sz w:val="18"/>
                <w:szCs w:val="18"/>
                <w:lang w:val="kk-KZ"/>
              </w:rPr>
              <w:t>терді және бей</w:t>
            </w:r>
            <w:r w:rsidRPr="00065B44">
              <w:rPr>
                <w:i/>
                <w:sz w:val="18"/>
                <w:szCs w:val="18"/>
              </w:rPr>
              <w:t>резидент</w:t>
            </w:r>
            <w:r>
              <w:rPr>
                <w:i/>
                <w:sz w:val="18"/>
                <w:szCs w:val="18"/>
                <w:lang w:val="kk-KZ"/>
              </w:rPr>
              <w:t>терді есепке алмағанда</w:t>
            </w:r>
            <w:r w:rsidRPr="00065B44">
              <w:rPr>
                <w:i/>
                <w:sz w:val="18"/>
                <w:szCs w:val="18"/>
              </w:rPr>
              <w:t>).</w:t>
            </w:r>
          </w:p>
          <w:p w:rsidR="00605E3A" w:rsidRPr="000D4F34" w:rsidRDefault="00605E3A" w:rsidP="00CA57D0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  <w:lang w:val="kk-KZ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Дереккөзі</w:t>
            </w:r>
            <w:r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 ақша-</w:t>
            </w:r>
            <w:r>
              <w:rPr>
                <w:i/>
                <w:color w:val="000000"/>
                <w:sz w:val="16"/>
                <w:szCs w:val="16"/>
              </w:rPr>
              <w:t>кредит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тік </w:t>
            </w:r>
            <w:r>
              <w:rPr>
                <w:i/>
                <w:color w:val="000000"/>
                <w:sz w:val="16"/>
                <w:szCs w:val="16"/>
              </w:rPr>
              <w:t xml:space="preserve"> статистика</w:t>
            </w:r>
          </w:p>
        </w:tc>
        <w:tc>
          <w:tcPr>
            <w:tcW w:w="7655" w:type="dxa"/>
          </w:tcPr>
          <w:p w:rsidR="00605E3A" w:rsidRDefault="00605E3A" w:rsidP="00CA57D0">
            <w:pPr>
              <w:autoSpaceDE w:val="0"/>
              <w:autoSpaceDN w:val="0"/>
              <w:adjustRightInd w:val="0"/>
              <w:jc w:val="both"/>
            </w:pPr>
            <w:r>
              <w:rPr>
                <w:i/>
                <w:color w:val="000000"/>
                <w:sz w:val="18"/>
                <w:szCs w:val="18"/>
                <w:lang w:val="kk-KZ"/>
              </w:rPr>
              <w:t>Дереккөзі: ҚРҰБ</w:t>
            </w:r>
          </w:p>
        </w:tc>
      </w:tr>
    </w:tbl>
    <w:p w:rsidR="00A47478" w:rsidRPr="004909C8" w:rsidRDefault="00A47478" w:rsidP="00A47478">
      <w:pPr>
        <w:pStyle w:val="aa"/>
        <w:spacing w:before="0" w:after="0"/>
        <w:jc w:val="right"/>
      </w:pPr>
      <w:r w:rsidRPr="00210691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Style w:val="a9"/>
        <w:tblpPr w:leftFromText="180" w:rightFromText="180" w:vertAnchor="text" w:horzAnchor="margin" w:tblpXSpec="right" w:tblpY="1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3"/>
      </w:tblGrid>
      <w:tr w:rsidR="00263930" w:rsidTr="00263930">
        <w:trPr>
          <w:trHeight w:val="270"/>
        </w:trPr>
        <w:tc>
          <w:tcPr>
            <w:tcW w:w="7793" w:type="dxa"/>
          </w:tcPr>
          <w:p w:rsidR="00263930" w:rsidRDefault="00263930" w:rsidP="00263930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7-д</w:t>
            </w:r>
            <w:proofErr w:type="spellStart"/>
            <w:r w:rsidRPr="00DC4625">
              <w:rPr>
                <w:b/>
                <w:sz w:val="20"/>
                <w:szCs w:val="20"/>
              </w:rPr>
              <w:t>иаграмма</w:t>
            </w:r>
            <w:proofErr w:type="spellEnd"/>
            <w:r w:rsidRPr="00DC462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Кредиттеу мақсаттары бойынша сұраныстың өзгеруі </w:t>
            </w:r>
          </w:p>
        </w:tc>
      </w:tr>
      <w:tr w:rsidR="00263930" w:rsidTr="00263930">
        <w:trPr>
          <w:trHeight w:val="4097"/>
        </w:trPr>
        <w:tc>
          <w:tcPr>
            <w:tcW w:w="7793" w:type="dxa"/>
          </w:tcPr>
          <w:p w:rsidR="00263930" w:rsidRPr="006D19CE" w:rsidRDefault="00263930" w:rsidP="0026393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E0BC7BE" wp14:editId="74FA86EE">
                  <wp:extent cx="4891177" cy="2769079"/>
                  <wp:effectExtent l="0" t="0" r="5080" b="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263930" w:rsidTr="00263930">
        <w:trPr>
          <w:trHeight w:val="150"/>
        </w:trPr>
        <w:tc>
          <w:tcPr>
            <w:tcW w:w="7793" w:type="dxa"/>
          </w:tcPr>
          <w:p w:rsidR="00263930" w:rsidRPr="00A93F72" w:rsidRDefault="00263930" w:rsidP="0026393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B06016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A47478" w:rsidRPr="006055A9" w:rsidRDefault="00A47478" w:rsidP="00A47478">
      <w:pPr>
        <w:autoSpaceDE w:val="0"/>
        <w:autoSpaceDN w:val="0"/>
        <w:adjustRightInd w:val="0"/>
        <w:ind w:firstLine="708"/>
        <w:jc w:val="both"/>
      </w:pPr>
      <w:r>
        <w:rPr>
          <w:lang w:val="kk-KZ"/>
        </w:rPr>
        <w:t xml:space="preserve">Кредиттер бойынша өспелі пайыздық мөлшерлемелер жағдайларында </w:t>
      </w:r>
      <w:proofErr w:type="spellStart"/>
      <w:r>
        <w:t>корпоратив</w:t>
      </w:r>
      <w:proofErr w:type="spellEnd"/>
      <w:r>
        <w:rPr>
          <w:lang w:val="kk-KZ"/>
        </w:rPr>
        <w:t>тік қарыз алушылар тарапынан сұраныстың өсуі жоғары болған жоқ</w:t>
      </w:r>
      <w:r>
        <w:t xml:space="preserve"> (</w:t>
      </w:r>
      <w:r>
        <w:rPr>
          <w:lang w:val="kk-KZ"/>
        </w:rPr>
        <w:t>6-д</w:t>
      </w:r>
      <w:proofErr w:type="spellStart"/>
      <w:r>
        <w:t>иаграмма</w:t>
      </w:r>
      <w:proofErr w:type="spellEnd"/>
      <w:r>
        <w:t xml:space="preserve">). </w:t>
      </w:r>
      <w:r>
        <w:rPr>
          <w:lang w:val="kk-KZ"/>
        </w:rPr>
        <w:t>Б</w:t>
      </w:r>
      <w:proofErr w:type="spellStart"/>
      <w:r>
        <w:t>анк</w:t>
      </w:r>
      <w:proofErr w:type="spellEnd"/>
      <w:r>
        <w:rPr>
          <w:lang w:val="kk-KZ"/>
        </w:rPr>
        <w:t xml:space="preserve">тердің </w:t>
      </w:r>
      <w:r>
        <w:t xml:space="preserve"> 31%</w:t>
      </w:r>
      <w:r>
        <w:rPr>
          <w:lang w:val="kk-KZ"/>
        </w:rPr>
        <w:t>-ы сұраныстың өсуі туралы мәлімдеді</w:t>
      </w:r>
      <w:r>
        <w:t xml:space="preserve">, </w:t>
      </w:r>
      <w:r>
        <w:rPr>
          <w:lang w:val="kk-KZ"/>
        </w:rPr>
        <w:t xml:space="preserve">мұнда банктер негізінен </w:t>
      </w:r>
      <w:proofErr w:type="spellStart"/>
      <w:r>
        <w:t>субсиди</w:t>
      </w:r>
      <w:proofErr w:type="spellEnd"/>
      <w:r>
        <w:rPr>
          <w:lang w:val="kk-KZ"/>
        </w:rPr>
        <w:t>яланған мөлшерлеме бойынша кредиттеуді мемлекеттік бағдарламалармен байланыстырады</w:t>
      </w:r>
      <w:r>
        <w:t xml:space="preserve">, </w:t>
      </w:r>
      <w:r>
        <w:rPr>
          <w:lang w:val="kk-KZ"/>
        </w:rPr>
        <w:t xml:space="preserve">банктердің </w:t>
      </w:r>
      <w:r>
        <w:t>16</w:t>
      </w:r>
      <w:r w:rsidRPr="00353B12">
        <w:t>%</w:t>
      </w:r>
      <w:r>
        <w:rPr>
          <w:lang w:val="kk-KZ"/>
        </w:rPr>
        <w:t>-ы сұраныстың кейбір төмендеуін атап өтті</w:t>
      </w:r>
      <w:r w:rsidRPr="00353B12">
        <w:t xml:space="preserve">, </w:t>
      </w:r>
      <w:r>
        <w:t>53%</w:t>
      </w:r>
      <w:r>
        <w:rPr>
          <w:lang w:val="kk-KZ"/>
        </w:rPr>
        <w:t xml:space="preserve"> сұраныстың өзгермегендігін мәлімдеді</w:t>
      </w:r>
      <w:r>
        <w:t xml:space="preserve">.   </w:t>
      </w:r>
    </w:p>
    <w:p w:rsidR="00493729" w:rsidRDefault="00493729" w:rsidP="00493729">
      <w:pPr>
        <w:autoSpaceDE w:val="0"/>
        <w:autoSpaceDN w:val="0"/>
        <w:adjustRightInd w:val="0"/>
        <w:jc w:val="both"/>
      </w:pPr>
      <w:r w:rsidRPr="009E3ED6">
        <w:tab/>
      </w:r>
      <w:r>
        <w:rPr>
          <w:lang w:val="kk-KZ"/>
        </w:rPr>
        <w:t>Банктер ұсынған кредиттеу талаптары инвестициялық мақсаттарға берілетін кредиттерге сұранысты елеулі түрде шектейді</w:t>
      </w:r>
      <w:r>
        <w:t xml:space="preserve">. </w:t>
      </w:r>
      <w:r>
        <w:rPr>
          <w:lang w:val="kk-KZ"/>
        </w:rPr>
        <w:t xml:space="preserve">Сақталып қалған сұраныс негізінен кәсіпорындардың ағымдағы қызметін қолдау мақсатында айналым капиталын толықтыруға бағытталды </w:t>
      </w:r>
      <w:r w:rsidRPr="00357F58">
        <w:t>(</w:t>
      </w:r>
      <w:r>
        <w:rPr>
          <w:lang w:val="kk-KZ"/>
        </w:rPr>
        <w:t>7-д</w:t>
      </w:r>
      <w:proofErr w:type="spellStart"/>
      <w:r w:rsidRPr="00357F58">
        <w:t>иаграмма</w:t>
      </w:r>
      <w:proofErr w:type="spellEnd"/>
      <w:r w:rsidRPr="00357F58">
        <w:t>).</w:t>
      </w:r>
    </w:p>
    <w:p w:rsidR="00493729" w:rsidRDefault="00493729" w:rsidP="00493729">
      <w:pPr>
        <w:ind w:firstLine="708"/>
        <w:jc w:val="both"/>
        <w:rPr>
          <w:b/>
          <w:lang w:val="en-US"/>
        </w:rPr>
      </w:pPr>
      <w:bookmarkStart w:id="1" w:name="OLE_LINK3"/>
      <w:bookmarkStart w:id="2" w:name="OLE_LINK4"/>
      <w:r>
        <w:rPr>
          <w:lang w:val="kk-KZ"/>
        </w:rPr>
        <w:t xml:space="preserve">Корпоративтік сектордағы сақталып қалған шиеленістік (өндірістің құлдырауы, </w:t>
      </w:r>
      <w:proofErr w:type="spellStart"/>
      <w:r w:rsidRPr="00A93F72">
        <w:t>инвестици</w:t>
      </w:r>
      <w:proofErr w:type="spellEnd"/>
      <w:r>
        <w:rPr>
          <w:lang w:val="kk-KZ"/>
        </w:rPr>
        <w:t xml:space="preserve">ялардың қысқаруы) талаптарында банктер қарыз алушылардың дефолттарын күту индикаторы өспегенімен, тәуекелдердің айтарлықтай өсуін, оның ішінде мерзімін ұзартудың өсуін, қарыз алушыларды қамтамасыз ету сапасы мен қаржылық жай-күйінің нашарлауын күтуде </w:t>
      </w:r>
      <w:r w:rsidRPr="00263930">
        <w:t>(</w:t>
      </w:r>
      <w:r>
        <w:rPr>
          <w:lang w:val="kk-KZ"/>
        </w:rPr>
        <w:t>8-д</w:t>
      </w:r>
      <w:proofErr w:type="spellStart"/>
      <w:r w:rsidRPr="00A93F72">
        <w:t>иаграмма</w:t>
      </w:r>
      <w:proofErr w:type="spellEnd"/>
      <w:r w:rsidRPr="00263930">
        <w:t xml:space="preserve">). </w:t>
      </w:r>
      <w:r w:rsidRPr="00263930">
        <w:rPr>
          <w:b/>
        </w:rPr>
        <w:t xml:space="preserve"> </w:t>
      </w: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tbl>
      <w:tblPr>
        <w:tblStyle w:val="a9"/>
        <w:tblpPr w:leftFromText="180" w:rightFromText="180" w:vertAnchor="text" w:horzAnchor="margin" w:tblpXSpec="right" w:tblpY="1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4"/>
      </w:tblGrid>
      <w:tr w:rsidR="00263930" w:rsidRPr="007D751A" w:rsidTr="00F644B4">
        <w:tc>
          <w:tcPr>
            <w:tcW w:w="7474" w:type="dxa"/>
          </w:tcPr>
          <w:p w:rsidR="00263930" w:rsidRPr="008E6C31" w:rsidRDefault="00263930" w:rsidP="009466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8-д</w:t>
            </w:r>
            <w:proofErr w:type="spellStart"/>
            <w:r>
              <w:rPr>
                <w:b/>
                <w:sz w:val="20"/>
                <w:szCs w:val="20"/>
              </w:rPr>
              <w:t>иаграмма</w:t>
            </w:r>
            <w:proofErr w:type="spellEnd"/>
            <w:r w:rsidRPr="008E6C31"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Қазіргі қарыз алушылар тәуекелдерінің өзгеруі</w:t>
            </w:r>
          </w:p>
        </w:tc>
      </w:tr>
      <w:tr w:rsidR="00263930" w:rsidTr="00F644B4">
        <w:trPr>
          <w:trHeight w:val="3291"/>
        </w:trPr>
        <w:tc>
          <w:tcPr>
            <w:tcW w:w="7474" w:type="dxa"/>
          </w:tcPr>
          <w:p w:rsidR="00263930" w:rsidRPr="00CF1E60" w:rsidRDefault="00263930" w:rsidP="0094665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533F5C92" wp14:editId="40CF2887">
                  <wp:extent cx="4615132" cy="2053087"/>
                  <wp:effectExtent l="0" t="0" r="0" b="4445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263930" w:rsidTr="00F644B4">
        <w:tc>
          <w:tcPr>
            <w:tcW w:w="7474" w:type="dxa"/>
          </w:tcPr>
          <w:p w:rsidR="00263930" w:rsidRDefault="00263930" w:rsidP="0094665D">
            <w:pPr>
              <w:autoSpaceDE w:val="0"/>
              <w:autoSpaceDN w:val="0"/>
              <w:adjustRightInd w:val="0"/>
              <w:jc w:val="both"/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B06016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p w:rsidR="00263930" w:rsidRDefault="00263930" w:rsidP="00493729">
      <w:pPr>
        <w:ind w:firstLine="708"/>
        <w:jc w:val="both"/>
        <w:rPr>
          <w:b/>
          <w:lang w:val="en-US"/>
        </w:rPr>
      </w:pPr>
    </w:p>
    <w:bookmarkEnd w:id="1"/>
    <w:bookmarkEnd w:id="2"/>
    <w:p w:rsidR="00663062" w:rsidRDefault="00663062" w:rsidP="00493729">
      <w:pPr>
        <w:ind w:firstLine="708"/>
        <w:jc w:val="both"/>
        <w:rPr>
          <w:b/>
          <w:lang w:val="en-US"/>
        </w:rPr>
      </w:pPr>
    </w:p>
    <w:p w:rsidR="00263930" w:rsidRPr="008E6C31" w:rsidRDefault="00263930" w:rsidP="00493729">
      <w:pPr>
        <w:ind w:firstLine="708"/>
        <w:jc w:val="both"/>
        <w:rPr>
          <w:b/>
          <w:lang w:val="en-US"/>
        </w:rPr>
      </w:pPr>
    </w:p>
    <w:p w:rsidR="001C5E6B" w:rsidRDefault="001C5E6B" w:rsidP="001C5E6B">
      <w:pPr>
        <w:ind w:firstLine="708"/>
        <w:jc w:val="both"/>
        <w:rPr>
          <w:b/>
          <w:lang w:val="en-US"/>
        </w:rPr>
      </w:pPr>
      <w:r w:rsidRPr="00CA1BA3">
        <w:rPr>
          <w:b/>
          <w:lang w:val="en-US"/>
        </w:rPr>
        <w:lastRenderedPageBreak/>
        <w:t>II</w:t>
      </w:r>
      <w:r w:rsidRPr="008E6C31">
        <w:rPr>
          <w:b/>
          <w:lang w:val="en-US"/>
        </w:rPr>
        <w:t xml:space="preserve">. </w:t>
      </w:r>
      <w:r w:rsidRPr="00F52068">
        <w:rPr>
          <w:b/>
          <w:lang w:val="kk-KZ"/>
        </w:rPr>
        <w:t>Жеке тұлғаларды кредиттеу нарығы</w:t>
      </w:r>
    </w:p>
    <w:tbl>
      <w:tblPr>
        <w:tblStyle w:val="a9"/>
        <w:tblpPr w:leftFromText="180" w:rightFromText="180" w:vertAnchor="text" w:tblpX="790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1"/>
      </w:tblGrid>
      <w:tr w:rsidR="007D751A" w:rsidRPr="007D751A" w:rsidTr="00857D0C">
        <w:tc>
          <w:tcPr>
            <w:tcW w:w="7447" w:type="dxa"/>
          </w:tcPr>
          <w:p w:rsidR="007D751A" w:rsidRDefault="007D751A" w:rsidP="00F34DF1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-диаграмма</w:t>
            </w:r>
            <w:r w:rsidRPr="00A02C06">
              <w:rPr>
                <w:b/>
                <w:sz w:val="20"/>
                <w:szCs w:val="20"/>
              </w:rPr>
              <w:t xml:space="preserve">. </w:t>
            </w:r>
            <w:r w:rsidRPr="00F52068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25F0B">
              <w:rPr>
                <w:b/>
                <w:sz w:val="20"/>
                <w:szCs w:val="20"/>
                <w:lang w:val="kk-KZ"/>
              </w:rPr>
              <w:t>Банктердің кредит саясатының өзгеруі</w:t>
            </w:r>
          </w:p>
        </w:tc>
      </w:tr>
      <w:tr w:rsidR="007D751A" w:rsidRPr="007D751A" w:rsidTr="00857D0C">
        <w:tc>
          <w:tcPr>
            <w:tcW w:w="7447" w:type="dxa"/>
          </w:tcPr>
          <w:p w:rsidR="007D751A" w:rsidRPr="007D751A" w:rsidRDefault="007D751A" w:rsidP="00F34DF1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B286F01" wp14:editId="49375347">
                  <wp:extent cx="4632385" cy="2389517"/>
                  <wp:effectExtent l="0" t="0" r="0" b="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7D751A" w:rsidRPr="007D751A" w:rsidTr="00857D0C">
        <w:tc>
          <w:tcPr>
            <w:tcW w:w="7447" w:type="dxa"/>
          </w:tcPr>
          <w:p w:rsidR="007D751A" w:rsidRPr="00F34DF1" w:rsidRDefault="007D751A" w:rsidP="00F34DF1">
            <w:pPr>
              <w:jc w:val="both"/>
              <w:rPr>
                <w:b/>
                <w:lang w:val="en-US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B06016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7D751A" w:rsidRPr="007D751A" w:rsidRDefault="007D751A" w:rsidP="001C5E6B">
      <w:pPr>
        <w:ind w:firstLine="708"/>
        <w:jc w:val="both"/>
        <w:rPr>
          <w:b/>
        </w:rPr>
      </w:pPr>
    </w:p>
    <w:p w:rsidR="00F34DF1" w:rsidRPr="00F34DF1" w:rsidRDefault="00F34DF1" w:rsidP="00F34DF1">
      <w:pPr>
        <w:ind w:firstLine="708"/>
        <w:jc w:val="both"/>
      </w:pPr>
      <w:r>
        <w:rPr>
          <w:lang w:val="kk-KZ"/>
        </w:rPr>
        <w:t>Теңгелік өтімділік тапшылығы сондай-ақ бөлшек сегменттегі кредит саясатын қатаңдатуға ықпал етті</w:t>
      </w:r>
      <w:r w:rsidRPr="00F34DF1">
        <w:t xml:space="preserve"> (9</w:t>
      </w:r>
      <w:r>
        <w:rPr>
          <w:lang w:val="kk-KZ"/>
        </w:rPr>
        <w:t>-диаграмма</w:t>
      </w:r>
      <w:r w:rsidRPr="00F34DF1">
        <w:t xml:space="preserve">). </w:t>
      </w:r>
      <w:r>
        <w:rPr>
          <w:lang w:val="kk-KZ"/>
        </w:rPr>
        <w:t>Ипотекалық кредиттер бойынша</w:t>
      </w:r>
      <w:r w:rsidRPr="00F34DF1">
        <w:t xml:space="preserve"> </w:t>
      </w:r>
      <w:r>
        <w:rPr>
          <w:lang w:val="kk-KZ"/>
        </w:rPr>
        <w:t xml:space="preserve">кредит саясатын банктердің </w:t>
      </w:r>
      <w:r w:rsidRPr="00F34DF1">
        <w:t>27%</w:t>
      </w:r>
      <w:r>
        <w:rPr>
          <w:lang w:val="kk-KZ"/>
        </w:rPr>
        <w:t xml:space="preserve">-ы қатаңдатты және банктердің </w:t>
      </w:r>
      <w:r w:rsidRPr="00F34DF1">
        <w:t>69%</w:t>
      </w:r>
      <w:r>
        <w:rPr>
          <w:lang w:val="kk-KZ"/>
        </w:rPr>
        <w:t>-ы өзгеріссіз қалдырды</w:t>
      </w:r>
      <w:r w:rsidRPr="00F34DF1">
        <w:t xml:space="preserve">, </w:t>
      </w:r>
      <w:r>
        <w:rPr>
          <w:lang w:val="kk-KZ"/>
        </w:rPr>
        <w:t>тұтынушылық кредиттер бойынша кредит саясатын банктердің</w:t>
      </w:r>
      <w:r w:rsidRPr="00F34DF1">
        <w:t xml:space="preserve"> 17%</w:t>
      </w:r>
      <w:r>
        <w:rPr>
          <w:lang w:val="kk-KZ"/>
        </w:rPr>
        <w:t xml:space="preserve">-ы қатаңдатты және </w:t>
      </w:r>
      <w:r w:rsidRPr="00F34DF1">
        <w:t>80%</w:t>
      </w:r>
      <w:r>
        <w:rPr>
          <w:lang w:val="kk-KZ"/>
        </w:rPr>
        <w:t>-ы бұрынғы деңгейде қалдыруға шешім қабылдады</w:t>
      </w:r>
      <w:r w:rsidRPr="00F34DF1">
        <w:t>.</w:t>
      </w:r>
    </w:p>
    <w:p w:rsidR="00F34DF1" w:rsidRPr="00F34DF1" w:rsidRDefault="00F34DF1" w:rsidP="00F34DF1">
      <w:pPr>
        <w:ind w:firstLine="709"/>
        <w:jc w:val="both"/>
      </w:pPr>
      <w:r>
        <w:rPr>
          <w:lang w:val="kk-KZ"/>
        </w:rPr>
        <w:t>Банктер кредит саясатын қатаңдатуға экономиканың теріс дамуын күту, қарыз алушылардың төлем жасау қабілетінің одан әрі төмендеу қаупі, сондай-ақ капиталдың ішкі және сыртқы нарықтарында қаражат тарту шарттары ықпал етті</w:t>
      </w:r>
      <w:r w:rsidRPr="00F34DF1">
        <w:t xml:space="preserve"> (10.1</w:t>
      </w:r>
      <w:r>
        <w:rPr>
          <w:lang w:val="kk-KZ"/>
        </w:rPr>
        <w:t xml:space="preserve"> және</w:t>
      </w:r>
      <w:r w:rsidRPr="00F34DF1">
        <w:t xml:space="preserve"> 10.2</w:t>
      </w:r>
      <w:r>
        <w:rPr>
          <w:lang w:val="kk-KZ"/>
        </w:rPr>
        <w:t>-диаграммалар</w:t>
      </w:r>
      <w:r w:rsidRPr="00F34DF1">
        <w:t xml:space="preserve">). </w:t>
      </w:r>
    </w:p>
    <w:p w:rsidR="007D751A" w:rsidRDefault="007D751A" w:rsidP="001C5E6B">
      <w:pPr>
        <w:ind w:firstLine="708"/>
        <w:jc w:val="both"/>
        <w:rPr>
          <w:b/>
          <w:lang w:val="en-US"/>
        </w:rPr>
      </w:pPr>
    </w:p>
    <w:p w:rsidR="00F34DF1" w:rsidRDefault="00F34DF1" w:rsidP="001C5E6B">
      <w:pPr>
        <w:ind w:firstLine="708"/>
        <w:jc w:val="both"/>
        <w:rPr>
          <w:b/>
          <w:lang w:val="en-US"/>
        </w:rPr>
      </w:pPr>
    </w:p>
    <w:p w:rsidR="00F34DF1" w:rsidRDefault="00F34DF1" w:rsidP="001C5E6B">
      <w:pPr>
        <w:ind w:firstLine="708"/>
        <w:jc w:val="both"/>
        <w:rPr>
          <w:b/>
          <w:lang w:val="en-US"/>
        </w:rPr>
      </w:pPr>
    </w:p>
    <w:p w:rsidR="00F34DF1" w:rsidRDefault="00F34DF1" w:rsidP="001C5E6B">
      <w:pPr>
        <w:ind w:firstLine="708"/>
        <w:jc w:val="both"/>
        <w:rPr>
          <w:b/>
          <w:lang w:val="en-US"/>
        </w:rPr>
      </w:pPr>
    </w:p>
    <w:p w:rsidR="00F34DF1" w:rsidRPr="00F34DF1" w:rsidRDefault="00F34DF1" w:rsidP="001C5E6B">
      <w:pPr>
        <w:ind w:firstLine="708"/>
        <w:jc w:val="both"/>
        <w:rPr>
          <w:b/>
          <w:lang w:val="en-US"/>
        </w:rPr>
      </w:pPr>
    </w:p>
    <w:tbl>
      <w:tblPr>
        <w:tblStyle w:val="a9"/>
        <w:tblpPr w:leftFromText="180" w:rightFromText="180" w:vertAnchor="text" w:horzAnchor="margin" w:tblpY="122"/>
        <w:tblOverlap w:val="never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371"/>
      </w:tblGrid>
      <w:tr w:rsidR="007D751A" w:rsidRPr="007D751A" w:rsidTr="00857D0C">
        <w:tc>
          <w:tcPr>
            <w:tcW w:w="7905" w:type="dxa"/>
          </w:tcPr>
          <w:p w:rsidR="007D751A" w:rsidRPr="007855FC" w:rsidRDefault="007D751A" w:rsidP="007D751A">
            <w:pPr>
              <w:jc w:val="both"/>
              <w:rPr>
                <w:b/>
                <w:lang w:val="en-US"/>
              </w:rPr>
            </w:pPr>
            <w:r w:rsidRPr="007855FC">
              <w:rPr>
                <w:b/>
                <w:sz w:val="20"/>
                <w:szCs w:val="20"/>
                <w:lang w:val="en-US"/>
              </w:rPr>
              <w:t>10.1</w:t>
            </w:r>
            <w:r>
              <w:rPr>
                <w:b/>
                <w:sz w:val="20"/>
                <w:szCs w:val="20"/>
                <w:lang w:val="kk-KZ"/>
              </w:rPr>
              <w:t>-диаграмма.</w:t>
            </w:r>
            <w:r w:rsidRPr="007855F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Факторлардың ипотекалық кредиттер бойынша кредит саясатының өзгеруіне ықпалы</w:t>
            </w:r>
          </w:p>
        </w:tc>
        <w:tc>
          <w:tcPr>
            <w:tcW w:w="7371" w:type="dxa"/>
          </w:tcPr>
          <w:p w:rsidR="007D751A" w:rsidRPr="007D751A" w:rsidRDefault="007D751A" w:rsidP="007D751A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751A">
              <w:rPr>
                <w:b/>
                <w:sz w:val="20"/>
                <w:szCs w:val="20"/>
                <w:lang w:val="kk-KZ"/>
              </w:rPr>
              <w:t xml:space="preserve">10.2 </w:t>
            </w:r>
            <w:r>
              <w:rPr>
                <w:b/>
                <w:sz w:val="20"/>
                <w:szCs w:val="20"/>
                <w:lang w:val="kk-KZ"/>
              </w:rPr>
              <w:t>диаграмма.</w:t>
            </w:r>
            <w:r w:rsidRPr="007D75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Факторлардың тұтынушылық кредиттер бойынша кредит саясатының өзгеруіне ықпалы</w:t>
            </w:r>
          </w:p>
        </w:tc>
      </w:tr>
      <w:tr w:rsidR="007D751A" w:rsidRPr="007D751A" w:rsidTr="00857D0C">
        <w:tc>
          <w:tcPr>
            <w:tcW w:w="7905" w:type="dxa"/>
          </w:tcPr>
          <w:p w:rsidR="007D751A" w:rsidRPr="007D751A" w:rsidRDefault="007D751A" w:rsidP="007D751A">
            <w:pPr>
              <w:jc w:val="both"/>
              <w:rPr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9A38169" wp14:editId="10A88A11">
                  <wp:extent cx="4804913" cy="2441275"/>
                  <wp:effectExtent l="0" t="0" r="0" b="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7D751A" w:rsidRPr="007D751A" w:rsidRDefault="007D751A" w:rsidP="007D751A">
            <w:pPr>
              <w:jc w:val="both"/>
              <w:rPr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CC55776" wp14:editId="29B926EE">
                  <wp:extent cx="4537494" cy="2562045"/>
                  <wp:effectExtent l="0" t="0" r="0" b="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7D751A" w:rsidRPr="007D751A" w:rsidTr="00857D0C">
        <w:tc>
          <w:tcPr>
            <w:tcW w:w="7905" w:type="dxa"/>
          </w:tcPr>
          <w:p w:rsidR="007D751A" w:rsidRPr="007D751A" w:rsidRDefault="007D751A" w:rsidP="007D751A">
            <w:pPr>
              <w:jc w:val="both"/>
              <w:rPr>
                <w:i/>
                <w:color w:val="000000"/>
                <w:sz w:val="16"/>
                <w:szCs w:val="16"/>
                <w:lang w:val="kk-KZ"/>
              </w:rPr>
            </w:pP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A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>
              <w:rPr>
                <w:i/>
                <w:sz w:val="16"/>
                <w:szCs w:val="16"/>
                <w:lang w:val="kk-KZ"/>
              </w:rPr>
              <w:t>К</w:t>
            </w:r>
            <w:r w:rsidRPr="007D751A">
              <w:rPr>
                <w:i/>
                <w:sz w:val="16"/>
                <w:szCs w:val="16"/>
                <w:lang w:val="kk-KZ"/>
              </w:rPr>
              <w:t>апитал</w:t>
            </w:r>
            <w:r>
              <w:rPr>
                <w:i/>
                <w:sz w:val="16"/>
                <w:szCs w:val="16"/>
                <w:lang w:val="kk-KZ"/>
              </w:rPr>
              <w:t xml:space="preserve">дың </w:t>
            </w:r>
            <w:r w:rsidRPr="00CB0D1C">
              <w:rPr>
                <w:i/>
                <w:sz w:val="16"/>
                <w:szCs w:val="16"/>
                <w:lang w:val="kk-KZ"/>
              </w:rPr>
              <w:t>сыртқы нарықтары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; 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B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Капиталдың ішкі нарықтары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C -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А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кционер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лердің қаражаты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D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lastRenderedPageBreak/>
              <w:t>Өтімділік көрсеткіштерін өзгерту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; E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 w:rsidRPr="00CB0D1C">
              <w:rPr>
                <w:i/>
                <w:sz w:val="16"/>
                <w:szCs w:val="16"/>
                <w:lang w:val="kk-KZ"/>
              </w:rPr>
              <w:t>Клиенттердің депозиттерінің қол жетімділігі және құны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F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Ұлттық Банкпен операциялар бойынша құралдардың қол жетімділігі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; G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 w:rsidRPr="00CB0D1C">
              <w:rPr>
                <w:i/>
                <w:sz w:val="16"/>
                <w:szCs w:val="16"/>
                <w:lang w:val="kk-KZ"/>
              </w:rPr>
              <w:t>Басқа банктер тарапынан бәсекелестік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; H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 w:rsidRPr="00CB0D1C">
              <w:rPr>
                <w:i/>
                <w:sz w:val="16"/>
                <w:szCs w:val="16"/>
                <w:lang w:val="kk-KZ"/>
              </w:rPr>
              <w:t>Жалпы экономикалық күтулер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 (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өсу/құлдыру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); I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Жылжымайтын мүлік нарығын дамытудың болашағы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J – </w:t>
            </w:r>
            <w:r w:rsidRPr="00CB0D1C">
              <w:rPr>
                <w:i/>
                <w:sz w:val="16"/>
                <w:szCs w:val="16"/>
                <w:lang w:val="kk-KZ"/>
              </w:rPr>
              <w:t>Қарыз алушылардың төлем жасау қабілетінің жалпы деңгейі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; 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K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Кепілмен қамтамасыз ету құнының өзгеру тәуекелі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.</w:t>
            </w:r>
          </w:p>
          <w:p w:rsidR="007D751A" w:rsidRPr="007D751A" w:rsidRDefault="007D751A" w:rsidP="007D751A">
            <w:pPr>
              <w:jc w:val="both"/>
              <w:rPr>
                <w:b/>
                <w:lang w:val="kk-KZ"/>
              </w:rPr>
            </w:pP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Дереккөзі</w:t>
            </w:r>
            <w:r w:rsidRPr="00CB0D1C">
              <w:rPr>
                <w:i/>
                <w:color w:val="000000"/>
                <w:sz w:val="16"/>
                <w:szCs w:val="16"/>
              </w:rPr>
              <w:t xml:space="preserve">: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  <w:tc>
          <w:tcPr>
            <w:tcW w:w="7371" w:type="dxa"/>
          </w:tcPr>
          <w:p w:rsidR="007D751A" w:rsidRPr="007D751A" w:rsidRDefault="007D751A" w:rsidP="007D751A">
            <w:pPr>
              <w:jc w:val="both"/>
              <w:rPr>
                <w:i/>
                <w:color w:val="000000"/>
                <w:sz w:val="16"/>
                <w:szCs w:val="16"/>
                <w:lang w:val="kk-KZ"/>
              </w:rPr>
            </w:pP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lastRenderedPageBreak/>
              <w:t>A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>
              <w:rPr>
                <w:i/>
                <w:sz w:val="16"/>
                <w:szCs w:val="16"/>
                <w:lang w:val="kk-KZ"/>
              </w:rPr>
              <w:t>К</w:t>
            </w:r>
            <w:r w:rsidRPr="007D751A">
              <w:rPr>
                <w:i/>
                <w:sz w:val="16"/>
                <w:szCs w:val="16"/>
                <w:lang w:val="kk-KZ"/>
              </w:rPr>
              <w:t>апитал</w:t>
            </w:r>
            <w:r>
              <w:rPr>
                <w:i/>
                <w:sz w:val="16"/>
                <w:szCs w:val="16"/>
                <w:lang w:val="kk-KZ"/>
              </w:rPr>
              <w:t xml:space="preserve">дың </w:t>
            </w:r>
            <w:r w:rsidRPr="00CB0D1C">
              <w:rPr>
                <w:i/>
                <w:sz w:val="16"/>
                <w:szCs w:val="16"/>
                <w:lang w:val="kk-KZ"/>
              </w:rPr>
              <w:t>сыртқы нарықтары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; 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B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Капиталдың ішкі нарықтары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C -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А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кционер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 xml:space="preserve">лердің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lastRenderedPageBreak/>
              <w:t>қаражаты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D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Өтімділік көрсеткіштерін өзгерту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; E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 w:rsidRPr="00CB0D1C">
              <w:rPr>
                <w:i/>
                <w:sz w:val="16"/>
                <w:szCs w:val="16"/>
                <w:lang w:val="kk-KZ"/>
              </w:rPr>
              <w:t>Клиенттердің депозиттерінің қол жетімділігі және құны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F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Ұлттық Банкпен операциялар бойынша құралдардың қол жетімділігі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; G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 w:rsidRPr="00CB0D1C">
              <w:rPr>
                <w:i/>
                <w:sz w:val="16"/>
                <w:szCs w:val="16"/>
                <w:lang w:val="kk-KZ"/>
              </w:rPr>
              <w:t>Басқа банктер тарапынан бәсекелестік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; H –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 </w:t>
            </w:r>
            <w:r w:rsidRPr="00CB0D1C">
              <w:rPr>
                <w:i/>
                <w:sz w:val="16"/>
                <w:szCs w:val="16"/>
                <w:lang w:val="kk-KZ"/>
              </w:rPr>
              <w:t>Жалпы экономикалық күтулер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 (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өсу/құлдыру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); I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Жылжымайтын мүлік нарығын дамытудың болашағы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; 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J – </w:t>
            </w:r>
            <w:r w:rsidRPr="00CB0D1C">
              <w:rPr>
                <w:i/>
                <w:sz w:val="16"/>
                <w:szCs w:val="16"/>
                <w:lang w:val="kk-KZ"/>
              </w:rPr>
              <w:t>Қарыз алушылардың төлем жасау қабілетінің жалпы деңгейі</w:t>
            </w:r>
            <w:r w:rsidRPr="007D751A">
              <w:rPr>
                <w:i/>
                <w:sz w:val="16"/>
                <w:szCs w:val="16"/>
                <w:lang w:val="kk-KZ"/>
              </w:rPr>
              <w:t xml:space="preserve">; 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 xml:space="preserve">K –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Кепілмен қамтамасыз ету құнының өзгеру тәуекелі</w:t>
            </w:r>
            <w:r w:rsidRPr="007D751A">
              <w:rPr>
                <w:i/>
                <w:color w:val="000000"/>
                <w:sz w:val="16"/>
                <w:szCs w:val="16"/>
                <w:lang w:val="kk-KZ"/>
              </w:rPr>
              <w:t>.</w:t>
            </w:r>
          </w:p>
          <w:p w:rsidR="007D751A" w:rsidRPr="007D751A" w:rsidRDefault="007D751A" w:rsidP="007D751A">
            <w:pPr>
              <w:jc w:val="both"/>
              <w:rPr>
                <w:b/>
                <w:lang w:val="kk-KZ"/>
              </w:rPr>
            </w:pP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Дереккөзі</w:t>
            </w:r>
            <w:r w:rsidRPr="00CB0D1C">
              <w:rPr>
                <w:i/>
                <w:color w:val="000000"/>
                <w:sz w:val="16"/>
                <w:szCs w:val="16"/>
              </w:rPr>
              <w:t xml:space="preserve">: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7855FC" w:rsidRDefault="007855FC" w:rsidP="007855FC">
      <w:pPr>
        <w:jc w:val="both"/>
        <w:rPr>
          <w:lang w:val="en-US"/>
        </w:rPr>
      </w:pPr>
      <w:r>
        <w:rPr>
          <w:lang w:val="en-US"/>
        </w:rPr>
        <w:lastRenderedPageBreak/>
        <w:tab/>
      </w:r>
    </w:p>
    <w:tbl>
      <w:tblPr>
        <w:tblStyle w:val="a9"/>
        <w:tblpPr w:leftFromText="180" w:rightFromText="180" w:vertAnchor="text" w:horzAnchor="margin" w:tblpXSpec="right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</w:tblGrid>
      <w:tr w:rsidR="00492119" w:rsidTr="00857D0C">
        <w:tc>
          <w:tcPr>
            <w:tcW w:w="7447" w:type="dxa"/>
          </w:tcPr>
          <w:p w:rsidR="00492119" w:rsidRDefault="00492119" w:rsidP="00492119">
            <w:pPr>
              <w:jc w:val="both"/>
              <w:rPr>
                <w:b/>
                <w:lang w:val="kk-KZ"/>
              </w:rPr>
            </w:pPr>
            <w:r w:rsidRPr="007855FC">
              <w:rPr>
                <w:b/>
                <w:sz w:val="20"/>
                <w:szCs w:val="20"/>
                <w:lang w:val="kk-KZ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-диаграмма</w:t>
            </w:r>
            <w:r w:rsidRPr="007855FC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Кредиттер бойынша сыйақы мөлшерлемелерінің өзгеруі</w:t>
            </w:r>
          </w:p>
        </w:tc>
      </w:tr>
      <w:tr w:rsidR="00492119" w:rsidTr="00857D0C">
        <w:tc>
          <w:tcPr>
            <w:tcW w:w="7447" w:type="dxa"/>
          </w:tcPr>
          <w:p w:rsidR="00492119" w:rsidRDefault="00492119" w:rsidP="00492119">
            <w:pPr>
              <w:jc w:val="both"/>
              <w:rPr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DA4727E" wp14:editId="08C93115">
                  <wp:extent cx="4606505" cy="2639683"/>
                  <wp:effectExtent l="0" t="0" r="3810" b="889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492119" w:rsidTr="00857D0C">
        <w:tc>
          <w:tcPr>
            <w:tcW w:w="7447" w:type="dxa"/>
          </w:tcPr>
          <w:p w:rsidR="00492119" w:rsidRDefault="00492119" w:rsidP="00492119">
            <w:pPr>
              <w:jc w:val="both"/>
              <w:rPr>
                <w:b/>
                <w:lang w:val="kk-KZ"/>
              </w:rPr>
            </w:pP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Дереккөзі</w:t>
            </w:r>
            <w:r w:rsidRPr="00CB0D1C">
              <w:rPr>
                <w:i/>
                <w:color w:val="000000"/>
                <w:sz w:val="16"/>
                <w:szCs w:val="16"/>
              </w:rPr>
              <w:t xml:space="preserve">: </w:t>
            </w:r>
            <w:r w:rsidRPr="00CB0D1C"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7855FC" w:rsidRDefault="00492119" w:rsidP="007855FC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="007855FC">
        <w:rPr>
          <w:lang w:val="kk-KZ"/>
        </w:rPr>
        <w:t xml:space="preserve">Бөлшек портфель бойынша кредиттік тәуекелдің ағымдағы деңгейі банктерді екі міндетті – кредиттеудің баға талаптарын күшейту арқылы әлеуетті төлеуге қабілетсіз қарыз алушылардың келуін шектеуді (11-диаграмма), несиелік портфельдің сапасын қарыздарды қайта құрылымдау арқылы ұстап тұруды  шешуге көңіл бөлуге ынталандырады. Нәтижесінде жеке өнімдердің барлық түрлері бойынша сұраныстың төмендеуі байқалады (12-диаграмма). Тұтынушылар сенімділігінің төмендеуі, комиссиялық ақылардың өсуі, кредиттеу мерзімдерінің ұзаруы сұраныстың төмендеуіне ықпал еткен қосымша факторлар болып табылады </w:t>
      </w:r>
      <w:r w:rsidR="007855FC" w:rsidRPr="00387AB2">
        <w:rPr>
          <w:lang w:val="kk-KZ"/>
        </w:rPr>
        <w:t>(13.1, 13.2.</w:t>
      </w:r>
      <w:r w:rsidR="007855FC">
        <w:rPr>
          <w:lang w:val="kk-KZ"/>
        </w:rPr>
        <w:t xml:space="preserve"> диаграммалары</w:t>
      </w:r>
      <w:r w:rsidR="007855FC" w:rsidRPr="00387AB2">
        <w:rPr>
          <w:lang w:val="kk-KZ"/>
        </w:rPr>
        <w:t>)</w:t>
      </w:r>
      <w:r w:rsidR="007855FC">
        <w:rPr>
          <w:lang w:val="kk-KZ"/>
        </w:rPr>
        <w:t>.</w:t>
      </w:r>
    </w:p>
    <w:p w:rsidR="007855FC" w:rsidRPr="00830720" w:rsidRDefault="007855FC" w:rsidP="007855FC">
      <w:pPr>
        <w:ind w:firstLine="708"/>
        <w:jc w:val="both"/>
        <w:rPr>
          <w:lang w:val="kk-KZ"/>
        </w:rPr>
      </w:pPr>
      <w:r>
        <w:rPr>
          <w:lang w:val="kk-KZ"/>
        </w:rPr>
        <w:t>Халықтың қарыздар бойынша пайыздық мөлшерлемелердің айтарлықтай төмендеуін күтетініне қарамастан зерттелетін кезеңде тұтынушылық және ипотекалық қарыздар бойынша пайыздық мөлшерлемелер жоғары деңгейде сақталуда</w:t>
      </w:r>
      <w:r w:rsidRPr="00A54EF1">
        <w:rPr>
          <w:lang w:val="kk-KZ"/>
        </w:rPr>
        <w:t xml:space="preserve"> </w:t>
      </w:r>
      <w:r w:rsidRPr="00830720">
        <w:rPr>
          <w:lang w:val="kk-KZ"/>
        </w:rPr>
        <w:t>(11.1</w:t>
      </w:r>
      <w:r>
        <w:rPr>
          <w:lang w:val="kk-KZ"/>
        </w:rPr>
        <w:t>-диаграмма</w:t>
      </w:r>
      <w:r w:rsidRPr="00830720">
        <w:rPr>
          <w:lang w:val="kk-KZ"/>
        </w:rPr>
        <w:t xml:space="preserve">). </w:t>
      </w:r>
    </w:p>
    <w:p w:rsidR="007D751A" w:rsidRPr="007D751A" w:rsidRDefault="007D751A" w:rsidP="001C5E6B">
      <w:pPr>
        <w:ind w:firstLine="708"/>
        <w:jc w:val="both"/>
        <w:rPr>
          <w:b/>
          <w:lang w:val="kk-KZ"/>
        </w:rPr>
      </w:pPr>
    </w:p>
    <w:p w:rsidR="007D751A" w:rsidRPr="007D751A" w:rsidRDefault="007D751A" w:rsidP="001C5E6B">
      <w:pPr>
        <w:ind w:firstLine="708"/>
        <w:jc w:val="both"/>
        <w:rPr>
          <w:b/>
          <w:lang w:val="kk-KZ"/>
        </w:rPr>
      </w:pPr>
    </w:p>
    <w:p w:rsidR="007D751A" w:rsidRPr="007D751A" w:rsidRDefault="007D751A" w:rsidP="001C5E6B">
      <w:pPr>
        <w:ind w:firstLine="708"/>
        <w:jc w:val="both"/>
        <w:rPr>
          <w:b/>
          <w:lang w:val="kk-KZ"/>
        </w:rPr>
      </w:pPr>
    </w:p>
    <w:p w:rsidR="007D751A" w:rsidRPr="007D751A" w:rsidRDefault="007D751A" w:rsidP="001C5E6B">
      <w:pPr>
        <w:ind w:firstLine="708"/>
        <w:jc w:val="both"/>
        <w:rPr>
          <w:b/>
          <w:lang w:val="kk-KZ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0"/>
        <w:gridCol w:w="7942"/>
      </w:tblGrid>
      <w:tr w:rsidR="00492119" w:rsidTr="00857D0C">
        <w:tc>
          <w:tcPr>
            <w:tcW w:w="7506" w:type="dxa"/>
          </w:tcPr>
          <w:p w:rsidR="00492119" w:rsidRPr="00492119" w:rsidRDefault="00492119" w:rsidP="00635BF0">
            <w:pPr>
              <w:jc w:val="center"/>
              <w:rPr>
                <w:b/>
                <w:lang w:val="kk-KZ"/>
              </w:rPr>
            </w:pPr>
            <w:r w:rsidRPr="00492119">
              <w:rPr>
                <w:b/>
                <w:sz w:val="20"/>
                <w:szCs w:val="20"/>
                <w:lang w:val="kk-KZ"/>
              </w:rPr>
              <w:t>11.1</w:t>
            </w:r>
            <w:r>
              <w:rPr>
                <w:b/>
                <w:sz w:val="20"/>
                <w:szCs w:val="20"/>
                <w:lang w:val="kk-KZ"/>
              </w:rPr>
              <w:t>-диаграмма</w:t>
            </w:r>
            <w:r w:rsidRPr="0049211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Кредиттер бойынша орташа алынған пайыздық мөлшерлеме</w:t>
            </w:r>
            <w:r w:rsidRPr="00492119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7846" w:type="dxa"/>
          </w:tcPr>
          <w:p w:rsidR="00492119" w:rsidRDefault="00492119" w:rsidP="00635BF0">
            <w:pPr>
              <w:jc w:val="center"/>
              <w:rPr>
                <w:b/>
                <w:lang w:val="kk-KZ"/>
              </w:rPr>
            </w:pPr>
            <w:r w:rsidRPr="00296AB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-диаграмма</w:t>
            </w:r>
            <w:r w:rsidRPr="00296ABD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Кредиттерге деген сұраным мен ұсыныстың өзгеруі</w:t>
            </w:r>
          </w:p>
        </w:tc>
      </w:tr>
      <w:tr w:rsidR="00492119" w:rsidTr="00857D0C">
        <w:tc>
          <w:tcPr>
            <w:tcW w:w="7506" w:type="dxa"/>
          </w:tcPr>
          <w:p w:rsidR="00492119" w:rsidRDefault="00492119" w:rsidP="00635BF0">
            <w:pPr>
              <w:jc w:val="both"/>
              <w:rPr>
                <w:b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D36F5B" wp14:editId="6A63A868">
                  <wp:extent cx="4623759" cy="2398143"/>
                  <wp:effectExtent l="0" t="0" r="5715" b="254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7846" w:type="dxa"/>
          </w:tcPr>
          <w:p w:rsidR="00492119" w:rsidRDefault="00E04285" w:rsidP="00635BF0">
            <w:pPr>
              <w:jc w:val="both"/>
              <w:rPr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C40A062" wp14:editId="26559A15">
                  <wp:extent cx="4968815" cy="2924355"/>
                  <wp:effectExtent l="0" t="0" r="3810" b="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492119" w:rsidTr="00857D0C">
        <w:tc>
          <w:tcPr>
            <w:tcW w:w="7506" w:type="dxa"/>
          </w:tcPr>
          <w:p w:rsidR="00492119" w:rsidRPr="00492119" w:rsidRDefault="00492119" w:rsidP="00635B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492119">
              <w:rPr>
                <w:i/>
                <w:sz w:val="18"/>
                <w:szCs w:val="18"/>
                <w:lang w:val="kk-KZ"/>
              </w:rPr>
              <w:t>*</w:t>
            </w:r>
            <w:r>
              <w:rPr>
                <w:i/>
                <w:sz w:val="18"/>
                <w:szCs w:val="18"/>
                <w:lang w:val="kk-KZ"/>
              </w:rPr>
              <w:t xml:space="preserve">Банктердің есепті кезеңде берілген кредиттері бойынша орташа алынған мөлшерлеме </w:t>
            </w:r>
            <w:r w:rsidRPr="00492119">
              <w:rPr>
                <w:i/>
                <w:sz w:val="18"/>
                <w:szCs w:val="18"/>
                <w:lang w:val="kk-KZ"/>
              </w:rPr>
              <w:t>(</w:t>
            </w:r>
            <w:r>
              <w:rPr>
                <w:i/>
                <w:sz w:val="18"/>
                <w:szCs w:val="18"/>
                <w:lang w:val="kk-KZ"/>
              </w:rPr>
              <w:t>бейрезиденттердің қоспағанда</w:t>
            </w:r>
            <w:r w:rsidRPr="00492119">
              <w:rPr>
                <w:i/>
                <w:sz w:val="18"/>
                <w:szCs w:val="18"/>
                <w:lang w:val="kk-KZ"/>
              </w:rPr>
              <w:t>).</w:t>
            </w:r>
          </w:p>
          <w:p w:rsidR="00492119" w:rsidRPr="00492119" w:rsidRDefault="00492119" w:rsidP="00635BF0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Дереккөзі</w:t>
            </w:r>
            <w:r w:rsidRPr="00296ABD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  <w:r>
              <w:rPr>
                <w:i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7846" w:type="dxa"/>
          </w:tcPr>
          <w:p w:rsidR="00492119" w:rsidRDefault="00492119" w:rsidP="00635BF0">
            <w:pPr>
              <w:jc w:val="both"/>
              <w:rPr>
                <w:b/>
                <w:lang w:val="kk-KZ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Дереккөзі</w:t>
            </w:r>
            <w:r w:rsidRPr="00296ABD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E04285" w:rsidRDefault="00E04285" w:rsidP="001C5E6B">
      <w:pPr>
        <w:ind w:firstLine="708"/>
        <w:jc w:val="both"/>
        <w:rPr>
          <w:b/>
          <w:lang w:val="en-US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E04285" w:rsidTr="00857D0C">
        <w:tc>
          <w:tcPr>
            <w:tcW w:w="7676" w:type="dxa"/>
          </w:tcPr>
          <w:p w:rsidR="00E04285" w:rsidRDefault="00E04285" w:rsidP="00635BF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5BF0">
              <w:rPr>
                <w:b/>
                <w:sz w:val="20"/>
                <w:szCs w:val="20"/>
                <w:lang w:val="en-US"/>
              </w:rPr>
              <w:t>13.1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Pr="00DA696F">
              <w:rPr>
                <w:b/>
                <w:sz w:val="20"/>
                <w:szCs w:val="20"/>
              </w:rPr>
              <w:t>иаграмма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. Қ</w:t>
            </w:r>
            <w:proofErr w:type="gramStart"/>
            <w:r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рыз алушылардың ипотекалық кредиттерге</w:t>
            </w:r>
          </w:p>
          <w:p w:rsidR="00E04285" w:rsidRDefault="00E04285" w:rsidP="00635BF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сұранысы өзгеруіне факторлардың әсері</w:t>
            </w:r>
          </w:p>
        </w:tc>
        <w:tc>
          <w:tcPr>
            <w:tcW w:w="7676" w:type="dxa"/>
          </w:tcPr>
          <w:p w:rsidR="00E04285" w:rsidRDefault="00E04285" w:rsidP="00635BF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04285">
              <w:rPr>
                <w:b/>
                <w:sz w:val="20"/>
                <w:szCs w:val="20"/>
                <w:lang w:val="en-US"/>
              </w:rPr>
              <w:t>13.2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Pr="00DA696F">
              <w:rPr>
                <w:b/>
                <w:sz w:val="20"/>
                <w:szCs w:val="20"/>
              </w:rPr>
              <w:t>иаграмма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. Қарыз алушылардың тұтынушылық кредиттерге</w:t>
            </w:r>
          </w:p>
          <w:p w:rsidR="00E04285" w:rsidRPr="00635BF0" w:rsidRDefault="00E04285" w:rsidP="00635BF0">
            <w:pPr>
              <w:jc w:val="center"/>
              <w:rPr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сұранысы өзгеруіне факторлардың әсері</w:t>
            </w:r>
          </w:p>
        </w:tc>
      </w:tr>
      <w:tr w:rsidR="00E04285" w:rsidTr="00857D0C">
        <w:tc>
          <w:tcPr>
            <w:tcW w:w="7676" w:type="dxa"/>
          </w:tcPr>
          <w:p w:rsidR="00E04285" w:rsidRDefault="00635BF0" w:rsidP="00635BF0">
            <w:pPr>
              <w:jc w:val="both"/>
              <w:rPr>
                <w:b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9669F9" wp14:editId="366C3F43">
                  <wp:extent cx="4735902" cy="2579298"/>
                  <wp:effectExtent l="0" t="0" r="762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:rsidR="00E04285" w:rsidRDefault="00635BF0" w:rsidP="00635BF0">
            <w:pPr>
              <w:jc w:val="both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C3C3F4" wp14:editId="7E4166F1">
                  <wp:extent cx="4735902" cy="2544792"/>
                  <wp:effectExtent l="0" t="0" r="7620" b="825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E04285" w:rsidTr="00857D0C">
        <w:tc>
          <w:tcPr>
            <w:tcW w:w="7676" w:type="dxa"/>
          </w:tcPr>
          <w:p w:rsidR="00E04285" w:rsidRPr="00E04285" w:rsidRDefault="00E04285" w:rsidP="00635BF0">
            <w:pPr>
              <w:jc w:val="both"/>
              <w:rPr>
                <w:i/>
                <w:sz w:val="16"/>
                <w:szCs w:val="16"/>
                <w:lang w:val="en-US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жылжымайтын мүлік нарығының даму </w:t>
            </w:r>
            <w:r w:rsidRPr="000F1C74">
              <w:rPr>
                <w:i/>
                <w:sz w:val="16"/>
                <w:szCs w:val="16"/>
              </w:rPr>
              <w:t>перспектив</w:t>
            </w:r>
            <w:r>
              <w:rPr>
                <w:i/>
                <w:sz w:val="16"/>
                <w:szCs w:val="16"/>
                <w:lang w:val="kk-KZ"/>
              </w:rPr>
              <w:t>алары</w:t>
            </w:r>
            <w:r w:rsidRPr="00E04285">
              <w:rPr>
                <w:i/>
                <w:sz w:val="16"/>
                <w:szCs w:val="16"/>
                <w:lang w:val="en-US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тұтынушылардың сенімділігі 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борыштық жүктемені қабылдауы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>);</w:t>
            </w:r>
            <w:r w:rsidRPr="00E04285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жылжымайтын мүлікпен байланысы жоқ тұтынушылық шығыстар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кредиттеу мерзімін өзгерту</w:t>
            </w:r>
            <w:r w:rsidRPr="00E04285">
              <w:rPr>
                <w:i/>
                <w:sz w:val="16"/>
                <w:szCs w:val="16"/>
                <w:lang w:val="en-US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пайыздық мөлшерлемелерді өзгерту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0F1C74">
              <w:rPr>
                <w:i/>
                <w:color w:val="000000"/>
                <w:sz w:val="16"/>
                <w:szCs w:val="16"/>
              </w:rPr>
              <w:t>комисси</w:t>
            </w:r>
            <w:proofErr w:type="spellEnd"/>
            <w:r>
              <w:rPr>
                <w:i/>
                <w:color w:val="000000"/>
                <w:sz w:val="16"/>
                <w:szCs w:val="16"/>
                <w:lang w:val="kk-KZ"/>
              </w:rPr>
              <w:t>яларды өзгерту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>.</w:t>
            </w:r>
          </w:p>
          <w:p w:rsidR="00E04285" w:rsidRDefault="00E04285" w:rsidP="00635BF0">
            <w:pPr>
              <w:jc w:val="both"/>
              <w:rPr>
                <w:b/>
                <w:lang w:val="en-US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  <w:tc>
          <w:tcPr>
            <w:tcW w:w="7676" w:type="dxa"/>
          </w:tcPr>
          <w:p w:rsidR="00E04285" w:rsidRPr="00E04285" w:rsidRDefault="00E04285" w:rsidP="00635BF0">
            <w:pPr>
              <w:jc w:val="both"/>
              <w:rPr>
                <w:i/>
                <w:sz w:val="16"/>
                <w:szCs w:val="16"/>
                <w:lang w:val="en-US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тұтынушылардың ұзақ пайдаланылатын тауарларға шығыстары </w:t>
            </w:r>
            <w:r w:rsidRPr="00E04285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kk-KZ"/>
              </w:rPr>
              <w:t>жиһаз</w:t>
            </w:r>
            <w:r w:rsidRPr="00E04285">
              <w:rPr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F1C74">
              <w:rPr>
                <w:i/>
                <w:sz w:val="16"/>
                <w:szCs w:val="16"/>
              </w:rPr>
              <w:t>автомобил</w:t>
            </w:r>
            <w:proofErr w:type="spellEnd"/>
            <w:r>
              <w:rPr>
                <w:i/>
                <w:sz w:val="16"/>
                <w:szCs w:val="16"/>
                <w:lang w:val="kk-KZ"/>
              </w:rPr>
              <w:t>ьдер және т.б.</w:t>
            </w:r>
            <w:r w:rsidRPr="00E04285">
              <w:rPr>
                <w:i/>
                <w:sz w:val="16"/>
                <w:szCs w:val="16"/>
                <w:lang w:val="en-US"/>
              </w:rPr>
              <w:t>);</w:t>
            </w:r>
          </w:p>
          <w:p w:rsidR="00E04285" w:rsidRPr="00E04285" w:rsidRDefault="00E04285" w:rsidP="00635BF0">
            <w:pPr>
              <w:jc w:val="both"/>
              <w:rPr>
                <w:i/>
                <w:color w:val="000000"/>
                <w:sz w:val="16"/>
                <w:szCs w:val="16"/>
                <w:lang w:val="en-US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– </w:t>
            </w:r>
            <w:proofErr w:type="gramStart"/>
            <w:r>
              <w:rPr>
                <w:i/>
                <w:color w:val="000000"/>
                <w:sz w:val="16"/>
                <w:szCs w:val="16"/>
                <w:lang w:val="kk-KZ"/>
              </w:rPr>
              <w:t>тұтынушылардың</w:t>
            </w:r>
            <w:proofErr w:type="gramEnd"/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 сенімділігі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борыштық жүктемені қабылдауы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);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-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 жылжымайтын мүлікпен байланысы жоқ тұтынушылық шығыстар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-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 кредиттеу мерзімін өзгерту</w:t>
            </w:r>
            <w:r w:rsidRPr="00E04285">
              <w:rPr>
                <w:i/>
                <w:sz w:val="16"/>
                <w:szCs w:val="16"/>
                <w:lang w:val="en-US"/>
              </w:rPr>
              <w:t xml:space="preserve"> 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-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 пайыздық мөлшерлемелерді өзгерту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-  </w:t>
            </w:r>
            <w:proofErr w:type="spellStart"/>
            <w:r w:rsidRPr="000F1C74">
              <w:rPr>
                <w:i/>
                <w:color w:val="000000"/>
                <w:sz w:val="16"/>
                <w:szCs w:val="16"/>
              </w:rPr>
              <w:t>комисси</w:t>
            </w:r>
            <w:proofErr w:type="spellEnd"/>
            <w:r>
              <w:rPr>
                <w:i/>
                <w:color w:val="000000"/>
                <w:sz w:val="16"/>
                <w:szCs w:val="16"/>
                <w:lang w:val="kk-KZ"/>
              </w:rPr>
              <w:t>яларды өзгерту</w:t>
            </w:r>
            <w:r w:rsidRPr="00E04285">
              <w:rPr>
                <w:i/>
                <w:color w:val="000000"/>
                <w:sz w:val="16"/>
                <w:szCs w:val="16"/>
                <w:lang w:val="en-US"/>
              </w:rPr>
              <w:t xml:space="preserve"> .</w:t>
            </w:r>
          </w:p>
          <w:p w:rsidR="00E04285" w:rsidRPr="00881601" w:rsidRDefault="00E04285" w:rsidP="00635BF0"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E04285" w:rsidRPr="00E04285" w:rsidRDefault="00E04285" w:rsidP="001C5E6B">
      <w:pPr>
        <w:ind w:firstLine="708"/>
        <w:jc w:val="both"/>
        <w:rPr>
          <w:b/>
          <w:lang w:val="en-US"/>
        </w:rPr>
      </w:pPr>
    </w:p>
    <w:tbl>
      <w:tblPr>
        <w:tblStyle w:val="a9"/>
        <w:tblpPr w:leftFromText="180" w:rightFromText="180" w:vertAnchor="text" w:horzAnchor="margin" w:tblpXSpec="right" w:tblpY="4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635BF0" w:rsidTr="00857D0C">
        <w:tc>
          <w:tcPr>
            <w:tcW w:w="7731" w:type="dxa"/>
          </w:tcPr>
          <w:p w:rsidR="00635BF0" w:rsidRDefault="00635BF0" w:rsidP="00786BC1">
            <w:pPr>
              <w:jc w:val="center"/>
              <w:rPr>
                <w:b/>
                <w:lang w:val="kk-KZ"/>
              </w:rPr>
            </w:pPr>
            <w:r w:rsidRPr="00635BF0">
              <w:rPr>
                <w:b/>
                <w:sz w:val="20"/>
                <w:szCs w:val="20"/>
                <w:lang w:val="kk-KZ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35BF0">
              <w:rPr>
                <w:b/>
                <w:sz w:val="20"/>
                <w:szCs w:val="20"/>
                <w:lang w:val="kk-KZ"/>
              </w:rPr>
              <w:t xml:space="preserve">иаграмма. </w:t>
            </w:r>
            <w:r>
              <w:rPr>
                <w:b/>
                <w:sz w:val="20"/>
                <w:szCs w:val="20"/>
                <w:lang w:val="kk-KZ"/>
              </w:rPr>
              <w:t>Қарыз алушылардың бар тәуекелдері өзгеруі</w:t>
            </w:r>
          </w:p>
        </w:tc>
      </w:tr>
      <w:tr w:rsidR="00635BF0" w:rsidTr="00857D0C">
        <w:trPr>
          <w:trHeight w:val="4248"/>
        </w:trPr>
        <w:tc>
          <w:tcPr>
            <w:tcW w:w="7731" w:type="dxa"/>
          </w:tcPr>
          <w:p w:rsidR="00635BF0" w:rsidRPr="00635BF0" w:rsidRDefault="00786BC1" w:rsidP="00635BF0">
            <w:pPr>
              <w:jc w:val="both"/>
              <w:rPr>
                <w:b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02B33F" wp14:editId="5AA33ACC">
                  <wp:extent cx="5340350" cy="2768600"/>
                  <wp:effectExtent l="0" t="0" r="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635BF0" w:rsidTr="00857D0C">
        <w:tc>
          <w:tcPr>
            <w:tcW w:w="7731" w:type="dxa"/>
          </w:tcPr>
          <w:p w:rsidR="00635BF0" w:rsidRDefault="00635BF0" w:rsidP="00635BF0">
            <w:pPr>
              <w:jc w:val="both"/>
              <w:rPr>
                <w:b/>
                <w:lang w:val="kk-KZ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ҚРҰБ</w:t>
            </w:r>
          </w:p>
        </w:tc>
      </w:tr>
    </w:tbl>
    <w:p w:rsidR="00635BF0" w:rsidRDefault="00635BF0" w:rsidP="00635BF0">
      <w:pPr>
        <w:ind w:firstLine="708"/>
        <w:jc w:val="both"/>
        <w:rPr>
          <w:lang w:val="kk-KZ"/>
        </w:rPr>
      </w:pPr>
      <w:r>
        <w:rPr>
          <w:lang w:val="kk-KZ"/>
        </w:rPr>
        <w:t xml:space="preserve">Банктердің бағалауы бойынша, сыртқы және ішкі нарықтардағы жағдай өте шиеленісуі кезінде тәуекелдердің одан әрі өсетіні күтіледі </w:t>
      </w:r>
      <w:r>
        <w:rPr>
          <w:lang w:val="kk-KZ"/>
        </w:rPr>
        <w:br/>
        <w:t>(14-диаграмма):</w:t>
      </w:r>
    </w:p>
    <w:p w:rsidR="00635BF0" w:rsidRPr="00B837E2" w:rsidRDefault="00635BF0" w:rsidP="00635BF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  <w:rPr>
          <w:b/>
          <w:lang w:val="kk-KZ"/>
        </w:rPr>
      </w:pPr>
      <w:r>
        <w:rPr>
          <w:lang w:val="kk-KZ"/>
        </w:rPr>
        <w:t>р</w:t>
      </w:r>
      <w:r w:rsidRPr="00B837E2">
        <w:rPr>
          <w:lang w:val="kk-KZ"/>
        </w:rPr>
        <w:t>еспонденттердің</w:t>
      </w:r>
      <w:r>
        <w:rPr>
          <w:lang w:val="kk-KZ"/>
        </w:rPr>
        <w:t xml:space="preserve"> </w:t>
      </w:r>
      <w:r w:rsidRPr="00B837E2">
        <w:rPr>
          <w:lang w:val="kk-KZ"/>
        </w:rPr>
        <w:t>45%</w:t>
      </w:r>
      <w:r>
        <w:rPr>
          <w:lang w:val="kk-KZ"/>
        </w:rPr>
        <w:t xml:space="preserve">-ы қарыз алушылардың қаржылық </w:t>
      </w:r>
      <w:r>
        <w:rPr>
          <w:lang w:val="kk-KZ"/>
        </w:rPr>
        <w:br/>
        <w:t xml:space="preserve">жай-күйі аздап нашарлайды деп есептейді </w:t>
      </w:r>
      <w:r w:rsidRPr="00B837E2">
        <w:rPr>
          <w:lang w:val="kk-KZ"/>
        </w:rPr>
        <w:t xml:space="preserve">(48% - </w:t>
      </w:r>
      <w:r>
        <w:rPr>
          <w:lang w:val="kk-KZ"/>
        </w:rPr>
        <w:t>алдыңғы тоқсанда</w:t>
      </w:r>
      <w:r w:rsidRPr="00B837E2">
        <w:rPr>
          <w:lang w:val="kk-KZ"/>
        </w:rPr>
        <w:t>);</w:t>
      </w:r>
      <w:r w:rsidRPr="00B837E2">
        <w:rPr>
          <w:b/>
          <w:lang w:val="kk-KZ"/>
        </w:rPr>
        <w:t xml:space="preserve"> </w:t>
      </w:r>
    </w:p>
    <w:p w:rsidR="00635BF0" w:rsidRPr="00B837E2" w:rsidRDefault="00635BF0" w:rsidP="00635BF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  <w:rPr>
          <w:lang w:val="kk-KZ"/>
        </w:rPr>
      </w:pPr>
      <w:r>
        <w:rPr>
          <w:lang w:val="kk-KZ"/>
        </w:rPr>
        <w:t>р</w:t>
      </w:r>
      <w:r w:rsidRPr="00B837E2">
        <w:rPr>
          <w:lang w:val="kk-KZ"/>
        </w:rPr>
        <w:t>еспонденттердің</w:t>
      </w:r>
      <w:r>
        <w:rPr>
          <w:lang w:val="kk-KZ"/>
        </w:rPr>
        <w:t xml:space="preserve"> </w:t>
      </w:r>
      <w:r w:rsidRPr="00B837E2">
        <w:rPr>
          <w:lang w:val="kk-KZ"/>
        </w:rPr>
        <w:t>45%</w:t>
      </w:r>
      <w:r>
        <w:rPr>
          <w:lang w:val="kk-KZ"/>
        </w:rPr>
        <w:t xml:space="preserve">-ы төлемдер бойынша мерзімін өткізу ұлғаяды деп күтуде </w:t>
      </w:r>
      <w:r w:rsidRPr="00B837E2">
        <w:rPr>
          <w:lang w:val="kk-KZ"/>
        </w:rPr>
        <w:t xml:space="preserve">(52% - </w:t>
      </w:r>
      <w:r>
        <w:rPr>
          <w:lang w:val="kk-KZ"/>
        </w:rPr>
        <w:t>алдыңғы тоқсанда</w:t>
      </w:r>
      <w:r w:rsidRPr="00B837E2">
        <w:rPr>
          <w:lang w:val="kk-KZ"/>
        </w:rPr>
        <w:t xml:space="preserve">); </w:t>
      </w:r>
    </w:p>
    <w:p w:rsidR="00635BF0" w:rsidRPr="00B837E2" w:rsidRDefault="00635BF0" w:rsidP="00635BF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  <w:rPr>
          <w:lang w:val="kk-KZ"/>
        </w:rPr>
      </w:pPr>
      <w:r>
        <w:rPr>
          <w:lang w:val="kk-KZ"/>
        </w:rPr>
        <w:t>р</w:t>
      </w:r>
      <w:r w:rsidRPr="00B837E2">
        <w:rPr>
          <w:lang w:val="kk-KZ"/>
        </w:rPr>
        <w:t>еспонденттердің</w:t>
      </w:r>
      <w:r>
        <w:rPr>
          <w:lang w:val="kk-KZ"/>
        </w:rPr>
        <w:t xml:space="preserve"> 2</w:t>
      </w:r>
      <w:r w:rsidRPr="00B837E2">
        <w:rPr>
          <w:lang w:val="kk-KZ"/>
        </w:rPr>
        <w:t>5%</w:t>
      </w:r>
      <w:r>
        <w:rPr>
          <w:lang w:val="kk-KZ"/>
        </w:rPr>
        <w:t xml:space="preserve">-ы қамтамасыз етудің сапасы одан әрі нашарлайды деп күтуде </w:t>
      </w:r>
      <w:r w:rsidRPr="00B837E2">
        <w:rPr>
          <w:lang w:val="kk-KZ"/>
        </w:rPr>
        <w:t>(</w:t>
      </w:r>
      <w:r>
        <w:rPr>
          <w:lang w:val="kk-KZ"/>
        </w:rPr>
        <w:t>29</w:t>
      </w:r>
      <w:r w:rsidRPr="00B837E2">
        <w:rPr>
          <w:lang w:val="kk-KZ"/>
        </w:rPr>
        <w:t xml:space="preserve">% - </w:t>
      </w:r>
      <w:r>
        <w:rPr>
          <w:lang w:val="kk-KZ"/>
        </w:rPr>
        <w:t>алдыңғы тоқсанда</w:t>
      </w:r>
      <w:r w:rsidRPr="00B837E2">
        <w:rPr>
          <w:lang w:val="kk-KZ"/>
        </w:rPr>
        <w:t xml:space="preserve">); </w:t>
      </w:r>
    </w:p>
    <w:p w:rsidR="00635BF0" w:rsidRPr="00B837E2" w:rsidRDefault="00635BF0" w:rsidP="00635BF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  <w:rPr>
          <w:lang w:val="kk-KZ"/>
        </w:rPr>
      </w:pPr>
      <w:r>
        <w:rPr>
          <w:lang w:val="kk-KZ"/>
        </w:rPr>
        <w:t>р</w:t>
      </w:r>
      <w:r w:rsidRPr="00B837E2">
        <w:rPr>
          <w:lang w:val="kk-KZ"/>
        </w:rPr>
        <w:t>еспонденттердің</w:t>
      </w:r>
      <w:r>
        <w:rPr>
          <w:lang w:val="kk-KZ"/>
        </w:rPr>
        <w:t xml:space="preserve"> 48</w:t>
      </w:r>
      <w:r w:rsidRPr="00B837E2">
        <w:rPr>
          <w:lang w:val="kk-KZ"/>
        </w:rPr>
        <w:t>%</w:t>
      </w:r>
      <w:r>
        <w:rPr>
          <w:lang w:val="kk-KZ"/>
        </w:rPr>
        <w:t xml:space="preserve">-ы қарыздардың мерзімін ұзарту саны өседі деп күтуде </w:t>
      </w:r>
      <w:r w:rsidRPr="00B837E2">
        <w:rPr>
          <w:lang w:val="kk-KZ"/>
        </w:rPr>
        <w:t>(</w:t>
      </w:r>
      <w:r>
        <w:rPr>
          <w:lang w:val="kk-KZ"/>
        </w:rPr>
        <w:t>48</w:t>
      </w:r>
      <w:r w:rsidRPr="00B837E2">
        <w:rPr>
          <w:lang w:val="kk-KZ"/>
        </w:rPr>
        <w:t xml:space="preserve">% - </w:t>
      </w:r>
      <w:r>
        <w:rPr>
          <w:lang w:val="kk-KZ"/>
        </w:rPr>
        <w:t>алдыңғы тоқсанда</w:t>
      </w:r>
      <w:r w:rsidRPr="00B837E2">
        <w:rPr>
          <w:lang w:val="kk-KZ"/>
        </w:rPr>
        <w:t xml:space="preserve">); </w:t>
      </w:r>
    </w:p>
    <w:p w:rsidR="00635BF0" w:rsidRPr="00B837E2" w:rsidRDefault="00635BF0" w:rsidP="00635BF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  <w:rPr>
          <w:lang w:val="kk-KZ"/>
        </w:rPr>
      </w:pPr>
      <w:r>
        <w:rPr>
          <w:lang w:val="kk-KZ"/>
        </w:rPr>
        <w:t>р</w:t>
      </w:r>
      <w:r w:rsidRPr="00B837E2">
        <w:rPr>
          <w:lang w:val="kk-KZ"/>
        </w:rPr>
        <w:t>еспонденттердің</w:t>
      </w:r>
      <w:r>
        <w:rPr>
          <w:lang w:val="kk-KZ"/>
        </w:rPr>
        <w:t xml:space="preserve"> 32</w:t>
      </w:r>
      <w:r w:rsidRPr="00B837E2">
        <w:rPr>
          <w:lang w:val="kk-KZ"/>
        </w:rPr>
        <w:t>%</w:t>
      </w:r>
      <w:r>
        <w:rPr>
          <w:lang w:val="kk-KZ"/>
        </w:rPr>
        <w:t xml:space="preserve">-ы дефолт коэффициенті </w:t>
      </w:r>
      <w:r w:rsidRPr="008E3C5A">
        <w:rPr>
          <w:lang w:val="kk-KZ"/>
        </w:rPr>
        <w:t xml:space="preserve">(Default Ratio) </w:t>
      </w:r>
      <w:r>
        <w:rPr>
          <w:lang w:val="kk-KZ"/>
        </w:rPr>
        <w:t xml:space="preserve"> өседі деп күтуде </w:t>
      </w:r>
      <w:r w:rsidRPr="00B837E2">
        <w:rPr>
          <w:lang w:val="kk-KZ"/>
        </w:rPr>
        <w:t>(</w:t>
      </w:r>
      <w:r>
        <w:rPr>
          <w:lang w:val="kk-KZ"/>
        </w:rPr>
        <w:t>39</w:t>
      </w:r>
      <w:r w:rsidRPr="00B837E2">
        <w:rPr>
          <w:lang w:val="kk-KZ"/>
        </w:rPr>
        <w:t xml:space="preserve">% - </w:t>
      </w:r>
      <w:r>
        <w:rPr>
          <w:lang w:val="kk-KZ"/>
        </w:rPr>
        <w:t>алдыңғы тоқсанда</w:t>
      </w:r>
      <w:r w:rsidRPr="00B837E2">
        <w:rPr>
          <w:lang w:val="kk-KZ"/>
        </w:rPr>
        <w:t>)</w:t>
      </w:r>
      <w:r>
        <w:rPr>
          <w:lang w:val="kk-KZ"/>
        </w:rPr>
        <w:t>.</w:t>
      </w:r>
      <w:r w:rsidRPr="00B837E2">
        <w:rPr>
          <w:lang w:val="kk-KZ"/>
        </w:rPr>
        <w:t xml:space="preserve"> </w:t>
      </w:r>
    </w:p>
    <w:p w:rsidR="00635BF0" w:rsidRPr="00B837E2" w:rsidRDefault="00635BF0" w:rsidP="00635BF0">
      <w:pPr>
        <w:ind w:firstLine="900"/>
        <w:jc w:val="both"/>
        <w:rPr>
          <w:lang w:val="kk-KZ"/>
        </w:rPr>
      </w:pPr>
      <w:r>
        <w:rPr>
          <w:lang w:val="kk-KZ"/>
        </w:rPr>
        <w:t>Банктердің пікірі бойынша, жағдайдың нашарлайтындығын күту көбінесе қарыз алушылардың кірістері төмендеуіне байланысты.</w:t>
      </w:r>
    </w:p>
    <w:p w:rsidR="007D751A" w:rsidRDefault="007D751A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Pr="00786BC1" w:rsidRDefault="00786BC1" w:rsidP="001C5E6B">
      <w:pPr>
        <w:ind w:firstLine="708"/>
        <w:jc w:val="both"/>
        <w:rPr>
          <w:b/>
          <w:lang w:val="en-US"/>
        </w:rPr>
      </w:pPr>
    </w:p>
    <w:p w:rsidR="00786BC1" w:rsidRPr="00F52068" w:rsidRDefault="00786BC1" w:rsidP="00786BC1">
      <w:pPr>
        <w:ind w:left="720"/>
        <w:jc w:val="both"/>
        <w:rPr>
          <w:b/>
          <w:lang w:val="kk-KZ"/>
        </w:rPr>
      </w:pPr>
      <w:r w:rsidRPr="00F52068">
        <w:rPr>
          <w:b/>
          <w:lang w:val="kk-KZ"/>
        </w:rPr>
        <w:lastRenderedPageBreak/>
        <w:t xml:space="preserve">III. Тәуекелдер картасы </w:t>
      </w:r>
    </w:p>
    <w:p w:rsidR="00786BC1" w:rsidRPr="00F52068" w:rsidRDefault="00786BC1" w:rsidP="00786BC1">
      <w:pPr>
        <w:ind w:left="720"/>
        <w:jc w:val="both"/>
        <w:rPr>
          <w:b/>
          <w:lang w:val="kk-KZ"/>
        </w:rPr>
      </w:pPr>
    </w:p>
    <w:p w:rsidR="00786BC1" w:rsidRDefault="00786BC1" w:rsidP="00786BC1">
      <w:pPr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2"/>
      </w:tblGrid>
      <w:tr w:rsidR="00786BC1" w:rsidTr="00857D0C">
        <w:tc>
          <w:tcPr>
            <w:tcW w:w="7432" w:type="dxa"/>
          </w:tcPr>
          <w:p w:rsidR="00786BC1" w:rsidRDefault="00786BC1" w:rsidP="0094665D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Pr="001D77DE">
              <w:rPr>
                <w:b/>
                <w:sz w:val="20"/>
                <w:szCs w:val="20"/>
              </w:rPr>
              <w:t>иаграмма</w:t>
            </w:r>
            <w:proofErr w:type="spellEnd"/>
            <w:r w:rsidRPr="001D77D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Банктердің несие портфелі сапасының өзгеруі күту</w:t>
            </w:r>
          </w:p>
        </w:tc>
      </w:tr>
      <w:tr w:rsidR="00786BC1" w:rsidTr="00857D0C">
        <w:trPr>
          <w:trHeight w:val="3195"/>
        </w:trPr>
        <w:tc>
          <w:tcPr>
            <w:tcW w:w="7432" w:type="dxa"/>
          </w:tcPr>
          <w:p w:rsidR="00786BC1" w:rsidRPr="00CF1E60" w:rsidRDefault="007118D9" w:rsidP="0094665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1DD19545" wp14:editId="0C584C24">
                  <wp:extent cx="4477110" cy="2311879"/>
                  <wp:effectExtent l="0" t="0" r="0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786BC1" w:rsidTr="00857D0C">
        <w:tc>
          <w:tcPr>
            <w:tcW w:w="7432" w:type="dxa"/>
          </w:tcPr>
          <w:p w:rsidR="00786BC1" w:rsidRDefault="00786BC1" w:rsidP="0094665D">
            <w:pPr>
              <w:autoSpaceDE w:val="0"/>
              <w:autoSpaceDN w:val="0"/>
              <w:adjustRightInd w:val="0"/>
              <w:jc w:val="both"/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</w:t>
            </w:r>
            <w:r w:rsidRPr="00DC4625">
              <w:rPr>
                <w:i/>
                <w:color w:val="000000"/>
                <w:sz w:val="16"/>
                <w:szCs w:val="16"/>
              </w:rPr>
              <w:t>Б</w:t>
            </w:r>
          </w:p>
        </w:tc>
      </w:tr>
    </w:tbl>
    <w:p w:rsidR="00786BC1" w:rsidRDefault="00786BC1" w:rsidP="00786BC1">
      <w:pPr>
        <w:ind w:firstLine="708"/>
        <w:jc w:val="both"/>
      </w:pPr>
      <w:r w:rsidRPr="009E5FDA">
        <w:t xml:space="preserve"> </w:t>
      </w:r>
      <w:proofErr w:type="spellStart"/>
      <w:r w:rsidRPr="009E5FDA">
        <w:t>Б</w:t>
      </w:r>
      <w:r w:rsidRPr="0021750F">
        <w:t>анк</w:t>
      </w:r>
      <w:r>
        <w:t>тер</w:t>
      </w:r>
      <w:proofErr w:type="spellEnd"/>
      <w:r>
        <w:rPr>
          <w:lang w:val="kk-KZ"/>
        </w:rPr>
        <w:t xml:space="preserve">дің </w:t>
      </w:r>
      <w:proofErr w:type="gramStart"/>
      <w:r>
        <w:rPr>
          <w:lang w:val="kk-KZ"/>
        </w:rPr>
        <w:t>ба</w:t>
      </w:r>
      <w:proofErr w:type="gramEnd"/>
      <w:r>
        <w:rPr>
          <w:lang w:val="kk-KZ"/>
        </w:rPr>
        <w:t xml:space="preserve">ғалауы бойынша несие </w:t>
      </w:r>
      <w:proofErr w:type="spellStart"/>
      <w:r w:rsidRPr="0021750F">
        <w:t>портфел</w:t>
      </w:r>
      <w:proofErr w:type="spellEnd"/>
      <w:r>
        <w:rPr>
          <w:lang w:val="kk-KZ"/>
        </w:rPr>
        <w:t xml:space="preserve">і сапасының нашарлауы жалғасуда </w:t>
      </w:r>
      <w:r w:rsidRPr="0021750F">
        <w:t>(15</w:t>
      </w:r>
      <w:r>
        <w:rPr>
          <w:lang w:val="kk-KZ"/>
        </w:rPr>
        <w:t>-д</w:t>
      </w:r>
      <w:proofErr w:type="spellStart"/>
      <w:r w:rsidRPr="0021750F">
        <w:t>иаграмма</w:t>
      </w:r>
      <w:proofErr w:type="spellEnd"/>
      <w:r w:rsidRPr="0021750F">
        <w:t xml:space="preserve">). </w:t>
      </w:r>
      <w:r>
        <w:rPr>
          <w:lang w:val="kk-KZ"/>
        </w:rPr>
        <w:t xml:space="preserve">Несие </w:t>
      </w:r>
      <w:proofErr w:type="spellStart"/>
      <w:r w:rsidRPr="0021750F">
        <w:t>портфел</w:t>
      </w:r>
      <w:proofErr w:type="spellEnd"/>
      <w:r>
        <w:rPr>
          <w:lang w:val="kk-KZ"/>
        </w:rPr>
        <w:t xml:space="preserve">інің сапасын жақсарту бойынша негізгі шаралар  мыналар болып табылады:  </w:t>
      </w:r>
    </w:p>
    <w:p w:rsidR="00786BC1" w:rsidRDefault="00786BC1" w:rsidP="00786BC1">
      <w:pPr>
        <w:ind w:firstLine="708"/>
        <w:jc w:val="both"/>
        <w:rPr>
          <w:lang w:val="kk-KZ"/>
        </w:rPr>
      </w:pPr>
      <w:r w:rsidRPr="005E6062">
        <w:t xml:space="preserve">- </w:t>
      </w:r>
      <w:r>
        <w:rPr>
          <w:lang w:val="kk-KZ"/>
        </w:rPr>
        <w:t xml:space="preserve">қарыз </w:t>
      </w:r>
      <w:proofErr w:type="gramStart"/>
      <w:r>
        <w:rPr>
          <w:lang w:val="kk-KZ"/>
        </w:rPr>
        <w:t>алушыларды</w:t>
      </w:r>
      <w:proofErr w:type="gramEnd"/>
      <w:r>
        <w:rPr>
          <w:lang w:val="kk-KZ"/>
        </w:rPr>
        <w:t xml:space="preserve">ң ағымдағы берешектерін қайта құрылымдау; </w:t>
      </w:r>
    </w:p>
    <w:p w:rsidR="00786BC1" w:rsidRDefault="00786BC1" w:rsidP="00786BC1">
      <w:pPr>
        <w:ind w:firstLine="708"/>
        <w:jc w:val="both"/>
        <w:rPr>
          <w:lang w:val="kk-KZ"/>
        </w:rPr>
      </w:pPr>
      <w:r w:rsidRPr="009E5FDA">
        <w:rPr>
          <w:lang w:val="kk-KZ"/>
        </w:rPr>
        <w:t xml:space="preserve">- </w:t>
      </w:r>
      <w:r>
        <w:rPr>
          <w:lang w:val="kk-KZ"/>
        </w:rPr>
        <w:t xml:space="preserve">қаржылық есептілікті қажетті көлемде ашпайтын бизнестің айқын емес субъектілерін кредиттеуден толық бас тарту; </w:t>
      </w:r>
    </w:p>
    <w:p w:rsidR="00786BC1" w:rsidRPr="000260EF" w:rsidRDefault="00786BC1" w:rsidP="00786BC1">
      <w:pPr>
        <w:ind w:firstLine="708"/>
        <w:jc w:val="both"/>
        <w:rPr>
          <w:lang w:val="kk-KZ"/>
        </w:rPr>
      </w:pPr>
      <w:r w:rsidRPr="000260EF">
        <w:rPr>
          <w:lang w:val="kk-KZ"/>
        </w:rPr>
        <w:t xml:space="preserve">- </w:t>
      </w:r>
      <w:r>
        <w:rPr>
          <w:lang w:val="kk-KZ"/>
        </w:rPr>
        <w:t xml:space="preserve">клиенттердің қаржылық жағдайын егжей-тегжейлі талдау және мониторингін  жүргізу; </w:t>
      </w:r>
    </w:p>
    <w:p w:rsidR="00786BC1" w:rsidRPr="00F738D4" w:rsidRDefault="00786BC1" w:rsidP="00786BC1">
      <w:pPr>
        <w:ind w:firstLine="708"/>
        <w:jc w:val="both"/>
        <w:rPr>
          <w:lang w:val="kk-KZ"/>
        </w:rPr>
      </w:pPr>
      <w:r w:rsidRPr="00F738D4">
        <w:rPr>
          <w:lang w:val="kk-KZ"/>
        </w:rPr>
        <w:t>- проблем</w:t>
      </w:r>
      <w:r>
        <w:rPr>
          <w:lang w:val="kk-KZ"/>
        </w:rPr>
        <w:t xml:space="preserve">алық қарыз алушылармен жұмыс бойынша рәсімдерді қатаң регламенттеу; </w:t>
      </w:r>
    </w:p>
    <w:p w:rsidR="00786BC1" w:rsidRDefault="00786BC1" w:rsidP="00786BC1">
      <w:pPr>
        <w:ind w:firstLine="708"/>
        <w:jc w:val="both"/>
        <w:rPr>
          <w:lang w:val="en-US"/>
        </w:rPr>
      </w:pPr>
      <w:r w:rsidRPr="00F738D4">
        <w:rPr>
          <w:lang w:val="kk-KZ"/>
        </w:rPr>
        <w:t xml:space="preserve">- </w:t>
      </w:r>
      <w:r>
        <w:rPr>
          <w:lang w:val="kk-KZ"/>
        </w:rPr>
        <w:t xml:space="preserve">экономиканың тәуекелді салаларын кредиттеуді тоқтата тұру; </w:t>
      </w:r>
    </w:p>
    <w:p w:rsidR="00263930" w:rsidRPr="00F52068" w:rsidRDefault="00263930" w:rsidP="00263930">
      <w:pPr>
        <w:tabs>
          <w:tab w:val="left" w:pos="2146"/>
        </w:tabs>
        <w:ind w:firstLine="708"/>
        <w:jc w:val="both"/>
        <w:rPr>
          <w:lang w:val="kk-KZ"/>
        </w:rPr>
      </w:pPr>
      <w:r>
        <w:rPr>
          <w:lang w:val="kk-KZ"/>
        </w:rPr>
        <w:t xml:space="preserve">Таяудағы 3 айда </w:t>
      </w:r>
      <w:r w:rsidRPr="00F52068">
        <w:rPr>
          <w:lang w:val="kk-KZ"/>
        </w:rPr>
        <w:t xml:space="preserve">банктердің 35%-ы несие портфелі сапасының </w:t>
      </w:r>
      <w:r>
        <w:rPr>
          <w:lang w:val="kk-KZ"/>
        </w:rPr>
        <w:t xml:space="preserve">одан әрі нашарлауын, </w:t>
      </w:r>
      <w:r w:rsidRPr="00263930">
        <w:rPr>
          <w:lang w:val="en-US"/>
        </w:rPr>
        <w:t>12%</w:t>
      </w:r>
      <w:r>
        <w:rPr>
          <w:lang w:val="kk-KZ"/>
        </w:rPr>
        <w:t xml:space="preserve">-ы </w:t>
      </w:r>
      <w:r w:rsidRPr="00F52068">
        <w:rPr>
          <w:lang w:val="kk-KZ"/>
        </w:rPr>
        <w:t>жақсаратынын, банктердің 5</w:t>
      </w:r>
      <w:r>
        <w:rPr>
          <w:lang w:val="kk-KZ"/>
        </w:rPr>
        <w:t>3</w:t>
      </w:r>
      <w:r w:rsidRPr="00F52068">
        <w:rPr>
          <w:lang w:val="kk-KZ"/>
        </w:rPr>
        <w:t xml:space="preserve">%-ы </w:t>
      </w:r>
      <w:r>
        <w:rPr>
          <w:lang w:val="kk-KZ"/>
        </w:rPr>
        <w:t xml:space="preserve">портфель сапасының </w:t>
      </w:r>
      <w:r w:rsidRPr="00F52068">
        <w:rPr>
          <w:lang w:val="kk-KZ"/>
        </w:rPr>
        <w:t xml:space="preserve"> өзгеріссіз қалатынын болжайды.</w:t>
      </w:r>
    </w:p>
    <w:tbl>
      <w:tblPr>
        <w:tblStyle w:val="a9"/>
        <w:tblpPr w:leftFromText="180" w:rightFromText="180" w:vertAnchor="text" w:horzAnchor="margin" w:tblpXSpec="right" w:tblpY="43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8"/>
      </w:tblGrid>
      <w:tr w:rsidR="00263930" w:rsidTr="00263930">
        <w:tc>
          <w:tcPr>
            <w:tcW w:w="7428" w:type="dxa"/>
          </w:tcPr>
          <w:p w:rsidR="00263930" w:rsidRDefault="00263930" w:rsidP="00263930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Pr="003669AA">
              <w:rPr>
                <w:b/>
                <w:sz w:val="20"/>
                <w:szCs w:val="20"/>
              </w:rPr>
              <w:t>иаграмма</w:t>
            </w:r>
            <w:proofErr w:type="spellEnd"/>
            <w:r w:rsidRPr="003669A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Банктердің тәуекелдерді қабылдауы</w:t>
            </w:r>
          </w:p>
        </w:tc>
      </w:tr>
      <w:tr w:rsidR="00263930" w:rsidTr="00263930">
        <w:trPr>
          <w:trHeight w:val="3999"/>
        </w:trPr>
        <w:tc>
          <w:tcPr>
            <w:tcW w:w="7428" w:type="dxa"/>
          </w:tcPr>
          <w:p w:rsidR="00263930" w:rsidRPr="00CF1E60" w:rsidRDefault="00263930" w:rsidP="00263930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05176C27" wp14:editId="6E9CC013">
                  <wp:extent cx="4580627" cy="2458529"/>
                  <wp:effectExtent l="0" t="0" r="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263930" w:rsidTr="00263930">
        <w:tc>
          <w:tcPr>
            <w:tcW w:w="7428" w:type="dxa"/>
          </w:tcPr>
          <w:p w:rsidR="00263930" w:rsidRPr="00904F62" w:rsidRDefault="00263930" w:rsidP="0026393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>Дереккөз</w:t>
            </w:r>
            <w:r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  <w:lang w:val="kk-KZ"/>
              </w:rPr>
              <w:t>ҚРҰ</w:t>
            </w:r>
            <w:r w:rsidRPr="00DC4625">
              <w:rPr>
                <w:i/>
                <w:color w:val="000000"/>
                <w:sz w:val="16"/>
                <w:szCs w:val="16"/>
              </w:rPr>
              <w:t>Б</w:t>
            </w:r>
          </w:p>
        </w:tc>
      </w:tr>
    </w:tbl>
    <w:p w:rsidR="00263930" w:rsidRPr="00943C4C" w:rsidRDefault="00263930" w:rsidP="00263930">
      <w:pPr>
        <w:ind w:firstLine="708"/>
        <w:jc w:val="both"/>
        <w:rPr>
          <w:lang w:val="kk-KZ"/>
        </w:rPr>
      </w:pPr>
      <w:r>
        <w:rPr>
          <w:lang w:val="kk-KZ"/>
        </w:rPr>
        <w:t>К</w:t>
      </w:r>
      <w:r w:rsidRPr="00943C4C">
        <w:rPr>
          <w:lang w:val="kk-KZ"/>
        </w:rPr>
        <w:t>орпоратив</w:t>
      </w:r>
      <w:r>
        <w:rPr>
          <w:lang w:val="kk-KZ"/>
        </w:rPr>
        <w:t xml:space="preserve">тік  </w:t>
      </w:r>
      <w:r w:rsidRPr="00943C4C">
        <w:rPr>
          <w:lang w:val="kk-KZ"/>
        </w:rPr>
        <w:t>сектор</w:t>
      </w:r>
      <w:r>
        <w:rPr>
          <w:lang w:val="kk-KZ"/>
        </w:rPr>
        <w:t xml:space="preserve"> және жеке тұлғалар бойынша  </w:t>
      </w:r>
      <w:r w:rsidRPr="00943C4C">
        <w:rPr>
          <w:lang w:val="kk-KZ"/>
        </w:rPr>
        <w:t xml:space="preserve">28% </w:t>
      </w:r>
      <w:r>
        <w:rPr>
          <w:lang w:val="kk-KZ"/>
        </w:rPr>
        <w:t xml:space="preserve">және </w:t>
      </w:r>
      <w:r w:rsidRPr="00943C4C">
        <w:rPr>
          <w:lang w:val="kk-KZ"/>
        </w:rPr>
        <w:t xml:space="preserve"> 42% </w:t>
      </w:r>
      <w:r>
        <w:rPr>
          <w:lang w:val="kk-KZ"/>
        </w:rPr>
        <w:t xml:space="preserve"> нашарлайтынын; </w:t>
      </w:r>
      <w:r w:rsidRPr="00943C4C">
        <w:rPr>
          <w:lang w:val="kk-KZ"/>
        </w:rPr>
        <w:t xml:space="preserve"> 12% </w:t>
      </w:r>
      <w:r>
        <w:rPr>
          <w:lang w:val="kk-KZ"/>
        </w:rPr>
        <w:t xml:space="preserve">және </w:t>
      </w:r>
      <w:r w:rsidRPr="00943C4C">
        <w:rPr>
          <w:lang w:val="kk-KZ"/>
        </w:rPr>
        <w:t xml:space="preserve"> 3% - </w:t>
      </w:r>
      <w:r>
        <w:rPr>
          <w:lang w:val="kk-KZ"/>
        </w:rPr>
        <w:t>жақсаратынын</w:t>
      </w:r>
      <w:r w:rsidRPr="00943C4C">
        <w:rPr>
          <w:lang w:val="kk-KZ"/>
        </w:rPr>
        <w:t xml:space="preserve">, 59% </w:t>
      </w:r>
      <w:r>
        <w:rPr>
          <w:lang w:val="kk-KZ"/>
        </w:rPr>
        <w:t>және</w:t>
      </w:r>
      <w:r w:rsidRPr="00943C4C">
        <w:rPr>
          <w:lang w:val="kk-KZ"/>
        </w:rPr>
        <w:t xml:space="preserve"> 55% - </w:t>
      </w:r>
      <w:r>
        <w:rPr>
          <w:lang w:val="kk-KZ"/>
        </w:rPr>
        <w:t xml:space="preserve">бұрынғы деңгейде қалады деп күтуде. </w:t>
      </w:r>
      <w:r w:rsidRPr="00943C4C">
        <w:rPr>
          <w:lang w:val="kk-KZ"/>
        </w:rPr>
        <w:t xml:space="preserve">   </w:t>
      </w:r>
    </w:p>
    <w:p w:rsidR="00263930" w:rsidRPr="00C4538E" w:rsidRDefault="00263930" w:rsidP="00263930">
      <w:pPr>
        <w:ind w:firstLine="708"/>
        <w:jc w:val="both"/>
      </w:pPr>
      <w:r w:rsidRPr="000322E8">
        <w:rPr>
          <w:lang w:val="kk-KZ"/>
        </w:rPr>
        <w:t xml:space="preserve">2015 </w:t>
      </w:r>
      <w:r>
        <w:rPr>
          <w:lang w:val="kk-KZ"/>
        </w:rPr>
        <w:t xml:space="preserve">жылғы 4-тоқсанда банктердің бағалауы бойынша теңгенің айырбас бағамының құбылмалығымен байланысты жоғары валюталық тәуекелдің </w:t>
      </w:r>
      <w:r w:rsidRPr="000322E8">
        <w:rPr>
          <w:lang w:val="kk-KZ"/>
        </w:rPr>
        <w:t>а</w:t>
      </w:r>
      <w:r>
        <w:rPr>
          <w:lang w:val="kk-KZ"/>
        </w:rPr>
        <w:t xml:space="preserve">ясында </w:t>
      </w:r>
      <w:r w:rsidRPr="000322E8">
        <w:rPr>
          <w:lang w:val="kk-KZ"/>
        </w:rPr>
        <w:t>(</w:t>
      </w:r>
      <w:r>
        <w:rPr>
          <w:lang w:val="kk-KZ"/>
        </w:rPr>
        <w:t>16-диаграмма</w:t>
      </w:r>
      <w:r w:rsidRPr="000322E8">
        <w:rPr>
          <w:lang w:val="kk-KZ"/>
        </w:rPr>
        <w:t>)</w:t>
      </w:r>
      <w:r>
        <w:rPr>
          <w:lang w:val="kk-KZ"/>
        </w:rPr>
        <w:t xml:space="preserve"> клиенттер депозиттерінің долларсызданауы үдемелі өсті.</w:t>
      </w:r>
      <w:r w:rsidRPr="000322E8">
        <w:rPr>
          <w:lang w:val="kk-KZ"/>
        </w:rPr>
        <w:t xml:space="preserve"> </w:t>
      </w:r>
      <w:r>
        <w:rPr>
          <w:lang w:val="kk-KZ"/>
        </w:rPr>
        <w:t xml:space="preserve">Мемлекет тарапынан мемлекеттік бағдарламалар түрінде кредиттеуге қарамастан, капиталдың банкаралық нарығында теңге өтімділігінің құны артты. Осы орайда, банктер үшін валюталық тәуекелден басқа, өтімділік тәуекелі мен пайыздық тәуекел неғұрлым маңызды болып отыр. </w:t>
      </w:r>
      <w:r>
        <w:t>(</w:t>
      </w:r>
      <w:r w:rsidRPr="00C4538E">
        <w:t>16</w:t>
      </w:r>
      <w:r>
        <w:rPr>
          <w:lang w:val="kk-KZ"/>
        </w:rPr>
        <w:t>-д</w:t>
      </w:r>
      <w:proofErr w:type="spellStart"/>
      <w:r w:rsidRPr="00C4538E">
        <w:t>иаграмма</w:t>
      </w:r>
      <w:proofErr w:type="spellEnd"/>
      <w:r w:rsidRPr="00C4538E">
        <w:t xml:space="preserve">). </w:t>
      </w:r>
    </w:p>
    <w:p w:rsidR="00263930" w:rsidRPr="00263930" w:rsidRDefault="00263930" w:rsidP="00786BC1">
      <w:pPr>
        <w:ind w:firstLine="708"/>
        <w:jc w:val="both"/>
        <w:rPr>
          <w:lang w:val="en-US"/>
        </w:rPr>
      </w:pPr>
    </w:p>
    <w:p w:rsidR="00786BC1" w:rsidRDefault="00786BC1" w:rsidP="00786BC1">
      <w:pPr>
        <w:ind w:firstLine="708"/>
        <w:jc w:val="both"/>
      </w:pPr>
    </w:p>
    <w:p w:rsidR="007D751A" w:rsidRPr="007D751A" w:rsidRDefault="007D751A" w:rsidP="001C5E6B">
      <w:pPr>
        <w:ind w:firstLine="708"/>
        <w:jc w:val="both"/>
        <w:rPr>
          <w:b/>
          <w:lang w:val="kk-KZ"/>
        </w:rPr>
      </w:pPr>
    </w:p>
    <w:p w:rsidR="007D751A" w:rsidRPr="007D751A" w:rsidRDefault="007D751A" w:rsidP="001C5E6B">
      <w:pPr>
        <w:ind w:firstLine="708"/>
        <w:jc w:val="both"/>
        <w:rPr>
          <w:b/>
          <w:lang w:val="kk-KZ"/>
        </w:rPr>
      </w:pPr>
    </w:p>
    <w:p w:rsidR="007D751A" w:rsidRPr="007D751A" w:rsidRDefault="007D751A" w:rsidP="001C5E6B">
      <w:pPr>
        <w:ind w:firstLine="708"/>
        <w:jc w:val="both"/>
        <w:rPr>
          <w:b/>
          <w:lang w:val="kk-KZ"/>
        </w:rPr>
      </w:pPr>
    </w:p>
    <w:sectPr w:rsidR="007D751A" w:rsidRPr="007D751A" w:rsidSect="00FB7421">
      <w:footerReference w:type="even" r:id="rId29"/>
      <w:footerReference w:type="default" r:id="rId30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89" w:rsidRDefault="009A5889" w:rsidP="00E524F9">
      <w:r>
        <w:separator/>
      </w:r>
    </w:p>
  </w:endnote>
  <w:endnote w:type="continuationSeparator" w:id="0">
    <w:p w:rsidR="009A5889" w:rsidRDefault="009A5889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CE" w:rsidRDefault="00A708CE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08CE" w:rsidRDefault="00A708CE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CE" w:rsidRDefault="00A708CE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44B4">
      <w:rPr>
        <w:rStyle w:val="a8"/>
        <w:noProof/>
      </w:rPr>
      <w:t>1</w:t>
    </w:r>
    <w:r>
      <w:rPr>
        <w:rStyle w:val="a8"/>
      </w:rPr>
      <w:fldChar w:fldCharType="end"/>
    </w:r>
  </w:p>
  <w:p w:rsidR="00A708CE" w:rsidRDefault="00A708CE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89" w:rsidRDefault="009A5889" w:rsidP="00E524F9">
      <w:r>
        <w:separator/>
      </w:r>
    </w:p>
  </w:footnote>
  <w:footnote w:type="continuationSeparator" w:id="0">
    <w:p w:rsidR="009A5889" w:rsidRDefault="009A5889" w:rsidP="00E524F9">
      <w:r>
        <w:continuationSeparator/>
      </w:r>
    </w:p>
  </w:footnote>
  <w:footnote w:id="1">
    <w:p w:rsidR="000B501D" w:rsidRPr="004868C0" w:rsidRDefault="000B501D" w:rsidP="000B501D">
      <w:pPr>
        <w:pStyle w:val="a3"/>
        <w:rPr>
          <w:i/>
          <w:sz w:val="16"/>
          <w:szCs w:val="16"/>
          <w:lang w:val="kk-KZ"/>
        </w:rPr>
      </w:pPr>
      <w:r w:rsidRPr="004868C0">
        <w:rPr>
          <w:rStyle w:val="a5"/>
          <w:lang w:val="kk-KZ"/>
        </w:rPr>
        <w:footnoteRef/>
      </w:r>
      <w:r w:rsidRPr="004868C0">
        <w:rPr>
          <w:lang w:val="kk-KZ"/>
        </w:rPr>
        <w:t xml:space="preserve"> </w:t>
      </w:r>
      <w:r w:rsidR="00E248BD" w:rsidRPr="004868C0">
        <w:rPr>
          <w:i/>
          <w:sz w:val="16"/>
          <w:szCs w:val="16"/>
          <w:lang w:val="kk-KZ"/>
        </w:rPr>
        <w:t>Ұлттық Банк 2007 жылғы шілдеден бастап банктердің тоқсан сайынғы пікіртерімі нысанында жүргізеді. Зерттеу нәтижелері банктердің сауалнамасына (</w:t>
      </w:r>
      <w:hyperlink r:id="rId1" w:history="1">
        <w:r w:rsidR="00E248BD" w:rsidRPr="004868C0">
          <w:rPr>
            <w:rStyle w:val="aff"/>
            <w:i/>
            <w:sz w:val="16"/>
            <w:szCs w:val="16"/>
            <w:lang w:val="kk-KZ"/>
          </w:rPr>
          <w:t>http://www.nationalbank.kz/?docid=814&amp;switch=russian</w:t>
        </w:r>
      </w:hyperlink>
      <w:r w:rsidR="00E248BD" w:rsidRPr="004868C0">
        <w:rPr>
          <w:i/>
          <w:sz w:val="16"/>
          <w:szCs w:val="16"/>
          <w:lang w:val="kk-KZ"/>
        </w:rPr>
        <w:t>) және банктерге Банктермен сұхбат жүргізу нұсқаулығына сәйкес жүргізілетін сұхбат алу нәтижелеріне негізделеді</w:t>
      </w:r>
      <w:r w:rsidRPr="004868C0">
        <w:rPr>
          <w:i/>
          <w:sz w:val="16"/>
          <w:szCs w:val="16"/>
          <w:lang w:val="kk-KZ"/>
        </w:rPr>
        <w:t xml:space="preserve">. </w:t>
      </w:r>
    </w:p>
  </w:footnote>
  <w:footnote w:id="2">
    <w:p w:rsidR="00A708CE" w:rsidRPr="004868C0" w:rsidRDefault="00A708CE" w:rsidP="00E6749F">
      <w:pPr>
        <w:pStyle w:val="a3"/>
        <w:jc w:val="both"/>
        <w:rPr>
          <w:i/>
          <w:sz w:val="16"/>
          <w:szCs w:val="16"/>
          <w:lang w:val="kk-KZ"/>
        </w:rPr>
      </w:pPr>
      <w:r w:rsidRPr="004868C0">
        <w:rPr>
          <w:rStyle w:val="a5"/>
          <w:lang w:val="kk-KZ"/>
        </w:rPr>
        <w:footnoteRef/>
      </w:r>
      <w:r w:rsidRPr="004868C0">
        <w:rPr>
          <w:lang w:val="kk-KZ"/>
        </w:rPr>
        <w:t xml:space="preserve"> </w:t>
      </w:r>
      <w:r w:rsidR="000C679F" w:rsidRPr="004868C0">
        <w:rPr>
          <w:i/>
          <w:sz w:val="16"/>
          <w:szCs w:val="16"/>
          <w:lang w:val="kk-KZ"/>
        </w:rPr>
        <w:t>Осы жерде және одан әрі диаграммалардағы нәтижелер респонденттер жауаптарының таза пайыздық өзгеруінің өзгерісі түрінде берілген, ол қандай да болмасын өлшемнің ұлғаюын/жұмсаруын белгілеген респонденттердің %-ның және қандай да болмасын өлшемнің төмендеуін/қатаңдауын белгілеген респонденттердің %-ның айырмасы ретінде есептеледі.</w:t>
      </w:r>
      <w:r w:rsidR="000C679F" w:rsidRPr="004868C0">
        <w:rPr>
          <w:lang w:val="kk-KZ"/>
        </w:rPr>
        <w:t xml:space="preserve"> </w:t>
      </w:r>
      <w:r w:rsidR="000C679F" w:rsidRPr="004868C0">
        <w:rPr>
          <w:b/>
          <w:i/>
          <w:sz w:val="16"/>
          <w:szCs w:val="16"/>
          <w:lang w:val="kk-KZ"/>
        </w:rPr>
        <w:t>Мән қандай да болмасын өлшемнің төмендеуінің/қатаңдауының 0 төмен, қандай да болмасын өлшемнің жұмсаруының/ұлғаюының 0 жоғары.</w:t>
      </w:r>
      <w:r w:rsidR="000C679F" w:rsidRPr="004868C0">
        <w:rPr>
          <w:lang w:val="kk-KZ"/>
        </w:rPr>
        <w:t xml:space="preserve"> </w:t>
      </w:r>
      <w:r w:rsidR="000C679F" w:rsidRPr="004868C0">
        <w:rPr>
          <w:i/>
          <w:sz w:val="16"/>
          <w:szCs w:val="16"/>
          <w:lang w:val="kk-KZ"/>
        </w:rPr>
        <w:t>Бұл жағдайда диаграммада кредит саясатының өзгеруі берілген</w:t>
      </w:r>
      <w:r w:rsidRPr="004868C0">
        <w:rPr>
          <w:i/>
          <w:sz w:val="16"/>
          <w:szCs w:val="16"/>
          <w:lang w:val="kk-KZ"/>
        </w:rPr>
        <w:t xml:space="preserve">. </w:t>
      </w:r>
    </w:p>
    <w:p w:rsidR="00A708CE" w:rsidRPr="004868C0" w:rsidRDefault="00A708CE" w:rsidP="00E6749F">
      <w:pPr>
        <w:pStyle w:val="a3"/>
        <w:jc w:val="both"/>
        <w:rPr>
          <w:b/>
          <w:lang w:val="kk-K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79E"/>
    <w:multiLevelType w:val="hybridMultilevel"/>
    <w:tmpl w:val="738E81DC"/>
    <w:lvl w:ilvl="0" w:tplc="28D841C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275A77"/>
    <w:multiLevelType w:val="hybridMultilevel"/>
    <w:tmpl w:val="BA1A29D4"/>
    <w:lvl w:ilvl="0" w:tplc="83DC03AE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55A"/>
    <w:rsid w:val="000008B7"/>
    <w:rsid w:val="00001010"/>
    <w:rsid w:val="0000131B"/>
    <w:rsid w:val="00001677"/>
    <w:rsid w:val="00001966"/>
    <w:rsid w:val="00001A9D"/>
    <w:rsid w:val="000023F0"/>
    <w:rsid w:val="000024F8"/>
    <w:rsid w:val="00002AD6"/>
    <w:rsid w:val="00003505"/>
    <w:rsid w:val="00004220"/>
    <w:rsid w:val="00004DC9"/>
    <w:rsid w:val="000052C1"/>
    <w:rsid w:val="000055DB"/>
    <w:rsid w:val="00005D32"/>
    <w:rsid w:val="000064ED"/>
    <w:rsid w:val="000065FA"/>
    <w:rsid w:val="0000697C"/>
    <w:rsid w:val="00006CC8"/>
    <w:rsid w:val="00006E5F"/>
    <w:rsid w:val="00007313"/>
    <w:rsid w:val="00007377"/>
    <w:rsid w:val="000073B6"/>
    <w:rsid w:val="000073D7"/>
    <w:rsid w:val="00007BBF"/>
    <w:rsid w:val="00007E20"/>
    <w:rsid w:val="00011A3C"/>
    <w:rsid w:val="000121AF"/>
    <w:rsid w:val="0001221F"/>
    <w:rsid w:val="0001241D"/>
    <w:rsid w:val="00012684"/>
    <w:rsid w:val="00012C0B"/>
    <w:rsid w:val="000135A8"/>
    <w:rsid w:val="000138F9"/>
    <w:rsid w:val="000139E2"/>
    <w:rsid w:val="00013A1A"/>
    <w:rsid w:val="000140CD"/>
    <w:rsid w:val="000154EA"/>
    <w:rsid w:val="000155BD"/>
    <w:rsid w:val="00015E01"/>
    <w:rsid w:val="00016A85"/>
    <w:rsid w:val="00016FCD"/>
    <w:rsid w:val="000171E0"/>
    <w:rsid w:val="0001727E"/>
    <w:rsid w:val="00017CE9"/>
    <w:rsid w:val="00017D79"/>
    <w:rsid w:val="00021C76"/>
    <w:rsid w:val="0002260A"/>
    <w:rsid w:val="00022CE8"/>
    <w:rsid w:val="00023A93"/>
    <w:rsid w:val="00023AF8"/>
    <w:rsid w:val="00023FF5"/>
    <w:rsid w:val="0002418A"/>
    <w:rsid w:val="000253A0"/>
    <w:rsid w:val="00025726"/>
    <w:rsid w:val="0002591A"/>
    <w:rsid w:val="000259FE"/>
    <w:rsid w:val="00025A02"/>
    <w:rsid w:val="000264D4"/>
    <w:rsid w:val="000272D4"/>
    <w:rsid w:val="00027333"/>
    <w:rsid w:val="00030085"/>
    <w:rsid w:val="000300D6"/>
    <w:rsid w:val="0003037E"/>
    <w:rsid w:val="000307FF"/>
    <w:rsid w:val="00030DD2"/>
    <w:rsid w:val="00031AB3"/>
    <w:rsid w:val="00031B0C"/>
    <w:rsid w:val="00031D4B"/>
    <w:rsid w:val="000326A6"/>
    <w:rsid w:val="00032CD4"/>
    <w:rsid w:val="00033533"/>
    <w:rsid w:val="00033635"/>
    <w:rsid w:val="00033798"/>
    <w:rsid w:val="000339DC"/>
    <w:rsid w:val="00034DD5"/>
    <w:rsid w:val="00035176"/>
    <w:rsid w:val="000354D5"/>
    <w:rsid w:val="00035C10"/>
    <w:rsid w:val="00035C28"/>
    <w:rsid w:val="00037328"/>
    <w:rsid w:val="00040E7E"/>
    <w:rsid w:val="00040F30"/>
    <w:rsid w:val="00041C61"/>
    <w:rsid w:val="00041CE1"/>
    <w:rsid w:val="00042208"/>
    <w:rsid w:val="0004250B"/>
    <w:rsid w:val="00042909"/>
    <w:rsid w:val="00042BB0"/>
    <w:rsid w:val="00042CDF"/>
    <w:rsid w:val="00042E4F"/>
    <w:rsid w:val="00043129"/>
    <w:rsid w:val="000436E1"/>
    <w:rsid w:val="00043819"/>
    <w:rsid w:val="00043FE7"/>
    <w:rsid w:val="000447A3"/>
    <w:rsid w:val="00044878"/>
    <w:rsid w:val="00044DBC"/>
    <w:rsid w:val="0004538E"/>
    <w:rsid w:val="00045724"/>
    <w:rsid w:val="00045C49"/>
    <w:rsid w:val="000465E3"/>
    <w:rsid w:val="00046787"/>
    <w:rsid w:val="00047A71"/>
    <w:rsid w:val="00047C7D"/>
    <w:rsid w:val="000501D4"/>
    <w:rsid w:val="000503B5"/>
    <w:rsid w:val="00050DCF"/>
    <w:rsid w:val="00051524"/>
    <w:rsid w:val="00051CDC"/>
    <w:rsid w:val="00051F40"/>
    <w:rsid w:val="000527E1"/>
    <w:rsid w:val="000528B7"/>
    <w:rsid w:val="0005329D"/>
    <w:rsid w:val="00053ECB"/>
    <w:rsid w:val="000543F9"/>
    <w:rsid w:val="00054B32"/>
    <w:rsid w:val="00054FB6"/>
    <w:rsid w:val="000571C3"/>
    <w:rsid w:val="00057442"/>
    <w:rsid w:val="0006041E"/>
    <w:rsid w:val="0006098A"/>
    <w:rsid w:val="00060D46"/>
    <w:rsid w:val="000610A5"/>
    <w:rsid w:val="000618C5"/>
    <w:rsid w:val="00061C3A"/>
    <w:rsid w:val="00062AD5"/>
    <w:rsid w:val="0006314D"/>
    <w:rsid w:val="00063723"/>
    <w:rsid w:val="000638FE"/>
    <w:rsid w:val="00063DC1"/>
    <w:rsid w:val="00064D71"/>
    <w:rsid w:val="00064FAA"/>
    <w:rsid w:val="00065288"/>
    <w:rsid w:val="0006595B"/>
    <w:rsid w:val="00065B44"/>
    <w:rsid w:val="00067090"/>
    <w:rsid w:val="00067172"/>
    <w:rsid w:val="00067669"/>
    <w:rsid w:val="00067BE1"/>
    <w:rsid w:val="00071878"/>
    <w:rsid w:val="000719F2"/>
    <w:rsid w:val="000725DD"/>
    <w:rsid w:val="00072A13"/>
    <w:rsid w:val="00072AE0"/>
    <w:rsid w:val="00073A6C"/>
    <w:rsid w:val="00073FA2"/>
    <w:rsid w:val="00075000"/>
    <w:rsid w:val="0007509A"/>
    <w:rsid w:val="00075166"/>
    <w:rsid w:val="000758E5"/>
    <w:rsid w:val="00075B4D"/>
    <w:rsid w:val="00075ECA"/>
    <w:rsid w:val="00076B3A"/>
    <w:rsid w:val="0008023A"/>
    <w:rsid w:val="00080309"/>
    <w:rsid w:val="00080780"/>
    <w:rsid w:val="00080AB6"/>
    <w:rsid w:val="00081575"/>
    <w:rsid w:val="000817C4"/>
    <w:rsid w:val="000817E4"/>
    <w:rsid w:val="00081B9B"/>
    <w:rsid w:val="00082606"/>
    <w:rsid w:val="0008302B"/>
    <w:rsid w:val="00083056"/>
    <w:rsid w:val="00083792"/>
    <w:rsid w:val="00084357"/>
    <w:rsid w:val="00084DBA"/>
    <w:rsid w:val="00084ECC"/>
    <w:rsid w:val="00085B3F"/>
    <w:rsid w:val="00085EDF"/>
    <w:rsid w:val="0008640C"/>
    <w:rsid w:val="00086EAF"/>
    <w:rsid w:val="000872CE"/>
    <w:rsid w:val="00090930"/>
    <w:rsid w:val="00090972"/>
    <w:rsid w:val="00091D9E"/>
    <w:rsid w:val="00091FC5"/>
    <w:rsid w:val="00092928"/>
    <w:rsid w:val="00092968"/>
    <w:rsid w:val="000930E5"/>
    <w:rsid w:val="000930FE"/>
    <w:rsid w:val="0009459F"/>
    <w:rsid w:val="00094D66"/>
    <w:rsid w:val="00095DCF"/>
    <w:rsid w:val="000962AF"/>
    <w:rsid w:val="00096B21"/>
    <w:rsid w:val="00097529"/>
    <w:rsid w:val="000A07F9"/>
    <w:rsid w:val="000A103C"/>
    <w:rsid w:val="000A11E2"/>
    <w:rsid w:val="000A3F74"/>
    <w:rsid w:val="000A4494"/>
    <w:rsid w:val="000A4C7E"/>
    <w:rsid w:val="000A4E33"/>
    <w:rsid w:val="000A58B0"/>
    <w:rsid w:val="000A5A5E"/>
    <w:rsid w:val="000A5BAF"/>
    <w:rsid w:val="000A5BEF"/>
    <w:rsid w:val="000A5DED"/>
    <w:rsid w:val="000A616E"/>
    <w:rsid w:val="000A69B3"/>
    <w:rsid w:val="000A7010"/>
    <w:rsid w:val="000A7061"/>
    <w:rsid w:val="000A7070"/>
    <w:rsid w:val="000A7C85"/>
    <w:rsid w:val="000B05B9"/>
    <w:rsid w:val="000B062A"/>
    <w:rsid w:val="000B06DF"/>
    <w:rsid w:val="000B094C"/>
    <w:rsid w:val="000B20A6"/>
    <w:rsid w:val="000B2ACB"/>
    <w:rsid w:val="000B2CEA"/>
    <w:rsid w:val="000B399A"/>
    <w:rsid w:val="000B4078"/>
    <w:rsid w:val="000B490C"/>
    <w:rsid w:val="000B4D52"/>
    <w:rsid w:val="000B501D"/>
    <w:rsid w:val="000B5049"/>
    <w:rsid w:val="000B5CA9"/>
    <w:rsid w:val="000B61B3"/>
    <w:rsid w:val="000B63E8"/>
    <w:rsid w:val="000B7215"/>
    <w:rsid w:val="000B7CB0"/>
    <w:rsid w:val="000B7D63"/>
    <w:rsid w:val="000C0A3B"/>
    <w:rsid w:val="000C0B58"/>
    <w:rsid w:val="000C1418"/>
    <w:rsid w:val="000C1D8C"/>
    <w:rsid w:val="000C200B"/>
    <w:rsid w:val="000C285D"/>
    <w:rsid w:val="000C2F55"/>
    <w:rsid w:val="000C30A2"/>
    <w:rsid w:val="000C3355"/>
    <w:rsid w:val="000C4098"/>
    <w:rsid w:val="000C426B"/>
    <w:rsid w:val="000C59D0"/>
    <w:rsid w:val="000C5B55"/>
    <w:rsid w:val="000C6239"/>
    <w:rsid w:val="000C679F"/>
    <w:rsid w:val="000C69B4"/>
    <w:rsid w:val="000C69CA"/>
    <w:rsid w:val="000C6A69"/>
    <w:rsid w:val="000C6ACB"/>
    <w:rsid w:val="000C6D04"/>
    <w:rsid w:val="000D0BEF"/>
    <w:rsid w:val="000D10AB"/>
    <w:rsid w:val="000D166A"/>
    <w:rsid w:val="000D288E"/>
    <w:rsid w:val="000D2CB2"/>
    <w:rsid w:val="000D2ED2"/>
    <w:rsid w:val="000D3A4D"/>
    <w:rsid w:val="000D41C7"/>
    <w:rsid w:val="000D501F"/>
    <w:rsid w:val="000D5430"/>
    <w:rsid w:val="000D5461"/>
    <w:rsid w:val="000D5C8D"/>
    <w:rsid w:val="000D5FCE"/>
    <w:rsid w:val="000D66D8"/>
    <w:rsid w:val="000D6CBE"/>
    <w:rsid w:val="000D7703"/>
    <w:rsid w:val="000D7BB4"/>
    <w:rsid w:val="000D7CFD"/>
    <w:rsid w:val="000D7D7C"/>
    <w:rsid w:val="000D7D96"/>
    <w:rsid w:val="000D7E87"/>
    <w:rsid w:val="000E18F4"/>
    <w:rsid w:val="000E1D66"/>
    <w:rsid w:val="000E23D6"/>
    <w:rsid w:val="000E2452"/>
    <w:rsid w:val="000E2EDF"/>
    <w:rsid w:val="000E2F45"/>
    <w:rsid w:val="000E36B5"/>
    <w:rsid w:val="000E3D5B"/>
    <w:rsid w:val="000E3F36"/>
    <w:rsid w:val="000E49F6"/>
    <w:rsid w:val="000E4F79"/>
    <w:rsid w:val="000E51FF"/>
    <w:rsid w:val="000E5267"/>
    <w:rsid w:val="000E61EC"/>
    <w:rsid w:val="000E74D8"/>
    <w:rsid w:val="000E7B4A"/>
    <w:rsid w:val="000F0F2A"/>
    <w:rsid w:val="000F197C"/>
    <w:rsid w:val="000F1C74"/>
    <w:rsid w:val="000F1F94"/>
    <w:rsid w:val="000F25B3"/>
    <w:rsid w:val="000F39A4"/>
    <w:rsid w:val="000F3B3D"/>
    <w:rsid w:val="000F4028"/>
    <w:rsid w:val="000F4278"/>
    <w:rsid w:val="000F4701"/>
    <w:rsid w:val="000F48F4"/>
    <w:rsid w:val="000F6DB5"/>
    <w:rsid w:val="000F7762"/>
    <w:rsid w:val="000F7A90"/>
    <w:rsid w:val="00100439"/>
    <w:rsid w:val="00100548"/>
    <w:rsid w:val="0010068D"/>
    <w:rsid w:val="001013F6"/>
    <w:rsid w:val="00101B1E"/>
    <w:rsid w:val="00101E5F"/>
    <w:rsid w:val="00102684"/>
    <w:rsid w:val="0010285F"/>
    <w:rsid w:val="00102B8B"/>
    <w:rsid w:val="00103996"/>
    <w:rsid w:val="00103B2F"/>
    <w:rsid w:val="00103F3E"/>
    <w:rsid w:val="00104347"/>
    <w:rsid w:val="00104DCA"/>
    <w:rsid w:val="001051AB"/>
    <w:rsid w:val="0010536E"/>
    <w:rsid w:val="00106711"/>
    <w:rsid w:val="00106C6D"/>
    <w:rsid w:val="001074F8"/>
    <w:rsid w:val="00110E7A"/>
    <w:rsid w:val="0011270F"/>
    <w:rsid w:val="001127F8"/>
    <w:rsid w:val="00113ABB"/>
    <w:rsid w:val="001143FE"/>
    <w:rsid w:val="00114B43"/>
    <w:rsid w:val="00114BCF"/>
    <w:rsid w:val="0011606C"/>
    <w:rsid w:val="0011649F"/>
    <w:rsid w:val="001164C7"/>
    <w:rsid w:val="00117D6F"/>
    <w:rsid w:val="00117E4E"/>
    <w:rsid w:val="00120057"/>
    <w:rsid w:val="0012031B"/>
    <w:rsid w:val="00120373"/>
    <w:rsid w:val="00121B41"/>
    <w:rsid w:val="00121C4A"/>
    <w:rsid w:val="00121C52"/>
    <w:rsid w:val="00121D7D"/>
    <w:rsid w:val="00121E94"/>
    <w:rsid w:val="00122848"/>
    <w:rsid w:val="00122994"/>
    <w:rsid w:val="00122E74"/>
    <w:rsid w:val="0012339E"/>
    <w:rsid w:val="0012378E"/>
    <w:rsid w:val="001244E4"/>
    <w:rsid w:val="00125052"/>
    <w:rsid w:val="001251A0"/>
    <w:rsid w:val="0012542E"/>
    <w:rsid w:val="00125F20"/>
    <w:rsid w:val="001263B8"/>
    <w:rsid w:val="001264F8"/>
    <w:rsid w:val="00126D99"/>
    <w:rsid w:val="00127F8C"/>
    <w:rsid w:val="0013054A"/>
    <w:rsid w:val="00130FFC"/>
    <w:rsid w:val="00131686"/>
    <w:rsid w:val="00132815"/>
    <w:rsid w:val="00132FB4"/>
    <w:rsid w:val="0013347B"/>
    <w:rsid w:val="00133691"/>
    <w:rsid w:val="00134A90"/>
    <w:rsid w:val="00134E23"/>
    <w:rsid w:val="00134E77"/>
    <w:rsid w:val="00136151"/>
    <w:rsid w:val="001363AB"/>
    <w:rsid w:val="00136DC7"/>
    <w:rsid w:val="00136DE9"/>
    <w:rsid w:val="0013701A"/>
    <w:rsid w:val="00137FAB"/>
    <w:rsid w:val="001401CF"/>
    <w:rsid w:val="00140E2F"/>
    <w:rsid w:val="0014233D"/>
    <w:rsid w:val="00142877"/>
    <w:rsid w:val="00142A17"/>
    <w:rsid w:val="00143157"/>
    <w:rsid w:val="001438A8"/>
    <w:rsid w:val="00146490"/>
    <w:rsid w:val="00146E68"/>
    <w:rsid w:val="00146F11"/>
    <w:rsid w:val="001471C5"/>
    <w:rsid w:val="001475C2"/>
    <w:rsid w:val="00147C3B"/>
    <w:rsid w:val="00147D37"/>
    <w:rsid w:val="0015075D"/>
    <w:rsid w:val="00150CDC"/>
    <w:rsid w:val="00150F72"/>
    <w:rsid w:val="00151193"/>
    <w:rsid w:val="00151677"/>
    <w:rsid w:val="00152A97"/>
    <w:rsid w:val="00153BC8"/>
    <w:rsid w:val="001550EE"/>
    <w:rsid w:val="00155E34"/>
    <w:rsid w:val="001563FF"/>
    <w:rsid w:val="001568E2"/>
    <w:rsid w:val="001573FD"/>
    <w:rsid w:val="00160022"/>
    <w:rsid w:val="0016009B"/>
    <w:rsid w:val="00160760"/>
    <w:rsid w:val="001617D1"/>
    <w:rsid w:val="00161DD4"/>
    <w:rsid w:val="00162CD1"/>
    <w:rsid w:val="0016316F"/>
    <w:rsid w:val="0016367F"/>
    <w:rsid w:val="00163886"/>
    <w:rsid w:val="00163B9F"/>
    <w:rsid w:val="00163F9F"/>
    <w:rsid w:val="00164763"/>
    <w:rsid w:val="00167842"/>
    <w:rsid w:val="0017188F"/>
    <w:rsid w:val="0017199B"/>
    <w:rsid w:val="00171AB6"/>
    <w:rsid w:val="00172281"/>
    <w:rsid w:val="001737C8"/>
    <w:rsid w:val="0017533B"/>
    <w:rsid w:val="00175EFD"/>
    <w:rsid w:val="00176291"/>
    <w:rsid w:val="001763FD"/>
    <w:rsid w:val="001764D9"/>
    <w:rsid w:val="00176833"/>
    <w:rsid w:val="00176B74"/>
    <w:rsid w:val="00180A82"/>
    <w:rsid w:val="00181393"/>
    <w:rsid w:val="00181445"/>
    <w:rsid w:val="001815CC"/>
    <w:rsid w:val="00184895"/>
    <w:rsid w:val="001848B4"/>
    <w:rsid w:val="001848D3"/>
    <w:rsid w:val="001851CF"/>
    <w:rsid w:val="0018520A"/>
    <w:rsid w:val="00186324"/>
    <w:rsid w:val="00186345"/>
    <w:rsid w:val="0018666A"/>
    <w:rsid w:val="00186679"/>
    <w:rsid w:val="001875D8"/>
    <w:rsid w:val="00187753"/>
    <w:rsid w:val="001879AC"/>
    <w:rsid w:val="0019029D"/>
    <w:rsid w:val="0019095D"/>
    <w:rsid w:val="001909FC"/>
    <w:rsid w:val="00190ED7"/>
    <w:rsid w:val="00191688"/>
    <w:rsid w:val="0019220C"/>
    <w:rsid w:val="00192F15"/>
    <w:rsid w:val="0019399D"/>
    <w:rsid w:val="00194092"/>
    <w:rsid w:val="00194337"/>
    <w:rsid w:val="00194C82"/>
    <w:rsid w:val="0019573E"/>
    <w:rsid w:val="00195761"/>
    <w:rsid w:val="00196F4D"/>
    <w:rsid w:val="00197868"/>
    <w:rsid w:val="00197A9F"/>
    <w:rsid w:val="001A0188"/>
    <w:rsid w:val="001A0635"/>
    <w:rsid w:val="001A0938"/>
    <w:rsid w:val="001A15C9"/>
    <w:rsid w:val="001A1E94"/>
    <w:rsid w:val="001A2543"/>
    <w:rsid w:val="001A26BB"/>
    <w:rsid w:val="001A2887"/>
    <w:rsid w:val="001A2C41"/>
    <w:rsid w:val="001A3B24"/>
    <w:rsid w:val="001A447A"/>
    <w:rsid w:val="001A4A11"/>
    <w:rsid w:val="001A4EC3"/>
    <w:rsid w:val="001A5E41"/>
    <w:rsid w:val="001A5F4A"/>
    <w:rsid w:val="001A6170"/>
    <w:rsid w:val="001A629D"/>
    <w:rsid w:val="001A66F7"/>
    <w:rsid w:val="001A682D"/>
    <w:rsid w:val="001A6D96"/>
    <w:rsid w:val="001A7023"/>
    <w:rsid w:val="001B0011"/>
    <w:rsid w:val="001B0307"/>
    <w:rsid w:val="001B030F"/>
    <w:rsid w:val="001B0314"/>
    <w:rsid w:val="001B0510"/>
    <w:rsid w:val="001B06FF"/>
    <w:rsid w:val="001B0742"/>
    <w:rsid w:val="001B0CE2"/>
    <w:rsid w:val="001B0DF7"/>
    <w:rsid w:val="001B0F00"/>
    <w:rsid w:val="001B110A"/>
    <w:rsid w:val="001B13B4"/>
    <w:rsid w:val="001B1909"/>
    <w:rsid w:val="001B1E91"/>
    <w:rsid w:val="001B22D6"/>
    <w:rsid w:val="001B28B6"/>
    <w:rsid w:val="001B2B53"/>
    <w:rsid w:val="001B373C"/>
    <w:rsid w:val="001B5EC2"/>
    <w:rsid w:val="001B6C60"/>
    <w:rsid w:val="001B75D4"/>
    <w:rsid w:val="001B79F4"/>
    <w:rsid w:val="001B7A61"/>
    <w:rsid w:val="001C10B7"/>
    <w:rsid w:val="001C2357"/>
    <w:rsid w:val="001C2DFB"/>
    <w:rsid w:val="001C2F9B"/>
    <w:rsid w:val="001C3367"/>
    <w:rsid w:val="001C3374"/>
    <w:rsid w:val="001C3920"/>
    <w:rsid w:val="001C3A7F"/>
    <w:rsid w:val="001C461C"/>
    <w:rsid w:val="001C5CA7"/>
    <w:rsid w:val="001C5E6B"/>
    <w:rsid w:val="001C6CBA"/>
    <w:rsid w:val="001C74AC"/>
    <w:rsid w:val="001C7C2E"/>
    <w:rsid w:val="001D00D5"/>
    <w:rsid w:val="001D194C"/>
    <w:rsid w:val="001D1FD9"/>
    <w:rsid w:val="001D2285"/>
    <w:rsid w:val="001D2481"/>
    <w:rsid w:val="001D24A6"/>
    <w:rsid w:val="001D24E7"/>
    <w:rsid w:val="001D2885"/>
    <w:rsid w:val="001D344F"/>
    <w:rsid w:val="001D378D"/>
    <w:rsid w:val="001D3A88"/>
    <w:rsid w:val="001D3E93"/>
    <w:rsid w:val="001D4A75"/>
    <w:rsid w:val="001D50E9"/>
    <w:rsid w:val="001D55A0"/>
    <w:rsid w:val="001D5A0E"/>
    <w:rsid w:val="001D6A9E"/>
    <w:rsid w:val="001D6F55"/>
    <w:rsid w:val="001D77DE"/>
    <w:rsid w:val="001D7932"/>
    <w:rsid w:val="001D7E0E"/>
    <w:rsid w:val="001E06FA"/>
    <w:rsid w:val="001E0C7A"/>
    <w:rsid w:val="001E161A"/>
    <w:rsid w:val="001E1F03"/>
    <w:rsid w:val="001E2E22"/>
    <w:rsid w:val="001E318D"/>
    <w:rsid w:val="001E41CC"/>
    <w:rsid w:val="001E45AF"/>
    <w:rsid w:val="001E4AE3"/>
    <w:rsid w:val="001E57ED"/>
    <w:rsid w:val="001E693B"/>
    <w:rsid w:val="001E6E61"/>
    <w:rsid w:val="001E7CDA"/>
    <w:rsid w:val="001F00E0"/>
    <w:rsid w:val="001F0135"/>
    <w:rsid w:val="001F07B5"/>
    <w:rsid w:val="001F1115"/>
    <w:rsid w:val="001F11D2"/>
    <w:rsid w:val="001F1A47"/>
    <w:rsid w:val="001F1E4E"/>
    <w:rsid w:val="001F2BD8"/>
    <w:rsid w:val="001F2F05"/>
    <w:rsid w:val="001F31FA"/>
    <w:rsid w:val="001F33CD"/>
    <w:rsid w:val="001F384F"/>
    <w:rsid w:val="001F39E5"/>
    <w:rsid w:val="001F410E"/>
    <w:rsid w:val="001F43FC"/>
    <w:rsid w:val="001F5054"/>
    <w:rsid w:val="001F556A"/>
    <w:rsid w:val="001F5E53"/>
    <w:rsid w:val="001F5E5C"/>
    <w:rsid w:val="001F62DC"/>
    <w:rsid w:val="001F6510"/>
    <w:rsid w:val="001F6829"/>
    <w:rsid w:val="001F7764"/>
    <w:rsid w:val="001F7B95"/>
    <w:rsid w:val="0020054C"/>
    <w:rsid w:val="00200E0F"/>
    <w:rsid w:val="0020172F"/>
    <w:rsid w:val="002019D8"/>
    <w:rsid w:val="00203E9D"/>
    <w:rsid w:val="00204697"/>
    <w:rsid w:val="00204B9A"/>
    <w:rsid w:val="0020516E"/>
    <w:rsid w:val="00205A85"/>
    <w:rsid w:val="00205A92"/>
    <w:rsid w:val="00206FCC"/>
    <w:rsid w:val="002070FF"/>
    <w:rsid w:val="002076FC"/>
    <w:rsid w:val="00207A36"/>
    <w:rsid w:val="00207E89"/>
    <w:rsid w:val="00210691"/>
    <w:rsid w:val="00210C8D"/>
    <w:rsid w:val="002118E9"/>
    <w:rsid w:val="002118F2"/>
    <w:rsid w:val="00211EBB"/>
    <w:rsid w:val="00212401"/>
    <w:rsid w:val="00212764"/>
    <w:rsid w:val="0021309B"/>
    <w:rsid w:val="00213265"/>
    <w:rsid w:val="00213ACA"/>
    <w:rsid w:val="00214042"/>
    <w:rsid w:val="0021423A"/>
    <w:rsid w:val="00214B73"/>
    <w:rsid w:val="00214C7C"/>
    <w:rsid w:val="00214CD1"/>
    <w:rsid w:val="00214E3F"/>
    <w:rsid w:val="00215EC1"/>
    <w:rsid w:val="002163A3"/>
    <w:rsid w:val="0021658F"/>
    <w:rsid w:val="00216A15"/>
    <w:rsid w:val="00216C88"/>
    <w:rsid w:val="00217349"/>
    <w:rsid w:val="002174E3"/>
    <w:rsid w:val="0021750F"/>
    <w:rsid w:val="002176FF"/>
    <w:rsid w:val="00220138"/>
    <w:rsid w:val="002202F6"/>
    <w:rsid w:val="00220391"/>
    <w:rsid w:val="00220703"/>
    <w:rsid w:val="002208C7"/>
    <w:rsid w:val="00220E9E"/>
    <w:rsid w:val="002215E9"/>
    <w:rsid w:val="002234AF"/>
    <w:rsid w:val="002236E0"/>
    <w:rsid w:val="002242ED"/>
    <w:rsid w:val="00225BEE"/>
    <w:rsid w:val="00226474"/>
    <w:rsid w:val="00227524"/>
    <w:rsid w:val="00230140"/>
    <w:rsid w:val="002301F4"/>
    <w:rsid w:val="00230A40"/>
    <w:rsid w:val="00230FC1"/>
    <w:rsid w:val="0023141F"/>
    <w:rsid w:val="00231753"/>
    <w:rsid w:val="002322EE"/>
    <w:rsid w:val="00232725"/>
    <w:rsid w:val="00232851"/>
    <w:rsid w:val="002328AE"/>
    <w:rsid w:val="00232CC2"/>
    <w:rsid w:val="00232D16"/>
    <w:rsid w:val="0023358A"/>
    <w:rsid w:val="00233720"/>
    <w:rsid w:val="00234251"/>
    <w:rsid w:val="002349DB"/>
    <w:rsid w:val="00234B9F"/>
    <w:rsid w:val="002359F1"/>
    <w:rsid w:val="00236123"/>
    <w:rsid w:val="002369D2"/>
    <w:rsid w:val="00236CBD"/>
    <w:rsid w:val="00236E6A"/>
    <w:rsid w:val="00237266"/>
    <w:rsid w:val="002372C4"/>
    <w:rsid w:val="00241BC2"/>
    <w:rsid w:val="0024298F"/>
    <w:rsid w:val="00242CDC"/>
    <w:rsid w:val="002430A5"/>
    <w:rsid w:val="002430BD"/>
    <w:rsid w:val="0024335A"/>
    <w:rsid w:val="0024349A"/>
    <w:rsid w:val="00244645"/>
    <w:rsid w:val="00244FCD"/>
    <w:rsid w:val="0024523A"/>
    <w:rsid w:val="00245311"/>
    <w:rsid w:val="00245E00"/>
    <w:rsid w:val="002479E8"/>
    <w:rsid w:val="00250084"/>
    <w:rsid w:val="0025023B"/>
    <w:rsid w:val="00250D77"/>
    <w:rsid w:val="00251CAF"/>
    <w:rsid w:val="002520E8"/>
    <w:rsid w:val="0025381E"/>
    <w:rsid w:val="00254057"/>
    <w:rsid w:val="00254A39"/>
    <w:rsid w:val="00254AF4"/>
    <w:rsid w:val="00254E78"/>
    <w:rsid w:val="00255143"/>
    <w:rsid w:val="00255A6B"/>
    <w:rsid w:val="00255B93"/>
    <w:rsid w:val="0025602F"/>
    <w:rsid w:val="002560FE"/>
    <w:rsid w:val="0025632B"/>
    <w:rsid w:val="0025635D"/>
    <w:rsid w:val="002565A9"/>
    <w:rsid w:val="00256E2D"/>
    <w:rsid w:val="00257202"/>
    <w:rsid w:val="002602C2"/>
    <w:rsid w:val="0026083F"/>
    <w:rsid w:val="00260993"/>
    <w:rsid w:val="00260BDC"/>
    <w:rsid w:val="00260E07"/>
    <w:rsid w:val="0026128B"/>
    <w:rsid w:val="002618B1"/>
    <w:rsid w:val="0026193D"/>
    <w:rsid w:val="0026244F"/>
    <w:rsid w:val="00262DC2"/>
    <w:rsid w:val="00263930"/>
    <w:rsid w:val="00263D7A"/>
    <w:rsid w:val="00264858"/>
    <w:rsid w:val="00265DA2"/>
    <w:rsid w:val="002660C5"/>
    <w:rsid w:val="00267CED"/>
    <w:rsid w:val="0027233D"/>
    <w:rsid w:val="00273359"/>
    <w:rsid w:val="00273AB6"/>
    <w:rsid w:val="0027480E"/>
    <w:rsid w:val="00274AFE"/>
    <w:rsid w:val="00274EB1"/>
    <w:rsid w:val="0027509A"/>
    <w:rsid w:val="0027510E"/>
    <w:rsid w:val="00275601"/>
    <w:rsid w:val="0027574A"/>
    <w:rsid w:val="00276532"/>
    <w:rsid w:val="002768CF"/>
    <w:rsid w:val="00276B8F"/>
    <w:rsid w:val="00276F10"/>
    <w:rsid w:val="0028046E"/>
    <w:rsid w:val="00280A13"/>
    <w:rsid w:val="00280CE4"/>
    <w:rsid w:val="00280F9C"/>
    <w:rsid w:val="00281295"/>
    <w:rsid w:val="002814C5"/>
    <w:rsid w:val="00281F13"/>
    <w:rsid w:val="002832BB"/>
    <w:rsid w:val="00283B29"/>
    <w:rsid w:val="00283BC5"/>
    <w:rsid w:val="002845E1"/>
    <w:rsid w:val="002846DB"/>
    <w:rsid w:val="00285283"/>
    <w:rsid w:val="00285414"/>
    <w:rsid w:val="00285D0F"/>
    <w:rsid w:val="00286E3A"/>
    <w:rsid w:val="002876B7"/>
    <w:rsid w:val="002900AA"/>
    <w:rsid w:val="0029034B"/>
    <w:rsid w:val="00291222"/>
    <w:rsid w:val="002914D1"/>
    <w:rsid w:val="002916AA"/>
    <w:rsid w:val="002921F6"/>
    <w:rsid w:val="002924AB"/>
    <w:rsid w:val="00292F85"/>
    <w:rsid w:val="002936CC"/>
    <w:rsid w:val="00293B77"/>
    <w:rsid w:val="00295447"/>
    <w:rsid w:val="00295EB7"/>
    <w:rsid w:val="00296114"/>
    <w:rsid w:val="00296DCB"/>
    <w:rsid w:val="002A00D7"/>
    <w:rsid w:val="002A0DD5"/>
    <w:rsid w:val="002A1D1A"/>
    <w:rsid w:val="002A24F9"/>
    <w:rsid w:val="002A27A1"/>
    <w:rsid w:val="002A2B0B"/>
    <w:rsid w:val="002A2B18"/>
    <w:rsid w:val="002A2B41"/>
    <w:rsid w:val="002A3144"/>
    <w:rsid w:val="002A4AEE"/>
    <w:rsid w:val="002A4B4B"/>
    <w:rsid w:val="002A5B44"/>
    <w:rsid w:val="002A66B8"/>
    <w:rsid w:val="002A68D8"/>
    <w:rsid w:val="002A7050"/>
    <w:rsid w:val="002A76B5"/>
    <w:rsid w:val="002A79E2"/>
    <w:rsid w:val="002A7E28"/>
    <w:rsid w:val="002B034E"/>
    <w:rsid w:val="002B146E"/>
    <w:rsid w:val="002B2B19"/>
    <w:rsid w:val="002B3452"/>
    <w:rsid w:val="002B3C66"/>
    <w:rsid w:val="002B3EFC"/>
    <w:rsid w:val="002B468C"/>
    <w:rsid w:val="002B4FC9"/>
    <w:rsid w:val="002B540F"/>
    <w:rsid w:val="002B604B"/>
    <w:rsid w:val="002B6090"/>
    <w:rsid w:val="002B63CE"/>
    <w:rsid w:val="002B6D5C"/>
    <w:rsid w:val="002B708A"/>
    <w:rsid w:val="002B70FB"/>
    <w:rsid w:val="002C126A"/>
    <w:rsid w:val="002C186E"/>
    <w:rsid w:val="002C1A58"/>
    <w:rsid w:val="002C2A5D"/>
    <w:rsid w:val="002C2B49"/>
    <w:rsid w:val="002C2D0F"/>
    <w:rsid w:val="002C3C32"/>
    <w:rsid w:val="002C427A"/>
    <w:rsid w:val="002C47A7"/>
    <w:rsid w:val="002C49CD"/>
    <w:rsid w:val="002C5312"/>
    <w:rsid w:val="002C5FC3"/>
    <w:rsid w:val="002C626F"/>
    <w:rsid w:val="002D0270"/>
    <w:rsid w:val="002D0854"/>
    <w:rsid w:val="002D269D"/>
    <w:rsid w:val="002D2A0C"/>
    <w:rsid w:val="002D2E8A"/>
    <w:rsid w:val="002D37AC"/>
    <w:rsid w:val="002D3A63"/>
    <w:rsid w:val="002D4C2B"/>
    <w:rsid w:val="002D4D9C"/>
    <w:rsid w:val="002D5BE3"/>
    <w:rsid w:val="002D5E08"/>
    <w:rsid w:val="002D60D4"/>
    <w:rsid w:val="002D6324"/>
    <w:rsid w:val="002D7657"/>
    <w:rsid w:val="002D7A0D"/>
    <w:rsid w:val="002D7A3F"/>
    <w:rsid w:val="002E14D7"/>
    <w:rsid w:val="002E2960"/>
    <w:rsid w:val="002E2BDB"/>
    <w:rsid w:val="002E2E27"/>
    <w:rsid w:val="002E2F2C"/>
    <w:rsid w:val="002E3017"/>
    <w:rsid w:val="002E3667"/>
    <w:rsid w:val="002E3C98"/>
    <w:rsid w:val="002E4375"/>
    <w:rsid w:val="002E43EB"/>
    <w:rsid w:val="002E4413"/>
    <w:rsid w:val="002E4677"/>
    <w:rsid w:val="002E4A49"/>
    <w:rsid w:val="002E550D"/>
    <w:rsid w:val="002E5704"/>
    <w:rsid w:val="002E58B5"/>
    <w:rsid w:val="002E5A30"/>
    <w:rsid w:val="002E5F42"/>
    <w:rsid w:val="002E5F94"/>
    <w:rsid w:val="002E66A9"/>
    <w:rsid w:val="002E6CC0"/>
    <w:rsid w:val="002E6FF3"/>
    <w:rsid w:val="002E7644"/>
    <w:rsid w:val="002F0601"/>
    <w:rsid w:val="002F062E"/>
    <w:rsid w:val="002F10FA"/>
    <w:rsid w:val="002F12A6"/>
    <w:rsid w:val="002F293B"/>
    <w:rsid w:val="002F30E5"/>
    <w:rsid w:val="002F31B8"/>
    <w:rsid w:val="002F3ABF"/>
    <w:rsid w:val="002F3C4A"/>
    <w:rsid w:val="002F3C92"/>
    <w:rsid w:val="002F45C2"/>
    <w:rsid w:val="002F4D27"/>
    <w:rsid w:val="002F50C7"/>
    <w:rsid w:val="002F5512"/>
    <w:rsid w:val="002F6048"/>
    <w:rsid w:val="002F6577"/>
    <w:rsid w:val="002F7A00"/>
    <w:rsid w:val="002F7C19"/>
    <w:rsid w:val="00300A1B"/>
    <w:rsid w:val="00300A36"/>
    <w:rsid w:val="00301420"/>
    <w:rsid w:val="003014F5"/>
    <w:rsid w:val="00301C0D"/>
    <w:rsid w:val="00301E6F"/>
    <w:rsid w:val="0030211C"/>
    <w:rsid w:val="00302281"/>
    <w:rsid w:val="003024F8"/>
    <w:rsid w:val="00302AFA"/>
    <w:rsid w:val="00303336"/>
    <w:rsid w:val="003038F3"/>
    <w:rsid w:val="00304A7E"/>
    <w:rsid w:val="00304F3F"/>
    <w:rsid w:val="0030598E"/>
    <w:rsid w:val="00306439"/>
    <w:rsid w:val="00306796"/>
    <w:rsid w:val="003067FB"/>
    <w:rsid w:val="00307A83"/>
    <w:rsid w:val="00307CCF"/>
    <w:rsid w:val="00310739"/>
    <w:rsid w:val="003109F9"/>
    <w:rsid w:val="00310FBB"/>
    <w:rsid w:val="00311333"/>
    <w:rsid w:val="0031152C"/>
    <w:rsid w:val="0031191D"/>
    <w:rsid w:val="00312CCE"/>
    <w:rsid w:val="00312D8E"/>
    <w:rsid w:val="003136DD"/>
    <w:rsid w:val="003137D0"/>
    <w:rsid w:val="00313BC4"/>
    <w:rsid w:val="00314476"/>
    <w:rsid w:val="00316E35"/>
    <w:rsid w:val="003177BB"/>
    <w:rsid w:val="00317DF4"/>
    <w:rsid w:val="00320038"/>
    <w:rsid w:val="00320853"/>
    <w:rsid w:val="003215C3"/>
    <w:rsid w:val="00322067"/>
    <w:rsid w:val="00322F60"/>
    <w:rsid w:val="00323B67"/>
    <w:rsid w:val="00323B99"/>
    <w:rsid w:val="00324158"/>
    <w:rsid w:val="00324A07"/>
    <w:rsid w:val="0032510F"/>
    <w:rsid w:val="00325F60"/>
    <w:rsid w:val="00327BAC"/>
    <w:rsid w:val="0033022F"/>
    <w:rsid w:val="003305AA"/>
    <w:rsid w:val="00330BC5"/>
    <w:rsid w:val="003316CC"/>
    <w:rsid w:val="003317D0"/>
    <w:rsid w:val="00331EB8"/>
    <w:rsid w:val="00332505"/>
    <w:rsid w:val="0033286B"/>
    <w:rsid w:val="0033314D"/>
    <w:rsid w:val="00333871"/>
    <w:rsid w:val="00333AA7"/>
    <w:rsid w:val="00333FAF"/>
    <w:rsid w:val="0033402A"/>
    <w:rsid w:val="0033409D"/>
    <w:rsid w:val="003340CC"/>
    <w:rsid w:val="00334402"/>
    <w:rsid w:val="003345D4"/>
    <w:rsid w:val="003346CE"/>
    <w:rsid w:val="003346E2"/>
    <w:rsid w:val="00334F11"/>
    <w:rsid w:val="00335887"/>
    <w:rsid w:val="00335E13"/>
    <w:rsid w:val="00335E1F"/>
    <w:rsid w:val="00336588"/>
    <w:rsid w:val="003367C2"/>
    <w:rsid w:val="00336FDB"/>
    <w:rsid w:val="003413B4"/>
    <w:rsid w:val="003424A0"/>
    <w:rsid w:val="00342F03"/>
    <w:rsid w:val="00343582"/>
    <w:rsid w:val="003438A8"/>
    <w:rsid w:val="00343E44"/>
    <w:rsid w:val="0034438B"/>
    <w:rsid w:val="00344A37"/>
    <w:rsid w:val="00346EF1"/>
    <w:rsid w:val="00347406"/>
    <w:rsid w:val="00347D3B"/>
    <w:rsid w:val="00347E9C"/>
    <w:rsid w:val="00350486"/>
    <w:rsid w:val="003504E2"/>
    <w:rsid w:val="0035093D"/>
    <w:rsid w:val="00350AD6"/>
    <w:rsid w:val="00350CE4"/>
    <w:rsid w:val="003510C9"/>
    <w:rsid w:val="00351C32"/>
    <w:rsid w:val="003525DD"/>
    <w:rsid w:val="00352AD3"/>
    <w:rsid w:val="0035371B"/>
    <w:rsid w:val="00353734"/>
    <w:rsid w:val="00354196"/>
    <w:rsid w:val="003541B6"/>
    <w:rsid w:val="003543FD"/>
    <w:rsid w:val="0035462D"/>
    <w:rsid w:val="00354934"/>
    <w:rsid w:val="00354AFD"/>
    <w:rsid w:val="00354CF8"/>
    <w:rsid w:val="00355B57"/>
    <w:rsid w:val="00356697"/>
    <w:rsid w:val="00356C00"/>
    <w:rsid w:val="00356C1A"/>
    <w:rsid w:val="00357597"/>
    <w:rsid w:val="00357645"/>
    <w:rsid w:val="00357F58"/>
    <w:rsid w:val="003608D9"/>
    <w:rsid w:val="00360B5F"/>
    <w:rsid w:val="00360B9B"/>
    <w:rsid w:val="00361028"/>
    <w:rsid w:val="0036132F"/>
    <w:rsid w:val="0036143E"/>
    <w:rsid w:val="00361BFB"/>
    <w:rsid w:val="00361D59"/>
    <w:rsid w:val="00362265"/>
    <w:rsid w:val="00362450"/>
    <w:rsid w:val="00362635"/>
    <w:rsid w:val="003627BD"/>
    <w:rsid w:val="00362DA2"/>
    <w:rsid w:val="00363D83"/>
    <w:rsid w:val="00363DD2"/>
    <w:rsid w:val="00363FD7"/>
    <w:rsid w:val="00364163"/>
    <w:rsid w:val="00364C83"/>
    <w:rsid w:val="00364FE4"/>
    <w:rsid w:val="00365893"/>
    <w:rsid w:val="003658E2"/>
    <w:rsid w:val="00365B82"/>
    <w:rsid w:val="0036633A"/>
    <w:rsid w:val="0036634A"/>
    <w:rsid w:val="003677D3"/>
    <w:rsid w:val="00367B97"/>
    <w:rsid w:val="00370A0F"/>
    <w:rsid w:val="00371731"/>
    <w:rsid w:val="00371CA0"/>
    <w:rsid w:val="0037273F"/>
    <w:rsid w:val="003732F5"/>
    <w:rsid w:val="003734EE"/>
    <w:rsid w:val="003737D6"/>
    <w:rsid w:val="003745B4"/>
    <w:rsid w:val="00374B38"/>
    <w:rsid w:val="00374D03"/>
    <w:rsid w:val="00375807"/>
    <w:rsid w:val="003763B0"/>
    <w:rsid w:val="00377277"/>
    <w:rsid w:val="00377925"/>
    <w:rsid w:val="00380BFA"/>
    <w:rsid w:val="00381493"/>
    <w:rsid w:val="003819E0"/>
    <w:rsid w:val="00382DF6"/>
    <w:rsid w:val="00382F78"/>
    <w:rsid w:val="00383A98"/>
    <w:rsid w:val="003849CE"/>
    <w:rsid w:val="00384F4A"/>
    <w:rsid w:val="00384FDA"/>
    <w:rsid w:val="003850F1"/>
    <w:rsid w:val="00385411"/>
    <w:rsid w:val="003856AA"/>
    <w:rsid w:val="00385E58"/>
    <w:rsid w:val="003865A9"/>
    <w:rsid w:val="00386634"/>
    <w:rsid w:val="003869DE"/>
    <w:rsid w:val="00387082"/>
    <w:rsid w:val="003871A5"/>
    <w:rsid w:val="0038744A"/>
    <w:rsid w:val="00387D4C"/>
    <w:rsid w:val="003900B6"/>
    <w:rsid w:val="00390291"/>
    <w:rsid w:val="00391292"/>
    <w:rsid w:val="00391781"/>
    <w:rsid w:val="003918E6"/>
    <w:rsid w:val="003922FE"/>
    <w:rsid w:val="00393853"/>
    <w:rsid w:val="003938EF"/>
    <w:rsid w:val="003945B5"/>
    <w:rsid w:val="003945D4"/>
    <w:rsid w:val="0039469B"/>
    <w:rsid w:val="00395671"/>
    <w:rsid w:val="00395804"/>
    <w:rsid w:val="00395ED1"/>
    <w:rsid w:val="00396BDC"/>
    <w:rsid w:val="00396DF3"/>
    <w:rsid w:val="00396FA4"/>
    <w:rsid w:val="00397EEE"/>
    <w:rsid w:val="003A06ED"/>
    <w:rsid w:val="003A075D"/>
    <w:rsid w:val="003A1043"/>
    <w:rsid w:val="003A2675"/>
    <w:rsid w:val="003A2A6E"/>
    <w:rsid w:val="003A2D7A"/>
    <w:rsid w:val="003A2DD6"/>
    <w:rsid w:val="003A2E8A"/>
    <w:rsid w:val="003A3059"/>
    <w:rsid w:val="003A3724"/>
    <w:rsid w:val="003A3A3F"/>
    <w:rsid w:val="003A3D61"/>
    <w:rsid w:val="003A3DAB"/>
    <w:rsid w:val="003A4863"/>
    <w:rsid w:val="003A58D3"/>
    <w:rsid w:val="003A59D3"/>
    <w:rsid w:val="003A5C93"/>
    <w:rsid w:val="003A5F62"/>
    <w:rsid w:val="003A69E1"/>
    <w:rsid w:val="003A6BD9"/>
    <w:rsid w:val="003B12AC"/>
    <w:rsid w:val="003B172D"/>
    <w:rsid w:val="003B23FC"/>
    <w:rsid w:val="003B241F"/>
    <w:rsid w:val="003B2464"/>
    <w:rsid w:val="003B29EA"/>
    <w:rsid w:val="003B3320"/>
    <w:rsid w:val="003B3383"/>
    <w:rsid w:val="003B34D4"/>
    <w:rsid w:val="003B4357"/>
    <w:rsid w:val="003B4C1A"/>
    <w:rsid w:val="003B6DC6"/>
    <w:rsid w:val="003B7081"/>
    <w:rsid w:val="003B715C"/>
    <w:rsid w:val="003C018D"/>
    <w:rsid w:val="003C01AB"/>
    <w:rsid w:val="003C1843"/>
    <w:rsid w:val="003C2471"/>
    <w:rsid w:val="003C2F1E"/>
    <w:rsid w:val="003C3053"/>
    <w:rsid w:val="003C568D"/>
    <w:rsid w:val="003C5CED"/>
    <w:rsid w:val="003C6334"/>
    <w:rsid w:val="003C65D0"/>
    <w:rsid w:val="003C73D7"/>
    <w:rsid w:val="003C793E"/>
    <w:rsid w:val="003C7E4C"/>
    <w:rsid w:val="003D00CE"/>
    <w:rsid w:val="003D041A"/>
    <w:rsid w:val="003D0571"/>
    <w:rsid w:val="003D0816"/>
    <w:rsid w:val="003D0E27"/>
    <w:rsid w:val="003D10E6"/>
    <w:rsid w:val="003D14DA"/>
    <w:rsid w:val="003D210E"/>
    <w:rsid w:val="003D2619"/>
    <w:rsid w:val="003D27A0"/>
    <w:rsid w:val="003D2E2A"/>
    <w:rsid w:val="003D33EC"/>
    <w:rsid w:val="003D3458"/>
    <w:rsid w:val="003D3620"/>
    <w:rsid w:val="003D3AAE"/>
    <w:rsid w:val="003D4277"/>
    <w:rsid w:val="003D46F3"/>
    <w:rsid w:val="003D471E"/>
    <w:rsid w:val="003D4D62"/>
    <w:rsid w:val="003D51E1"/>
    <w:rsid w:val="003D5D7E"/>
    <w:rsid w:val="003D756A"/>
    <w:rsid w:val="003E0C70"/>
    <w:rsid w:val="003E104F"/>
    <w:rsid w:val="003E10C4"/>
    <w:rsid w:val="003E17E9"/>
    <w:rsid w:val="003E2A5A"/>
    <w:rsid w:val="003E32F6"/>
    <w:rsid w:val="003E3898"/>
    <w:rsid w:val="003E4392"/>
    <w:rsid w:val="003E5355"/>
    <w:rsid w:val="003E588F"/>
    <w:rsid w:val="003E5B1A"/>
    <w:rsid w:val="003E5E61"/>
    <w:rsid w:val="003E62F1"/>
    <w:rsid w:val="003E636B"/>
    <w:rsid w:val="003E6C42"/>
    <w:rsid w:val="003E6C69"/>
    <w:rsid w:val="003E7035"/>
    <w:rsid w:val="003E7B8C"/>
    <w:rsid w:val="003F03B0"/>
    <w:rsid w:val="003F061F"/>
    <w:rsid w:val="003F08CC"/>
    <w:rsid w:val="003F0D4D"/>
    <w:rsid w:val="003F0EB3"/>
    <w:rsid w:val="003F10A8"/>
    <w:rsid w:val="003F1878"/>
    <w:rsid w:val="003F19C7"/>
    <w:rsid w:val="003F209B"/>
    <w:rsid w:val="003F2447"/>
    <w:rsid w:val="003F3394"/>
    <w:rsid w:val="003F3525"/>
    <w:rsid w:val="003F4812"/>
    <w:rsid w:val="003F4D7E"/>
    <w:rsid w:val="003F4F61"/>
    <w:rsid w:val="003F529B"/>
    <w:rsid w:val="003F6103"/>
    <w:rsid w:val="003F6450"/>
    <w:rsid w:val="003F6B3A"/>
    <w:rsid w:val="003F6EB0"/>
    <w:rsid w:val="003F6FAB"/>
    <w:rsid w:val="003F7AD8"/>
    <w:rsid w:val="00400E13"/>
    <w:rsid w:val="004017E1"/>
    <w:rsid w:val="00403296"/>
    <w:rsid w:val="00403951"/>
    <w:rsid w:val="004042D3"/>
    <w:rsid w:val="00405024"/>
    <w:rsid w:val="00405181"/>
    <w:rsid w:val="0040595A"/>
    <w:rsid w:val="00406839"/>
    <w:rsid w:val="0040695A"/>
    <w:rsid w:val="00406E35"/>
    <w:rsid w:val="0041086E"/>
    <w:rsid w:val="00410870"/>
    <w:rsid w:val="004108B0"/>
    <w:rsid w:val="00410AEA"/>
    <w:rsid w:val="00410C85"/>
    <w:rsid w:val="00411661"/>
    <w:rsid w:val="00411C62"/>
    <w:rsid w:val="004123AA"/>
    <w:rsid w:val="004123C7"/>
    <w:rsid w:val="00413B16"/>
    <w:rsid w:val="00413DDF"/>
    <w:rsid w:val="00413F14"/>
    <w:rsid w:val="00413FF9"/>
    <w:rsid w:val="00414ADE"/>
    <w:rsid w:val="00414EBC"/>
    <w:rsid w:val="00414F5E"/>
    <w:rsid w:val="00415ACF"/>
    <w:rsid w:val="0041667B"/>
    <w:rsid w:val="00416C1B"/>
    <w:rsid w:val="00417394"/>
    <w:rsid w:val="00417792"/>
    <w:rsid w:val="00417A96"/>
    <w:rsid w:val="00420030"/>
    <w:rsid w:val="0042093F"/>
    <w:rsid w:val="00420AC4"/>
    <w:rsid w:val="004220A2"/>
    <w:rsid w:val="004230CF"/>
    <w:rsid w:val="00423B07"/>
    <w:rsid w:val="00423CE4"/>
    <w:rsid w:val="00423F4B"/>
    <w:rsid w:val="004246E4"/>
    <w:rsid w:val="004252FF"/>
    <w:rsid w:val="0042586B"/>
    <w:rsid w:val="0042589D"/>
    <w:rsid w:val="00425C22"/>
    <w:rsid w:val="00425C8D"/>
    <w:rsid w:val="00425FB8"/>
    <w:rsid w:val="0042636A"/>
    <w:rsid w:val="00426946"/>
    <w:rsid w:val="004276FC"/>
    <w:rsid w:val="00427713"/>
    <w:rsid w:val="00431DEA"/>
    <w:rsid w:val="00432060"/>
    <w:rsid w:val="004335F7"/>
    <w:rsid w:val="00433F16"/>
    <w:rsid w:val="00433F1C"/>
    <w:rsid w:val="004343DE"/>
    <w:rsid w:val="00434423"/>
    <w:rsid w:val="0043536A"/>
    <w:rsid w:val="00435434"/>
    <w:rsid w:val="00435ECB"/>
    <w:rsid w:val="004368A8"/>
    <w:rsid w:val="00436F30"/>
    <w:rsid w:val="00437A86"/>
    <w:rsid w:val="00437D0A"/>
    <w:rsid w:val="00437D91"/>
    <w:rsid w:val="00440E16"/>
    <w:rsid w:val="00440F7F"/>
    <w:rsid w:val="004414DB"/>
    <w:rsid w:val="00443A5C"/>
    <w:rsid w:val="00443D9A"/>
    <w:rsid w:val="00445EBB"/>
    <w:rsid w:val="00446B5E"/>
    <w:rsid w:val="00446CC4"/>
    <w:rsid w:val="00446CC9"/>
    <w:rsid w:val="00447095"/>
    <w:rsid w:val="0044781B"/>
    <w:rsid w:val="0045024C"/>
    <w:rsid w:val="00450824"/>
    <w:rsid w:val="004509EC"/>
    <w:rsid w:val="00451029"/>
    <w:rsid w:val="0045171F"/>
    <w:rsid w:val="004518EE"/>
    <w:rsid w:val="0045256B"/>
    <w:rsid w:val="00452CB7"/>
    <w:rsid w:val="00452E8B"/>
    <w:rsid w:val="0045454B"/>
    <w:rsid w:val="0045514E"/>
    <w:rsid w:val="004552C9"/>
    <w:rsid w:val="00456183"/>
    <w:rsid w:val="0045635F"/>
    <w:rsid w:val="00456454"/>
    <w:rsid w:val="00456632"/>
    <w:rsid w:val="00456B28"/>
    <w:rsid w:val="00456FD0"/>
    <w:rsid w:val="00460455"/>
    <w:rsid w:val="00460832"/>
    <w:rsid w:val="00460D80"/>
    <w:rsid w:val="004613DB"/>
    <w:rsid w:val="00461CF5"/>
    <w:rsid w:val="00462DDF"/>
    <w:rsid w:val="00463710"/>
    <w:rsid w:val="00463C3C"/>
    <w:rsid w:val="004640CF"/>
    <w:rsid w:val="00465040"/>
    <w:rsid w:val="004655A9"/>
    <w:rsid w:val="004658D1"/>
    <w:rsid w:val="004666D1"/>
    <w:rsid w:val="00466F2D"/>
    <w:rsid w:val="0046771A"/>
    <w:rsid w:val="004677EB"/>
    <w:rsid w:val="00467861"/>
    <w:rsid w:val="00470049"/>
    <w:rsid w:val="0047096B"/>
    <w:rsid w:val="0047159C"/>
    <w:rsid w:val="00471B45"/>
    <w:rsid w:val="00471C08"/>
    <w:rsid w:val="00472B5A"/>
    <w:rsid w:val="00473353"/>
    <w:rsid w:val="00473904"/>
    <w:rsid w:val="00474389"/>
    <w:rsid w:val="00474524"/>
    <w:rsid w:val="0047486D"/>
    <w:rsid w:val="00474974"/>
    <w:rsid w:val="0047588D"/>
    <w:rsid w:val="00475AC0"/>
    <w:rsid w:val="00475E62"/>
    <w:rsid w:val="004762BD"/>
    <w:rsid w:val="00476453"/>
    <w:rsid w:val="004769E4"/>
    <w:rsid w:val="004775F8"/>
    <w:rsid w:val="00477622"/>
    <w:rsid w:val="00477B3E"/>
    <w:rsid w:val="00480C3D"/>
    <w:rsid w:val="0048163C"/>
    <w:rsid w:val="00481B1D"/>
    <w:rsid w:val="00481E59"/>
    <w:rsid w:val="004820A5"/>
    <w:rsid w:val="00482E46"/>
    <w:rsid w:val="004858BB"/>
    <w:rsid w:val="00485FA2"/>
    <w:rsid w:val="0048650D"/>
    <w:rsid w:val="004868C0"/>
    <w:rsid w:val="00486CEA"/>
    <w:rsid w:val="00486EEE"/>
    <w:rsid w:val="004871E3"/>
    <w:rsid w:val="00487271"/>
    <w:rsid w:val="0048751C"/>
    <w:rsid w:val="00487A04"/>
    <w:rsid w:val="00487C6D"/>
    <w:rsid w:val="0049004A"/>
    <w:rsid w:val="00490072"/>
    <w:rsid w:val="00490257"/>
    <w:rsid w:val="00490362"/>
    <w:rsid w:val="00492119"/>
    <w:rsid w:val="0049272F"/>
    <w:rsid w:val="00492C9F"/>
    <w:rsid w:val="00493446"/>
    <w:rsid w:val="004935A4"/>
    <w:rsid w:val="00493656"/>
    <w:rsid w:val="004936F4"/>
    <w:rsid w:val="00493729"/>
    <w:rsid w:val="00493BBF"/>
    <w:rsid w:val="00493FAB"/>
    <w:rsid w:val="004943F5"/>
    <w:rsid w:val="00494BFE"/>
    <w:rsid w:val="00495264"/>
    <w:rsid w:val="004953F5"/>
    <w:rsid w:val="004960D7"/>
    <w:rsid w:val="00496499"/>
    <w:rsid w:val="004967FF"/>
    <w:rsid w:val="00497A1B"/>
    <w:rsid w:val="00497F85"/>
    <w:rsid w:val="004A07A3"/>
    <w:rsid w:val="004A0B81"/>
    <w:rsid w:val="004A13AB"/>
    <w:rsid w:val="004A157E"/>
    <w:rsid w:val="004A15F2"/>
    <w:rsid w:val="004A19D0"/>
    <w:rsid w:val="004A1F12"/>
    <w:rsid w:val="004A2C1A"/>
    <w:rsid w:val="004A30F1"/>
    <w:rsid w:val="004A40DB"/>
    <w:rsid w:val="004A4A94"/>
    <w:rsid w:val="004A4EB1"/>
    <w:rsid w:val="004A4F89"/>
    <w:rsid w:val="004A5242"/>
    <w:rsid w:val="004A52E5"/>
    <w:rsid w:val="004A68F0"/>
    <w:rsid w:val="004A6BD8"/>
    <w:rsid w:val="004A70CD"/>
    <w:rsid w:val="004A743C"/>
    <w:rsid w:val="004A7DA6"/>
    <w:rsid w:val="004B0B55"/>
    <w:rsid w:val="004B11B0"/>
    <w:rsid w:val="004B120E"/>
    <w:rsid w:val="004B1269"/>
    <w:rsid w:val="004B157A"/>
    <w:rsid w:val="004B21A5"/>
    <w:rsid w:val="004B24A1"/>
    <w:rsid w:val="004B25B6"/>
    <w:rsid w:val="004B262A"/>
    <w:rsid w:val="004B2C14"/>
    <w:rsid w:val="004B2CE6"/>
    <w:rsid w:val="004B3396"/>
    <w:rsid w:val="004B34F4"/>
    <w:rsid w:val="004B495F"/>
    <w:rsid w:val="004B4CD9"/>
    <w:rsid w:val="004B4D33"/>
    <w:rsid w:val="004B54A9"/>
    <w:rsid w:val="004B57A3"/>
    <w:rsid w:val="004B6B09"/>
    <w:rsid w:val="004B6BFC"/>
    <w:rsid w:val="004B6D5A"/>
    <w:rsid w:val="004B6ED4"/>
    <w:rsid w:val="004B7250"/>
    <w:rsid w:val="004B7839"/>
    <w:rsid w:val="004C025A"/>
    <w:rsid w:val="004C0270"/>
    <w:rsid w:val="004C13AA"/>
    <w:rsid w:val="004C2E70"/>
    <w:rsid w:val="004C2FCC"/>
    <w:rsid w:val="004C3799"/>
    <w:rsid w:val="004C3865"/>
    <w:rsid w:val="004C3D93"/>
    <w:rsid w:val="004C4008"/>
    <w:rsid w:val="004C4516"/>
    <w:rsid w:val="004C483A"/>
    <w:rsid w:val="004C4D88"/>
    <w:rsid w:val="004C4DEB"/>
    <w:rsid w:val="004C628D"/>
    <w:rsid w:val="004C6304"/>
    <w:rsid w:val="004C677B"/>
    <w:rsid w:val="004C726C"/>
    <w:rsid w:val="004C72BD"/>
    <w:rsid w:val="004C77E5"/>
    <w:rsid w:val="004C7FEE"/>
    <w:rsid w:val="004D02A0"/>
    <w:rsid w:val="004D03DA"/>
    <w:rsid w:val="004D08F6"/>
    <w:rsid w:val="004D1EE7"/>
    <w:rsid w:val="004D2163"/>
    <w:rsid w:val="004D2C15"/>
    <w:rsid w:val="004D3761"/>
    <w:rsid w:val="004D513A"/>
    <w:rsid w:val="004D52EF"/>
    <w:rsid w:val="004D5A07"/>
    <w:rsid w:val="004D5AE5"/>
    <w:rsid w:val="004D5E48"/>
    <w:rsid w:val="004D6835"/>
    <w:rsid w:val="004D6958"/>
    <w:rsid w:val="004D69DA"/>
    <w:rsid w:val="004D7670"/>
    <w:rsid w:val="004D7961"/>
    <w:rsid w:val="004D7C40"/>
    <w:rsid w:val="004E0553"/>
    <w:rsid w:val="004E07CD"/>
    <w:rsid w:val="004E10D7"/>
    <w:rsid w:val="004E137D"/>
    <w:rsid w:val="004E15E1"/>
    <w:rsid w:val="004E1A49"/>
    <w:rsid w:val="004E212F"/>
    <w:rsid w:val="004E34FE"/>
    <w:rsid w:val="004E375F"/>
    <w:rsid w:val="004E3BF6"/>
    <w:rsid w:val="004E4B7A"/>
    <w:rsid w:val="004E4BA7"/>
    <w:rsid w:val="004E5175"/>
    <w:rsid w:val="004E5780"/>
    <w:rsid w:val="004E5A30"/>
    <w:rsid w:val="004E5A6D"/>
    <w:rsid w:val="004E5BEA"/>
    <w:rsid w:val="004E5BFB"/>
    <w:rsid w:val="004E5D0D"/>
    <w:rsid w:val="004E6901"/>
    <w:rsid w:val="004E6AB4"/>
    <w:rsid w:val="004E6AC5"/>
    <w:rsid w:val="004E7095"/>
    <w:rsid w:val="004E713C"/>
    <w:rsid w:val="004E7B84"/>
    <w:rsid w:val="004E7CC0"/>
    <w:rsid w:val="004F119A"/>
    <w:rsid w:val="004F13FD"/>
    <w:rsid w:val="004F1537"/>
    <w:rsid w:val="004F17AC"/>
    <w:rsid w:val="004F2FF5"/>
    <w:rsid w:val="004F35C7"/>
    <w:rsid w:val="004F43F2"/>
    <w:rsid w:val="004F4429"/>
    <w:rsid w:val="004F4B4C"/>
    <w:rsid w:val="004F5357"/>
    <w:rsid w:val="004F589B"/>
    <w:rsid w:val="004F5904"/>
    <w:rsid w:val="004F5A13"/>
    <w:rsid w:val="004F5E3E"/>
    <w:rsid w:val="004F5E42"/>
    <w:rsid w:val="004F5FF3"/>
    <w:rsid w:val="004F631F"/>
    <w:rsid w:val="004F733E"/>
    <w:rsid w:val="004F7BB3"/>
    <w:rsid w:val="005005FD"/>
    <w:rsid w:val="00500717"/>
    <w:rsid w:val="00502912"/>
    <w:rsid w:val="005031F1"/>
    <w:rsid w:val="00503650"/>
    <w:rsid w:val="0050365B"/>
    <w:rsid w:val="005037ED"/>
    <w:rsid w:val="00505C23"/>
    <w:rsid w:val="00505D2E"/>
    <w:rsid w:val="00505EF3"/>
    <w:rsid w:val="00506378"/>
    <w:rsid w:val="00506B52"/>
    <w:rsid w:val="00506F80"/>
    <w:rsid w:val="0050720A"/>
    <w:rsid w:val="005072E1"/>
    <w:rsid w:val="00507D8D"/>
    <w:rsid w:val="005103F2"/>
    <w:rsid w:val="00510805"/>
    <w:rsid w:val="00510876"/>
    <w:rsid w:val="005108EB"/>
    <w:rsid w:val="00510EFB"/>
    <w:rsid w:val="00511056"/>
    <w:rsid w:val="0051140C"/>
    <w:rsid w:val="00511676"/>
    <w:rsid w:val="00511744"/>
    <w:rsid w:val="00511BE1"/>
    <w:rsid w:val="005125FF"/>
    <w:rsid w:val="0051263F"/>
    <w:rsid w:val="0051288C"/>
    <w:rsid w:val="00512E50"/>
    <w:rsid w:val="0051384F"/>
    <w:rsid w:val="00513EA4"/>
    <w:rsid w:val="005149AA"/>
    <w:rsid w:val="005152C1"/>
    <w:rsid w:val="005165F8"/>
    <w:rsid w:val="00516918"/>
    <w:rsid w:val="00516F98"/>
    <w:rsid w:val="00517016"/>
    <w:rsid w:val="00517130"/>
    <w:rsid w:val="0051786B"/>
    <w:rsid w:val="00517BF1"/>
    <w:rsid w:val="005201F0"/>
    <w:rsid w:val="005207E2"/>
    <w:rsid w:val="0052084F"/>
    <w:rsid w:val="0052171F"/>
    <w:rsid w:val="00521B77"/>
    <w:rsid w:val="00522DE9"/>
    <w:rsid w:val="005237AD"/>
    <w:rsid w:val="00524008"/>
    <w:rsid w:val="0052432A"/>
    <w:rsid w:val="00524B0E"/>
    <w:rsid w:val="00524C95"/>
    <w:rsid w:val="0052539A"/>
    <w:rsid w:val="0052583C"/>
    <w:rsid w:val="00525A9B"/>
    <w:rsid w:val="0052638E"/>
    <w:rsid w:val="0052659F"/>
    <w:rsid w:val="00526748"/>
    <w:rsid w:val="00526BFC"/>
    <w:rsid w:val="00526C77"/>
    <w:rsid w:val="00526EC6"/>
    <w:rsid w:val="005276C1"/>
    <w:rsid w:val="00527920"/>
    <w:rsid w:val="00530747"/>
    <w:rsid w:val="00530E24"/>
    <w:rsid w:val="00530EF6"/>
    <w:rsid w:val="005314AC"/>
    <w:rsid w:val="0053239C"/>
    <w:rsid w:val="00532697"/>
    <w:rsid w:val="00533F1F"/>
    <w:rsid w:val="005342DA"/>
    <w:rsid w:val="005356CF"/>
    <w:rsid w:val="00536696"/>
    <w:rsid w:val="005366CC"/>
    <w:rsid w:val="00536D49"/>
    <w:rsid w:val="0053703B"/>
    <w:rsid w:val="0053735B"/>
    <w:rsid w:val="0053743E"/>
    <w:rsid w:val="00537582"/>
    <w:rsid w:val="0053779E"/>
    <w:rsid w:val="0054037E"/>
    <w:rsid w:val="005413E0"/>
    <w:rsid w:val="005414FE"/>
    <w:rsid w:val="0054187C"/>
    <w:rsid w:val="00541B8F"/>
    <w:rsid w:val="00541EAE"/>
    <w:rsid w:val="00541F89"/>
    <w:rsid w:val="005439C0"/>
    <w:rsid w:val="00543EA2"/>
    <w:rsid w:val="00544407"/>
    <w:rsid w:val="005447B4"/>
    <w:rsid w:val="00544EDD"/>
    <w:rsid w:val="0054605E"/>
    <w:rsid w:val="00546BC4"/>
    <w:rsid w:val="005474CB"/>
    <w:rsid w:val="005504B5"/>
    <w:rsid w:val="00550FA4"/>
    <w:rsid w:val="00551EA1"/>
    <w:rsid w:val="00552EFE"/>
    <w:rsid w:val="0055304D"/>
    <w:rsid w:val="005533EF"/>
    <w:rsid w:val="0055395B"/>
    <w:rsid w:val="00554360"/>
    <w:rsid w:val="00554A30"/>
    <w:rsid w:val="00554C73"/>
    <w:rsid w:val="00554FEA"/>
    <w:rsid w:val="00555BA9"/>
    <w:rsid w:val="005561C2"/>
    <w:rsid w:val="00556340"/>
    <w:rsid w:val="005568F0"/>
    <w:rsid w:val="005575CB"/>
    <w:rsid w:val="00557C22"/>
    <w:rsid w:val="00557ED2"/>
    <w:rsid w:val="005615FC"/>
    <w:rsid w:val="005623AA"/>
    <w:rsid w:val="00562F19"/>
    <w:rsid w:val="00563B13"/>
    <w:rsid w:val="0056472E"/>
    <w:rsid w:val="00564CB4"/>
    <w:rsid w:val="00564F20"/>
    <w:rsid w:val="00565694"/>
    <w:rsid w:val="00565815"/>
    <w:rsid w:val="00566C8D"/>
    <w:rsid w:val="0056731E"/>
    <w:rsid w:val="005673A2"/>
    <w:rsid w:val="00567786"/>
    <w:rsid w:val="0057058C"/>
    <w:rsid w:val="00570891"/>
    <w:rsid w:val="005710DD"/>
    <w:rsid w:val="00571848"/>
    <w:rsid w:val="00571A5A"/>
    <w:rsid w:val="00571BFA"/>
    <w:rsid w:val="005727E6"/>
    <w:rsid w:val="00572BE4"/>
    <w:rsid w:val="00572F06"/>
    <w:rsid w:val="00572F09"/>
    <w:rsid w:val="00573FB3"/>
    <w:rsid w:val="00574296"/>
    <w:rsid w:val="00574888"/>
    <w:rsid w:val="00574AA5"/>
    <w:rsid w:val="00574F3C"/>
    <w:rsid w:val="00574F59"/>
    <w:rsid w:val="005750F3"/>
    <w:rsid w:val="00575297"/>
    <w:rsid w:val="00575AE1"/>
    <w:rsid w:val="0057656C"/>
    <w:rsid w:val="00576C6B"/>
    <w:rsid w:val="00577E0C"/>
    <w:rsid w:val="005819AD"/>
    <w:rsid w:val="005819C6"/>
    <w:rsid w:val="00582033"/>
    <w:rsid w:val="005825B5"/>
    <w:rsid w:val="00582D9C"/>
    <w:rsid w:val="00582F49"/>
    <w:rsid w:val="0058332E"/>
    <w:rsid w:val="005835A2"/>
    <w:rsid w:val="005840A9"/>
    <w:rsid w:val="005840AF"/>
    <w:rsid w:val="00584676"/>
    <w:rsid w:val="00584901"/>
    <w:rsid w:val="00584FBB"/>
    <w:rsid w:val="005851D5"/>
    <w:rsid w:val="0058527A"/>
    <w:rsid w:val="005852FB"/>
    <w:rsid w:val="005855DF"/>
    <w:rsid w:val="005857A9"/>
    <w:rsid w:val="0058586B"/>
    <w:rsid w:val="0058593A"/>
    <w:rsid w:val="00585FD8"/>
    <w:rsid w:val="0058626A"/>
    <w:rsid w:val="0058692F"/>
    <w:rsid w:val="00587B0A"/>
    <w:rsid w:val="00590BAC"/>
    <w:rsid w:val="005913BA"/>
    <w:rsid w:val="00591883"/>
    <w:rsid w:val="00591B58"/>
    <w:rsid w:val="00591FEF"/>
    <w:rsid w:val="005928CA"/>
    <w:rsid w:val="00592CE6"/>
    <w:rsid w:val="00593ED0"/>
    <w:rsid w:val="00593F88"/>
    <w:rsid w:val="0059486D"/>
    <w:rsid w:val="00595446"/>
    <w:rsid w:val="005957DC"/>
    <w:rsid w:val="00596453"/>
    <w:rsid w:val="0059652D"/>
    <w:rsid w:val="005969D2"/>
    <w:rsid w:val="00596A55"/>
    <w:rsid w:val="00596EE8"/>
    <w:rsid w:val="0059719F"/>
    <w:rsid w:val="005976D0"/>
    <w:rsid w:val="005A1734"/>
    <w:rsid w:val="005A1C0C"/>
    <w:rsid w:val="005A2392"/>
    <w:rsid w:val="005A2E5D"/>
    <w:rsid w:val="005A30A9"/>
    <w:rsid w:val="005A3FDA"/>
    <w:rsid w:val="005A4C66"/>
    <w:rsid w:val="005A5C22"/>
    <w:rsid w:val="005A5D8A"/>
    <w:rsid w:val="005A62C4"/>
    <w:rsid w:val="005A6373"/>
    <w:rsid w:val="005A662B"/>
    <w:rsid w:val="005A6DC8"/>
    <w:rsid w:val="005B0B61"/>
    <w:rsid w:val="005B1AD4"/>
    <w:rsid w:val="005B26C3"/>
    <w:rsid w:val="005B2EB8"/>
    <w:rsid w:val="005B39D1"/>
    <w:rsid w:val="005B3DC0"/>
    <w:rsid w:val="005B462D"/>
    <w:rsid w:val="005B483F"/>
    <w:rsid w:val="005B4F90"/>
    <w:rsid w:val="005B5233"/>
    <w:rsid w:val="005B5440"/>
    <w:rsid w:val="005B6092"/>
    <w:rsid w:val="005B68F0"/>
    <w:rsid w:val="005C01F1"/>
    <w:rsid w:val="005C03D1"/>
    <w:rsid w:val="005C043F"/>
    <w:rsid w:val="005C0CA0"/>
    <w:rsid w:val="005C1136"/>
    <w:rsid w:val="005C1BED"/>
    <w:rsid w:val="005C1C2E"/>
    <w:rsid w:val="005C1EE7"/>
    <w:rsid w:val="005C1F20"/>
    <w:rsid w:val="005C237F"/>
    <w:rsid w:val="005C39F7"/>
    <w:rsid w:val="005C3A15"/>
    <w:rsid w:val="005C3A19"/>
    <w:rsid w:val="005C3AC9"/>
    <w:rsid w:val="005C4332"/>
    <w:rsid w:val="005C46D3"/>
    <w:rsid w:val="005C4CDD"/>
    <w:rsid w:val="005C546B"/>
    <w:rsid w:val="005C572F"/>
    <w:rsid w:val="005C6E4D"/>
    <w:rsid w:val="005C72BF"/>
    <w:rsid w:val="005C752B"/>
    <w:rsid w:val="005C7CA5"/>
    <w:rsid w:val="005D0345"/>
    <w:rsid w:val="005D0B84"/>
    <w:rsid w:val="005D1234"/>
    <w:rsid w:val="005D134A"/>
    <w:rsid w:val="005D19E9"/>
    <w:rsid w:val="005D1E45"/>
    <w:rsid w:val="005D22C1"/>
    <w:rsid w:val="005D249E"/>
    <w:rsid w:val="005D2DF7"/>
    <w:rsid w:val="005D3396"/>
    <w:rsid w:val="005D3C9F"/>
    <w:rsid w:val="005D4196"/>
    <w:rsid w:val="005D42BE"/>
    <w:rsid w:val="005D444C"/>
    <w:rsid w:val="005D4BF0"/>
    <w:rsid w:val="005D4C96"/>
    <w:rsid w:val="005D4DB3"/>
    <w:rsid w:val="005D527F"/>
    <w:rsid w:val="005D557A"/>
    <w:rsid w:val="005D5956"/>
    <w:rsid w:val="005D59C5"/>
    <w:rsid w:val="005D5AA7"/>
    <w:rsid w:val="005D6272"/>
    <w:rsid w:val="005D6A00"/>
    <w:rsid w:val="005D7413"/>
    <w:rsid w:val="005D76E0"/>
    <w:rsid w:val="005D7BBE"/>
    <w:rsid w:val="005D7C5A"/>
    <w:rsid w:val="005D7C7A"/>
    <w:rsid w:val="005E0F29"/>
    <w:rsid w:val="005E0FB3"/>
    <w:rsid w:val="005E1391"/>
    <w:rsid w:val="005E1634"/>
    <w:rsid w:val="005E1C68"/>
    <w:rsid w:val="005E2683"/>
    <w:rsid w:val="005E2C86"/>
    <w:rsid w:val="005E2F09"/>
    <w:rsid w:val="005E2FB4"/>
    <w:rsid w:val="005E3394"/>
    <w:rsid w:val="005E37D1"/>
    <w:rsid w:val="005E3D09"/>
    <w:rsid w:val="005E3D9E"/>
    <w:rsid w:val="005E46C4"/>
    <w:rsid w:val="005E4D37"/>
    <w:rsid w:val="005E5890"/>
    <w:rsid w:val="005E66F2"/>
    <w:rsid w:val="005E6ACC"/>
    <w:rsid w:val="005E6E69"/>
    <w:rsid w:val="005E7148"/>
    <w:rsid w:val="005E77E5"/>
    <w:rsid w:val="005E7F12"/>
    <w:rsid w:val="005F0277"/>
    <w:rsid w:val="005F0A11"/>
    <w:rsid w:val="005F116D"/>
    <w:rsid w:val="005F1356"/>
    <w:rsid w:val="005F1E91"/>
    <w:rsid w:val="005F2303"/>
    <w:rsid w:val="005F302B"/>
    <w:rsid w:val="005F316B"/>
    <w:rsid w:val="005F39E9"/>
    <w:rsid w:val="005F42AD"/>
    <w:rsid w:val="005F42CE"/>
    <w:rsid w:val="005F444D"/>
    <w:rsid w:val="005F4946"/>
    <w:rsid w:val="005F4CF5"/>
    <w:rsid w:val="005F5582"/>
    <w:rsid w:val="005F5800"/>
    <w:rsid w:val="005F5FCD"/>
    <w:rsid w:val="005F61B9"/>
    <w:rsid w:val="005F6F8D"/>
    <w:rsid w:val="005F70C4"/>
    <w:rsid w:val="005F747A"/>
    <w:rsid w:val="005F7534"/>
    <w:rsid w:val="005F755D"/>
    <w:rsid w:val="005F7D9B"/>
    <w:rsid w:val="00600B18"/>
    <w:rsid w:val="006017E8"/>
    <w:rsid w:val="0060180F"/>
    <w:rsid w:val="00602246"/>
    <w:rsid w:val="00603194"/>
    <w:rsid w:val="006032B1"/>
    <w:rsid w:val="00604AF3"/>
    <w:rsid w:val="00604B75"/>
    <w:rsid w:val="00604BA4"/>
    <w:rsid w:val="006055A9"/>
    <w:rsid w:val="00605948"/>
    <w:rsid w:val="006059F1"/>
    <w:rsid w:val="00605E3A"/>
    <w:rsid w:val="0060633B"/>
    <w:rsid w:val="00606529"/>
    <w:rsid w:val="0060743F"/>
    <w:rsid w:val="00607667"/>
    <w:rsid w:val="00607D91"/>
    <w:rsid w:val="00610813"/>
    <w:rsid w:val="00611565"/>
    <w:rsid w:val="00611677"/>
    <w:rsid w:val="00612AE0"/>
    <w:rsid w:val="00612E00"/>
    <w:rsid w:val="0061353E"/>
    <w:rsid w:val="00613C7B"/>
    <w:rsid w:val="00614F6E"/>
    <w:rsid w:val="00614FD7"/>
    <w:rsid w:val="006153F4"/>
    <w:rsid w:val="00615F94"/>
    <w:rsid w:val="00616B87"/>
    <w:rsid w:val="00616FCA"/>
    <w:rsid w:val="00616FF2"/>
    <w:rsid w:val="00617C0E"/>
    <w:rsid w:val="00617EF0"/>
    <w:rsid w:val="006206DE"/>
    <w:rsid w:val="00620C91"/>
    <w:rsid w:val="006216B4"/>
    <w:rsid w:val="006217FF"/>
    <w:rsid w:val="00621F87"/>
    <w:rsid w:val="0062235E"/>
    <w:rsid w:val="00623258"/>
    <w:rsid w:val="006237F1"/>
    <w:rsid w:val="0062413E"/>
    <w:rsid w:val="00624299"/>
    <w:rsid w:val="00624A06"/>
    <w:rsid w:val="00624CF9"/>
    <w:rsid w:val="00624E36"/>
    <w:rsid w:val="0062611B"/>
    <w:rsid w:val="00626182"/>
    <w:rsid w:val="0062619B"/>
    <w:rsid w:val="00626705"/>
    <w:rsid w:val="00626C6A"/>
    <w:rsid w:val="00627843"/>
    <w:rsid w:val="00627B42"/>
    <w:rsid w:val="00627CAD"/>
    <w:rsid w:val="006313AD"/>
    <w:rsid w:val="00631964"/>
    <w:rsid w:val="00631C35"/>
    <w:rsid w:val="00631CE0"/>
    <w:rsid w:val="006333BD"/>
    <w:rsid w:val="006338EE"/>
    <w:rsid w:val="006339B5"/>
    <w:rsid w:val="00634E06"/>
    <w:rsid w:val="006350AD"/>
    <w:rsid w:val="0063598E"/>
    <w:rsid w:val="00635BF0"/>
    <w:rsid w:val="00635D57"/>
    <w:rsid w:val="00635E83"/>
    <w:rsid w:val="00635EC8"/>
    <w:rsid w:val="00636781"/>
    <w:rsid w:val="006369E1"/>
    <w:rsid w:val="00637A59"/>
    <w:rsid w:val="00637C9E"/>
    <w:rsid w:val="006401BB"/>
    <w:rsid w:val="00640516"/>
    <w:rsid w:val="00640906"/>
    <w:rsid w:val="00640A53"/>
    <w:rsid w:val="00641208"/>
    <w:rsid w:val="006418FD"/>
    <w:rsid w:val="00642474"/>
    <w:rsid w:val="006424B9"/>
    <w:rsid w:val="006427B5"/>
    <w:rsid w:val="00642967"/>
    <w:rsid w:val="00642E23"/>
    <w:rsid w:val="00643B96"/>
    <w:rsid w:val="006447E8"/>
    <w:rsid w:val="00645429"/>
    <w:rsid w:val="006455C0"/>
    <w:rsid w:val="00645F35"/>
    <w:rsid w:val="00646148"/>
    <w:rsid w:val="006462AF"/>
    <w:rsid w:val="006467AF"/>
    <w:rsid w:val="00646B51"/>
    <w:rsid w:val="00647011"/>
    <w:rsid w:val="0064707C"/>
    <w:rsid w:val="00647956"/>
    <w:rsid w:val="00650853"/>
    <w:rsid w:val="00650B34"/>
    <w:rsid w:val="00651D02"/>
    <w:rsid w:val="00651E1E"/>
    <w:rsid w:val="00651EA3"/>
    <w:rsid w:val="0065233A"/>
    <w:rsid w:val="00652A2F"/>
    <w:rsid w:val="00652BCE"/>
    <w:rsid w:val="00652F40"/>
    <w:rsid w:val="006538E8"/>
    <w:rsid w:val="00653BC8"/>
    <w:rsid w:val="00653C3E"/>
    <w:rsid w:val="00653D14"/>
    <w:rsid w:val="006543A5"/>
    <w:rsid w:val="00654B2D"/>
    <w:rsid w:val="00655492"/>
    <w:rsid w:val="00656F7D"/>
    <w:rsid w:val="0065718C"/>
    <w:rsid w:val="00657531"/>
    <w:rsid w:val="00657543"/>
    <w:rsid w:val="00657973"/>
    <w:rsid w:val="006579DB"/>
    <w:rsid w:val="00657ED3"/>
    <w:rsid w:val="00660814"/>
    <w:rsid w:val="00660914"/>
    <w:rsid w:val="00661330"/>
    <w:rsid w:val="006619EA"/>
    <w:rsid w:val="00661AA4"/>
    <w:rsid w:val="00661DFE"/>
    <w:rsid w:val="00661F49"/>
    <w:rsid w:val="00662109"/>
    <w:rsid w:val="0066252E"/>
    <w:rsid w:val="00663062"/>
    <w:rsid w:val="00663C6A"/>
    <w:rsid w:val="006641A2"/>
    <w:rsid w:val="00664D79"/>
    <w:rsid w:val="00665528"/>
    <w:rsid w:val="0066561F"/>
    <w:rsid w:val="00665D3B"/>
    <w:rsid w:val="006668C4"/>
    <w:rsid w:val="00666CA9"/>
    <w:rsid w:val="00666D80"/>
    <w:rsid w:val="00666E51"/>
    <w:rsid w:val="006679BB"/>
    <w:rsid w:val="00667EB9"/>
    <w:rsid w:val="006705B0"/>
    <w:rsid w:val="00670AEA"/>
    <w:rsid w:val="00670B4E"/>
    <w:rsid w:val="00670C21"/>
    <w:rsid w:val="00670DD9"/>
    <w:rsid w:val="00671663"/>
    <w:rsid w:val="006717F0"/>
    <w:rsid w:val="00671CD5"/>
    <w:rsid w:val="00671FCA"/>
    <w:rsid w:val="006738A0"/>
    <w:rsid w:val="00673B90"/>
    <w:rsid w:val="00673D17"/>
    <w:rsid w:val="0067442E"/>
    <w:rsid w:val="00674742"/>
    <w:rsid w:val="006763AD"/>
    <w:rsid w:val="006766FF"/>
    <w:rsid w:val="00676702"/>
    <w:rsid w:val="00676A09"/>
    <w:rsid w:val="00677038"/>
    <w:rsid w:val="0067732D"/>
    <w:rsid w:val="00677773"/>
    <w:rsid w:val="006777D1"/>
    <w:rsid w:val="00677C58"/>
    <w:rsid w:val="00681084"/>
    <w:rsid w:val="00681262"/>
    <w:rsid w:val="00681E52"/>
    <w:rsid w:val="006823B0"/>
    <w:rsid w:val="006829F2"/>
    <w:rsid w:val="00682DCD"/>
    <w:rsid w:val="00682E80"/>
    <w:rsid w:val="00683552"/>
    <w:rsid w:val="00683E3D"/>
    <w:rsid w:val="00683E54"/>
    <w:rsid w:val="00684C99"/>
    <w:rsid w:val="006857FD"/>
    <w:rsid w:val="0068608F"/>
    <w:rsid w:val="00687011"/>
    <w:rsid w:val="0069077E"/>
    <w:rsid w:val="00690EAF"/>
    <w:rsid w:val="00690FCB"/>
    <w:rsid w:val="00691113"/>
    <w:rsid w:val="00691F45"/>
    <w:rsid w:val="00691FE0"/>
    <w:rsid w:val="00692424"/>
    <w:rsid w:val="006924A0"/>
    <w:rsid w:val="0069364D"/>
    <w:rsid w:val="00693AC9"/>
    <w:rsid w:val="006943FD"/>
    <w:rsid w:val="0069457C"/>
    <w:rsid w:val="00695046"/>
    <w:rsid w:val="006952FF"/>
    <w:rsid w:val="00695CA4"/>
    <w:rsid w:val="00696478"/>
    <w:rsid w:val="006965E4"/>
    <w:rsid w:val="00696BDC"/>
    <w:rsid w:val="0069752C"/>
    <w:rsid w:val="006979F7"/>
    <w:rsid w:val="006A046E"/>
    <w:rsid w:val="006A08C3"/>
    <w:rsid w:val="006A0CD5"/>
    <w:rsid w:val="006A0D45"/>
    <w:rsid w:val="006A0D9B"/>
    <w:rsid w:val="006A17ED"/>
    <w:rsid w:val="006A2438"/>
    <w:rsid w:val="006A2CC4"/>
    <w:rsid w:val="006A392D"/>
    <w:rsid w:val="006A3C6C"/>
    <w:rsid w:val="006A42A7"/>
    <w:rsid w:val="006A4C25"/>
    <w:rsid w:val="006A4EBB"/>
    <w:rsid w:val="006A559A"/>
    <w:rsid w:val="006A6B30"/>
    <w:rsid w:val="006A6C9A"/>
    <w:rsid w:val="006B125E"/>
    <w:rsid w:val="006B1E21"/>
    <w:rsid w:val="006B2CEE"/>
    <w:rsid w:val="006B2F47"/>
    <w:rsid w:val="006B33BB"/>
    <w:rsid w:val="006B48C5"/>
    <w:rsid w:val="006B4EE8"/>
    <w:rsid w:val="006B5488"/>
    <w:rsid w:val="006B5493"/>
    <w:rsid w:val="006B59EF"/>
    <w:rsid w:val="006B6001"/>
    <w:rsid w:val="006B6634"/>
    <w:rsid w:val="006B673C"/>
    <w:rsid w:val="006C00A8"/>
    <w:rsid w:val="006C037C"/>
    <w:rsid w:val="006C0445"/>
    <w:rsid w:val="006C26B7"/>
    <w:rsid w:val="006C26F7"/>
    <w:rsid w:val="006C3D33"/>
    <w:rsid w:val="006C4F4C"/>
    <w:rsid w:val="006C51CD"/>
    <w:rsid w:val="006C54F7"/>
    <w:rsid w:val="006C559A"/>
    <w:rsid w:val="006C5A99"/>
    <w:rsid w:val="006C5A9F"/>
    <w:rsid w:val="006C6477"/>
    <w:rsid w:val="006C7C63"/>
    <w:rsid w:val="006C7D71"/>
    <w:rsid w:val="006D047B"/>
    <w:rsid w:val="006D07DC"/>
    <w:rsid w:val="006D0E6D"/>
    <w:rsid w:val="006D0F32"/>
    <w:rsid w:val="006D164C"/>
    <w:rsid w:val="006D19CE"/>
    <w:rsid w:val="006D1C72"/>
    <w:rsid w:val="006D25F5"/>
    <w:rsid w:val="006D2838"/>
    <w:rsid w:val="006D2D6F"/>
    <w:rsid w:val="006D3D83"/>
    <w:rsid w:val="006D3F06"/>
    <w:rsid w:val="006D4A22"/>
    <w:rsid w:val="006D4BAA"/>
    <w:rsid w:val="006D54A7"/>
    <w:rsid w:val="006D5960"/>
    <w:rsid w:val="006D5D29"/>
    <w:rsid w:val="006D6260"/>
    <w:rsid w:val="006D6AC3"/>
    <w:rsid w:val="006D6FDC"/>
    <w:rsid w:val="006D7AE9"/>
    <w:rsid w:val="006E0A6A"/>
    <w:rsid w:val="006E0EF5"/>
    <w:rsid w:val="006E2F3A"/>
    <w:rsid w:val="006E42F1"/>
    <w:rsid w:val="006E4553"/>
    <w:rsid w:val="006E4DB7"/>
    <w:rsid w:val="006E4E45"/>
    <w:rsid w:val="006E58BF"/>
    <w:rsid w:val="006E606E"/>
    <w:rsid w:val="006E6167"/>
    <w:rsid w:val="006E6311"/>
    <w:rsid w:val="006E6CDC"/>
    <w:rsid w:val="006E6F07"/>
    <w:rsid w:val="006E7087"/>
    <w:rsid w:val="006E75B5"/>
    <w:rsid w:val="006E7D22"/>
    <w:rsid w:val="006E7D38"/>
    <w:rsid w:val="006F040A"/>
    <w:rsid w:val="006F0613"/>
    <w:rsid w:val="006F07F9"/>
    <w:rsid w:val="006F14C1"/>
    <w:rsid w:val="006F15EB"/>
    <w:rsid w:val="006F1AFB"/>
    <w:rsid w:val="006F1DAF"/>
    <w:rsid w:val="006F2875"/>
    <w:rsid w:val="006F3885"/>
    <w:rsid w:val="006F38B1"/>
    <w:rsid w:val="006F39D6"/>
    <w:rsid w:val="006F3B8E"/>
    <w:rsid w:val="006F49FE"/>
    <w:rsid w:val="006F5036"/>
    <w:rsid w:val="006F574E"/>
    <w:rsid w:val="006F5BB3"/>
    <w:rsid w:val="006F5F11"/>
    <w:rsid w:val="006F6402"/>
    <w:rsid w:val="006F71B3"/>
    <w:rsid w:val="006F75F0"/>
    <w:rsid w:val="006F797A"/>
    <w:rsid w:val="006F7AD3"/>
    <w:rsid w:val="006F7D5F"/>
    <w:rsid w:val="0070080F"/>
    <w:rsid w:val="007013ED"/>
    <w:rsid w:val="007013FC"/>
    <w:rsid w:val="007015CA"/>
    <w:rsid w:val="00702FE2"/>
    <w:rsid w:val="00703AB6"/>
    <w:rsid w:val="00703B26"/>
    <w:rsid w:val="00703FA1"/>
    <w:rsid w:val="00704373"/>
    <w:rsid w:val="007058B0"/>
    <w:rsid w:val="0070620F"/>
    <w:rsid w:val="0070642D"/>
    <w:rsid w:val="007071C9"/>
    <w:rsid w:val="007076F0"/>
    <w:rsid w:val="00707F6C"/>
    <w:rsid w:val="007100AB"/>
    <w:rsid w:val="00710A39"/>
    <w:rsid w:val="007118D9"/>
    <w:rsid w:val="007126BB"/>
    <w:rsid w:val="00713B0D"/>
    <w:rsid w:val="0071428A"/>
    <w:rsid w:val="0071531B"/>
    <w:rsid w:val="0071534C"/>
    <w:rsid w:val="00716314"/>
    <w:rsid w:val="00716CA6"/>
    <w:rsid w:val="007178F3"/>
    <w:rsid w:val="00717A44"/>
    <w:rsid w:val="00717E9B"/>
    <w:rsid w:val="0072030B"/>
    <w:rsid w:val="00720D91"/>
    <w:rsid w:val="007210E9"/>
    <w:rsid w:val="007213CB"/>
    <w:rsid w:val="0072145E"/>
    <w:rsid w:val="00722127"/>
    <w:rsid w:val="007225FA"/>
    <w:rsid w:val="00723EB1"/>
    <w:rsid w:val="00723EBB"/>
    <w:rsid w:val="00724318"/>
    <w:rsid w:val="00725477"/>
    <w:rsid w:val="007258FE"/>
    <w:rsid w:val="0072637F"/>
    <w:rsid w:val="00726437"/>
    <w:rsid w:val="007265B4"/>
    <w:rsid w:val="00726608"/>
    <w:rsid w:val="007267E0"/>
    <w:rsid w:val="0072693D"/>
    <w:rsid w:val="00726A7E"/>
    <w:rsid w:val="00726B11"/>
    <w:rsid w:val="0072716F"/>
    <w:rsid w:val="007304CF"/>
    <w:rsid w:val="007304DD"/>
    <w:rsid w:val="00730627"/>
    <w:rsid w:val="00730928"/>
    <w:rsid w:val="00731547"/>
    <w:rsid w:val="00732284"/>
    <w:rsid w:val="00732543"/>
    <w:rsid w:val="007325AC"/>
    <w:rsid w:val="007327F3"/>
    <w:rsid w:val="007329FD"/>
    <w:rsid w:val="00733BF1"/>
    <w:rsid w:val="00733D20"/>
    <w:rsid w:val="00733D30"/>
    <w:rsid w:val="0073435D"/>
    <w:rsid w:val="007347EE"/>
    <w:rsid w:val="007352A8"/>
    <w:rsid w:val="00735D58"/>
    <w:rsid w:val="00735E01"/>
    <w:rsid w:val="00737A92"/>
    <w:rsid w:val="00740062"/>
    <w:rsid w:val="0074009D"/>
    <w:rsid w:val="0074099F"/>
    <w:rsid w:val="00740FA2"/>
    <w:rsid w:val="007412AA"/>
    <w:rsid w:val="00741E47"/>
    <w:rsid w:val="007422C5"/>
    <w:rsid w:val="00742378"/>
    <w:rsid w:val="00742B95"/>
    <w:rsid w:val="00742DA3"/>
    <w:rsid w:val="00742E89"/>
    <w:rsid w:val="00743545"/>
    <w:rsid w:val="00743721"/>
    <w:rsid w:val="007437A0"/>
    <w:rsid w:val="007440F1"/>
    <w:rsid w:val="007445C8"/>
    <w:rsid w:val="00744961"/>
    <w:rsid w:val="00744C6B"/>
    <w:rsid w:val="00744D75"/>
    <w:rsid w:val="00745C9B"/>
    <w:rsid w:val="00745CC8"/>
    <w:rsid w:val="00746034"/>
    <w:rsid w:val="007460EB"/>
    <w:rsid w:val="00746982"/>
    <w:rsid w:val="007470AF"/>
    <w:rsid w:val="007473F5"/>
    <w:rsid w:val="0074772C"/>
    <w:rsid w:val="00750A7F"/>
    <w:rsid w:val="00750BAF"/>
    <w:rsid w:val="00750D83"/>
    <w:rsid w:val="007511B6"/>
    <w:rsid w:val="0075129D"/>
    <w:rsid w:val="00751938"/>
    <w:rsid w:val="00751E60"/>
    <w:rsid w:val="00751FFB"/>
    <w:rsid w:val="0075205C"/>
    <w:rsid w:val="00752B67"/>
    <w:rsid w:val="00752E47"/>
    <w:rsid w:val="007530AF"/>
    <w:rsid w:val="007541AF"/>
    <w:rsid w:val="007546C4"/>
    <w:rsid w:val="00754EF6"/>
    <w:rsid w:val="00754EFD"/>
    <w:rsid w:val="007555AC"/>
    <w:rsid w:val="007558C6"/>
    <w:rsid w:val="00755927"/>
    <w:rsid w:val="00755BAC"/>
    <w:rsid w:val="00755BE6"/>
    <w:rsid w:val="00756B2C"/>
    <w:rsid w:val="00760342"/>
    <w:rsid w:val="00760F9B"/>
    <w:rsid w:val="00762030"/>
    <w:rsid w:val="00762F54"/>
    <w:rsid w:val="00763092"/>
    <w:rsid w:val="00763354"/>
    <w:rsid w:val="0076385C"/>
    <w:rsid w:val="007638B3"/>
    <w:rsid w:val="00763CD9"/>
    <w:rsid w:val="00764B2A"/>
    <w:rsid w:val="00766202"/>
    <w:rsid w:val="00766203"/>
    <w:rsid w:val="007666D0"/>
    <w:rsid w:val="00766AF7"/>
    <w:rsid w:val="00766B53"/>
    <w:rsid w:val="00766C35"/>
    <w:rsid w:val="00766FF9"/>
    <w:rsid w:val="0076795A"/>
    <w:rsid w:val="00767D52"/>
    <w:rsid w:val="00770330"/>
    <w:rsid w:val="0077069A"/>
    <w:rsid w:val="00772C52"/>
    <w:rsid w:val="00772DF6"/>
    <w:rsid w:val="007738CC"/>
    <w:rsid w:val="00773F6C"/>
    <w:rsid w:val="0077421D"/>
    <w:rsid w:val="007744FE"/>
    <w:rsid w:val="007747D5"/>
    <w:rsid w:val="00774DA0"/>
    <w:rsid w:val="0077532D"/>
    <w:rsid w:val="007755BC"/>
    <w:rsid w:val="00775952"/>
    <w:rsid w:val="00775A47"/>
    <w:rsid w:val="0077608C"/>
    <w:rsid w:val="00777883"/>
    <w:rsid w:val="00777C50"/>
    <w:rsid w:val="00777E8A"/>
    <w:rsid w:val="00780154"/>
    <w:rsid w:val="00780B82"/>
    <w:rsid w:val="00780C6F"/>
    <w:rsid w:val="00781EF1"/>
    <w:rsid w:val="00782852"/>
    <w:rsid w:val="00782EC4"/>
    <w:rsid w:val="00783A86"/>
    <w:rsid w:val="00784370"/>
    <w:rsid w:val="007853F0"/>
    <w:rsid w:val="007855FC"/>
    <w:rsid w:val="0078629A"/>
    <w:rsid w:val="00786612"/>
    <w:rsid w:val="00786BC1"/>
    <w:rsid w:val="0078707C"/>
    <w:rsid w:val="007906D9"/>
    <w:rsid w:val="007915CE"/>
    <w:rsid w:val="00791BB0"/>
    <w:rsid w:val="007921F3"/>
    <w:rsid w:val="00792AB2"/>
    <w:rsid w:val="007930B5"/>
    <w:rsid w:val="007941DD"/>
    <w:rsid w:val="00794353"/>
    <w:rsid w:val="007943F8"/>
    <w:rsid w:val="00794770"/>
    <w:rsid w:val="00794E10"/>
    <w:rsid w:val="00795DF9"/>
    <w:rsid w:val="007967D5"/>
    <w:rsid w:val="007974C4"/>
    <w:rsid w:val="00797EDF"/>
    <w:rsid w:val="00797EEC"/>
    <w:rsid w:val="007A008E"/>
    <w:rsid w:val="007A0444"/>
    <w:rsid w:val="007A0E6E"/>
    <w:rsid w:val="007A0F21"/>
    <w:rsid w:val="007A26EC"/>
    <w:rsid w:val="007A2773"/>
    <w:rsid w:val="007A3494"/>
    <w:rsid w:val="007A368A"/>
    <w:rsid w:val="007A36F5"/>
    <w:rsid w:val="007A3B52"/>
    <w:rsid w:val="007A4ABB"/>
    <w:rsid w:val="007A69C1"/>
    <w:rsid w:val="007A69F0"/>
    <w:rsid w:val="007A6E8B"/>
    <w:rsid w:val="007A73AF"/>
    <w:rsid w:val="007B090E"/>
    <w:rsid w:val="007B105D"/>
    <w:rsid w:val="007B23FC"/>
    <w:rsid w:val="007B26CF"/>
    <w:rsid w:val="007B30BC"/>
    <w:rsid w:val="007B31F2"/>
    <w:rsid w:val="007B360A"/>
    <w:rsid w:val="007B369A"/>
    <w:rsid w:val="007B38BF"/>
    <w:rsid w:val="007B4F39"/>
    <w:rsid w:val="007B55A1"/>
    <w:rsid w:val="007B5FCE"/>
    <w:rsid w:val="007B717D"/>
    <w:rsid w:val="007B76BF"/>
    <w:rsid w:val="007C0709"/>
    <w:rsid w:val="007C0857"/>
    <w:rsid w:val="007C0F37"/>
    <w:rsid w:val="007C136A"/>
    <w:rsid w:val="007C180B"/>
    <w:rsid w:val="007C25BA"/>
    <w:rsid w:val="007C27CD"/>
    <w:rsid w:val="007C2DFA"/>
    <w:rsid w:val="007C2E30"/>
    <w:rsid w:val="007C2EB2"/>
    <w:rsid w:val="007C3193"/>
    <w:rsid w:val="007C3854"/>
    <w:rsid w:val="007C3E4D"/>
    <w:rsid w:val="007C4657"/>
    <w:rsid w:val="007C467D"/>
    <w:rsid w:val="007C5277"/>
    <w:rsid w:val="007C64F7"/>
    <w:rsid w:val="007C6DA8"/>
    <w:rsid w:val="007C73D0"/>
    <w:rsid w:val="007C77B4"/>
    <w:rsid w:val="007C7936"/>
    <w:rsid w:val="007C7B5E"/>
    <w:rsid w:val="007C7C19"/>
    <w:rsid w:val="007C7CE7"/>
    <w:rsid w:val="007D0352"/>
    <w:rsid w:val="007D0741"/>
    <w:rsid w:val="007D0A2A"/>
    <w:rsid w:val="007D0E63"/>
    <w:rsid w:val="007D19BC"/>
    <w:rsid w:val="007D1D83"/>
    <w:rsid w:val="007D2390"/>
    <w:rsid w:val="007D2399"/>
    <w:rsid w:val="007D321D"/>
    <w:rsid w:val="007D32F8"/>
    <w:rsid w:val="007D37E7"/>
    <w:rsid w:val="007D3E67"/>
    <w:rsid w:val="007D46F5"/>
    <w:rsid w:val="007D4782"/>
    <w:rsid w:val="007D4929"/>
    <w:rsid w:val="007D4CE7"/>
    <w:rsid w:val="007D4E93"/>
    <w:rsid w:val="007D53EA"/>
    <w:rsid w:val="007D6312"/>
    <w:rsid w:val="007D6AB3"/>
    <w:rsid w:val="007D6D06"/>
    <w:rsid w:val="007D7036"/>
    <w:rsid w:val="007D707A"/>
    <w:rsid w:val="007D751A"/>
    <w:rsid w:val="007D75DE"/>
    <w:rsid w:val="007E1E79"/>
    <w:rsid w:val="007E1FA5"/>
    <w:rsid w:val="007E2964"/>
    <w:rsid w:val="007E33D6"/>
    <w:rsid w:val="007E4F71"/>
    <w:rsid w:val="007E56B8"/>
    <w:rsid w:val="007E5E4A"/>
    <w:rsid w:val="007E5EC8"/>
    <w:rsid w:val="007E5FAD"/>
    <w:rsid w:val="007F0C94"/>
    <w:rsid w:val="007F0ED5"/>
    <w:rsid w:val="007F11BC"/>
    <w:rsid w:val="007F1521"/>
    <w:rsid w:val="007F1EF3"/>
    <w:rsid w:val="007F2DAD"/>
    <w:rsid w:val="007F3C86"/>
    <w:rsid w:val="007F4CF9"/>
    <w:rsid w:val="007F54E3"/>
    <w:rsid w:val="007F75F5"/>
    <w:rsid w:val="007F7A4D"/>
    <w:rsid w:val="007F7B9E"/>
    <w:rsid w:val="007F7C2D"/>
    <w:rsid w:val="008005EB"/>
    <w:rsid w:val="00800972"/>
    <w:rsid w:val="00800B35"/>
    <w:rsid w:val="00801352"/>
    <w:rsid w:val="008018A7"/>
    <w:rsid w:val="00803B90"/>
    <w:rsid w:val="00804EE3"/>
    <w:rsid w:val="008051F6"/>
    <w:rsid w:val="008068A5"/>
    <w:rsid w:val="00807A99"/>
    <w:rsid w:val="00807C60"/>
    <w:rsid w:val="00807EBD"/>
    <w:rsid w:val="00810370"/>
    <w:rsid w:val="008108BE"/>
    <w:rsid w:val="008111B8"/>
    <w:rsid w:val="0081210E"/>
    <w:rsid w:val="0081274B"/>
    <w:rsid w:val="00812836"/>
    <w:rsid w:val="00812A21"/>
    <w:rsid w:val="0081321B"/>
    <w:rsid w:val="00813A44"/>
    <w:rsid w:val="008142B9"/>
    <w:rsid w:val="00814735"/>
    <w:rsid w:val="00814EE6"/>
    <w:rsid w:val="00815B1B"/>
    <w:rsid w:val="0081732A"/>
    <w:rsid w:val="008203B1"/>
    <w:rsid w:val="00820426"/>
    <w:rsid w:val="008208FB"/>
    <w:rsid w:val="00821BD0"/>
    <w:rsid w:val="00821C48"/>
    <w:rsid w:val="00821E46"/>
    <w:rsid w:val="00821EBB"/>
    <w:rsid w:val="00822109"/>
    <w:rsid w:val="0082321D"/>
    <w:rsid w:val="0082347B"/>
    <w:rsid w:val="00823853"/>
    <w:rsid w:val="00823E79"/>
    <w:rsid w:val="00824465"/>
    <w:rsid w:val="008244DA"/>
    <w:rsid w:val="00824D49"/>
    <w:rsid w:val="00824E78"/>
    <w:rsid w:val="00825908"/>
    <w:rsid w:val="00825BF0"/>
    <w:rsid w:val="00825F75"/>
    <w:rsid w:val="00826244"/>
    <w:rsid w:val="0082669F"/>
    <w:rsid w:val="00826E3A"/>
    <w:rsid w:val="008275BE"/>
    <w:rsid w:val="00827761"/>
    <w:rsid w:val="008277B4"/>
    <w:rsid w:val="00830C86"/>
    <w:rsid w:val="008319C3"/>
    <w:rsid w:val="00832F66"/>
    <w:rsid w:val="008334EF"/>
    <w:rsid w:val="00833A3E"/>
    <w:rsid w:val="008346EC"/>
    <w:rsid w:val="008348F6"/>
    <w:rsid w:val="0083592C"/>
    <w:rsid w:val="00836A3A"/>
    <w:rsid w:val="00836B3E"/>
    <w:rsid w:val="00836DB8"/>
    <w:rsid w:val="008372F8"/>
    <w:rsid w:val="008372FD"/>
    <w:rsid w:val="0083754F"/>
    <w:rsid w:val="008409C3"/>
    <w:rsid w:val="00840AED"/>
    <w:rsid w:val="00841E40"/>
    <w:rsid w:val="0084204B"/>
    <w:rsid w:val="008423EA"/>
    <w:rsid w:val="008424DD"/>
    <w:rsid w:val="00842B6C"/>
    <w:rsid w:val="008433FA"/>
    <w:rsid w:val="00843586"/>
    <w:rsid w:val="00844B54"/>
    <w:rsid w:val="00844EBE"/>
    <w:rsid w:val="00845C46"/>
    <w:rsid w:val="00846376"/>
    <w:rsid w:val="00846ECE"/>
    <w:rsid w:val="008471B2"/>
    <w:rsid w:val="00847212"/>
    <w:rsid w:val="008475FF"/>
    <w:rsid w:val="00847A57"/>
    <w:rsid w:val="0085026A"/>
    <w:rsid w:val="00850BD5"/>
    <w:rsid w:val="00850E20"/>
    <w:rsid w:val="008512D8"/>
    <w:rsid w:val="00852754"/>
    <w:rsid w:val="008528A2"/>
    <w:rsid w:val="00852B67"/>
    <w:rsid w:val="0085356E"/>
    <w:rsid w:val="0085446C"/>
    <w:rsid w:val="00854CDB"/>
    <w:rsid w:val="008552B0"/>
    <w:rsid w:val="00856956"/>
    <w:rsid w:val="0085797B"/>
    <w:rsid w:val="00857D0C"/>
    <w:rsid w:val="00857DFB"/>
    <w:rsid w:val="00857F65"/>
    <w:rsid w:val="0086058A"/>
    <w:rsid w:val="00860D2E"/>
    <w:rsid w:val="0086112A"/>
    <w:rsid w:val="008611C7"/>
    <w:rsid w:val="008612BE"/>
    <w:rsid w:val="0086158D"/>
    <w:rsid w:val="00861A9C"/>
    <w:rsid w:val="00861CF7"/>
    <w:rsid w:val="0086272F"/>
    <w:rsid w:val="00862906"/>
    <w:rsid w:val="00862BF5"/>
    <w:rsid w:val="0086360E"/>
    <w:rsid w:val="00864AA5"/>
    <w:rsid w:val="00864C40"/>
    <w:rsid w:val="0086507D"/>
    <w:rsid w:val="00865D4F"/>
    <w:rsid w:val="008661BD"/>
    <w:rsid w:val="00866AB4"/>
    <w:rsid w:val="00866ABF"/>
    <w:rsid w:val="00866CD0"/>
    <w:rsid w:val="00866DD2"/>
    <w:rsid w:val="00866EBE"/>
    <w:rsid w:val="008677B7"/>
    <w:rsid w:val="00867FD1"/>
    <w:rsid w:val="00870878"/>
    <w:rsid w:val="00870E45"/>
    <w:rsid w:val="00870E68"/>
    <w:rsid w:val="00872F82"/>
    <w:rsid w:val="00874021"/>
    <w:rsid w:val="008744F9"/>
    <w:rsid w:val="008756F5"/>
    <w:rsid w:val="0087594A"/>
    <w:rsid w:val="008760FD"/>
    <w:rsid w:val="00876234"/>
    <w:rsid w:val="00876B1D"/>
    <w:rsid w:val="008776D3"/>
    <w:rsid w:val="0087784E"/>
    <w:rsid w:val="00877A5F"/>
    <w:rsid w:val="00877DB9"/>
    <w:rsid w:val="0088092E"/>
    <w:rsid w:val="008809DE"/>
    <w:rsid w:val="008814DD"/>
    <w:rsid w:val="00881601"/>
    <w:rsid w:val="008817E7"/>
    <w:rsid w:val="00882218"/>
    <w:rsid w:val="008829EA"/>
    <w:rsid w:val="00882D4C"/>
    <w:rsid w:val="00883020"/>
    <w:rsid w:val="0088440F"/>
    <w:rsid w:val="008845BA"/>
    <w:rsid w:val="00884690"/>
    <w:rsid w:val="00884709"/>
    <w:rsid w:val="00886A5D"/>
    <w:rsid w:val="0088731A"/>
    <w:rsid w:val="00887C77"/>
    <w:rsid w:val="008907A4"/>
    <w:rsid w:val="00890943"/>
    <w:rsid w:val="00891463"/>
    <w:rsid w:val="00891AE9"/>
    <w:rsid w:val="00891BBB"/>
    <w:rsid w:val="00891ED2"/>
    <w:rsid w:val="0089262C"/>
    <w:rsid w:val="0089311E"/>
    <w:rsid w:val="008944B5"/>
    <w:rsid w:val="008945D9"/>
    <w:rsid w:val="00894813"/>
    <w:rsid w:val="00894CE5"/>
    <w:rsid w:val="008958D0"/>
    <w:rsid w:val="008967BA"/>
    <w:rsid w:val="008968D1"/>
    <w:rsid w:val="00897324"/>
    <w:rsid w:val="008976BD"/>
    <w:rsid w:val="00897C69"/>
    <w:rsid w:val="008A017D"/>
    <w:rsid w:val="008A0544"/>
    <w:rsid w:val="008A0BFF"/>
    <w:rsid w:val="008A11E5"/>
    <w:rsid w:val="008A1876"/>
    <w:rsid w:val="008A1978"/>
    <w:rsid w:val="008A1F2C"/>
    <w:rsid w:val="008A1F40"/>
    <w:rsid w:val="008A20DB"/>
    <w:rsid w:val="008A27AF"/>
    <w:rsid w:val="008A315E"/>
    <w:rsid w:val="008A31F4"/>
    <w:rsid w:val="008A3326"/>
    <w:rsid w:val="008A3DC3"/>
    <w:rsid w:val="008A4889"/>
    <w:rsid w:val="008A4AE3"/>
    <w:rsid w:val="008A585E"/>
    <w:rsid w:val="008A62EE"/>
    <w:rsid w:val="008A6F2B"/>
    <w:rsid w:val="008A778B"/>
    <w:rsid w:val="008A7849"/>
    <w:rsid w:val="008B0040"/>
    <w:rsid w:val="008B1323"/>
    <w:rsid w:val="008B1868"/>
    <w:rsid w:val="008B19FB"/>
    <w:rsid w:val="008B2131"/>
    <w:rsid w:val="008B239E"/>
    <w:rsid w:val="008B2454"/>
    <w:rsid w:val="008B2F7A"/>
    <w:rsid w:val="008B4068"/>
    <w:rsid w:val="008B464F"/>
    <w:rsid w:val="008B51A8"/>
    <w:rsid w:val="008B56F8"/>
    <w:rsid w:val="008B6809"/>
    <w:rsid w:val="008B6A6F"/>
    <w:rsid w:val="008B789D"/>
    <w:rsid w:val="008B7B91"/>
    <w:rsid w:val="008C0DAE"/>
    <w:rsid w:val="008C1321"/>
    <w:rsid w:val="008C1621"/>
    <w:rsid w:val="008C26BC"/>
    <w:rsid w:val="008C3088"/>
    <w:rsid w:val="008C3276"/>
    <w:rsid w:val="008C3569"/>
    <w:rsid w:val="008C36D1"/>
    <w:rsid w:val="008C372B"/>
    <w:rsid w:val="008C3D2C"/>
    <w:rsid w:val="008C46A4"/>
    <w:rsid w:val="008C55AB"/>
    <w:rsid w:val="008C5668"/>
    <w:rsid w:val="008C58B1"/>
    <w:rsid w:val="008C5F8E"/>
    <w:rsid w:val="008C638E"/>
    <w:rsid w:val="008C6902"/>
    <w:rsid w:val="008C6AB4"/>
    <w:rsid w:val="008C6D0F"/>
    <w:rsid w:val="008C7A1D"/>
    <w:rsid w:val="008D09C4"/>
    <w:rsid w:val="008D0CA0"/>
    <w:rsid w:val="008D11E3"/>
    <w:rsid w:val="008D16EE"/>
    <w:rsid w:val="008D16F2"/>
    <w:rsid w:val="008D183C"/>
    <w:rsid w:val="008D1985"/>
    <w:rsid w:val="008D1B42"/>
    <w:rsid w:val="008D2007"/>
    <w:rsid w:val="008D2641"/>
    <w:rsid w:val="008D26E1"/>
    <w:rsid w:val="008D2A9F"/>
    <w:rsid w:val="008D2C78"/>
    <w:rsid w:val="008D2ECF"/>
    <w:rsid w:val="008D31C4"/>
    <w:rsid w:val="008D4072"/>
    <w:rsid w:val="008D4B4F"/>
    <w:rsid w:val="008D4D6A"/>
    <w:rsid w:val="008D4F66"/>
    <w:rsid w:val="008D5115"/>
    <w:rsid w:val="008D57C7"/>
    <w:rsid w:val="008D5C23"/>
    <w:rsid w:val="008D64C4"/>
    <w:rsid w:val="008D6D27"/>
    <w:rsid w:val="008D7018"/>
    <w:rsid w:val="008D7231"/>
    <w:rsid w:val="008D75DC"/>
    <w:rsid w:val="008E00B9"/>
    <w:rsid w:val="008E0187"/>
    <w:rsid w:val="008E064A"/>
    <w:rsid w:val="008E0A26"/>
    <w:rsid w:val="008E0A61"/>
    <w:rsid w:val="008E0E4F"/>
    <w:rsid w:val="008E15FA"/>
    <w:rsid w:val="008E188A"/>
    <w:rsid w:val="008E1DF0"/>
    <w:rsid w:val="008E29C3"/>
    <w:rsid w:val="008E3DB1"/>
    <w:rsid w:val="008E40FB"/>
    <w:rsid w:val="008E41E9"/>
    <w:rsid w:val="008E5F19"/>
    <w:rsid w:val="008E63D6"/>
    <w:rsid w:val="008E6587"/>
    <w:rsid w:val="008E66B3"/>
    <w:rsid w:val="008E6932"/>
    <w:rsid w:val="008E6B95"/>
    <w:rsid w:val="008E6C31"/>
    <w:rsid w:val="008E7E1A"/>
    <w:rsid w:val="008E7E95"/>
    <w:rsid w:val="008F26E1"/>
    <w:rsid w:val="008F3D6A"/>
    <w:rsid w:val="008F4BC2"/>
    <w:rsid w:val="008F5931"/>
    <w:rsid w:val="008F6F78"/>
    <w:rsid w:val="008F7292"/>
    <w:rsid w:val="008F7EE8"/>
    <w:rsid w:val="009003A5"/>
    <w:rsid w:val="00900F0C"/>
    <w:rsid w:val="009013EF"/>
    <w:rsid w:val="00904598"/>
    <w:rsid w:val="009048FD"/>
    <w:rsid w:val="0090497F"/>
    <w:rsid w:val="00904AB5"/>
    <w:rsid w:val="00904F62"/>
    <w:rsid w:val="0090575D"/>
    <w:rsid w:val="00906ADC"/>
    <w:rsid w:val="00906F4D"/>
    <w:rsid w:val="00907331"/>
    <w:rsid w:val="00907C42"/>
    <w:rsid w:val="00910ADA"/>
    <w:rsid w:val="00911420"/>
    <w:rsid w:val="00912DC6"/>
    <w:rsid w:val="00913336"/>
    <w:rsid w:val="00913EF7"/>
    <w:rsid w:val="00913F45"/>
    <w:rsid w:val="00915135"/>
    <w:rsid w:val="00917090"/>
    <w:rsid w:val="009173A0"/>
    <w:rsid w:val="00917491"/>
    <w:rsid w:val="00917BDD"/>
    <w:rsid w:val="00920D5D"/>
    <w:rsid w:val="009217BC"/>
    <w:rsid w:val="009225B7"/>
    <w:rsid w:val="009226BE"/>
    <w:rsid w:val="00923A10"/>
    <w:rsid w:val="009244C3"/>
    <w:rsid w:val="009244FE"/>
    <w:rsid w:val="00924E9A"/>
    <w:rsid w:val="00925F8E"/>
    <w:rsid w:val="00925FBD"/>
    <w:rsid w:val="0092665E"/>
    <w:rsid w:val="00926F11"/>
    <w:rsid w:val="00927B53"/>
    <w:rsid w:val="00930719"/>
    <w:rsid w:val="00930A18"/>
    <w:rsid w:val="00930EC6"/>
    <w:rsid w:val="00931085"/>
    <w:rsid w:val="00931924"/>
    <w:rsid w:val="009327EE"/>
    <w:rsid w:val="00932D5A"/>
    <w:rsid w:val="0093310D"/>
    <w:rsid w:val="00933C2F"/>
    <w:rsid w:val="00934B72"/>
    <w:rsid w:val="00934E21"/>
    <w:rsid w:val="0093593B"/>
    <w:rsid w:val="00936BA9"/>
    <w:rsid w:val="00936F17"/>
    <w:rsid w:val="009370D8"/>
    <w:rsid w:val="00937D53"/>
    <w:rsid w:val="00940C14"/>
    <w:rsid w:val="00940EF3"/>
    <w:rsid w:val="00940F75"/>
    <w:rsid w:val="00941681"/>
    <w:rsid w:val="00941F38"/>
    <w:rsid w:val="009426EA"/>
    <w:rsid w:val="009427BA"/>
    <w:rsid w:val="0094363D"/>
    <w:rsid w:val="00943735"/>
    <w:rsid w:val="009439F9"/>
    <w:rsid w:val="00944149"/>
    <w:rsid w:val="0094418B"/>
    <w:rsid w:val="009445CF"/>
    <w:rsid w:val="00944609"/>
    <w:rsid w:val="00945035"/>
    <w:rsid w:val="009460F1"/>
    <w:rsid w:val="00946787"/>
    <w:rsid w:val="00947347"/>
    <w:rsid w:val="00947CB4"/>
    <w:rsid w:val="00951201"/>
    <w:rsid w:val="00952163"/>
    <w:rsid w:val="00953B8F"/>
    <w:rsid w:val="0095490E"/>
    <w:rsid w:val="009554B7"/>
    <w:rsid w:val="009554CC"/>
    <w:rsid w:val="00955DEA"/>
    <w:rsid w:val="00956863"/>
    <w:rsid w:val="00956ADC"/>
    <w:rsid w:val="009577AB"/>
    <w:rsid w:val="0095795A"/>
    <w:rsid w:val="009579D1"/>
    <w:rsid w:val="00961380"/>
    <w:rsid w:val="0096182A"/>
    <w:rsid w:val="00961A89"/>
    <w:rsid w:val="00961B99"/>
    <w:rsid w:val="00962791"/>
    <w:rsid w:val="0096373E"/>
    <w:rsid w:val="00963EF2"/>
    <w:rsid w:val="00964966"/>
    <w:rsid w:val="00964FF7"/>
    <w:rsid w:val="009659B1"/>
    <w:rsid w:val="00965BCF"/>
    <w:rsid w:val="00965F4C"/>
    <w:rsid w:val="00965F80"/>
    <w:rsid w:val="00966612"/>
    <w:rsid w:val="00966CF3"/>
    <w:rsid w:val="00967B6B"/>
    <w:rsid w:val="00967E71"/>
    <w:rsid w:val="00970698"/>
    <w:rsid w:val="00970872"/>
    <w:rsid w:val="009712E8"/>
    <w:rsid w:val="0097155D"/>
    <w:rsid w:val="00972869"/>
    <w:rsid w:val="00973734"/>
    <w:rsid w:val="00973810"/>
    <w:rsid w:val="009738DB"/>
    <w:rsid w:val="00973CB5"/>
    <w:rsid w:val="00974D2F"/>
    <w:rsid w:val="00974E95"/>
    <w:rsid w:val="00975D36"/>
    <w:rsid w:val="00975D5B"/>
    <w:rsid w:val="009767BF"/>
    <w:rsid w:val="00977269"/>
    <w:rsid w:val="009808BE"/>
    <w:rsid w:val="00980AC9"/>
    <w:rsid w:val="00980FB8"/>
    <w:rsid w:val="00981693"/>
    <w:rsid w:val="00981CBC"/>
    <w:rsid w:val="00981FA3"/>
    <w:rsid w:val="0098235A"/>
    <w:rsid w:val="009825B8"/>
    <w:rsid w:val="009826A3"/>
    <w:rsid w:val="00982A73"/>
    <w:rsid w:val="00982C92"/>
    <w:rsid w:val="009832D7"/>
    <w:rsid w:val="0098357B"/>
    <w:rsid w:val="00983F6E"/>
    <w:rsid w:val="009842BC"/>
    <w:rsid w:val="00984508"/>
    <w:rsid w:val="00984A19"/>
    <w:rsid w:val="009859D6"/>
    <w:rsid w:val="00986656"/>
    <w:rsid w:val="009867D3"/>
    <w:rsid w:val="009871DA"/>
    <w:rsid w:val="0098744B"/>
    <w:rsid w:val="0098756B"/>
    <w:rsid w:val="00987C54"/>
    <w:rsid w:val="00987D3D"/>
    <w:rsid w:val="00987EE9"/>
    <w:rsid w:val="00990AAC"/>
    <w:rsid w:val="00990B27"/>
    <w:rsid w:val="00990FBA"/>
    <w:rsid w:val="009924CF"/>
    <w:rsid w:val="00992710"/>
    <w:rsid w:val="00992888"/>
    <w:rsid w:val="0099302D"/>
    <w:rsid w:val="0099336C"/>
    <w:rsid w:val="0099342A"/>
    <w:rsid w:val="00993D0C"/>
    <w:rsid w:val="00993E2D"/>
    <w:rsid w:val="00994BB4"/>
    <w:rsid w:val="0099519C"/>
    <w:rsid w:val="00995E98"/>
    <w:rsid w:val="00996CCE"/>
    <w:rsid w:val="009972A4"/>
    <w:rsid w:val="00997519"/>
    <w:rsid w:val="009A09C2"/>
    <w:rsid w:val="009A0CFF"/>
    <w:rsid w:val="009A22BE"/>
    <w:rsid w:val="009A2B56"/>
    <w:rsid w:val="009A3109"/>
    <w:rsid w:val="009A3C43"/>
    <w:rsid w:val="009A4106"/>
    <w:rsid w:val="009A4CFD"/>
    <w:rsid w:val="009A5889"/>
    <w:rsid w:val="009A5F05"/>
    <w:rsid w:val="009A6208"/>
    <w:rsid w:val="009A6620"/>
    <w:rsid w:val="009A7098"/>
    <w:rsid w:val="009A7238"/>
    <w:rsid w:val="009A7394"/>
    <w:rsid w:val="009A7B84"/>
    <w:rsid w:val="009A7F36"/>
    <w:rsid w:val="009B03A2"/>
    <w:rsid w:val="009B0DF3"/>
    <w:rsid w:val="009B1DC1"/>
    <w:rsid w:val="009B270C"/>
    <w:rsid w:val="009B3274"/>
    <w:rsid w:val="009B3AB1"/>
    <w:rsid w:val="009B3BE9"/>
    <w:rsid w:val="009B4D52"/>
    <w:rsid w:val="009B519C"/>
    <w:rsid w:val="009B5239"/>
    <w:rsid w:val="009B5A91"/>
    <w:rsid w:val="009B6715"/>
    <w:rsid w:val="009B672E"/>
    <w:rsid w:val="009B6D27"/>
    <w:rsid w:val="009B7123"/>
    <w:rsid w:val="009B760B"/>
    <w:rsid w:val="009C06DD"/>
    <w:rsid w:val="009C24DD"/>
    <w:rsid w:val="009C2EE7"/>
    <w:rsid w:val="009C2F35"/>
    <w:rsid w:val="009C3659"/>
    <w:rsid w:val="009C391E"/>
    <w:rsid w:val="009C4741"/>
    <w:rsid w:val="009C4B8E"/>
    <w:rsid w:val="009C5162"/>
    <w:rsid w:val="009C5790"/>
    <w:rsid w:val="009C5DB7"/>
    <w:rsid w:val="009C6635"/>
    <w:rsid w:val="009C6E34"/>
    <w:rsid w:val="009C7822"/>
    <w:rsid w:val="009C7F50"/>
    <w:rsid w:val="009D0424"/>
    <w:rsid w:val="009D0A8F"/>
    <w:rsid w:val="009D1024"/>
    <w:rsid w:val="009D1446"/>
    <w:rsid w:val="009D14B4"/>
    <w:rsid w:val="009D1921"/>
    <w:rsid w:val="009D1E9C"/>
    <w:rsid w:val="009D1F1A"/>
    <w:rsid w:val="009D23BF"/>
    <w:rsid w:val="009D2BBC"/>
    <w:rsid w:val="009D30C7"/>
    <w:rsid w:val="009D37A1"/>
    <w:rsid w:val="009D4CD3"/>
    <w:rsid w:val="009D575E"/>
    <w:rsid w:val="009D72A4"/>
    <w:rsid w:val="009D732B"/>
    <w:rsid w:val="009D797B"/>
    <w:rsid w:val="009E01D3"/>
    <w:rsid w:val="009E0448"/>
    <w:rsid w:val="009E07DB"/>
    <w:rsid w:val="009E194E"/>
    <w:rsid w:val="009E2170"/>
    <w:rsid w:val="009E2543"/>
    <w:rsid w:val="009E2D51"/>
    <w:rsid w:val="009E3AC0"/>
    <w:rsid w:val="009E3B72"/>
    <w:rsid w:val="009E3EAF"/>
    <w:rsid w:val="009E3ED6"/>
    <w:rsid w:val="009E44F6"/>
    <w:rsid w:val="009E490B"/>
    <w:rsid w:val="009E504F"/>
    <w:rsid w:val="009E51B7"/>
    <w:rsid w:val="009E5335"/>
    <w:rsid w:val="009E6349"/>
    <w:rsid w:val="009E6CD4"/>
    <w:rsid w:val="009E7007"/>
    <w:rsid w:val="009E73C2"/>
    <w:rsid w:val="009E7D3A"/>
    <w:rsid w:val="009F0002"/>
    <w:rsid w:val="009F01C2"/>
    <w:rsid w:val="009F08BA"/>
    <w:rsid w:val="009F1DCE"/>
    <w:rsid w:val="009F2066"/>
    <w:rsid w:val="009F2C58"/>
    <w:rsid w:val="009F300F"/>
    <w:rsid w:val="009F37CE"/>
    <w:rsid w:val="009F4AB1"/>
    <w:rsid w:val="009F4B82"/>
    <w:rsid w:val="009F4B9A"/>
    <w:rsid w:val="009F53B6"/>
    <w:rsid w:val="009F5652"/>
    <w:rsid w:val="009F58AB"/>
    <w:rsid w:val="009F5DB6"/>
    <w:rsid w:val="009F6A99"/>
    <w:rsid w:val="009F6D18"/>
    <w:rsid w:val="009F701F"/>
    <w:rsid w:val="00A00210"/>
    <w:rsid w:val="00A008F0"/>
    <w:rsid w:val="00A00E48"/>
    <w:rsid w:val="00A01466"/>
    <w:rsid w:val="00A018E1"/>
    <w:rsid w:val="00A0209F"/>
    <w:rsid w:val="00A02BA2"/>
    <w:rsid w:val="00A02C06"/>
    <w:rsid w:val="00A041CA"/>
    <w:rsid w:val="00A0523A"/>
    <w:rsid w:val="00A0716F"/>
    <w:rsid w:val="00A07A1C"/>
    <w:rsid w:val="00A10C2C"/>
    <w:rsid w:val="00A1187F"/>
    <w:rsid w:val="00A11BE6"/>
    <w:rsid w:val="00A1209C"/>
    <w:rsid w:val="00A12EAA"/>
    <w:rsid w:val="00A13FE3"/>
    <w:rsid w:val="00A14CD3"/>
    <w:rsid w:val="00A15C1A"/>
    <w:rsid w:val="00A1679A"/>
    <w:rsid w:val="00A171C5"/>
    <w:rsid w:val="00A172CC"/>
    <w:rsid w:val="00A17677"/>
    <w:rsid w:val="00A17B60"/>
    <w:rsid w:val="00A20BBF"/>
    <w:rsid w:val="00A20E32"/>
    <w:rsid w:val="00A21290"/>
    <w:rsid w:val="00A212AA"/>
    <w:rsid w:val="00A213AC"/>
    <w:rsid w:val="00A2198F"/>
    <w:rsid w:val="00A219D5"/>
    <w:rsid w:val="00A21AB7"/>
    <w:rsid w:val="00A21F9A"/>
    <w:rsid w:val="00A220ED"/>
    <w:rsid w:val="00A221D8"/>
    <w:rsid w:val="00A2257E"/>
    <w:rsid w:val="00A23143"/>
    <w:rsid w:val="00A234BD"/>
    <w:rsid w:val="00A2376B"/>
    <w:rsid w:val="00A237E7"/>
    <w:rsid w:val="00A2395A"/>
    <w:rsid w:val="00A23AEF"/>
    <w:rsid w:val="00A254F6"/>
    <w:rsid w:val="00A25590"/>
    <w:rsid w:val="00A25AB8"/>
    <w:rsid w:val="00A25BA4"/>
    <w:rsid w:val="00A260EF"/>
    <w:rsid w:val="00A2622C"/>
    <w:rsid w:val="00A26B67"/>
    <w:rsid w:val="00A26B8D"/>
    <w:rsid w:val="00A27300"/>
    <w:rsid w:val="00A27BD8"/>
    <w:rsid w:val="00A27D2F"/>
    <w:rsid w:val="00A3018C"/>
    <w:rsid w:val="00A301C0"/>
    <w:rsid w:val="00A30B1C"/>
    <w:rsid w:val="00A31047"/>
    <w:rsid w:val="00A3132B"/>
    <w:rsid w:val="00A3138E"/>
    <w:rsid w:val="00A31430"/>
    <w:rsid w:val="00A3170F"/>
    <w:rsid w:val="00A32244"/>
    <w:rsid w:val="00A33E14"/>
    <w:rsid w:val="00A34661"/>
    <w:rsid w:val="00A35017"/>
    <w:rsid w:val="00A350E6"/>
    <w:rsid w:val="00A35E50"/>
    <w:rsid w:val="00A36181"/>
    <w:rsid w:val="00A3621F"/>
    <w:rsid w:val="00A36367"/>
    <w:rsid w:val="00A367E3"/>
    <w:rsid w:val="00A3688B"/>
    <w:rsid w:val="00A36BDB"/>
    <w:rsid w:val="00A36DBD"/>
    <w:rsid w:val="00A371EE"/>
    <w:rsid w:val="00A37326"/>
    <w:rsid w:val="00A37DE9"/>
    <w:rsid w:val="00A37F2D"/>
    <w:rsid w:val="00A40CE6"/>
    <w:rsid w:val="00A41AF7"/>
    <w:rsid w:val="00A41F88"/>
    <w:rsid w:val="00A43BB1"/>
    <w:rsid w:val="00A43D6E"/>
    <w:rsid w:val="00A44208"/>
    <w:rsid w:val="00A447D3"/>
    <w:rsid w:val="00A44E07"/>
    <w:rsid w:val="00A44E97"/>
    <w:rsid w:val="00A450B2"/>
    <w:rsid w:val="00A45704"/>
    <w:rsid w:val="00A45809"/>
    <w:rsid w:val="00A45E64"/>
    <w:rsid w:val="00A469D7"/>
    <w:rsid w:val="00A46F95"/>
    <w:rsid w:val="00A47478"/>
    <w:rsid w:val="00A4790E"/>
    <w:rsid w:val="00A47945"/>
    <w:rsid w:val="00A47EAA"/>
    <w:rsid w:val="00A5008E"/>
    <w:rsid w:val="00A50856"/>
    <w:rsid w:val="00A50DC8"/>
    <w:rsid w:val="00A50F23"/>
    <w:rsid w:val="00A5105A"/>
    <w:rsid w:val="00A51C5F"/>
    <w:rsid w:val="00A51D72"/>
    <w:rsid w:val="00A525D9"/>
    <w:rsid w:val="00A527AC"/>
    <w:rsid w:val="00A531F0"/>
    <w:rsid w:val="00A532C1"/>
    <w:rsid w:val="00A54D77"/>
    <w:rsid w:val="00A55197"/>
    <w:rsid w:val="00A55D39"/>
    <w:rsid w:val="00A55F4D"/>
    <w:rsid w:val="00A56113"/>
    <w:rsid w:val="00A56B9E"/>
    <w:rsid w:val="00A56F5C"/>
    <w:rsid w:val="00A57E96"/>
    <w:rsid w:val="00A60010"/>
    <w:rsid w:val="00A6061F"/>
    <w:rsid w:val="00A60654"/>
    <w:rsid w:val="00A6071E"/>
    <w:rsid w:val="00A607AF"/>
    <w:rsid w:val="00A61BA8"/>
    <w:rsid w:val="00A62545"/>
    <w:rsid w:val="00A625CA"/>
    <w:rsid w:val="00A62AC0"/>
    <w:rsid w:val="00A62C58"/>
    <w:rsid w:val="00A63CF7"/>
    <w:rsid w:val="00A642D5"/>
    <w:rsid w:val="00A64614"/>
    <w:rsid w:val="00A646A0"/>
    <w:rsid w:val="00A64F85"/>
    <w:rsid w:val="00A6591F"/>
    <w:rsid w:val="00A65CE5"/>
    <w:rsid w:val="00A65F88"/>
    <w:rsid w:val="00A66375"/>
    <w:rsid w:val="00A667D3"/>
    <w:rsid w:val="00A6692B"/>
    <w:rsid w:val="00A66CAF"/>
    <w:rsid w:val="00A6702E"/>
    <w:rsid w:val="00A67334"/>
    <w:rsid w:val="00A67726"/>
    <w:rsid w:val="00A679DE"/>
    <w:rsid w:val="00A70001"/>
    <w:rsid w:val="00A702C7"/>
    <w:rsid w:val="00A70372"/>
    <w:rsid w:val="00A70557"/>
    <w:rsid w:val="00A708CE"/>
    <w:rsid w:val="00A70D11"/>
    <w:rsid w:val="00A710FC"/>
    <w:rsid w:val="00A71FA2"/>
    <w:rsid w:val="00A721F1"/>
    <w:rsid w:val="00A723DA"/>
    <w:rsid w:val="00A7271B"/>
    <w:rsid w:val="00A72A75"/>
    <w:rsid w:val="00A7305F"/>
    <w:rsid w:val="00A732CF"/>
    <w:rsid w:val="00A73B8F"/>
    <w:rsid w:val="00A73E4C"/>
    <w:rsid w:val="00A73F78"/>
    <w:rsid w:val="00A745AA"/>
    <w:rsid w:val="00A74738"/>
    <w:rsid w:val="00A75B3E"/>
    <w:rsid w:val="00A762CF"/>
    <w:rsid w:val="00A76949"/>
    <w:rsid w:val="00A80614"/>
    <w:rsid w:val="00A808AE"/>
    <w:rsid w:val="00A81047"/>
    <w:rsid w:val="00A81144"/>
    <w:rsid w:val="00A812AD"/>
    <w:rsid w:val="00A81A91"/>
    <w:rsid w:val="00A81DE8"/>
    <w:rsid w:val="00A832C1"/>
    <w:rsid w:val="00A83522"/>
    <w:rsid w:val="00A83DA1"/>
    <w:rsid w:val="00A840A4"/>
    <w:rsid w:val="00A84187"/>
    <w:rsid w:val="00A84E87"/>
    <w:rsid w:val="00A85481"/>
    <w:rsid w:val="00A85EB2"/>
    <w:rsid w:val="00A873D5"/>
    <w:rsid w:val="00A877AF"/>
    <w:rsid w:val="00A877CD"/>
    <w:rsid w:val="00A902D6"/>
    <w:rsid w:val="00A90CC6"/>
    <w:rsid w:val="00A90D88"/>
    <w:rsid w:val="00A90DE2"/>
    <w:rsid w:val="00A91029"/>
    <w:rsid w:val="00A912BF"/>
    <w:rsid w:val="00A92157"/>
    <w:rsid w:val="00A92D2D"/>
    <w:rsid w:val="00A93EC0"/>
    <w:rsid w:val="00A93F72"/>
    <w:rsid w:val="00A9456C"/>
    <w:rsid w:val="00A94F1D"/>
    <w:rsid w:val="00A958A8"/>
    <w:rsid w:val="00A95A30"/>
    <w:rsid w:val="00A95F03"/>
    <w:rsid w:val="00A97506"/>
    <w:rsid w:val="00A9770C"/>
    <w:rsid w:val="00A97DD7"/>
    <w:rsid w:val="00A97F7C"/>
    <w:rsid w:val="00AA06ED"/>
    <w:rsid w:val="00AA10AE"/>
    <w:rsid w:val="00AA1BBD"/>
    <w:rsid w:val="00AA3341"/>
    <w:rsid w:val="00AA3AD5"/>
    <w:rsid w:val="00AA4106"/>
    <w:rsid w:val="00AA615C"/>
    <w:rsid w:val="00AA6AE5"/>
    <w:rsid w:val="00AA73FD"/>
    <w:rsid w:val="00AA7400"/>
    <w:rsid w:val="00AA7431"/>
    <w:rsid w:val="00AA7564"/>
    <w:rsid w:val="00AA78E3"/>
    <w:rsid w:val="00AA7A85"/>
    <w:rsid w:val="00AA7D1D"/>
    <w:rsid w:val="00AB08B2"/>
    <w:rsid w:val="00AB0AA9"/>
    <w:rsid w:val="00AB0CFF"/>
    <w:rsid w:val="00AB0E7B"/>
    <w:rsid w:val="00AB1428"/>
    <w:rsid w:val="00AB16D1"/>
    <w:rsid w:val="00AB1BC1"/>
    <w:rsid w:val="00AB1FA1"/>
    <w:rsid w:val="00AB2223"/>
    <w:rsid w:val="00AB270E"/>
    <w:rsid w:val="00AB3072"/>
    <w:rsid w:val="00AB33C9"/>
    <w:rsid w:val="00AB38BB"/>
    <w:rsid w:val="00AB3FA9"/>
    <w:rsid w:val="00AB4060"/>
    <w:rsid w:val="00AB4745"/>
    <w:rsid w:val="00AB488E"/>
    <w:rsid w:val="00AB5019"/>
    <w:rsid w:val="00AB546E"/>
    <w:rsid w:val="00AB62E3"/>
    <w:rsid w:val="00AB6328"/>
    <w:rsid w:val="00AB66CF"/>
    <w:rsid w:val="00AB6A9B"/>
    <w:rsid w:val="00AB755E"/>
    <w:rsid w:val="00AC0022"/>
    <w:rsid w:val="00AC0DEC"/>
    <w:rsid w:val="00AC161A"/>
    <w:rsid w:val="00AC16B3"/>
    <w:rsid w:val="00AC16ED"/>
    <w:rsid w:val="00AC1D0C"/>
    <w:rsid w:val="00AC2B16"/>
    <w:rsid w:val="00AC2B7E"/>
    <w:rsid w:val="00AC4766"/>
    <w:rsid w:val="00AC477C"/>
    <w:rsid w:val="00AC7AF0"/>
    <w:rsid w:val="00AD05B4"/>
    <w:rsid w:val="00AD08F6"/>
    <w:rsid w:val="00AD132E"/>
    <w:rsid w:val="00AD1744"/>
    <w:rsid w:val="00AD1B07"/>
    <w:rsid w:val="00AD1E4B"/>
    <w:rsid w:val="00AD1ED5"/>
    <w:rsid w:val="00AD20DC"/>
    <w:rsid w:val="00AD20DF"/>
    <w:rsid w:val="00AD34A2"/>
    <w:rsid w:val="00AD3912"/>
    <w:rsid w:val="00AD3C17"/>
    <w:rsid w:val="00AD3C4E"/>
    <w:rsid w:val="00AD54B8"/>
    <w:rsid w:val="00AD54E0"/>
    <w:rsid w:val="00AD6898"/>
    <w:rsid w:val="00AD6C19"/>
    <w:rsid w:val="00AD7168"/>
    <w:rsid w:val="00AD7259"/>
    <w:rsid w:val="00AD74B8"/>
    <w:rsid w:val="00AE01F7"/>
    <w:rsid w:val="00AE0DA8"/>
    <w:rsid w:val="00AE0F12"/>
    <w:rsid w:val="00AE1032"/>
    <w:rsid w:val="00AE17E2"/>
    <w:rsid w:val="00AE1CE5"/>
    <w:rsid w:val="00AE205F"/>
    <w:rsid w:val="00AE2FEA"/>
    <w:rsid w:val="00AE4D5A"/>
    <w:rsid w:val="00AE5782"/>
    <w:rsid w:val="00AE5C26"/>
    <w:rsid w:val="00AE6E58"/>
    <w:rsid w:val="00AE6F9D"/>
    <w:rsid w:val="00AE7320"/>
    <w:rsid w:val="00AE7632"/>
    <w:rsid w:val="00AF015E"/>
    <w:rsid w:val="00AF0824"/>
    <w:rsid w:val="00AF082D"/>
    <w:rsid w:val="00AF124B"/>
    <w:rsid w:val="00AF1A69"/>
    <w:rsid w:val="00AF33CF"/>
    <w:rsid w:val="00AF3680"/>
    <w:rsid w:val="00AF3AA2"/>
    <w:rsid w:val="00AF3B5B"/>
    <w:rsid w:val="00AF3C22"/>
    <w:rsid w:val="00AF3E64"/>
    <w:rsid w:val="00AF42D8"/>
    <w:rsid w:val="00AF4D4C"/>
    <w:rsid w:val="00AF5832"/>
    <w:rsid w:val="00AF5E82"/>
    <w:rsid w:val="00AF72B3"/>
    <w:rsid w:val="00AF793C"/>
    <w:rsid w:val="00B00A20"/>
    <w:rsid w:val="00B00B70"/>
    <w:rsid w:val="00B00BF3"/>
    <w:rsid w:val="00B013DA"/>
    <w:rsid w:val="00B01689"/>
    <w:rsid w:val="00B01921"/>
    <w:rsid w:val="00B019D4"/>
    <w:rsid w:val="00B01FF7"/>
    <w:rsid w:val="00B0238E"/>
    <w:rsid w:val="00B024D4"/>
    <w:rsid w:val="00B024F2"/>
    <w:rsid w:val="00B02D75"/>
    <w:rsid w:val="00B045F4"/>
    <w:rsid w:val="00B04B0C"/>
    <w:rsid w:val="00B056B5"/>
    <w:rsid w:val="00B05C1F"/>
    <w:rsid w:val="00B06016"/>
    <w:rsid w:val="00B06A9A"/>
    <w:rsid w:val="00B06F11"/>
    <w:rsid w:val="00B07421"/>
    <w:rsid w:val="00B100EB"/>
    <w:rsid w:val="00B10353"/>
    <w:rsid w:val="00B10AEA"/>
    <w:rsid w:val="00B11110"/>
    <w:rsid w:val="00B11690"/>
    <w:rsid w:val="00B11887"/>
    <w:rsid w:val="00B11C60"/>
    <w:rsid w:val="00B123BC"/>
    <w:rsid w:val="00B131E6"/>
    <w:rsid w:val="00B13E08"/>
    <w:rsid w:val="00B14303"/>
    <w:rsid w:val="00B14770"/>
    <w:rsid w:val="00B159CE"/>
    <w:rsid w:val="00B16633"/>
    <w:rsid w:val="00B166E5"/>
    <w:rsid w:val="00B16C53"/>
    <w:rsid w:val="00B16CA4"/>
    <w:rsid w:val="00B17068"/>
    <w:rsid w:val="00B178C5"/>
    <w:rsid w:val="00B17A0F"/>
    <w:rsid w:val="00B17AD7"/>
    <w:rsid w:val="00B201A8"/>
    <w:rsid w:val="00B204F7"/>
    <w:rsid w:val="00B21006"/>
    <w:rsid w:val="00B21CE3"/>
    <w:rsid w:val="00B223C9"/>
    <w:rsid w:val="00B226D1"/>
    <w:rsid w:val="00B22EA6"/>
    <w:rsid w:val="00B2363C"/>
    <w:rsid w:val="00B238A9"/>
    <w:rsid w:val="00B239F8"/>
    <w:rsid w:val="00B2465D"/>
    <w:rsid w:val="00B247C2"/>
    <w:rsid w:val="00B2626E"/>
    <w:rsid w:val="00B264D5"/>
    <w:rsid w:val="00B267B3"/>
    <w:rsid w:val="00B272CE"/>
    <w:rsid w:val="00B27728"/>
    <w:rsid w:val="00B27DE5"/>
    <w:rsid w:val="00B307DF"/>
    <w:rsid w:val="00B30B6B"/>
    <w:rsid w:val="00B30B72"/>
    <w:rsid w:val="00B30DE0"/>
    <w:rsid w:val="00B30E43"/>
    <w:rsid w:val="00B30F42"/>
    <w:rsid w:val="00B31B48"/>
    <w:rsid w:val="00B31BB3"/>
    <w:rsid w:val="00B3204D"/>
    <w:rsid w:val="00B324FE"/>
    <w:rsid w:val="00B32ED6"/>
    <w:rsid w:val="00B3397C"/>
    <w:rsid w:val="00B347E6"/>
    <w:rsid w:val="00B35638"/>
    <w:rsid w:val="00B3566D"/>
    <w:rsid w:val="00B35A32"/>
    <w:rsid w:val="00B35D19"/>
    <w:rsid w:val="00B36AD6"/>
    <w:rsid w:val="00B41A93"/>
    <w:rsid w:val="00B41AF2"/>
    <w:rsid w:val="00B41CDD"/>
    <w:rsid w:val="00B42280"/>
    <w:rsid w:val="00B424C5"/>
    <w:rsid w:val="00B43211"/>
    <w:rsid w:val="00B434A3"/>
    <w:rsid w:val="00B4360F"/>
    <w:rsid w:val="00B4366B"/>
    <w:rsid w:val="00B44EF4"/>
    <w:rsid w:val="00B4502C"/>
    <w:rsid w:val="00B45812"/>
    <w:rsid w:val="00B469CE"/>
    <w:rsid w:val="00B46EDF"/>
    <w:rsid w:val="00B47C65"/>
    <w:rsid w:val="00B47D1C"/>
    <w:rsid w:val="00B47DCE"/>
    <w:rsid w:val="00B518FB"/>
    <w:rsid w:val="00B51942"/>
    <w:rsid w:val="00B51E21"/>
    <w:rsid w:val="00B52746"/>
    <w:rsid w:val="00B5274E"/>
    <w:rsid w:val="00B527A7"/>
    <w:rsid w:val="00B529F2"/>
    <w:rsid w:val="00B52F70"/>
    <w:rsid w:val="00B54524"/>
    <w:rsid w:val="00B546EE"/>
    <w:rsid w:val="00B54EAD"/>
    <w:rsid w:val="00B551BF"/>
    <w:rsid w:val="00B554E7"/>
    <w:rsid w:val="00B5578B"/>
    <w:rsid w:val="00B55ADE"/>
    <w:rsid w:val="00B56022"/>
    <w:rsid w:val="00B564A6"/>
    <w:rsid w:val="00B56563"/>
    <w:rsid w:val="00B566A4"/>
    <w:rsid w:val="00B57F55"/>
    <w:rsid w:val="00B60744"/>
    <w:rsid w:val="00B60BE0"/>
    <w:rsid w:val="00B60C08"/>
    <w:rsid w:val="00B60C92"/>
    <w:rsid w:val="00B60DBF"/>
    <w:rsid w:val="00B61B0C"/>
    <w:rsid w:val="00B6242B"/>
    <w:rsid w:val="00B6260D"/>
    <w:rsid w:val="00B63210"/>
    <w:rsid w:val="00B646A4"/>
    <w:rsid w:val="00B648F3"/>
    <w:rsid w:val="00B6510E"/>
    <w:rsid w:val="00B6592B"/>
    <w:rsid w:val="00B6603A"/>
    <w:rsid w:val="00B6678A"/>
    <w:rsid w:val="00B66FDE"/>
    <w:rsid w:val="00B677A4"/>
    <w:rsid w:val="00B67876"/>
    <w:rsid w:val="00B70663"/>
    <w:rsid w:val="00B70911"/>
    <w:rsid w:val="00B70A6C"/>
    <w:rsid w:val="00B71232"/>
    <w:rsid w:val="00B71A7E"/>
    <w:rsid w:val="00B71BDD"/>
    <w:rsid w:val="00B724E2"/>
    <w:rsid w:val="00B725AB"/>
    <w:rsid w:val="00B730C4"/>
    <w:rsid w:val="00B73EC8"/>
    <w:rsid w:val="00B74329"/>
    <w:rsid w:val="00B74B18"/>
    <w:rsid w:val="00B752E8"/>
    <w:rsid w:val="00B75475"/>
    <w:rsid w:val="00B75AAB"/>
    <w:rsid w:val="00B75E95"/>
    <w:rsid w:val="00B76814"/>
    <w:rsid w:val="00B76DF6"/>
    <w:rsid w:val="00B82116"/>
    <w:rsid w:val="00B821D1"/>
    <w:rsid w:val="00B82532"/>
    <w:rsid w:val="00B8256B"/>
    <w:rsid w:val="00B825A8"/>
    <w:rsid w:val="00B826E6"/>
    <w:rsid w:val="00B82E7A"/>
    <w:rsid w:val="00B83CC8"/>
    <w:rsid w:val="00B85003"/>
    <w:rsid w:val="00B8586A"/>
    <w:rsid w:val="00B85895"/>
    <w:rsid w:val="00B858D7"/>
    <w:rsid w:val="00B85A90"/>
    <w:rsid w:val="00B8624B"/>
    <w:rsid w:val="00B8635F"/>
    <w:rsid w:val="00B86B6F"/>
    <w:rsid w:val="00B86B7D"/>
    <w:rsid w:val="00B87174"/>
    <w:rsid w:val="00B87985"/>
    <w:rsid w:val="00B87D56"/>
    <w:rsid w:val="00B9000C"/>
    <w:rsid w:val="00B90368"/>
    <w:rsid w:val="00B90717"/>
    <w:rsid w:val="00B90724"/>
    <w:rsid w:val="00B90E64"/>
    <w:rsid w:val="00B9108B"/>
    <w:rsid w:val="00B911A0"/>
    <w:rsid w:val="00B91247"/>
    <w:rsid w:val="00B91426"/>
    <w:rsid w:val="00B920B3"/>
    <w:rsid w:val="00B9288C"/>
    <w:rsid w:val="00B92D75"/>
    <w:rsid w:val="00B9396E"/>
    <w:rsid w:val="00B93D8A"/>
    <w:rsid w:val="00B93EBC"/>
    <w:rsid w:val="00B947B8"/>
    <w:rsid w:val="00B952D1"/>
    <w:rsid w:val="00B95959"/>
    <w:rsid w:val="00B95ABA"/>
    <w:rsid w:val="00B95F58"/>
    <w:rsid w:val="00B95FA6"/>
    <w:rsid w:val="00B960C2"/>
    <w:rsid w:val="00B97A58"/>
    <w:rsid w:val="00BA0360"/>
    <w:rsid w:val="00BA073A"/>
    <w:rsid w:val="00BA0A0F"/>
    <w:rsid w:val="00BA0DA2"/>
    <w:rsid w:val="00BA1318"/>
    <w:rsid w:val="00BA2E4E"/>
    <w:rsid w:val="00BA2FC7"/>
    <w:rsid w:val="00BA40D5"/>
    <w:rsid w:val="00BA4AB6"/>
    <w:rsid w:val="00BA4E7A"/>
    <w:rsid w:val="00BA508F"/>
    <w:rsid w:val="00BA509A"/>
    <w:rsid w:val="00BA54E6"/>
    <w:rsid w:val="00BA54FB"/>
    <w:rsid w:val="00BA5956"/>
    <w:rsid w:val="00BA5C7C"/>
    <w:rsid w:val="00BA6A6F"/>
    <w:rsid w:val="00BA6CD0"/>
    <w:rsid w:val="00BA7344"/>
    <w:rsid w:val="00BA73BC"/>
    <w:rsid w:val="00BA7DBC"/>
    <w:rsid w:val="00BA7E8C"/>
    <w:rsid w:val="00BB03B4"/>
    <w:rsid w:val="00BB0500"/>
    <w:rsid w:val="00BB053E"/>
    <w:rsid w:val="00BB06AA"/>
    <w:rsid w:val="00BB10B1"/>
    <w:rsid w:val="00BB12D8"/>
    <w:rsid w:val="00BB17C1"/>
    <w:rsid w:val="00BB251D"/>
    <w:rsid w:val="00BB2ACF"/>
    <w:rsid w:val="00BB2C8B"/>
    <w:rsid w:val="00BB2E59"/>
    <w:rsid w:val="00BB3411"/>
    <w:rsid w:val="00BB37EF"/>
    <w:rsid w:val="00BB383B"/>
    <w:rsid w:val="00BB3DD7"/>
    <w:rsid w:val="00BB48EC"/>
    <w:rsid w:val="00BB586D"/>
    <w:rsid w:val="00BB590D"/>
    <w:rsid w:val="00BB5B21"/>
    <w:rsid w:val="00BB6408"/>
    <w:rsid w:val="00BB670A"/>
    <w:rsid w:val="00BB6B2D"/>
    <w:rsid w:val="00BB75A8"/>
    <w:rsid w:val="00BB7A68"/>
    <w:rsid w:val="00BB7ABA"/>
    <w:rsid w:val="00BC0523"/>
    <w:rsid w:val="00BC112F"/>
    <w:rsid w:val="00BC20AB"/>
    <w:rsid w:val="00BC2D5D"/>
    <w:rsid w:val="00BC38AE"/>
    <w:rsid w:val="00BC3967"/>
    <w:rsid w:val="00BC3A59"/>
    <w:rsid w:val="00BC435E"/>
    <w:rsid w:val="00BC5BC2"/>
    <w:rsid w:val="00BC716F"/>
    <w:rsid w:val="00BC742F"/>
    <w:rsid w:val="00BC7AE0"/>
    <w:rsid w:val="00BD040B"/>
    <w:rsid w:val="00BD0E62"/>
    <w:rsid w:val="00BD1210"/>
    <w:rsid w:val="00BD14F6"/>
    <w:rsid w:val="00BD1FA3"/>
    <w:rsid w:val="00BD2035"/>
    <w:rsid w:val="00BD2BFC"/>
    <w:rsid w:val="00BD34A5"/>
    <w:rsid w:val="00BD3836"/>
    <w:rsid w:val="00BD395D"/>
    <w:rsid w:val="00BD3B09"/>
    <w:rsid w:val="00BD5376"/>
    <w:rsid w:val="00BD5766"/>
    <w:rsid w:val="00BD5C42"/>
    <w:rsid w:val="00BD5FD4"/>
    <w:rsid w:val="00BD62FF"/>
    <w:rsid w:val="00BD63B2"/>
    <w:rsid w:val="00BD7AAC"/>
    <w:rsid w:val="00BE0283"/>
    <w:rsid w:val="00BE03BA"/>
    <w:rsid w:val="00BE0846"/>
    <w:rsid w:val="00BE093D"/>
    <w:rsid w:val="00BE0B0D"/>
    <w:rsid w:val="00BE0B44"/>
    <w:rsid w:val="00BE16D9"/>
    <w:rsid w:val="00BE2AD7"/>
    <w:rsid w:val="00BE3D8B"/>
    <w:rsid w:val="00BE44C5"/>
    <w:rsid w:val="00BE466F"/>
    <w:rsid w:val="00BE4A62"/>
    <w:rsid w:val="00BE5CB7"/>
    <w:rsid w:val="00BE5F81"/>
    <w:rsid w:val="00BE72C8"/>
    <w:rsid w:val="00BE758B"/>
    <w:rsid w:val="00BE7751"/>
    <w:rsid w:val="00BF033F"/>
    <w:rsid w:val="00BF0421"/>
    <w:rsid w:val="00BF08E9"/>
    <w:rsid w:val="00BF0989"/>
    <w:rsid w:val="00BF1191"/>
    <w:rsid w:val="00BF12E7"/>
    <w:rsid w:val="00BF201C"/>
    <w:rsid w:val="00BF2215"/>
    <w:rsid w:val="00BF2B16"/>
    <w:rsid w:val="00BF3116"/>
    <w:rsid w:val="00BF391D"/>
    <w:rsid w:val="00BF3F2F"/>
    <w:rsid w:val="00BF4C5A"/>
    <w:rsid w:val="00BF4EA8"/>
    <w:rsid w:val="00BF61F9"/>
    <w:rsid w:val="00BF7879"/>
    <w:rsid w:val="00BF7B78"/>
    <w:rsid w:val="00C00116"/>
    <w:rsid w:val="00C01200"/>
    <w:rsid w:val="00C0141F"/>
    <w:rsid w:val="00C01C26"/>
    <w:rsid w:val="00C02380"/>
    <w:rsid w:val="00C02899"/>
    <w:rsid w:val="00C03343"/>
    <w:rsid w:val="00C034BC"/>
    <w:rsid w:val="00C03D6E"/>
    <w:rsid w:val="00C04A9E"/>
    <w:rsid w:val="00C05431"/>
    <w:rsid w:val="00C057EB"/>
    <w:rsid w:val="00C05C78"/>
    <w:rsid w:val="00C07D0A"/>
    <w:rsid w:val="00C07DAD"/>
    <w:rsid w:val="00C1039D"/>
    <w:rsid w:val="00C10A00"/>
    <w:rsid w:val="00C10D57"/>
    <w:rsid w:val="00C11901"/>
    <w:rsid w:val="00C12A48"/>
    <w:rsid w:val="00C12A63"/>
    <w:rsid w:val="00C13474"/>
    <w:rsid w:val="00C13A15"/>
    <w:rsid w:val="00C13C4E"/>
    <w:rsid w:val="00C14218"/>
    <w:rsid w:val="00C1467B"/>
    <w:rsid w:val="00C15174"/>
    <w:rsid w:val="00C15A4D"/>
    <w:rsid w:val="00C1637D"/>
    <w:rsid w:val="00C16A4B"/>
    <w:rsid w:val="00C16F9E"/>
    <w:rsid w:val="00C17252"/>
    <w:rsid w:val="00C20881"/>
    <w:rsid w:val="00C2129A"/>
    <w:rsid w:val="00C21550"/>
    <w:rsid w:val="00C21829"/>
    <w:rsid w:val="00C2240D"/>
    <w:rsid w:val="00C22478"/>
    <w:rsid w:val="00C22683"/>
    <w:rsid w:val="00C22AF2"/>
    <w:rsid w:val="00C22EFA"/>
    <w:rsid w:val="00C2341B"/>
    <w:rsid w:val="00C234AB"/>
    <w:rsid w:val="00C23BC5"/>
    <w:rsid w:val="00C23E6B"/>
    <w:rsid w:val="00C2473D"/>
    <w:rsid w:val="00C24B29"/>
    <w:rsid w:val="00C24B88"/>
    <w:rsid w:val="00C25926"/>
    <w:rsid w:val="00C25A67"/>
    <w:rsid w:val="00C25BB4"/>
    <w:rsid w:val="00C260C8"/>
    <w:rsid w:val="00C26231"/>
    <w:rsid w:val="00C26FEA"/>
    <w:rsid w:val="00C27037"/>
    <w:rsid w:val="00C27442"/>
    <w:rsid w:val="00C27630"/>
    <w:rsid w:val="00C303E0"/>
    <w:rsid w:val="00C30547"/>
    <w:rsid w:val="00C33136"/>
    <w:rsid w:val="00C34070"/>
    <w:rsid w:val="00C341D9"/>
    <w:rsid w:val="00C34401"/>
    <w:rsid w:val="00C3472E"/>
    <w:rsid w:val="00C3521F"/>
    <w:rsid w:val="00C3581E"/>
    <w:rsid w:val="00C359FC"/>
    <w:rsid w:val="00C35AFD"/>
    <w:rsid w:val="00C35C21"/>
    <w:rsid w:val="00C377EE"/>
    <w:rsid w:val="00C37F9F"/>
    <w:rsid w:val="00C400BE"/>
    <w:rsid w:val="00C40125"/>
    <w:rsid w:val="00C409CE"/>
    <w:rsid w:val="00C417FA"/>
    <w:rsid w:val="00C42901"/>
    <w:rsid w:val="00C42DF4"/>
    <w:rsid w:val="00C43141"/>
    <w:rsid w:val="00C4385C"/>
    <w:rsid w:val="00C44487"/>
    <w:rsid w:val="00C445CD"/>
    <w:rsid w:val="00C44786"/>
    <w:rsid w:val="00C44C83"/>
    <w:rsid w:val="00C44E44"/>
    <w:rsid w:val="00C4538E"/>
    <w:rsid w:val="00C4562C"/>
    <w:rsid w:val="00C4584C"/>
    <w:rsid w:val="00C460EB"/>
    <w:rsid w:val="00C463DD"/>
    <w:rsid w:val="00C464A1"/>
    <w:rsid w:val="00C47592"/>
    <w:rsid w:val="00C47A56"/>
    <w:rsid w:val="00C47EAF"/>
    <w:rsid w:val="00C504F3"/>
    <w:rsid w:val="00C50DE6"/>
    <w:rsid w:val="00C513C5"/>
    <w:rsid w:val="00C51ABB"/>
    <w:rsid w:val="00C51E55"/>
    <w:rsid w:val="00C527E9"/>
    <w:rsid w:val="00C52AE9"/>
    <w:rsid w:val="00C52F2E"/>
    <w:rsid w:val="00C5406A"/>
    <w:rsid w:val="00C545A3"/>
    <w:rsid w:val="00C556CD"/>
    <w:rsid w:val="00C562BB"/>
    <w:rsid w:val="00C56E25"/>
    <w:rsid w:val="00C57126"/>
    <w:rsid w:val="00C573F1"/>
    <w:rsid w:val="00C57C6B"/>
    <w:rsid w:val="00C57DE6"/>
    <w:rsid w:val="00C60506"/>
    <w:rsid w:val="00C61254"/>
    <w:rsid w:val="00C61499"/>
    <w:rsid w:val="00C618F1"/>
    <w:rsid w:val="00C61A86"/>
    <w:rsid w:val="00C61D9C"/>
    <w:rsid w:val="00C620AB"/>
    <w:rsid w:val="00C633D9"/>
    <w:rsid w:val="00C63766"/>
    <w:rsid w:val="00C637AC"/>
    <w:rsid w:val="00C63D79"/>
    <w:rsid w:val="00C63DAE"/>
    <w:rsid w:val="00C640EF"/>
    <w:rsid w:val="00C64231"/>
    <w:rsid w:val="00C649AC"/>
    <w:rsid w:val="00C64DDB"/>
    <w:rsid w:val="00C65657"/>
    <w:rsid w:val="00C65AE3"/>
    <w:rsid w:val="00C66093"/>
    <w:rsid w:val="00C66353"/>
    <w:rsid w:val="00C6703B"/>
    <w:rsid w:val="00C7035C"/>
    <w:rsid w:val="00C7049E"/>
    <w:rsid w:val="00C70801"/>
    <w:rsid w:val="00C70AF5"/>
    <w:rsid w:val="00C71617"/>
    <w:rsid w:val="00C717BD"/>
    <w:rsid w:val="00C71FBA"/>
    <w:rsid w:val="00C7225B"/>
    <w:rsid w:val="00C722B6"/>
    <w:rsid w:val="00C72529"/>
    <w:rsid w:val="00C728BA"/>
    <w:rsid w:val="00C729F3"/>
    <w:rsid w:val="00C72A38"/>
    <w:rsid w:val="00C73FA7"/>
    <w:rsid w:val="00C742C4"/>
    <w:rsid w:val="00C745F3"/>
    <w:rsid w:val="00C748B6"/>
    <w:rsid w:val="00C74F4E"/>
    <w:rsid w:val="00C75823"/>
    <w:rsid w:val="00C75A23"/>
    <w:rsid w:val="00C75E47"/>
    <w:rsid w:val="00C75E84"/>
    <w:rsid w:val="00C76328"/>
    <w:rsid w:val="00C76A65"/>
    <w:rsid w:val="00C77464"/>
    <w:rsid w:val="00C7759A"/>
    <w:rsid w:val="00C77AC3"/>
    <w:rsid w:val="00C80446"/>
    <w:rsid w:val="00C8095F"/>
    <w:rsid w:val="00C810D3"/>
    <w:rsid w:val="00C813B7"/>
    <w:rsid w:val="00C8216B"/>
    <w:rsid w:val="00C821FA"/>
    <w:rsid w:val="00C8244C"/>
    <w:rsid w:val="00C82562"/>
    <w:rsid w:val="00C826DD"/>
    <w:rsid w:val="00C83750"/>
    <w:rsid w:val="00C83855"/>
    <w:rsid w:val="00C838F6"/>
    <w:rsid w:val="00C84A02"/>
    <w:rsid w:val="00C854EB"/>
    <w:rsid w:val="00C86258"/>
    <w:rsid w:val="00C87357"/>
    <w:rsid w:val="00C8752C"/>
    <w:rsid w:val="00C87777"/>
    <w:rsid w:val="00C87FB8"/>
    <w:rsid w:val="00C901F1"/>
    <w:rsid w:val="00C9044B"/>
    <w:rsid w:val="00C9079E"/>
    <w:rsid w:val="00C9351B"/>
    <w:rsid w:val="00C93D75"/>
    <w:rsid w:val="00C94967"/>
    <w:rsid w:val="00C95248"/>
    <w:rsid w:val="00C95571"/>
    <w:rsid w:val="00C965A9"/>
    <w:rsid w:val="00C968CA"/>
    <w:rsid w:val="00C97609"/>
    <w:rsid w:val="00C978E2"/>
    <w:rsid w:val="00C97A44"/>
    <w:rsid w:val="00C97B5F"/>
    <w:rsid w:val="00CA03C4"/>
    <w:rsid w:val="00CA0A00"/>
    <w:rsid w:val="00CA15C2"/>
    <w:rsid w:val="00CA168C"/>
    <w:rsid w:val="00CA1BA3"/>
    <w:rsid w:val="00CA1D24"/>
    <w:rsid w:val="00CA382B"/>
    <w:rsid w:val="00CA3834"/>
    <w:rsid w:val="00CA4BB3"/>
    <w:rsid w:val="00CA5DBB"/>
    <w:rsid w:val="00CA7231"/>
    <w:rsid w:val="00CA7D22"/>
    <w:rsid w:val="00CA7E2F"/>
    <w:rsid w:val="00CB0F60"/>
    <w:rsid w:val="00CB0F96"/>
    <w:rsid w:val="00CB120D"/>
    <w:rsid w:val="00CB1471"/>
    <w:rsid w:val="00CB1E8D"/>
    <w:rsid w:val="00CB2ECF"/>
    <w:rsid w:val="00CB2FA2"/>
    <w:rsid w:val="00CB3562"/>
    <w:rsid w:val="00CB408A"/>
    <w:rsid w:val="00CB413E"/>
    <w:rsid w:val="00CB4854"/>
    <w:rsid w:val="00CB558C"/>
    <w:rsid w:val="00CB5885"/>
    <w:rsid w:val="00CB6138"/>
    <w:rsid w:val="00CB658E"/>
    <w:rsid w:val="00CB6985"/>
    <w:rsid w:val="00CB6B6A"/>
    <w:rsid w:val="00CB6D99"/>
    <w:rsid w:val="00CB702A"/>
    <w:rsid w:val="00CB7577"/>
    <w:rsid w:val="00CB7837"/>
    <w:rsid w:val="00CB7BB5"/>
    <w:rsid w:val="00CB7F8F"/>
    <w:rsid w:val="00CB7FE3"/>
    <w:rsid w:val="00CC0187"/>
    <w:rsid w:val="00CC063A"/>
    <w:rsid w:val="00CC0C30"/>
    <w:rsid w:val="00CC1230"/>
    <w:rsid w:val="00CC1891"/>
    <w:rsid w:val="00CC193D"/>
    <w:rsid w:val="00CC1B17"/>
    <w:rsid w:val="00CC215E"/>
    <w:rsid w:val="00CC368E"/>
    <w:rsid w:val="00CC394F"/>
    <w:rsid w:val="00CC48AA"/>
    <w:rsid w:val="00CC4B76"/>
    <w:rsid w:val="00CC5A71"/>
    <w:rsid w:val="00CC5B01"/>
    <w:rsid w:val="00CC6C6A"/>
    <w:rsid w:val="00CC708C"/>
    <w:rsid w:val="00CC7472"/>
    <w:rsid w:val="00CC75D5"/>
    <w:rsid w:val="00CC7DE5"/>
    <w:rsid w:val="00CD08C1"/>
    <w:rsid w:val="00CD1398"/>
    <w:rsid w:val="00CD17E5"/>
    <w:rsid w:val="00CD1C98"/>
    <w:rsid w:val="00CD1E9F"/>
    <w:rsid w:val="00CD24FD"/>
    <w:rsid w:val="00CD2654"/>
    <w:rsid w:val="00CD2B50"/>
    <w:rsid w:val="00CD339E"/>
    <w:rsid w:val="00CD3F6D"/>
    <w:rsid w:val="00CD4294"/>
    <w:rsid w:val="00CD4C23"/>
    <w:rsid w:val="00CD542B"/>
    <w:rsid w:val="00CD58B3"/>
    <w:rsid w:val="00CD5B0F"/>
    <w:rsid w:val="00CD64C2"/>
    <w:rsid w:val="00CD7EB4"/>
    <w:rsid w:val="00CE004E"/>
    <w:rsid w:val="00CE0DC4"/>
    <w:rsid w:val="00CE1500"/>
    <w:rsid w:val="00CE2310"/>
    <w:rsid w:val="00CE2841"/>
    <w:rsid w:val="00CE28C2"/>
    <w:rsid w:val="00CE367B"/>
    <w:rsid w:val="00CE41A4"/>
    <w:rsid w:val="00CE4B4D"/>
    <w:rsid w:val="00CE5019"/>
    <w:rsid w:val="00CE5A45"/>
    <w:rsid w:val="00CE6DF5"/>
    <w:rsid w:val="00CE7297"/>
    <w:rsid w:val="00CE758D"/>
    <w:rsid w:val="00CF0267"/>
    <w:rsid w:val="00CF0B3D"/>
    <w:rsid w:val="00CF0C50"/>
    <w:rsid w:val="00CF12B8"/>
    <w:rsid w:val="00CF1D85"/>
    <w:rsid w:val="00CF1E60"/>
    <w:rsid w:val="00CF2594"/>
    <w:rsid w:val="00CF3433"/>
    <w:rsid w:val="00CF3634"/>
    <w:rsid w:val="00CF382E"/>
    <w:rsid w:val="00CF4163"/>
    <w:rsid w:val="00CF4CED"/>
    <w:rsid w:val="00CF51B2"/>
    <w:rsid w:val="00CF55D3"/>
    <w:rsid w:val="00CF5690"/>
    <w:rsid w:val="00CF5B22"/>
    <w:rsid w:val="00CF5B2F"/>
    <w:rsid w:val="00CF5C83"/>
    <w:rsid w:val="00CF676D"/>
    <w:rsid w:val="00CF67AE"/>
    <w:rsid w:val="00CF6E12"/>
    <w:rsid w:val="00D0093C"/>
    <w:rsid w:val="00D011F8"/>
    <w:rsid w:val="00D0172B"/>
    <w:rsid w:val="00D01929"/>
    <w:rsid w:val="00D01DA9"/>
    <w:rsid w:val="00D027AF"/>
    <w:rsid w:val="00D02A4F"/>
    <w:rsid w:val="00D02D15"/>
    <w:rsid w:val="00D03697"/>
    <w:rsid w:val="00D04F39"/>
    <w:rsid w:val="00D0610C"/>
    <w:rsid w:val="00D063F9"/>
    <w:rsid w:val="00D0712E"/>
    <w:rsid w:val="00D07D39"/>
    <w:rsid w:val="00D1001E"/>
    <w:rsid w:val="00D11B21"/>
    <w:rsid w:val="00D12315"/>
    <w:rsid w:val="00D13844"/>
    <w:rsid w:val="00D13C5E"/>
    <w:rsid w:val="00D13D18"/>
    <w:rsid w:val="00D14085"/>
    <w:rsid w:val="00D147BC"/>
    <w:rsid w:val="00D14D03"/>
    <w:rsid w:val="00D14E79"/>
    <w:rsid w:val="00D1515D"/>
    <w:rsid w:val="00D15BAB"/>
    <w:rsid w:val="00D16D16"/>
    <w:rsid w:val="00D171A2"/>
    <w:rsid w:val="00D178AB"/>
    <w:rsid w:val="00D17A46"/>
    <w:rsid w:val="00D17CB2"/>
    <w:rsid w:val="00D20597"/>
    <w:rsid w:val="00D20A91"/>
    <w:rsid w:val="00D20C25"/>
    <w:rsid w:val="00D21075"/>
    <w:rsid w:val="00D212EB"/>
    <w:rsid w:val="00D23622"/>
    <w:rsid w:val="00D2431D"/>
    <w:rsid w:val="00D2453D"/>
    <w:rsid w:val="00D24B0D"/>
    <w:rsid w:val="00D253A3"/>
    <w:rsid w:val="00D257D4"/>
    <w:rsid w:val="00D25EF9"/>
    <w:rsid w:val="00D265EC"/>
    <w:rsid w:val="00D26609"/>
    <w:rsid w:val="00D26803"/>
    <w:rsid w:val="00D2696F"/>
    <w:rsid w:val="00D27510"/>
    <w:rsid w:val="00D30BCE"/>
    <w:rsid w:val="00D30DE2"/>
    <w:rsid w:val="00D3106A"/>
    <w:rsid w:val="00D315D8"/>
    <w:rsid w:val="00D316C8"/>
    <w:rsid w:val="00D31810"/>
    <w:rsid w:val="00D31CA6"/>
    <w:rsid w:val="00D321F1"/>
    <w:rsid w:val="00D32C7F"/>
    <w:rsid w:val="00D32DBB"/>
    <w:rsid w:val="00D3342D"/>
    <w:rsid w:val="00D33981"/>
    <w:rsid w:val="00D341A2"/>
    <w:rsid w:val="00D354C2"/>
    <w:rsid w:val="00D36618"/>
    <w:rsid w:val="00D36AF8"/>
    <w:rsid w:val="00D36D03"/>
    <w:rsid w:val="00D37185"/>
    <w:rsid w:val="00D3718D"/>
    <w:rsid w:val="00D37BF2"/>
    <w:rsid w:val="00D37DE5"/>
    <w:rsid w:val="00D37F0F"/>
    <w:rsid w:val="00D404EC"/>
    <w:rsid w:val="00D40F2D"/>
    <w:rsid w:val="00D41A85"/>
    <w:rsid w:val="00D41ADB"/>
    <w:rsid w:val="00D41DCB"/>
    <w:rsid w:val="00D430CB"/>
    <w:rsid w:val="00D43189"/>
    <w:rsid w:val="00D436A4"/>
    <w:rsid w:val="00D437F2"/>
    <w:rsid w:val="00D43AED"/>
    <w:rsid w:val="00D445C1"/>
    <w:rsid w:val="00D44652"/>
    <w:rsid w:val="00D4475C"/>
    <w:rsid w:val="00D44CB1"/>
    <w:rsid w:val="00D44DEB"/>
    <w:rsid w:val="00D44E01"/>
    <w:rsid w:val="00D44F34"/>
    <w:rsid w:val="00D45695"/>
    <w:rsid w:val="00D461E8"/>
    <w:rsid w:val="00D463F0"/>
    <w:rsid w:val="00D46AC6"/>
    <w:rsid w:val="00D46EE8"/>
    <w:rsid w:val="00D46EF0"/>
    <w:rsid w:val="00D46F34"/>
    <w:rsid w:val="00D471E3"/>
    <w:rsid w:val="00D47252"/>
    <w:rsid w:val="00D47631"/>
    <w:rsid w:val="00D50699"/>
    <w:rsid w:val="00D506FF"/>
    <w:rsid w:val="00D50723"/>
    <w:rsid w:val="00D50DEA"/>
    <w:rsid w:val="00D50E12"/>
    <w:rsid w:val="00D50E24"/>
    <w:rsid w:val="00D51CCA"/>
    <w:rsid w:val="00D521CF"/>
    <w:rsid w:val="00D52726"/>
    <w:rsid w:val="00D52F9B"/>
    <w:rsid w:val="00D535A1"/>
    <w:rsid w:val="00D54934"/>
    <w:rsid w:val="00D55D99"/>
    <w:rsid w:val="00D562A9"/>
    <w:rsid w:val="00D565E7"/>
    <w:rsid w:val="00D56835"/>
    <w:rsid w:val="00D56987"/>
    <w:rsid w:val="00D57A91"/>
    <w:rsid w:val="00D57F41"/>
    <w:rsid w:val="00D609D2"/>
    <w:rsid w:val="00D60FA6"/>
    <w:rsid w:val="00D61621"/>
    <w:rsid w:val="00D6162B"/>
    <w:rsid w:val="00D61A7C"/>
    <w:rsid w:val="00D61E4B"/>
    <w:rsid w:val="00D62451"/>
    <w:rsid w:val="00D62A0D"/>
    <w:rsid w:val="00D62C67"/>
    <w:rsid w:val="00D64078"/>
    <w:rsid w:val="00D64A09"/>
    <w:rsid w:val="00D64E19"/>
    <w:rsid w:val="00D656C1"/>
    <w:rsid w:val="00D658F9"/>
    <w:rsid w:val="00D66241"/>
    <w:rsid w:val="00D66B2F"/>
    <w:rsid w:val="00D66F9D"/>
    <w:rsid w:val="00D677BD"/>
    <w:rsid w:val="00D678EA"/>
    <w:rsid w:val="00D67F0F"/>
    <w:rsid w:val="00D70320"/>
    <w:rsid w:val="00D7056E"/>
    <w:rsid w:val="00D70C95"/>
    <w:rsid w:val="00D714FA"/>
    <w:rsid w:val="00D7181E"/>
    <w:rsid w:val="00D71E9D"/>
    <w:rsid w:val="00D73C04"/>
    <w:rsid w:val="00D74CBE"/>
    <w:rsid w:val="00D74D50"/>
    <w:rsid w:val="00D751A2"/>
    <w:rsid w:val="00D75376"/>
    <w:rsid w:val="00D75519"/>
    <w:rsid w:val="00D75CB9"/>
    <w:rsid w:val="00D760C7"/>
    <w:rsid w:val="00D76C0E"/>
    <w:rsid w:val="00D76C43"/>
    <w:rsid w:val="00D772B9"/>
    <w:rsid w:val="00D8000F"/>
    <w:rsid w:val="00D80082"/>
    <w:rsid w:val="00D801E0"/>
    <w:rsid w:val="00D809B4"/>
    <w:rsid w:val="00D81140"/>
    <w:rsid w:val="00D81233"/>
    <w:rsid w:val="00D814DE"/>
    <w:rsid w:val="00D816CF"/>
    <w:rsid w:val="00D822B1"/>
    <w:rsid w:val="00D82A4A"/>
    <w:rsid w:val="00D830EF"/>
    <w:rsid w:val="00D832C0"/>
    <w:rsid w:val="00D83B24"/>
    <w:rsid w:val="00D83EAC"/>
    <w:rsid w:val="00D846F7"/>
    <w:rsid w:val="00D84909"/>
    <w:rsid w:val="00D8558D"/>
    <w:rsid w:val="00D85A7B"/>
    <w:rsid w:val="00D85B8F"/>
    <w:rsid w:val="00D85D41"/>
    <w:rsid w:val="00D866E3"/>
    <w:rsid w:val="00D870E0"/>
    <w:rsid w:val="00D871BE"/>
    <w:rsid w:val="00D87B0F"/>
    <w:rsid w:val="00D87D6F"/>
    <w:rsid w:val="00D87F67"/>
    <w:rsid w:val="00D90AF7"/>
    <w:rsid w:val="00D90D0E"/>
    <w:rsid w:val="00D9203E"/>
    <w:rsid w:val="00D92894"/>
    <w:rsid w:val="00D92C51"/>
    <w:rsid w:val="00D9339E"/>
    <w:rsid w:val="00D93467"/>
    <w:rsid w:val="00D93F65"/>
    <w:rsid w:val="00D94A16"/>
    <w:rsid w:val="00D95B5C"/>
    <w:rsid w:val="00D9638B"/>
    <w:rsid w:val="00D96DFE"/>
    <w:rsid w:val="00D9765A"/>
    <w:rsid w:val="00D979CF"/>
    <w:rsid w:val="00D97A24"/>
    <w:rsid w:val="00DA172A"/>
    <w:rsid w:val="00DA1836"/>
    <w:rsid w:val="00DA20E5"/>
    <w:rsid w:val="00DA24E4"/>
    <w:rsid w:val="00DA2AC9"/>
    <w:rsid w:val="00DA36CE"/>
    <w:rsid w:val="00DA4C9F"/>
    <w:rsid w:val="00DA57B2"/>
    <w:rsid w:val="00DA5D32"/>
    <w:rsid w:val="00DA6603"/>
    <w:rsid w:val="00DA696F"/>
    <w:rsid w:val="00DA6D6F"/>
    <w:rsid w:val="00DA6F5F"/>
    <w:rsid w:val="00DA7CDE"/>
    <w:rsid w:val="00DB045A"/>
    <w:rsid w:val="00DB1D51"/>
    <w:rsid w:val="00DB2F72"/>
    <w:rsid w:val="00DB3940"/>
    <w:rsid w:val="00DB3A93"/>
    <w:rsid w:val="00DB54F1"/>
    <w:rsid w:val="00DB566F"/>
    <w:rsid w:val="00DB599B"/>
    <w:rsid w:val="00DB5BDA"/>
    <w:rsid w:val="00DB62F5"/>
    <w:rsid w:val="00DB66D8"/>
    <w:rsid w:val="00DB70EA"/>
    <w:rsid w:val="00DB7AF4"/>
    <w:rsid w:val="00DB7D47"/>
    <w:rsid w:val="00DC05EE"/>
    <w:rsid w:val="00DC063D"/>
    <w:rsid w:val="00DC14DF"/>
    <w:rsid w:val="00DC14F4"/>
    <w:rsid w:val="00DC256E"/>
    <w:rsid w:val="00DC3204"/>
    <w:rsid w:val="00DC412E"/>
    <w:rsid w:val="00DC4B66"/>
    <w:rsid w:val="00DC4F41"/>
    <w:rsid w:val="00DC4FE9"/>
    <w:rsid w:val="00DC5D88"/>
    <w:rsid w:val="00DC6B65"/>
    <w:rsid w:val="00DC6FE0"/>
    <w:rsid w:val="00DC760C"/>
    <w:rsid w:val="00DC7AD5"/>
    <w:rsid w:val="00DC7CF0"/>
    <w:rsid w:val="00DC7E36"/>
    <w:rsid w:val="00DD04A1"/>
    <w:rsid w:val="00DD0546"/>
    <w:rsid w:val="00DD0754"/>
    <w:rsid w:val="00DD0C74"/>
    <w:rsid w:val="00DD15CF"/>
    <w:rsid w:val="00DD18B9"/>
    <w:rsid w:val="00DD1962"/>
    <w:rsid w:val="00DD1B94"/>
    <w:rsid w:val="00DD269B"/>
    <w:rsid w:val="00DD2F01"/>
    <w:rsid w:val="00DD33DB"/>
    <w:rsid w:val="00DD3876"/>
    <w:rsid w:val="00DD3BED"/>
    <w:rsid w:val="00DD3C55"/>
    <w:rsid w:val="00DD3CE9"/>
    <w:rsid w:val="00DD4040"/>
    <w:rsid w:val="00DD427D"/>
    <w:rsid w:val="00DD47C5"/>
    <w:rsid w:val="00DD4D3C"/>
    <w:rsid w:val="00DD5CD6"/>
    <w:rsid w:val="00DD66F7"/>
    <w:rsid w:val="00DD739B"/>
    <w:rsid w:val="00DD749D"/>
    <w:rsid w:val="00DD7659"/>
    <w:rsid w:val="00DD7960"/>
    <w:rsid w:val="00DE0012"/>
    <w:rsid w:val="00DE0588"/>
    <w:rsid w:val="00DE087D"/>
    <w:rsid w:val="00DE1106"/>
    <w:rsid w:val="00DE11F1"/>
    <w:rsid w:val="00DE142E"/>
    <w:rsid w:val="00DE1862"/>
    <w:rsid w:val="00DE19FE"/>
    <w:rsid w:val="00DE1AE6"/>
    <w:rsid w:val="00DE2907"/>
    <w:rsid w:val="00DE2CD1"/>
    <w:rsid w:val="00DE2F3D"/>
    <w:rsid w:val="00DE3341"/>
    <w:rsid w:val="00DE3D80"/>
    <w:rsid w:val="00DE4214"/>
    <w:rsid w:val="00DE4272"/>
    <w:rsid w:val="00DE42B2"/>
    <w:rsid w:val="00DE458C"/>
    <w:rsid w:val="00DE4997"/>
    <w:rsid w:val="00DE4CD7"/>
    <w:rsid w:val="00DE4D06"/>
    <w:rsid w:val="00DE52D3"/>
    <w:rsid w:val="00DE5480"/>
    <w:rsid w:val="00DE58F0"/>
    <w:rsid w:val="00DE5C54"/>
    <w:rsid w:val="00DE691E"/>
    <w:rsid w:val="00DE6A8A"/>
    <w:rsid w:val="00DE6FFE"/>
    <w:rsid w:val="00DE7ABF"/>
    <w:rsid w:val="00DE7AED"/>
    <w:rsid w:val="00DE7AF4"/>
    <w:rsid w:val="00DF0A41"/>
    <w:rsid w:val="00DF211E"/>
    <w:rsid w:val="00DF21D7"/>
    <w:rsid w:val="00DF33AE"/>
    <w:rsid w:val="00DF3EF9"/>
    <w:rsid w:val="00DF45A1"/>
    <w:rsid w:val="00DF4D88"/>
    <w:rsid w:val="00DF51A1"/>
    <w:rsid w:val="00DF554D"/>
    <w:rsid w:val="00DF5602"/>
    <w:rsid w:val="00DF582F"/>
    <w:rsid w:val="00DF5BD3"/>
    <w:rsid w:val="00DF5C30"/>
    <w:rsid w:val="00DF6052"/>
    <w:rsid w:val="00DF66E6"/>
    <w:rsid w:val="00DF6937"/>
    <w:rsid w:val="00DF6DDC"/>
    <w:rsid w:val="00DF7AFD"/>
    <w:rsid w:val="00E005F9"/>
    <w:rsid w:val="00E00E56"/>
    <w:rsid w:val="00E00FDD"/>
    <w:rsid w:val="00E0127F"/>
    <w:rsid w:val="00E01293"/>
    <w:rsid w:val="00E019FB"/>
    <w:rsid w:val="00E0258D"/>
    <w:rsid w:val="00E02DE3"/>
    <w:rsid w:val="00E0326F"/>
    <w:rsid w:val="00E04285"/>
    <w:rsid w:val="00E045D0"/>
    <w:rsid w:val="00E05F04"/>
    <w:rsid w:val="00E0627B"/>
    <w:rsid w:val="00E0631E"/>
    <w:rsid w:val="00E07893"/>
    <w:rsid w:val="00E07E5F"/>
    <w:rsid w:val="00E106AC"/>
    <w:rsid w:val="00E10E5C"/>
    <w:rsid w:val="00E1129F"/>
    <w:rsid w:val="00E1155A"/>
    <w:rsid w:val="00E12D96"/>
    <w:rsid w:val="00E12FE0"/>
    <w:rsid w:val="00E134E4"/>
    <w:rsid w:val="00E141BA"/>
    <w:rsid w:val="00E1479A"/>
    <w:rsid w:val="00E14EC2"/>
    <w:rsid w:val="00E15341"/>
    <w:rsid w:val="00E1600A"/>
    <w:rsid w:val="00E16030"/>
    <w:rsid w:val="00E1611A"/>
    <w:rsid w:val="00E166F0"/>
    <w:rsid w:val="00E16772"/>
    <w:rsid w:val="00E16FC8"/>
    <w:rsid w:val="00E1772A"/>
    <w:rsid w:val="00E20649"/>
    <w:rsid w:val="00E20A08"/>
    <w:rsid w:val="00E20AC9"/>
    <w:rsid w:val="00E20F87"/>
    <w:rsid w:val="00E21780"/>
    <w:rsid w:val="00E21D75"/>
    <w:rsid w:val="00E22007"/>
    <w:rsid w:val="00E22E2E"/>
    <w:rsid w:val="00E231A5"/>
    <w:rsid w:val="00E2361D"/>
    <w:rsid w:val="00E248BD"/>
    <w:rsid w:val="00E25317"/>
    <w:rsid w:val="00E25D09"/>
    <w:rsid w:val="00E26E0E"/>
    <w:rsid w:val="00E26EE2"/>
    <w:rsid w:val="00E311B6"/>
    <w:rsid w:val="00E3159A"/>
    <w:rsid w:val="00E319EF"/>
    <w:rsid w:val="00E3286D"/>
    <w:rsid w:val="00E32AA8"/>
    <w:rsid w:val="00E32FB2"/>
    <w:rsid w:val="00E33A5D"/>
    <w:rsid w:val="00E34D4C"/>
    <w:rsid w:val="00E34D7E"/>
    <w:rsid w:val="00E352A7"/>
    <w:rsid w:val="00E35650"/>
    <w:rsid w:val="00E356AB"/>
    <w:rsid w:val="00E35824"/>
    <w:rsid w:val="00E35C0C"/>
    <w:rsid w:val="00E35D50"/>
    <w:rsid w:val="00E3611C"/>
    <w:rsid w:val="00E36223"/>
    <w:rsid w:val="00E36664"/>
    <w:rsid w:val="00E368BC"/>
    <w:rsid w:val="00E36994"/>
    <w:rsid w:val="00E36B31"/>
    <w:rsid w:val="00E36E46"/>
    <w:rsid w:val="00E378F8"/>
    <w:rsid w:val="00E37C56"/>
    <w:rsid w:val="00E37D78"/>
    <w:rsid w:val="00E40273"/>
    <w:rsid w:val="00E420B4"/>
    <w:rsid w:val="00E421A5"/>
    <w:rsid w:val="00E42A81"/>
    <w:rsid w:val="00E42CA7"/>
    <w:rsid w:val="00E43210"/>
    <w:rsid w:val="00E438EC"/>
    <w:rsid w:val="00E44B92"/>
    <w:rsid w:val="00E45B37"/>
    <w:rsid w:val="00E45E84"/>
    <w:rsid w:val="00E46200"/>
    <w:rsid w:val="00E46258"/>
    <w:rsid w:val="00E463A7"/>
    <w:rsid w:val="00E46CC9"/>
    <w:rsid w:val="00E46D33"/>
    <w:rsid w:val="00E46F9F"/>
    <w:rsid w:val="00E504A5"/>
    <w:rsid w:val="00E50C09"/>
    <w:rsid w:val="00E513B3"/>
    <w:rsid w:val="00E5150F"/>
    <w:rsid w:val="00E517E2"/>
    <w:rsid w:val="00E524F9"/>
    <w:rsid w:val="00E52F0C"/>
    <w:rsid w:val="00E5334D"/>
    <w:rsid w:val="00E5357F"/>
    <w:rsid w:val="00E53E4F"/>
    <w:rsid w:val="00E5405B"/>
    <w:rsid w:val="00E54147"/>
    <w:rsid w:val="00E5472C"/>
    <w:rsid w:val="00E54FA0"/>
    <w:rsid w:val="00E55261"/>
    <w:rsid w:val="00E559F8"/>
    <w:rsid w:val="00E56C6E"/>
    <w:rsid w:val="00E56D8C"/>
    <w:rsid w:val="00E57AE9"/>
    <w:rsid w:val="00E57B62"/>
    <w:rsid w:val="00E61811"/>
    <w:rsid w:val="00E6211A"/>
    <w:rsid w:val="00E632A6"/>
    <w:rsid w:val="00E636DA"/>
    <w:rsid w:val="00E63787"/>
    <w:rsid w:val="00E64006"/>
    <w:rsid w:val="00E640DA"/>
    <w:rsid w:val="00E641C5"/>
    <w:rsid w:val="00E6448B"/>
    <w:rsid w:val="00E644F4"/>
    <w:rsid w:val="00E64522"/>
    <w:rsid w:val="00E648FD"/>
    <w:rsid w:val="00E64BB7"/>
    <w:rsid w:val="00E64BE4"/>
    <w:rsid w:val="00E64F2F"/>
    <w:rsid w:val="00E65184"/>
    <w:rsid w:val="00E65446"/>
    <w:rsid w:val="00E66447"/>
    <w:rsid w:val="00E66958"/>
    <w:rsid w:val="00E67047"/>
    <w:rsid w:val="00E672A7"/>
    <w:rsid w:val="00E6749F"/>
    <w:rsid w:val="00E675CF"/>
    <w:rsid w:val="00E707B3"/>
    <w:rsid w:val="00E708CF"/>
    <w:rsid w:val="00E71EC9"/>
    <w:rsid w:val="00E721C8"/>
    <w:rsid w:val="00E722AE"/>
    <w:rsid w:val="00E73102"/>
    <w:rsid w:val="00E73141"/>
    <w:rsid w:val="00E7376D"/>
    <w:rsid w:val="00E73838"/>
    <w:rsid w:val="00E73A88"/>
    <w:rsid w:val="00E73C26"/>
    <w:rsid w:val="00E741EB"/>
    <w:rsid w:val="00E74814"/>
    <w:rsid w:val="00E74E8E"/>
    <w:rsid w:val="00E75E14"/>
    <w:rsid w:val="00E76871"/>
    <w:rsid w:val="00E768D9"/>
    <w:rsid w:val="00E76ADA"/>
    <w:rsid w:val="00E76F11"/>
    <w:rsid w:val="00E772F5"/>
    <w:rsid w:val="00E773BA"/>
    <w:rsid w:val="00E776CC"/>
    <w:rsid w:val="00E777F2"/>
    <w:rsid w:val="00E80611"/>
    <w:rsid w:val="00E81C37"/>
    <w:rsid w:val="00E82842"/>
    <w:rsid w:val="00E82A94"/>
    <w:rsid w:val="00E83450"/>
    <w:rsid w:val="00E83B2D"/>
    <w:rsid w:val="00E847AF"/>
    <w:rsid w:val="00E847E6"/>
    <w:rsid w:val="00E85AA4"/>
    <w:rsid w:val="00E85F38"/>
    <w:rsid w:val="00E8674B"/>
    <w:rsid w:val="00E86E79"/>
    <w:rsid w:val="00E86F7A"/>
    <w:rsid w:val="00E87193"/>
    <w:rsid w:val="00E90399"/>
    <w:rsid w:val="00E9094D"/>
    <w:rsid w:val="00E90AE2"/>
    <w:rsid w:val="00E91075"/>
    <w:rsid w:val="00E910F7"/>
    <w:rsid w:val="00E91666"/>
    <w:rsid w:val="00E91D54"/>
    <w:rsid w:val="00E91D71"/>
    <w:rsid w:val="00E91FC6"/>
    <w:rsid w:val="00E926F6"/>
    <w:rsid w:val="00E92B5B"/>
    <w:rsid w:val="00E93B87"/>
    <w:rsid w:val="00E94130"/>
    <w:rsid w:val="00E94B2D"/>
    <w:rsid w:val="00E950C6"/>
    <w:rsid w:val="00E957E9"/>
    <w:rsid w:val="00E95DB8"/>
    <w:rsid w:val="00E95DEA"/>
    <w:rsid w:val="00E95E44"/>
    <w:rsid w:val="00E96919"/>
    <w:rsid w:val="00E97F95"/>
    <w:rsid w:val="00EA038D"/>
    <w:rsid w:val="00EA0861"/>
    <w:rsid w:val="00EA0AB0"/>
    <w:rsid w:val="00EA0EE9"/>
    <w:rsid w:val="00EA171E"/>
    <w:rsid w:val="00EA18C8"/>
    <w:rsid w:val="00EA1A47"/>
    <w:rsid w:val="00EA392E"/>
    <w:rsid w:val="00EA3F78"/>
    <w:rsid w:val="00EA4359"/>
    <w:rsid w:val="00EA4787"/>
    <w:rsid w:val="00EA47FE"/>
    <w:rsid w:val="00EA4CEC"/>
    <w:rsid w:val="00EA4E94"/>
    <w:rsid w:val="00EA518F"/>
    <w:rsid w:val="00EA5482"/>
    <w:rsid w:val="00EA5AF1"/>
    <w:rsid w:val="00EA5E7D"/>
    <w:rsid w:val="00EA60F3"/>
    <w:rsid w:val="00EA66F7"/>
    <w:rsid w:val="00EA765C"/>
    <w:rsid w:val="00EA7C0E"/>
    <w:rsid w:val="00EB0388"/>
    <w:rsid w:val="00EB0432"/>
    <w:rsid w:val="00EB0772"/>
    <w:rsid w:val="00EB0B64"/>
    <w:rsid w:val="00EB2002"/>
    <w:rsid w:val="00EB2377"/>
    <w:rsid w:val="00EB27D1"/>
    <w:rsid w:val="00EB2914"/>
    <w:rsid w:val="00EB2A51"/>
    <w:rsid w:val="00EB2C93"/>
    <w:rsid w:val="00EB387A"/>
    <w:rsid w:val="00EB3F18"/>
    <w:rsid w:val="00EB429D"/>
    <w:rsid w:val="00EB4E4D"/>
    <w:rsid w:val="00EB4E68"/>
    <w:rsid w:val="00EB59F3"/>
    <w:rsid w:val="00EB60F3"/>
    <w:rsid w:val="00EB6BCE"/>
    <w:rsid w:val="00EB6DE4"/>
    <w:rsid w:val="00EC0749"/>
    <w:rsid w:val="00EC0BDE"/>
    <w:rsid w:val="00EC110E"/>
    <w:rsid w:val="00EC13CA"/>
    <w:rsid w:val="00EC156B"/>
    <w:rsid w:val="00EC1A3D"/>
    <w:rsid w:val="00EC1ABB"/>
    <w:rsid w:val="00EC1E3D"/>
    <w:rsid w:val="00EC2581"/>
    <w:rsid w:val="00EC2AA2"/>
    <w:rsid w:val="00EC2F50"/>
    <w:rsid w:val="00EC4E83"/>
    <w:rsid w:val="00EC5401"/>
    <w:rsid w:val="00EC54F7"/>
    <w:rsid w:val="00EC66F1"/>
    <w:rsid w:val="00EC6704"/>
    <w:rsid w:val="00EC6A3D"/>
    <w:rsid w:val="00EC6E84"/>
    <w:rsid w:val="00EC6FAD"/>
    <w:rsid w:val="00EC71E4"/>
    <w:rsid w:val="00EC77C5"/>
    <w:rsid w:val="00EC7BD8"/>
    <w:rsid w:val="00ED08B1"/>
    <w:rsid w:val="00ED0D26"/>
    <w:rsid w:val="00ED1039"/>
    <w:rsid w:val="00ED1D5D"/>
    <w:rsid w:val="00ED209D"/>
    <w:rsid w:val="00ED263E"/>
    <w:rsid w:val="00ED2CC8"/>
    <w:rsid w:val="00ED2D3A"/>
    <w:rsid w:val="00ED314E"/>
    <w:rsid w:val="00ED3836"/>
    <w:rsid w:val="00ED3AD0"/>
    <w:rsid w:val="00ED4E60"/>
    <w:rsid w:val="00ED4E7E"/>
    <w:rsid w:val="00ED5822"/>
    <w:rsid w:val="00ED5929"/>
    <w:rsid w:val="00ED59CF"/>
    <w:rsid w:val="00ED63C2"/>
    <w:rsid w:val="00ED691C"/>
    <w:rsid w:val="00ED6A72"/>
    <w:rsid w:val="00ED752B"/>
    <w:rsid w:val="00ED7984"/>
    <w:rsid w:val="00ED7A40"/>
    <w:rsid w:val="00ED7AAD"/>
    <w:rsid w:val="00ED7C28"/>
    <w:rsid w:val="00EE04A4"/>
    <w:rsid w:val="00EE059E"/>
    <w:rsid w:val="00EE05C4"/>
    <w:rsid w:val="00EE0806"/>
    <w:rsid w:val="00EE2CF6"/>
    <w:rsid w:val="00EE31F1"/>
    <w:rsid w:val="00EE3986"/>
    <w:rsid w:val="00EE3A3B"/>
    <w:rsid w:val="00EE47FE"/>
    <w:rsid w:val="00EE50D0"/>
    <w:rsid w:val="00EE5DE5"/>
    <w:rsid w:val="00EE6153"/>
    <w:rsid w:val="00EE6452"/>
    <w:rsid w:val="00EE66F0"/>
    <w:rsid w:val="00EE68D0"/>
    <w:rsid w:val="00EE7638"/>
    <w:rsid w:val="00EE7D56"/>
    <w:rsid w:val="00EE7F50"/>
    <w:rsid w:val="00EF0250"/>
    <w:rsid w:val="00EF0742"/>
    <w:rsid w:val="00EF0BD4"/>
    <w:rsid w:val="00EF0C39"/>
    <w:rsid w:val="00EF25A2"/>
    <w:rsid w:val="00EF2B5E"/>
    <w:rsid w:val="00EF2C7D"/>
    <w:rsid w:val="00EF3651"/>
    <w:rsid w:val="00EF3C67"/>
    <w:rsid w:val="00EF3C90"/>
    <w:rsid w:val="00EF4223"/>
    <w:rsid w:val="00EF4B3C"/>
    <w:rsid w:val="00EF4B6C"/>
    <w:rsid w:val="00EF4BA8"/>
    <w:rsid w:val="00EF549C"/>
    <w:rsid w:val="00EF590E"/>
    <w:rsid w:val="00EF5C1E"/>
    <w:rsid w:val="00EF604A"/>
    <w:rsid w:val="00EF63DD"/>
    <w:rsid w:val="00EF6D5F"/>
    <w:rsid w:val="00EF6E5C"/>
    <w:rsid w:val="00EF7C74"/>
    <w:rsid w:val="00F00A36"/>
    <w:rsid w:val="00F01AC1"/>
    <w:rsid w:val="00F0232F"/>
    <w:rsid w:val="00F023EB"/>
    <w:rsid w:val="00F03113"/>
    <w:rsid w:val="00F03639"/>
    <w:rsid w:val="00F03727"/>
    <w:rsid w:val="00F03DCF"/>
    <w:rsid w:val="00F0474D"/>
    <w:rsid w:val="00F04BC0"/>
    <w:rsid w:val="00F0513A"/>
    <w:rsid w:val="00F05702"/>
    <w:rsid w:val="00F06307"/>
    <w:rsid w:val="00F065E0"/>
    <w:rsid w:val="00F073D9"/>
    <w:rsid w:val="00F07579"/>
    <w:rsid w:val="00F079A7"/>
    <w:rsid w:val="00F10A56"/>
    <w:rsid w:val="00F10EF3"/>
    <w:rsid w:val="00F1179B"/>
    <w:rsid w:val="00F11D61"/>
    <w:rsid w:val="00F12582"/>
    <w:rsid w:val="00F1269D"/>
    <w:rsid w:val="00F12870"/>
    <w:rsid w:val="00F12E0C"/>
    <w:rsid w:val="00F12E21"/>
    <w:rsid w:val="00F13235"/>
    <w:rsid w:val="00F13E3F"/>
    <w:rsid w:val="00F14A94"/>
    <w:rsid w:val="00F14B66"/>
    <w:rsid w:val="00F154FD"/>
    <w:rsid w:val="00F15507"/>
    <w:rsid w:val="00F168A9"/>
    <w:rsid w:val="00F16AAA"/>
    <w:rsid w:val="00F172E7"/>
    <w:rsid w:val="00F17367"/>
    <w:rsid w:val="00F17BBE"/>
    <w:rsid w:val="00F17C0A"/>
    <w:rsid w:val="00F17CB0"/>
    <w:rsid w:val="00F205FF"/>
    <w:rsid w:val="00F210AB"/>
    <w:rsid w:val="00F2138A"/>
    <w:rsid w:val="00F22955"/>
    <w:rsid w:val="00F23211"/>
    <w:rsid w:val="00F23CEE"/>
    <w:rsid w:val="00F23E8F"/>
    <w:rsid w:val="00F243D6"/>
    <w:rsid w:val="00F249FA"/>
    <w:rsid w:val="00F25782"/>
    <w:rsid w:val="00F261E9"/>
    <w:rsid w:val="00F26CDB"/>
    <w:rsid w:val="00F2711F"/>
    <w:rsid w:val="00F2725A"/>
    <w:rsid w:val="00F2740E"/>
    <w:rsid w:val="00F27F7C"/>
    <w:rsid w:val="00F30043"/>
    <w:rsid w:val="00F300E8"/>
    <w:rsid w:val="00F30BE8"/>
    <w:rsid w:val="00F310F8"/>
    <w:rsid w:val="00F33297"/>
    <w:rsid w:val="00F335DE"/>
    <w:rsid w:val="00F337AD"/>
    <w:rsid w:val="00F339F6"/>
    <w:rsid w:val="00F33B40"/>
    <w:rsid w:val="00F344A7"/>
    <w:rsid w:val="00F34DF1"/>
    <w:rsid w:val="00F35298"/>
    <w:rsid w:val="00F35CBD"/>
    <w:rsid w:val="00F3657B"/>
    <w:rsid w:val="00F3658C"/>
    <w:rsid w:val="00F3682C"/>
    <w:rsid w:val="00F37CC9"/>
    <w:rsid w:val="00F407CD"/>
    <w:rsid w:val="00F40AB0"/>
    <w:rsid w:val="00F40DF5"/>
    <w:rsid w:val="00F40EE8"/>
    <w:rsid w:val="00F4243F"/>
    <w:rsid w:val="00F427DE"/>
    <w:rsid w:val="00F42AF2"/>
    <w:rsid w:val="00F42B61"/>
    <w:rsid w:val="00F42CB0"/>
    <w:rsid w:val="00F4359A"/>
    <w:rsid w:val="00F43924"/>
    <w:rsid w:val="00F43CFA"/>
    <w:rsid w:val="00F4414D"/>
    <w:rsid w:val="00F44245"/>
    <w:rsid w:val="00F449D3"/>
    <w:rsid w:val="00F44A1C"/>
    <w:rsid w:val="00F44FDA"/>
    <w:rsid w:val="00F457A7"/>
    <w:rsid w:val="00F45DD1"/>
    <w:rsid w:val="00F4643D"/>
    <w:rsid w:val="00F4681A"/>
    <w:rsid w:val="00F46B25"/>
    <w:rsid w:val="00F472DD"/>
    <w:rsid w:val="00F47389"/>
    <w:rsid w:val="00F479A6"/>
    <w:rsid w:val="00F504E7"/>
    <w:rsid w:val="00F51A3C"/>
    <w:rsid w:val="00F52218"/>
    <w:rsid w:val="00F52631"/>
    <w:rsid w:val="00F52D35"/>
    <w:rsid w:val="00F52E8F"/>
    <w:rsid w:val="00F52F8B"/>
    <w:rsid w:val="00F535AE"/>
    <w:rsid w:val="00F53B52"/>
    <w:rsid w:val="00F541C2"/>
    <w:rsid w:val="00F54C7B"/>
    <w:rsid w:val="00F553D4"/>
    <w:rsid w:val="00F5569C"/>
    <w:rsid w:val="00F556B1"/>
    <w:rsid w:val="00F55925"/>
    <w:rsid w:val="00F563E3"/>
    <w:rsid w:val="00F569DE"/>
    <w:rsid w:val="00F56CDC"/>
    <w:rsid w:val="00F570A3"/>
    <w:rsid w:val="00F5779D"/>
    <w:rsid w:val="00F57837"/>
    <w:rsid w:val="00F57898"/>
    <w:rsid w:val="00F578DC"/>
    <w:rsid w:val="00F57BB6"/>
    <w:rsid w:val="00F57D45"/>
    <w:rsid w:val="00F61FC5"/>
    <w:rsid w:val="00F62B93"/>
    <w:rsid w:val="00F63DD3"/>
    <w:rsid w:val="00F644B4"/>
    <w:rsid w:val="00F65292"/>
    <w:rsid w:val="00F65317"/>
    <w:rsid w:val="00F65EF1"/>
    <w:rsid w:val="00F66201"/>
    <w:rsid w:val="00F66ED7"/>
    <w:rsid w:val="00F66F06"/>
    <w:rsid w:val="00F671F2"/>
    <w:rsid w:val="00F6775A"/>
    <w:rsid w:val="00F7008A"/>
    <w:rsid w:val="00F7021F"/>
    <w:rsid w:val="00F7033A"/>
    <w:rsid w:val="00F7050C"/>
    <w:rsid w:val="00F705F8"/>
    <w:rsid w:val="00F71F47"/>
    <w:rsid w:val="00F7223B"/>
    <w:rsid w:val="00F72BBC"/>
    <w:rsid w:val="00F72C91"/>
    <w:rsid w:val="00F72D40"/>
    <w:rsid w:val="00F73207"/>
    <w:rsid w:val="00F733AC"/>
    <w:rsid w:val="00F737FC"/>
    <w:rsid w:val="00F742F3"/>
    <w:rsid w:val="00F751FE"/>
    <w:rsid w:val="00F7585C"/>
    <w:rsid w:val="00F77547"/>
    <w:rsid w:val="00F77792"/>
    <w:rsid w:val="00F77C4D"/>
    <w:rsid w:val="00F800A5"/>
    <w:rsid w:val="00F8048B"/>
    <w:rsid w:val="00F80BC4"/>
    <w:rsid w:val="00F80C24"/>
    <w:rsid w:val="00F8160E"/>
    <w:rsid w:val="00F81E4C"/>
    <w:rsid w:val="00F826D4"/>
    <w:rsid w:val="00F82935"/>
    <w:rsid w:val="00F8307C"/>
    <w:rsid w:val="00F83D9D"/>
    <w:rsid w:val="00F8456E"/>
    <w:rsid w:val="00F86383"/>
    <w:rsid w:val="00F867B3"/>
    <w:rsid w:val="00F86A6B"/>
    <w:rsid w:val="00F87AC6"/>
    <w:rsid w:val="00F90573"/>
    <w:rsid w:val="00F91906"/>
    <w:rsid w:val="00F91AA1"/>
    <w:rsid w:val="00F91C30"/>
    <w:rsid w:val="00F91FBD"/>
    <w:rsid w:val="00F921FA"/>
    <w:rsid w:val="00F942F9"/>
    <w:rsid w:val="00F94446"/>
    <w:rsid w:val="00F94A66"/>
    <w:rsid w:val="00F94EEC"/>
    <w:rsid w:val="00F95004"/>
    <w:rsid w:val="00F95A7C"/>
    <w:rsid w:val="00F96037"/>
    <w:rsid w:val="00F960BE"/>
    <w:rsid w:val="00F97126"/>
    <w:rsid w:val="00F97843"/>
    <w:rsid w:val="00F97F57"/>
    <w:rsid w:val="00FA0333"/>
    <w:rsid w:val="00FA0DE4"/>
    <w:rsid w:val="00FA2568"/>
    <w:rsid w:val="00FA2C67"/>
    <w:rsid w:val="00FA4D07"/>
    <w:rsid w:val="00FA5AF0"/>
    <w:rsid w:val="00FA5E55"/>
    <w:rsid w:val="00FA5EB8"/>
    <w:rsid w:val="00FA64B2"/>
    <w:rsid w:val="00FB0041"/>
    <w:rsid w:val="00FB01DB"/>
    <w:rsid w:val="00FB06EA"/>
    <w:rsid w:val="00FB0AB7"/>
    <w:rsid w:val="00FB1780"/>
    <w:rsid w:val="00FB200B"/>
    <w:rsid w:val="00FB2355"/>
    <w:rsid w:val="00FB25BB"/>
    <w:rsid w:val="00FB28BB"/>
    <w:rsid w:val="00FB377E"/>
    <w:rsid w:val="00FB3A6B"/>
    <w:rsid w:val="00FB5C84"/>
    <w:rsid w:val="00FB6374"/>
    <w:rsid w:val="00FB68A0"/>
    <w:rsid w:val="00FB69C7"/>
    <w:rsid w:val="00FB71AC"/>
    <w:rsid w:val="00FB7421"/>
    <w:rsid w:val="00FB78B8"/>
    <w:rsid w:val="00FC0482"/>
    <w:rsid w:val="00FC069E"/>
    <w:rsid w:val="00FC0C35"/>
    <w:rsid w:val="00FC125C"/>
    <w:rsid w:val="00FC14FB"/>
    <w:rsid w:val="00FC1AD1"/>
    <w:rsid w:val="00FC1B5C"/>
    <w:rsid w:val="00FC232B"/>
    <w:rsid w:val="00FC2622"/>
    <w:rsid w:val="00FC3310"/>
    <w:rsid w:val="00FC3587"/>
    <w:rsid w:val="00FC366C"/>
    <w:rsid w:val="00FC3D0D"/>
    <w:rsid w:val="00FC40B7"/>
    <w:rsid w:val="00FC43FA"/>
    <w:rsid w:val="00FC4C06"/>
    <w:rsid w:val="00FC4E95"/>
    <w:rsid w:val="00FC513B"/>
    <w:rsid w:val="00FC52BB"/>
    <w:rsid w:val="00FC55A1"/>
    <w:rsid w:val="00FC5BA1"/>
    <w:rsid w:val="00FC5CE2"/>
    <w:rsid w:val="00FC5D08"/>
    <w:rsid w:val="00FC6E69"/>
    <w:rsid w:val="00FC7085"/>
    <w:rsid w:val="00FC7859"/>
    <w:rsid w:val="00FC7AB5"/>
    <w:rsid w:val="00FC7D1C"/>
    <w:rsid w:val="00FD010D"/>
    <w:rsid w:val="00FD0497"/>
    <w:rsid w:val="00FD07E4"/>
    <w:rsid w:val="00FD0DA5"/>
    <w:rsid w:val="00FD26B2"/>
    <w:rsid w:val="00FD3541"/>
    <w:rsid w:val="00FD3CFE"/>
    <w:rsid w:val="00FD412C"/>
    <w:rsid w:val="00FD416E"/>
    <w:rsid w:val="00FD5CCF"/>
    <w:rsid w:val="00FD5EAC"/>
    <w:rsid w:val="00FD60AD"/>
    <w:rsid w:val="00FD60B6"/>
    <w:rsid w:val="00FD673B"/>
    <w:rsid w:val="00FD6D5A"/>
    <w:rsid w:val="00FD77DD"/>
    <w:rsid w:val="00FE0056"/>
    <w:rsid w:val="00FE015D"/>
    <w:rsid w:val="00FE09CA"/>
    <w:rsid w:val="00FE0A08"/>
    <w:rsid w:val="00FE0A10"/>
    <w:rsid w:val="00FE0C8F"/>
    <w:rsid w:val="00FE1797"/>
    <w:rsid w:val="00FE234A"/>
    <w:rsid w:val="00FE2692"/>
    <w:rsid w:val="00FE3190"/>
    <w:rsid w:val="00FE32CE"/>
    <w:rsid w:val="00FE34D2"/>
    <w:rsid w:val="00FE35E1"/>
    <w:rsid w:val="00FE36D5"/>
    <w:rsid w:val="00FE39F4"/>
    <w:rsid w:val="00FE3A58"/>
    <w:rsid w:val="00FE3BDF"/>
    <w:rsid w:val="00FE3D7C"/>
    <w:rsid w:val="00FE403D"/>
    <w:rsid w:val="00FE44F4"/>
    <w:rsid w:val="00FE4789"/>
    <w:rsid w:val="00FE4F87"/>
    <w:rsid w:val="00FE51DB"/>
    <w:rsid w:val="00FE6AF3"/>
    <w:rsid w:val="00FE6B52"/>
    <w:rsid w:val="00FE710B"/>
    <w:rsid w:val="00FE79E3"/>
    <w:rsid w:val="00FF195C"/>
    <w:rsid w:val="00FF1975"/>
    <w:rsid w:val="00FF39BF"/>
    <w:rsid w:val="00FF3A91"/>
    <w:rsid w:val="00FF3DFF"/>
    <w:rsid w:val="00FF4411"/>
    <w:rsid w:val="00FF4681"/>
    <w:rsid w:val="00FF4B33"/>
    <w:rsid w:val="00FF5752"/>
    <w:rsid w:val="00FF5A92"/>
    <w:rsid w:val="00FF61DD"/>
    <w:rsid w:val="00FF62AB"/>
    <w:rsid w:val="00FF652A"/>
    <w:rsid w:val="00FF6B9F"/>
    <w:rsid w:val="00FF6C8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basedOn w:val="a"/>
    <w:uiPriority w:val="34"/>
    <w:qFormat/>
    <w:rsid w:val="0011270F"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c">
    <w:name w:val="endnote text"/>
    <w:basedOn w:val="a"/>
    <w:link w:val="afd"/>
    <w:uiPriority w:val="99"/>
    <w:semiHidden/>
    <w:unhideWhenUsed/>
    <w:rsid w:val="00A07A1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07A1C"/>
    <w:rPr>
      <w:rFonts w:eastAsia="Times New Roman"/>
    </w:rPr>
  </w:style>
  <w:style w:type="character" w:styleId="afe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basedOn w:val="a"/>
    <w:uiPriority w:val="34"/>
    <w:qFormat/>
    <w:rsid w:val="0011270F"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c">
    <w:name w:val="endnote text"/>
    <w:basedOn w:val="a"/>
    <w:link w:val="afd"/>
    <w:uiPriority w:val="99"/>
    <w:semiHidden/>
    <w:unhideWhenUsed/>
    <w:rsid w:val="00A07A1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07A1C"/>
    <w:rPr>
      <w:rFonts w:eastAsia="Times New Roman"/>
    </w:rPr>
  </w:style>
  <w:style w:type="character" w:styleId="afe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ionalbank.kz/?docid=814&amp;switch=russian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103;&#1085;&#1074;&#1072;&#1088;&#1100;%20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880708661417322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diamond"/>
            <c:size val="5"/>
            <c:spPr>
              <a:solidFill>
                <a:srgbClr val="00B0F0"/>
              </a:solidFill>
            </c:spPr>
          </c:marker>
          <c:cat>
            <c:multiLvlStrRef>
              <c:f>'Ожид-факт_корп (3)'!$B$27:$AF$28</c:f>
              <c:multiLvlStrCache>
                <c:ptCount val="31"/>
                <c:lvl>
                  <c:pt idx="0">
                    <c:v>3 тоқ 2014</c:v>
                  </c:pt>
                  <c:pt idx="1">
                    <c:v>4 тоқ 2014</c:v>
                  </c:pt>
                  <c:pt idx="2">
                    <c:v>1 тоқ 2015 </c:v>
                  </c:pt>
                  <c:pt idx="3">
                    <c:v>2 тоқ 2015 </c:v>
                  </c:pt>
                  <c:pt idx="4">
                    <c:v>3 тоқ 2015</c:v>
                  </c:pt>
                  <c:pt idx="5">
                    <c:v>4 тоқ 2015</c:v>
                  </c:pt>
                  <c:pt idx="6">
                    <c:v>1 тоқ 2016 </c:v>
                  </c:pt>
                  <c:pt idx="8">
                    <c:v>3 тоқ 2014</c:v>
                  </c:pt>
                  <c:pt idx="9">
                    <c:v>4 тоқ 2014</c:v>
                  </c:pt>
                  <c:pt idx="10">
                    <c:v>1 тоқ 2015 </c:v>
                  </c:pt>
                  <c:pt idx="11">
                    <c:v>2 тоқ 2015 </c:v>
                  </c:pt>
                  <c:pt idx="12">
                    <c:v>3 тоқ 2015</c:v>
                  </c:pt>
                  <c:pt idx="13">
                    <c:v>4 тоқ 2015</c:v>
                  </c:pt>
                  <c:pt idx="14">
                    <c:v>1 тоқ 2016 </c:v>
                  </c:pt>
                  <c:pt idx="16">
                    <c:v>3 тоқ 2014</c:v>
                  </c:pt>
                  <c:pt idx="17">
                    <c:v>4 тоқ 2014</c:v>
                  </c:pt>
                  <c:pt idx="18">
                    <c:v>1 тоқ 2015 </c:v>
                  </c:pt>
                  <c:pt idx="19">
                    <c:v>2 тоқ 2015 </c:v>
                  </c:pt>
                  <c:pt idx="20">
                    <c:v>3 тоқ 2015</c:v>
                  </c:pt>
                  <c:pt idx="21">
                    <c:v>4 тоқ 2015</c:v>
                  </c:pt>
                  <c:pt idx="22">
                    <c:v>1 тоқ 2016 </c:v>
                  </c:pt>
                  <c:pt idx="24">
                    <c:v>3 тоқ 2014</c:v>
                  </c:pt>
                  <c:pt idx="25">
                    <c:v>4 тоқ 2014</c:v>
                  </c:pt>
                  <c:pt idx="26">
                    <c:v>1 тоқ 2015 </c:v>
                  </c:pt>
                  <c:pt idx="27">
                    <c:v>2 тоқ 2015 </c:v>
                  </c:pt>
                  <c:pt idx="28">
                    <c:v>3 тоқ 2015</c:v>
                  </c:pt>
                  <c:pt idx="29">
                    <c:v>4 тоқ 2015</c:v>
                  </c:pt>
                  <c:pt idx="30">
                    <c:v>1 тоқ 2016 </c:v>
                  </c:pt>
                </c:lvl>
                <c:lvl>
                  <c:pt idx="0">
                    <c:v>Жалпы алғанда қаржылық емес ұйымдар</c:v>
                  </c:pt>
                  <c:pt idx="8">
                    <c:v>Ірі бизнес</c:v>
                  </c:pt>
                  <c:pt idx="16">
                    <c:v>Орта бизнес</c:v>
                  </c:pt>
                  <c:pt idx="24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(3)'!$B$29:$AF$29</c:f>
              <c:numCache>
                <c:formatCode>0.00%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-0.21875</c:v>
                </c:pt>
                <c:pt idx="3">
                  <c:v>-0.21875</c:v>
                </c:pt>
                <c:pt idx="4">
                  <c:v>-0.25</c:v>
                </c:pt>
                <c:pt idx="5">
                  <c:v>-0.25</c:v>
                </c:pt>
                <c:pt idx="8">
                  <c:v>0</c:v>
                </c:pt>
                <c:pt idx="9">
                  <c:v>0</c:v>
                </c:pt>
                <c:pt idx="10">
                  <c:v>-0.1875</c:v>
                </c:pt>
                <c:pt idx="11">
                  <c:v>-0.16129032258064499</c:v>
                </c:pt>
                <c:pt idx="12">
                  <c:v>-0.25806451612903197</c:v>
                </c:pt>
                <c:pt idx="13">
                  <c:v>-0.2</c:v>
                </c:pt>
                <c:pt idx="16">
                  <c:v>3.2258064516129031E-2</c:v>
                </c:pt>
                <c:pt idx="17">
                  <c:v>-0.125</c:v>
                </c:pt>
                <c:pt idx="18">
                  <c:v>-0.29032258064516137</c:v>
                </c:pt>
                <c:pt idx="19">
                  <c:v>-0.233333333333333</c:v>
                </c:pt>
                <c:pt idx="20">
                  <c:v>-0.133333333333333</c:v>
                </c:pt>
                <c:pt idx="21">
                  <c:v>-0.2</c:v>
                </c:pt>
                <c:pt idx="24">
                  <c:v>3.2258064516129031E-2</c:v>
                </c:pt>
                <c:pt idx="25">
                  <c:v>-0.12903225806451613</c:v>
                </c:pt>
                <c:pt idx="26">
                  <c:v>-0.3</c:v>
                </c:pt>
                <c:pt idx="27">
                  <c:v>-0.24137931034482801</c:v>
                </c:pt>
                <c:pt idx="28">
                  <c:v>-0.17241379310344801</c:v>
                </c:pt>
                <c:pt idx="29">
                  <c:v>-0.2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(3)'!$A$30</c:f>
              <c:strCache>
                <c:ptCount val="1"/>
                <c:pt idx="0">
                  <c:v>Күту</c:v>
                </c:pt>
              </c:strCache>
            </c:strRef>
          </c:tx>
          <c:spPr>
            <a:ln>
              <a:solidFill>
                <a:srgbClr val="D0640A"/>
              </a:solidFill>
            </a:ln>
          </c:spPr>
          <c:marker>
            <c:symbol val="diamond"/>
            <c:size val="4"/>
            <c:spPr>
              <a:solidFill>
                <a:srgbClr val="C00000"/>
              </a:solidFill>
            </c:spPr>
          </c:marker>
          <c:cat>
            <c:multiLvlStrRef>
              <c:f>'Ожид-факт_корп (3)'!$B$27:$AF$28</c:f>
              <c:multiLvlStrCache>
                <c:ptCount val="31"/>
                <c:lvl>
                  <c:pt idx="0">
                    <c:v>3 тоқ 2014</c:v>
                  </c:pt>
                  <c:pt idx="1">
                    <c:v>4 тоқ 2014</c:v>
                  </c:pt>
                  <c:pt idx="2">
                    <c:v>1 тоқ 2015 </c:v>
                  </c:pt>
                  <c:pt idx="3">
                    <c:v>2 тоқ 2015 </c:v>
                  </c:pt>
                  <c:pt idx="4">
                    <c:v>3 тоқ 2015</c:v>
                  </c:pt>
                  <c:pt idx="5">
                    <c:v>4 тоқ 2015</c:v>
                  </c:pt>
                  <c:pt idx="6">
                    <c:v>1 тоқ 2016 </c:v>
                  </c:pt>
                  <c:pt idx="8">
                    <c:v>3 тоқ 2014</c:v>
                  </c:pt>
                  <c:pt idx="9">
                    <c:v>4 тоқ 2014</c:v>
                  </c:pt>
                  <c:pt idx="10">
                    <c:v>1 тоқ 2015 </c:v>
                  </c:pt>
                  <c:pt idx="11">
                    <c:v>2 тоқ 2015 </c:v>
                  </c:pt>
                  <c:pt idx="12">
                    <c:v>3 тоқ 2015</c:v>
                  </c:pt>
                  <c:pt idx="13">
                    <c:v>4 тоқ 2015</c:v>
                  </c:pt>
                  <c:pt idx="14">
                    <c:v>1 тоқ 2016 </c:v>
                  </c:pt>
                  <c:pt idx="16">
                    <c:v>3 тоқ 2014</c:v>
                  </c:pt>
                  <c:pt idx="17">
                    <c:v>4 тоқ 2014</c:v>
                  </c:pt>
                  <c:pt idx="18">
                    <c:v>1 тоқ 2015 </c:v>
                  </c:pt>
                  <c:pt idx="19">
                    <c:v>2 тоқ 2015 </c:v>
                  </c:pt>
                  <c:pt idx="20">
                    <c:v>3 тоқ 2015</c:v>
                  </c:pt>
                  <c:pt idx="21">
                    <c:v>4 тоқ 2015</c:v>
                  </c:pt>
                  <c:pt idx="22">
                    <c:v>1 тоқ 2016 </c:v>
                  </c:pt>
                  <c:pt idx="24">
                    <c:v>3 тоқ 2014</c:v>
                  </c:pt>
                  <c:pt idx="25">
                    <c:v>4 тоқ 2014</c:v>
                  </c:pt>
                  <c:pt idx="26">
                    <c:v>1 тоқ 2015 </c:v>
                  </c:pt>
                  <c:pt idx="27">
                    <c:v>2 тоқ 2015 </c:v>
                  </c:pt>
                  <c:pt idx="28">
                    <c:v>3 тоқ 2015</c:v>
                  </c:pt>
                  <c:pt idx="29">
                    <c:v>4 тоқ 2015</c:v>
                  </c:pt>
                  <c:pt idx="30">
                    <c:v>1 тоқ 2016 </c:v>
                  </c:pt>
                </c:lvl>
                <c:lvl>
                  <c:pt idx="0">
                    <c:v>Жалпы алғанда қаржылық емес ұйымдар</c:v>
                  </c:pt>
                  <c:pt idx="8">
                    <c:v>Ірі бизнес</c:v>
                  </c:pt>
                  <c:pt idx="16">
                    <c:v>Орта бизнес</c:v>
                  </c:pt>
                  <c:pt idx="24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(3)'!$B$30:$AF$30</c:f>
              <c:numCache>
                <c:formatCode>0.00%</c:formatCode>
                <c:ptCount val="31"/>
                <c:pt idx="0">
                  <c:v>0</c:v>
                </c:pt>
                <c:pt idx="1">
                  <c:v>5.8823529411764705E-2</c:v>
                </c:pt>
                <c:pt idx="2">
                  <c:v>-0.1764705882352941</c:v>
                </c:pt>
                <c:pt idx="3">
                  <c:v>-0.15625</c:v>
                </c:pt>
                <c:pt idx="4">
                  <c:v>-9.375E-2</c:v>
                </c:pt>
                <c:pt idx="5">
                  <c:v>-9.375E-2</c:v>
                </c:pt>
                <c:pt idx="6">
                  <c:v>-0.125</c:v>
                </c:pt>
                <c:pt idx="8">
                  <c:v>0</c:v>
                </c:pt>
                <c:pt idx="9">
                  <c:v>2.9411764705882353E-2</c:v>
                </c:pt>
                <c:pt idx="10">
                  <c:v>-0.20588235294117646</c:v>
                </c:pt>
                <c:pt idx="11">
                  <c:v>-0.15625</c:v>
                </c:pt>
                <c:pt idx="12">
                  <c:v>-6.6666666666666693E-2</c:v>
                </c:pt>
                <c:pt idx="13">
                  <c:v>-6.4516129032258104E-2</c:v>
                </c:pt>
                <c:pt idx="14">
                  <c:v>-9.6774193548387094E-2</c:v>
                </c:pt>
                <c:pt idx="16">
                  <c:v>0</c:v>
                </c:pt>
                <c:pt idx="17">
                  <c:v>3.2258064516129031E-2</c:v>
                </c:pt>
                <c:pt idx="18">
                  <c:v>-0.28125</c:v>
                </c:pt>
                <c:pt idx="19">
                  <c:v>-0.2</c:v>
                </c:pt>
                <c:pt idx="20">
                  <c:v>-0.1</c:v>
                </c:pt>
                <c:pt idx="21">
                  <c:v>-0.1</c:v>
                </c:pt>
                <c:pt idx="22">
                  <c:v>-0.12903225806451599</c:v>
                </c:pt>
                <c:pt idx="24">
                  <c:v>6.6666666666666666E-2</c:v>
                </c:pt>
                <c:pt idx="25">
                  <c:v>0</c:v>
                </c:pt>
                <c:pt idx="26">
                  <c:v>-0.29032258064516125</c:v>
                </c:pt>
                <c:pt idx="27">
                  <c:v>-0.17241379310344829</c:v>
                </c:pt>
                <c:pt idx="28">
                  <c:v>-0.10344827586206901</c:v>
                </c:pt>
                <c:pt idx="29">
                  <c:v>-0.10344827586206901</c:v>
                </c:pt>
                <c:pt idx="30">
                  <c:v>-0.10344827586206901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0958976"/>
        <c:axId val="81138048"/>
      </c:lineChart>
      <c:catAx>
        <c:axId val="25095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1138048"/>
        <c:crosses val="autoZero"/>
        <c:auto val="1"/>
        <c:lblAlgn val="ctr"/>
        <c:lblOffset val="100"/>
        <c:tickLblSkip val="1"/>
        <c:noMultiLvlLbl val="0"/>
      </c:catAx>
      <c:valAx>
        <c:axId val="81138048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958976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3587964723895158"/>
          <c:y val="0.91974752678997918"/>
          <c:w val="0.2512244523089357"/>
          <c:h val="7.53033370828646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285930258748862E-2"/>
          <c:y val="5.1400554097404488E-2"/>
          <c:w val="0.91353058058666192"/>
          <c:h val="0.45741360454943131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(3)'!$A$32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rgbClr val="00C1EE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3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9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15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21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cat>
            <c:multiLvlStrRef>
              <c:f>'Ожид-факт_физ (3)'!$B$30:$AB$31</c:f>
              <c:multiLvlStrCache>
                <c:ptCount val="27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4">
                    <c:v>4 тоқ 2014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19">
                    <c:v>1 тоқ 2016 </c:v>
                  </c:pt>
                  <c:pt idx="21">
                    <c:v>4 тоқ 2014</c:v>
                  </c:pt>
                  <c:pt idx="22">
                    <c:v>1 тоқ 2015 </c:v>
                  </c:pt>
                  <c:pt idx="23">
                    <c:v>2 тоқ 2015 </c:v>
                  </c:pt>
                  <c:pt idx="24">
                    <c:v>3 тоқ 2015</c:v>
                  </c:pt>
                  <c:pt idx="25">
                    <c:v>4 тоқ 2015</c:v>
                  </c:pt>
                  <c:pt idx="26">
                    <c:v>1 тоқ 2016 </c:v>
                  </c:pt>
                </c:lvl>
                <c:lvl>
                  <c:pt idx="0">
                    <c:v>Ипотекалық кредиттеу</c:v>
                  </c:pt>
                  <c:pt idx="7">
                    <c:v>Жылжымайтын мүлік кепілдігіне берілген тұтынушылық кредиттер</c:v>
                  </c:pt>
                  <c:pt idx="14">
                    <c:v>Кепілсіз берілген кредиттер</c:v>
                  </c:pt>
                  <c:pt idx="21">
                    <c:v>автокредиттер</c:v>
                  </c:pt>
                </c:lvl>
              </c:multiLvlStrCache>
            </c:multiLvlStrRef>
          </c:cat>
          <c:val>
            <c:numRef>
              <c:f>'Ожид-факт_физ (3)'!$B$32:$AB$32</c:f>
              <c:numCache>
                <c:formatCode>0.00%</c:formatCode>
                <c:ptCount val="27"/>
                <c:pt idx="0">
                  <c:v>-7.1428571428571425E-2</c:v>
                </c:pt>
                <c:pt idx="1">
                  <c:v>-0.29629629629629628</c:v>
                </c:pt>
                <c:pt idx="2">
                  <c:v>0</c:v>
                </c:pt>
                <c:pt idx="3">
                  <c:v>-3.8461538461538498E-2</c:v>
                </c:pt>
                <c:pt idx="4">
                  <c:v>-0.230769230769231</c:v>
                </c:pt>
                <c:pt idx="7">
                  <c:v>-6.6666666666666666E-2</c:v>
                </c:pt>
                <c:pt idx="8">
                  <c:v>-0.24137931034482757</c:v>
                </c:pt>
                <c:pt idx="9">
                  <c:v>-3.5714285714285698E-2</c:v>
                </c:pt>
                <c:pt idx="10">
                  <c:v>-0.14285714285714299</c:v>
                </c:pt>
                <c:pt idx="11">
                  <c:v>-0.14285714285714299</c:v>
                </c:pt>
                <c:pt idx="14">
                  <c:v>-0.22580645161290322</c:v>
                </c:pt>
                <c:pt idx="15">
                  <c:v>-0.3</c:v>
                </c:pt>
                <c:pt idx="16">
                  <c:v>7.4074074074074098E-2</c:v>
                </c:pt>
                <c:pt idx="17">
                  <c:v>-0.148148148148148</c:v>
                </c:pt>
                <c:pt idx="18">
                  <c:v>-7.1428571428571397E-2</c:v>
                </c:pt>
                <c:pt idx="21">
                  <c:v>-7.1428571428571425E-2</c:v>
                </c:pt>
                <c:pt idx="22">
                  <c:v>-0.20689655172413796</c:v>
                </c:pt>
                <c:pt idx="23">
                  <c:v>0</c:v>
                </c:pt>
                <c:pt idx="24">
                  <c:v>-7.4074074074074098E-2</c:v>
                </c:pt>
                <c:pt idx="25">
                  <c:v>-0.15384615384615399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(3)'!$A$33</c:f>
              <c:strCache>
                <c:ptCount val="1"/>
                <c:pt idx="0">
                  <c:v>Күту</c:v>
                </c:pt>
              </c:strCache>
            </c:strRef>
          </c:tx>
          <c:spPr>
            <a:ln w="31750">
              <a:solidFill>
                <a:srgbClr val="FA9500"/>
              </a:solidFill>
            </a:ln>
          </c:spPr>
          <c:marker>
            <c:symbol val="diamond"/>
            <c:size val="7"/>
            <c:spPr>
              <a:solidFill>
                <a:srgbClr val="FF9900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cat>
            <c:multiLvlStrRef>
              <c:f>'Ожид-факт_физ (3)'!$B$30:$AB$31</c:f>
              <c:multiLvlStrCache>
                <c:ptCount val="27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4">
                    <c:v>4 тоқ 2014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19">
                    <c:v>1 тоқ 2016 </c:v>
                  </c:pt>
                  <c:pt idx="21">
                    <c:v>4 тоқ 2014</c:v>
                  </c:pt>
                  <c:pt idx="22">
                    <c:v>1 тоқ 2015 </c:v>
                  </c:pt>
                  <c:pt idx="23">
                    <c:v>2 тоқ 2015 </c:v>
                  </c:pt>
                  <c:pt idx="24">
                    <c:v>3 тоқ 2015</c:v>
                  </c:pt>
                  <c:pt idx="25">
                    <c:v>4 тоқ 2015</c:v>
                  </c:pt>
                  <c:pt idx="26">
                    <c:v>1 тоқ 2016 </c:v>
                  </c:pt>
                </c:lvl>
                <c:lvl>
                  <c:pt idx="0">
                    <c:v>Ипотекалық кредиттеу</c:v>
                  </c:pt>
                  <c:pt idx="7">
                    <c:v>Жылжымайтын мүлік кепілдігіне берілген тұтынушылық кредиттер</c:v>
                  </c:pt>
                  <c:pt idx="14">
                    <c:v>Кепілсіз берілген кредиттер</c:v>
                  </c:pt>
                  <c:pt idx="21">
                    <c:v>автокредиттер</c:v>
                  </c:pt>
                </c:lvl>
              </c:multiLvlStrCache>
            </c:multiLvlStrRef>
          </c:cat>
          <c:val>
            <c:numRef>
              <c:f>'Ожид-факт_физ (3)'!$B$33:$AB$33</c:f>
              <c:numCache>
                <c:formatCode>0.00%</c:formatCode>
                <c:ptCount val="27"/>
                <c:pt idx="0">
                  <c:v>0</c:v>
                </c:pt>
                <c:pt idx="1">
                  <c:v>-0.1785714285714286</c:v>
                </c:pt>
                <c:pt idx="2">
                  <c:v>-3.7037037037037035E-2</c:v>
                </c:pt>
                <c:pt idx="3">
                  <c:v>7.69230769230769E-2</c:v>
                </c:pt>
                <c:pt idx="4">
                  <c:v>-0.15384615384615399</c:v>
                </c:pt>
                <c:pt idx="5">
                  <c:v>-0.230769230769231</c:v>
                </c:pt>
                <c:pt idx="7">
                  <c:v>3.2258064516129031E-2</c:v>
                </c:pt>
                <c:pt idx="8">
                  <c:v>-3.2258064516129031E-2</c:v>
                </c:pt>
                <c:pt idx="9">
                  <c:v>0</c:v>
                </c:pt>
                <c:pt idx="10">
                  <c:v>3.5714285714285698E-2</c:v>
                </c:pt>
                <c:pt idx="11">
                  <c:v>-7.1428571428571397E-2</c:v>
                </c:pt>
                <c:pt idx="12">
                  <c:v>-0.214285714285714</c:v>
                </c:pt>
                <c:pt idx="14">
                  <c:v>-9.6774193548387094E-2</c:v>
                </c:pt>
                <c:pt idx="15">
                  <c:v>-0.12903225806451613</c:v>
                </c:pt>
                <c:pt idx="16">
                  <c:v>0.10344827586206896</c:v>
                </c:pt>
                <c:pt idx="17">
                  <c:v>0</c:v>
                </c:pt>
                <c:pt idx="18">
                  <c:v>-3.7037037037037E-2</c:v>
                </c:pt>
                <c:pt idx="19">
                  <c:v>-0.148148148148148</c:v>
                </c:pt>
                <c:pt idx="21">
                  <c:v>0</c:v>
                </c:pt>
                <c:pt idx="22">
                  <c:v>-0.14814814814814814</c:v>
                </c:pt>
                <c:pt idx="23">
                  <c:v>0</c:v>
                </c:pt>
                <c:pt idx="24">
                  <c:v>3.8461538461538498E-2</c:v>
                </c:pt>
                <c:pt idx="25">
                  <c:v>0</c:v>
                </c:pt>
                <c:pt idx="26">
                  <c:v>-0.115384615384615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884864"/>
        <c:axId val="190894848"/>
      </c:lineChart>
      <c:catAx>
        <c:axId val="190884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90894848"/>
        <c:crosses val="autoZero"/>
        <c:auto val="1"/>
        <c:lblAlgn val="ctr"/>
        <c:lblOffset val="100"/>
        <c:noMultiLvlLbl val="0"/>
      </c:catAx>
      <c:valAx>
        <c:axId val="19089484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90884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9296141786252048"/>
          <c:y val="0.92989342981077672"/>
          <c:w val="0.26545323138955457"/>
          <c:h val="6.83855132442915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(3)'!$B$142</c:f>
              <c:strCache>
                <c:ptCount val="1"/>
                <c:pt idx="0">
                  <c:v>4 тоқ 2014</c:v>
                </c:pt>
              </c:strCache>
            </c:strRef>
          </c:tx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(3)'!$B$143:$B$153</c:f>
              <c:numCache>
                <c:formatCode>#,##0.00%</c:formatCode>
                <c:ptCount val="11"/>
                <c:pt idx="0">
                  <c:v>0</c:v>
                </c:pt>
                <c:pt idx="1">
                  <c:v>-3.5714285714285698E-2</c:v>
                </c:pt>
                <c:pt idx="2">
                  <c:v>0</c:v>
                </c:pt>
                <c:pt idx="3">
                  <c:v>-3.5714285714285698E-2</c:v>
                </c:pt>
                <c:pt idx="4">
                  <c:v>-7.1428571428571397E-2</c:v>
                </c:pt>
                <c:pt idx="5">
                  <c:v>-7.1428571428571397E-2</c:v>
                </c:pt>
                <c:pt idx="6">
                  <c:v>0</c:v>
                </c:pt>
                <c:pt idx="7">
                  <c:v>-7.1428571428571397E-2</c:v>
                </c:pt>
                <c:pt idx="8">
                  <c:v>-3.5714285714285698E-2</c:v>
                </c:pt>
                <c:pt idx="9">
                  <c:v>-3.5714285714285698E-2</c:v>
                </c:pt>
                <c:pt idx="10">
                  <c:v>-3.5714285714285698E-2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(3)'!$C$142</c:f>
              <c:strCache>
                <c:ptCount val="1"/>
                <c:pt idx="0">
                  <c:v>1 тоқ 2015 </c:v>
                </c:pt>
              </c:strCache>
            </c:strRef>
          </c:tx>
          <c:spPr>
            <a:solidFill>
              <a:srgbClr val="64AA99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(3)'!$C$143:$C$153</c:f>
              <c:numCache>
                <c:formatCode>#,##0.00%</c:formatCode>
                <c:ptCount val="11"/>
                <c:pt idx="0">
                  <c:v>-0.15384615384615399</c:v>
                </c:pt>
                <c:pt idx="1">
                  <c:v>-0.22222222222222199</c:v>
                </c:pt>
                <c:pt idx="2">
                  <c:v>-3.7037037037037E-2</c:v>
                </c:pt>
                <c:pt idx="3">
                  <c:v>-0.22222222222222199</c:v>
                </c:pt>
                <c:pt idx="4">
                  <c:v>-0.22222222222222199</c:v>
                </c:pt>
                <c:pt idx="5">
                  <c:v>-0.18518518518518501</c:v>
                </c:pt>
                <c:pt idx="6">
                  <c:v>-7.4074074074074098E-2</c:v>
                </c:pt>
                <c:pt idx="7">
                  <c:v>-0.18518518518518501</c:v>
                </c:pt>
                <c:pt idx="8">
                  <c:v>-0.148148148148148</c:v>
                </c:pt>
                <c:pt idx="9">
                  <c:v>-0.11111111111111099</c:v>
                </c:pt>
                <c:pt idx="10">
                  <c:v>-7.4074074074074098E-2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(3)'!$D$142</c:f>
              <c:strCache>
                <c:ptCount val="1"/>
                <c:pt idx="0">
                  <c:v>2 тоқ 2015 </c:v>
                </c:pt>
              </c:strCache>
            </c:strRef>
          </c:tx>
          <c:spPr>
            <a:solidFill>
              <a:srgbClr val="33CCFF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(3)'!$D$143:$D$153</c:f>
              <c:numCache>
                <c:formatCode>#,##0.00%</c:formatCode>
                <c:ptCount val="11"/>
                <c:pt idx="0">
                  <c:v>-0.08</c:v>
                </c:pt>
                <c:pt idx="1">
                  <c:v>-7.69230769230769E-2</c:v>
                </c:pt>
                <c:pt idx="2">
                  <c:v>-7.69230769230769E-2</c:v>
                </c:pt>
                <c:pt idx="3">
                  <c:v>-7.69230769230769E-2</c:v>
                </c:pt>
                <c:pt idx="4">
                  <c:v>-3.8461538461538498E-2</c:v>
                </c:pt>
                <c:pt idx="5">
                  <c:v>-3.8461538461538498E-2</c:v>
                </c:pt>
                <c:pt idx="6">
                  <c:v>3.8461538461538498E-2</c:v>
                </c:pt>
                <c:pt idx="7">
                  <c:v>-7.69230769230769E-2</c:v>
                </c:pt>
                <c:pt idx="8">
                  <c:v>-3.8461538461538498E-2</c:v>
                </c:pt>
                <c:pt idx="9">
                  <c:v>-3.8461538461538498E-2</c:v>
                </c:pt>
                <c:pt idx="10">
                  <c:v>-7.69230769230769E-2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(3)'!$E$142</c:f>
              <c:strCache>
                <c:ptCount val="1"/>
                <c:pt idx="0">
                  <c:v>3 тоқ 2015</c:v>
                </c:pt>
              </c:strCache>
            </c:strRef>
          </c:tx>
          <c:spPr>
            <a:solidFill>
              <a:srgbClr val="F08ED6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(3)'!$E$143:$E$153</c:f>
              <c:numCache>
                <c:formatCode>#,##0.00%</c:formatCode>
                <c:ptCount val="11"/>
                <c:pt idx="0">
                  <c:v>-0.08</c:v>
                </c:pt>
                <c:pt idx="1">
                  <c:v>-0.115384615384615</c:v>
                </c:pt>
                <c:pt idx="2">
                  <c:v>-3.8461538461538498E-2</c:v>
                </c:pt>
                <c:pt idx="3">
                  <c:v>3.8461538461538498E-2</c:v>
                </c:pt>
                <c:pt idx="4">
                  <c:v>0</c:v>
                </c:pt>
                <c:pt idx="5">
                  <c:v>-7.69230769230769E-2</c:v>
                </c:pt>
                <c:pt idx="6">
                  <c:v>7.69230769230769E-2</c:v>
                </c:pt>
                <c:pt idx="7">
                  <c:v>-0.15384615384615399</c:v>
                </c:pt>
                <c:pt idx="8">
                  <c:v>-7.69230769230769E-2</c:v>
                </c:pt>
                <c:pt idx="9">
                  <c:v>-0.115384615384615</c:v>
                </c:pt>
                <c:pt idx="10">
                  <c:v>-0.15384615384615399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(3)'!$F$142</c:f>
              <c:strCache>
                <c:ptCount val="1"/>
                <c:pt idx="0">
                  <c:v>4 тоқ 2015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(3)'!$F$143:$F$153</c:f>
              <c:numCache>
                <c:formatCode>#,##0.00%</c:formatCode>
                <c:ptCount val="11"/>
                <c:pt idx="0">
                  <c:v>-3.8461538461538498E-2</c:v>
                </c:pt>
                <c:pt idx="1">
                  <c:v>-7.69230769230769E-2</c:v>
                </c:pt>
                <c:pt idx="2">
                  <c:v>3.8461538461538498E-2</c:v>
                </c:pt>
                <c:pt idx="3">
                  <c:v>-3.8461538461538498E-2</c:v>
                </c:pt>
                <c:pt idx="4">
                  <c:v>-7.69230769230769E-2</c:v>
                </c:pt>
                <c:pt idx="5">
                  <c:v>-0.15384615384615399</c:v>
                </c:pt>
                <c:pt idx="6">
                  <c:v>0</c:v>
                </c:pt>
                <c:pt idx="7">
                  <c:v>-0.230769230769231</c:v>
                </c:pt>
                <c:pt idx="8">
                  <c:v>-0.15384615384615399</c:v>
                </c:pt>
                <c:pt idx="9">
                  <c:v>-0.19230769230769201</c:v>
                </c:pt>
                <c:pt idx="10">
                  <c:v>-0.19230769230769201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-10"/>
        <c:axId val="190983552"/>
        <c:axId val="190993536"/>
      </c:barChart>
      <c:catAx>
        <c:axId val="19098355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90993536"/>
        <c:crosses val="autoZero"/>
        <c:auto val="0"/>
        <c:lblAlgn val="ctr"/>
        <c:lblOffset val="100"/>
        <c:noMultiLvlLbl val="0"/>
      </c:catAx>
      <c:valAx>
        <c:axId val="190993536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1909835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(3)'!$B$171</c:f>
              <c:strCache>
                <c:ptCount val="1"/>
                <c:pt idx="0">
                  <c:v>4 тоқ 2014</c:v>
                </c:pt>
              </c:strCache>
            </c:strRef>
          </c:tx>
          <c:spPr>
            <a:solidFill>
              <a:srgbClr val="3366FF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(3)'!$B$172:$B$181</c:f>
              <c:numCache>
                <c:formatCode>#,##0.00%</c:formatCode>
                <c:ptCount val="10"/>
                <c:pt idx="0">
                  <c:v>-3.03030303030303E-2</c:v>
                </c:pt>
                <c:pt idx="1">
                  <c:v>-6.0606060606060601E-2</c:v>
                </c:pt>
                <c:pt idx="2">
                  <c:v>-3.03030303030303E-2</c:v>
                </c:pt>
                <c:pt idx="3">
                  <c:v>0</c:v>
                </c:pt>
                <c:pt idx="4">
                  <c:v>-9.0909090909090898E-2</c:v>
                </c:pt>
                <c:pt idx="5">
                  <c:v>-6.0606060606060601E-2</c:v>
                </c:pt>
                <c:pt idx="6">
                  <c:v>-6.0606060606060601E-2</c:v>
                </c:pt>
                <c:pt idx="7">
                  <c:v>-0.18181818181818199</c:v>
                </c:pt>
                <c:pt idx="8">
                  <c:v>-6.0606060606060601E-2</c:v>
                </c:pt>
                <c:pt idx="9">
                  <c:v>-3.125E-2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(3)'!$C$171</c:f>
              <c:strCache>
                <c:ptCount val="1"/>
                <c:pt idx="0">
                  <c:v>1 тоқ 2015 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(3)'!$C$172:$C$181</c:f>
              <c:numCache>
                <c:formatCode>#,##0.00%</c:formatCode>
                <c:ptCount val="10"/>
                <c:pt idx="0">
                  <c:v>-9.6774193548387094E-2</c:v>
                </c:pt>
                <c:pt idx="1">
                  <c:v>-0.16129032258064499</c:v>
                </c:pt>
                <c:pt idx="2">
                  <c:v>-6.4516129032258104E-2</c:v>
                </c:pt>
                <c:pt idx="3">
                  <c:v>-0.12903225806451599</c:v>
                </c:pt>
                <c:pt idx="4">
                  <c:v>-0.12903225806451599</c:v>
                </c:pt>
                <c:pt idx="5">
                  <c:v>-9.6774193548387094E-2</c:v>
                </c:pt>
                <c:pt idx="6">
                  <c:v>-6.4516129032258104E-2</c:v>
                </c:pt>
                <c:pt idx="7">
                  <c:v>-0.12903225806451599</c:v>
                </c:pt>
                <c:pt idx="8">
                  <c:v>-6.4516129032258104E-2</c:v>
                </c:pt>
                <c:pt idx="9">
                  <c:v>-0.1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(3)'!$D$171</c:f>
              <c:strCache>
                <c:ptCount val="1"/>
                <c:pt idx="0">
                  <c:v>2 тоқ 2015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(3)'!$D$172:$D$181</c:f>
              <c:numCache>
                <c:formatCode>#,##0.00%</c:formatCode>
                <c:ptCount val="10"/>
                <c:pt idx="0">
                  <c:v>-6.6666666666666693E-2</c:v>
                </c:pt>
                <c:pt idx="1">
                  <c:v>-6.6666666666666693E-2</c:v>
                </c:pt>
                <c:pt idx="2">
                  <c:v>-6.6666666666666693E-2</c:v>
                </c:pt>
                <c:pt idx="3">
                  <c:v>-6.6666666666666693E-2</c:v>
                </c:pt>
                <c:pt idx="4">
                  <c:v>-6.6666666666666693E-2</c:v>
                </c:pt>
                <c:pt idx="5">
                  <c:v>-3.3333333333333298E-2</c:v>
                </c:pt>
                <c:pt idx="6">
                  <c:v>0.1</c:v>
                </c:pt>
                <c:pt idx="7">
                  <c:v>-3.3333333333333298E-2</c:v>
                </c:pt>
                <c:pt idx="8">
                  <c:v>-6.6666666666666693E-2</c:v>
                </c:pt>
                <c:pt idx="9">
                  <c:v>-6.8965517241379296E-2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(3)'!$E$171</c:f>
              <c:strCache>
                <c:ptCount val="1"/>
                <c:pt idx="0">
                  <c:v>3 тоқ 2015</c:v>
                </c:pt>
              </c:strCache>
            </c:strRef>
          </c:tx>
          <c:spPr>
            <a:solidFill>
              <a:srgbClr val="F08ED6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(3)'!$E$172:$E$181</c:f>
              <c:numCache>
                <c:formatCode>#,##0.00%</c:formatCode>
                <c:ptCount val="10"/>
                <c:pt idx="0">
                  <c:v>-6.6666666666666693E-2</c:v>
                </c:pt>
                <c:pt idx="1">
                  <c:v>-0.1</c:v>
                </c:pt>
                <c:pt idx="2">
                  <c:v>-3.3333333333333298E-2</c:v>
                </c:pt>
                <c:pt idx="3">
                  <c:v>-3.3333333333333298E-2</c:v>
                </c:pt>
                <c:pt idx="4">
                  <c:v>0</c:v>
                </c:pt>
                <c:pt idx="5">
                  <c:v>-6.6666666666666693E-2</c:v>
                </c:pt>
                <c:pt idx="6">
                  <c:v>0</c:v>
                </c:pt>
                <c:pt idx="7">
                  <c:v>-0.16666666666666699</c:v>
                </c:pt>
                <c:pt idx="8">
                  <c:v>-0.2</c:v>
                </c:pt>
                <c:pt idx="9">
                  <c:v>-0.10344827586206901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(3)'!$F$171</c:f>
              <c:strCache>
                <c:ptCount val="1"/>
                <c:pt idx="0">
                  <c:v>4 тоқ 2015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(3)'!$F$172:$F$181</c:f>
              <c:numCache>
                <c:formatCode>#,##0.00%</c:formatCode>
                <c:ptCount val="10"/>
                <c:pt idx="0">
                  <c:v>-3.3333333333333298E-2</c:v>
                </c:pt>
                <c:pt idx="1">
                  <c:v>-6.6666666666666693E-2</c:v>
                </c:pt>
                <c:pt idx="2">
                  <c:v>3.3333333333333298E-2</c:v>
                </c:pt>
                <c:pt idx="3">
                  <c:v>0</c:v>
                </c:pt>
                <c:pt idx="4">
                  <c:v>-0.1</c:v>
                </c:pt>
                <c:pt idx="5">
                  <c:v>-6.6666666666666693E-2</c:v>
                </c:pt>
                <c:pt idx="6">
                  <c:v>0</c:v>
                </c:pt>
                <c:pt idx="7">
                  <c:v>-0.233333333333333</c:v>
                </c:pt>
                <c:pt idx="8">
                  <c:v>-0.16666666666666699</c:v>
                </c:pt>
                <c:pt idx="9">
                  <c:v>-0.133333333333333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016960"/>
        <c:axId val="191018496"/>
      </c:barChart>
      <c:catAx>
        <c:axId val="19101696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91018496"/>
        <c:crosses val="autoZero"/>
        <c:auto val="1"/>
        <c:lblAlgn val="ctr"/>
        <c:lblOffset val="100"/>
        <c:noMultiLvlLbl val="0"/>
      </c:catAx>
      <c:valAx>
        <c:axId val="1910184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910169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(3)'!$A$62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5.9504129133643308E-3"/>
                  <c:y val="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834709711214434E-3"/>
                  <c:y val="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9669419422428869E-3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5617881662373572E-7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0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7.2726428799208123E-17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0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2.7570995312930797E-3"/>
                  <c:y val="3.3686236766121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(3)'!$B$60:$AB$61</c:f>
              <c:multiLvlStrCache>
                <c:ptCount val="27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4">
                    <c:v>4 тоқ 2014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19">
                    <c:v>1 тоқ 2016 </c:v>
                  </c:pt>
                  <c:pt idx="21">
                    <c:v>4 тоқ 2014</c:v>
                  </c:pt>
                  <c:pt idx="22">
                    <c:v>1 тоқ 2015 </c:v>
                  </c:pt>
                  <c:pt idx="23">
                    <c:v>2 тоқ 2015 </c:v>
                  </c:pt>
                  <c:pt idx="24">
                    <c:v>3 тоқ 2015</c:v>
                  </c:pt>
                  <c:pt idx="25">
                    <c:v>4 тоқ 2015</c:v>
                  </c:pt>
                  <c:pt idx="26">
                    <c:v>1 тоқ 2016 </c:v>
                  </c:pt>
                </c:lvl>
                <c:lvl>
                  <c:pt idx="0">
                    <c:v>Ипотекалық кредиттеу</c:v>
                  </c:pt>
                  <c:pt idx="7">
                    <c:v>Жылжымайтын мүлік кепілдігіне берілген тұтынушылық кредиттер</c:v>
                  </c:pt>
                  <c:pt idx="14">
                    <c:v>Кепілсіз берілген кредиттер</c:v>
                  </c:pt>
                  <c:pt idx="21">
                    <c:v>автокредиттер</c:v>
                  </c:pt>
                </c:lvl>
              </c:multiLvlStrCache>
            </c:multiLvlStrRef>
          </c:cat>
          <c:val>
            <c:numRef>
              <c:f>'Ожид-факт_физ (3)'!$B$62:$AB$62</c:f>
              <c:numCache>
                <c:formatCode>0.00%</c:formatCode>
                <c:ptCount val="27"/>
                <c:pt idx="0">
                  <c:v>3.4482758620689655E-2</c:v>
                </c:pt>
                <c:pt idx="1">
                  <c:v>-0.26923076923076927</c:v>
                </c:pt>
                <c:pt idx="2">
                  <c:v>0</c:v>
                </c:pt>
                <c:pt idx="3">
                  <c:v>3.8461538461538498E-2</c:v>
                </c:pt>
                <c:pt idx="4">
                  <c:v>-0.34615384615384598</c:v>
                </c:pt>
                <c:pt idx="7">
                  <c:v>0</c:v>
                </c:pt>
                <c:pt idx="8">
                  <c:v>-0.21428571428571425</c:v>
                </c:pt>
                <c:pt idx="9">
                  <c:v>3.7037037037037E-2</c:v>
                </c:pt>
                <c:pt idx="10">
                  <c:v>-3.5714285714285698E-2</c:v>
                </c:pt>
                <c:pt idx="11">
                  <c:v>-0.35714285714285698</c:v>
                </c:pt>
                <c:pt idx="14">
                  <c:v>-9.6774193548387094E-2</c:v>
                </c:pt>
                <c:pt idx="15">
                  <c:v>-0.31034482758620696</c:v>
                </c:pt>
                <c:pt idx="16">
                  <c:v>3.7037037037037E-2</c:v>
                </c:pt>
                <c:pt idx="17">
                  <c:v>-0.148148148148148</c:v>
                </c:pt>
                <c:pt idx="18">
                  <c:v>-0.296296296296296</c:v>
                </c:pt>
                <c:pt idx="21">
                  <c:v>-7.1428571428571425E-2</c:v>
                </c:pt>
                <c:pt idx="22">
                  <c:v>-0.23076923076923081</c:v>
                </c:pt>
                <c:pt idx="23">
                  <c:v>0.16</c:v>
                </c:pt>
                <c:pt idx="24">
                  <c:v>-7.4074074074074098E-2</c:v>
                </c:pt>
                <c:pt idx="25">
                  <c:v>-0.36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502016"/>
        <c:axId val="194503808"/>
      </c:barChart>
      <c:lineChart>
        <c:grouping val="standard"/>
        <c:varyColors val="0"/>
        <c:ser>
          <c:idx val="1"/>
          <c:order val="1"/>
          <c:tx>
            <c:strRef>
              <c:f>'Ожид-факт_физ (3)'!$A$63</c:f>
              <c:strCache>
                <c:ptCount val="1"/>
                <c:pt idx="0">
                  <c:v>Күту</c:v>
                </c:pt>
              </c:strCache>
            </c:strRef>
          </c:tx>
          <c:spPr>
            <a:ln w="31750">
              <a:solidFill>
                <a:srgbClr val="00CCFF"/>
              </a:solidFill>
            </a:ln>
          </c:spPr>
          <c:marker>
            <c:symbol val="diamond"/>
            <c:size val="7"/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cat>
            <c:multiLvlStrRef>
              <c:f>'Ожид-факт_физ (3)'!$B$60:$AB$61</c:f>
              <c:multiLvlStrCache>
                <c:ptCount val="27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4">
                    <c:v>4 тоқ 2014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19">
                    <c:v>1 тоқ 2016 </c:v>
                  </c:pt>
                  <c:pt idx="21">
                    <c:v>4 тоқ 2014</c:v>
                  </c:pt>
                  <c:pt idx="22">
                    <c:v>1 тоқ 2015 </c:v>
                  </c:pt>
                  <c:pt idx="23">
                    <c:v>2 тоқ 2015 </c:v>
                  </c:pt>
                  <c:pt idx="24">
                    <c:v>3 тоқ 2015</c:v>
                  </c:pt>
                  <c:pt idx="25">
                    <c:v>4 тоқ 2015</c:v>
                  </c:pt>
                  <c:pt idx="26">
                    <c:v>1 тоқ 2016 </c:v>
                  </c:pt>
                </c:lvl>
                <c:lvl>
                  <c:pt idx="0">
                    <c:v>Ипотекалық кредиттеу</c:v>
                  </c:pt>
                  <c:pt idx="7">
                    <c:v>Жылжымайтын мүлік кепілдігіне берілген тұтынушылық кредиттер</c:v>
                  </c:pt>
                  <c:pt idx="14">
                    <c:v>Кепілсіз берілген кредиттер</c:v>
                  </c:pt>
                  <c:pt idx="21">
                    <c:v>автокредиттер</c:v>
                  </c:pt>
                </c:lvl>
              </c:multiLvlStrCache>
            </c:multiLvlStrRef>
          </c:cat>
          <c:val>
            <c:numRef>
              <c:f>'Ожид-факт_физ (3)'!$B$63:$AB$63</c:f>
              <c:numCache>
                <c:formatCode>0.00%</c:formatCode>
                <c:ptCount val="27"/>
                <c:pt idx="0">
                  <c:v>0</c:v>
                </c:pt>
                <c:pt idx="1">
                  <c:v>-0.31034482758620691</c:v>
                </c:pt>
                <c:pt idx="2">
                  <c:v>-3.8461538461538464E-2</c:v>
                </c:pt>
                <c:pt idx="3">
                  <c:v>-0.115384615384615</c:v>
                </c:pt>
                <c:pt idx="4">
                  <c:v>-0.115384615384615</c:v>
                </c:pt>
                <c:pt idx="5">
                  <c:v>-0.269230769230769</c:v>
                </c:pt>
                <c:pt idx="7">
                  <c:v>-3.2258064516129031E-2</c:v>
                </c:pt>
                <c:pt idx="8">
                  <c:v>-0.32258064516129031</c:v>
                </c:pt>
                <c:pt idx="9">
                  <c:v>0</c:v>
                </c:pt>
                <c:pt idx="10">
                  <c:v>0</c:v>
                </c:pt>
                <c:pt idx="11">
                  <c:v>-0.107142857142857</c:v>
                </c:pt>
                <c:pt idx="12">
                  <c:v>-0.28571428571428598</c:v>
                </c:pt>
                <c:pt idx="14">
                  <c:v>-6.4516129032258063E-2</c:v>
                </c:pt>
                <c:pt idx="15">
                  <c:v>-0.25806451612903225</c:v>
                </c:pt>
                <c:pt idx="16">
                  <c:v>-3.4482758620689655E-2</c:v>
                </c:pt>
                <c:pt idx="17">
                  <c:v>-3.5714285714285698E-2</c:v>
                </c:pt>
                <c:pt idx="18">
                  <c:v>-0.22222222222222199</c:v>
                </c:pt>
                <c:pt idx="19">
                  <c:v>-0.32142857142857101</c:v>
                </c:pt>
                <c:pt idx="21">
                  <c:v>0</c:v>
                </c:pt>
                <c:pt idx="22">
                  <c:v>-0.2142857142857143</c:v>
                </c:pt>
                <c:pt idx="23">
                  <c:v>0.11538461538461539</c:v>
                </c:pt>
                <c:pt idx="24">
                  <c:v>-0.04</c:v>
                </c:pt>
                <c:pt idx="25">
                  <c:v>-0.19230769230769201</c:v>
                </c:pt>
                <c:pt idx="26">
                  <c:v>-0.30769230769230799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502016"/>
        <c:axId val="194503808"/>
      </c:lineChart>
      <c:catAx>
        <c:axId val="194502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94503808"/>
        <c:crosses val="autoZero"/>
        <c:auto val="1"/>
        <c:lblAlgn val="ctr"/>
        <c:lblOffset val="100"/>
        <c:noMultiLvlLbl val="0"/>
      </c:catAx>
      <c:valAx>
        <c:axId val="194503808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194502016"/>
        <c:crosses val="autoZero"/>
        <c:crossBetween val="between"/>
        <c:majorUnit val="5.000000000000001E-2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Ставки2!$A$11</c:f>
              <c:strCache>
                <c:ptCount val="1"/>
                <c:pt idx="0">
                  <c:v>Ипотекалық кредиттеу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Ставки2!$B$10:$I$10</c:f>
              <c:strCache>
                <c:ptCount val="8"/>
                <c:pt idx="0">
                  <c:v>1 тоқ 2014 </c:v>
                </c:pt>
                <c:pt idx="1">
                  <c:v>2 тоқ 2014 </c:v>
                </c:pt>
                <c:pt idx="2">
                  <c:v>3 тоқ 2014</c:v>
                </c:pt>
                <c:pt idx="3">
                  <c:v>4 тоқ 2014</c:v>
                </c:pt>
                <c:pt idx="4">
                  <c:v>1 тоқ 2015 </c:v>
                </c:pt>
                <c:pt idx="5">
                  <c:v>2 тоқ 2015 </c:v>
                </c:pt>
                <c:pt idx="6">
                  <c:v>3 тоқ 2015</c:v>
                </c:pt>
                <c:pt idx="7">
                  <c:v>4 тоқ 2015</c:v>
                </c:pt>
              </c:strCache>
            </c:strRef>
          </c:cat>
          <c:val>
            <c:numRef>
              <c:f>Ставки2!$B$11:$I$11</c:f>
              <c:numCache>
                <c:formatCode>0.00</c:formatCode>
                <c:ptCount val="8"/>
                <c:pt idx="0">
                  <c:v>11.157620027616277</c:v>
                </c:pt>
                <c:pt idx="1">
                  <c:v>10.744098027479417</c:v>
                </c:pt>
                <c:pt idx="2">
                  <c:v>10.940598859184485</c:v>
                </c:pt>
                <c:pt idx="3">
                  <c:v>10.842139379810094</c:v>
                </c:pt>
                <c:pt idx="4">
                  <c:v>10.270029492528035</c:v>
                </c:pt>
                <c:pt idx="5">
                  <c:v>9.5780018987785294</c:v>
                </c:pt>
                <c:pt idx="6">
                  <c:v>9.8851255470595767</c:v>
                </c:pt>
                <c:pt idx="7">
                  <c:v>9.7074650564918805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Ставки2!$A$12</c:f>
              <c:strCache>
                <c:ptCount val="1"/>
                <c:pt idx="0">
                  <c:v>Жылжымайтын мүлік кепілдігіне берілген тұтынушылық кредиттер</c:v>
                </c:pt>
              </c:strCache>
            </c:strRef>
          </c:tx>
          <c:spPr>
            <a:ln>
              <a:solidFill>
                <a:srgbClr val="B390D6"/>
              </a:solidFill>
            </a:ln>
          </c:spPr>
          <c:marker>
            <c:symbol val="none"/>
          </c:marker>
          <c:cat>
            <c:strRef>
              <c:f>Ставки2!$B$10:$I$10</c:f>
              <c:strCache>
                <c:ptCount val="8"/>
                <c:pt idx="0">
                  <c:v>1 тоқ 2014 </c:v>
                </c:pt>
                <c:pt idx="1">
                  <c:v>2 тоқ 2014 </c:v>
                </c:pt>
                <c:pt idx="2">
                  <c:v>3 тоқ 2014</c:v>
                </c:pt>
                <c:pt idx="3">
                  <c:v>4 тоқ 2014</c:v>
                </c:pt>
                <c:pt idx="4">
                  <c:v>1 тоқ 2015 </c:v>
                </c:pt>
                <c:pt idx="5">
                  <c:v>2 тоқ 2015 </c:v>
                </c:pt>
                <c:pt idx="6">
                  <c:v>3 тоқ 2015</c:v>
                </c:pt>
                <c:pt idx="7">
                  <c:v>4 тоқ 2015</c:v>
                </c:pt>
              </c:strCache>
            </c:strRef>
          </c:cat>
          <c:val>
            <c:numRef>
              <c:f>Ставки2!$B$12:$I$12</c:f>
              <c:numCache>
                <c:formatCode>0.00</c:formatCode>
                <c:ptCount val="8"/>
                <c:pt idx="0">
                  <c:v>10.635943986741573</c:v>
                </c:pt>
                <c:pt idx="1">
                  <c:v>12.647603067534392</c:v>
                </c:pt>
                <c:pt idx="2">
                  <c:v>13.187557219674297</c:v>
                </c:pt>
                <c:pt idx="3">
                  <c:v>12.442678376364979</c:v>
                </c:pt>
                <c:pt idx="4">
                  <c:v>15.848081156083399</c:v>
                </c:pt>
                <c:pt idx="5">
                  <c:v>13.835396081082555</c:v>
                </c:pt>
                <c:pt idx="6">
                  <c:v>15.103026715626536</c:v>
                </c:pt>
                <c:pt idx="7">
                  <c:v>14.132655732748992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Ставки2!$A$13</c:f>
              <c:strCache>
                <c:ptCount val="1"/>
                <c:pt idx="0">
                  <c:v>Кепілсіз берілген кредиттер</c:v>
                </c:pt>
              </c:strCache>
            </c:strRef>
          </c:tx>
          <c:spPr>
            <a:ln>
              <a:solidFill>
                <a:srgbClr val="3FCD64"/>
              </a:solidFill>
            </a:ln>
          </c:spPr>
          <c:marker>
            <c:symbol val="none"/>
          </c:marker>
          <c:cat>
            <c:strRef>
              <c:f>Ставки2!$B$10:$I$10</c:f>
              <c:strCache>
                <c:ptCount val="8"/>
                <c:pt idx="0">
                  <c:v>1 тоқ 2014 </c:v>
                </c:pt>
                <c:pt idx="1">
                  <c:v>2 тоқ 2014 </c:v>
                </c:pt>
                <c:pt idx="2">
                  <c:v>3 тоқ 2014</c:v>
                </c:pt>
                <c:pt idx="3">
                  <c:v>4 тоқ 2014</c:v>
                </c:pt>
                <c:pt idx="4">
                  <c:v>1 тоқ 2015 </c:v>
                </c:pt>
                <c:pt idx="5">
                  <c:v>2 тоқ 2015 </c:v>
                </c:pt>
                <c:pt idx="6">
                  <c:v>3 тоқ 2015</c:v>
                </c:pt>
                <c:pt idx="7">
                  <c:v>4 тоқ 2015</c:v>
                </c:pt>
              </c:strCache>
            </c:strRef>
          </c:cat>
          <c:val>
            <c:numRef>
              <c:f>Ставки2!$B$13:$I$13</c:f>
              <c:numCache>
                <c:formatCode>0.00</c:formatCode>
                <c:ptCount val="8"/>
                <c:pt idx="0">
                  <c:v>23.128652077617954</c:v>
                </c:pt>
                <c:pt idx="1">
                  <c:v>21.626858908503038</c:v>
                </c:pt>
                <c:pt idx="2">
                  <c:v>22.373423108469041</c:v>
                </c:pt>
                <c:pt idx="3">
                  <c:v>22.31469459459462</c:v>
                </c:pt>
                <c:pt idx="4">
                  <c:v>22.145168657664801</c:v>
                </c:pt>
                <c:pt idx="5">
                  <c:v>19.2532001672229</c:v>
                </c:pt>
                <c:pt idx="6">
                  <c:v>19.105643247686995</c:v>
                </c:pt>
                <c:pt idx="7">
                  <c:v>18.500766138958486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521344"/>
        <c:axId val="194527232"/>
      </c:lineChart>
      <c:catAx>
        <c:axId val="19452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4527232"/>
        <c:crosses val="autoZero"/>
        <c:auto val="1"/>
        <c:lblAlgn val="ctr"/>
        <c:lblOffset val="100"/>
        <c:noMultiLvlLbl val="0"/>
      </c:catAx>
      <c:valAx>
        <c:axId val="19452723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94521344"/>
        <c:crosses val="autoZero"/>
        <c:crossBetween val="between"/>
        <c:majorUnit val="2"/>
      </c:valAx>
    </c:plotArea>
    <c:legend>
      <c:legendPos val="b"/>
      <c:layout>
        <c:manualLayout>
          <c:xMode val="edge"/>
          <c:yMode val="edge"/>
          <c:x val="0.10983219186600438"/>
          <c:y val="0.75517024222607776"/>
          <c:w val="0.76803074462317977"/>
          <c:h val="0.2234536482939631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18083624685655E-2"/>
          <c:y val="5.4076257709165666E-2"/>
          <c:w val="0.92363021794851419"/>
          <c:h val="0.49405866611950378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Банктердің ұсынысы (тілегі)</c:v>
                </c:pt>
              </c:strCache>
            </c:strRef>
          </c:tx>
          <c:spPr>
            <a:solidFill>
              <a:srgbClr val="2DA35D"/>
            </a:solidFill>
          </c:spPr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7"/>
              <c:layout>
                <c:manualLayout>
                  <c:x val="7.656079572429694E-17"/>
                  <c:y val="2.46309297544703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2.0452984277837022E-3"/>
                  <c:y val="-1.970326984988945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2.0913215917427379E-3"/>
                  <c:y val="3.94096427601722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0"/>
                  <c:y val="1.477832512315270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0"/>
                  <c:y val="2.95566502463054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0"/>
                  <c:y val="2.463054187192113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(3)'!$B$4:$AB$5</c:f>
              <c:multiLvlStrCache>
                <c:ptCount val="27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4">
                    <c:v>4 тоқ 2014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19">
                    <c:v>1 тоқ 2016 </c:v>
                  </c:pt>
                  <c:pt idx="21">
                    <c:v>4 тоқ 2014</c:v>
                  </c:pt>
                  <c:pt idx="22">
                    <c:v>1 тоқ 2015 </c:v>
                  </c:pt>
                  <c:pt idx="23">
                    <c:v>2 тоқ 2015 </c:v>
                  </c:pt>
                  <c:pt idx="24">
                    <c:v>3 тоқ 2015</c:v>
                  </c:pt>
                  <c:pt idx="25">
                    <c:v>4 тоқ 2015</c:v>
                  </c:pt>
                  <c:pt idx="26">
                    <c:v>1 тоқ 2016 </c:v>
                  </c:pt>
                </c:lvl>
                <c:lvl>
                  <c:pt idx="0">
                    <c:v>Ипотекалық кредиттеу</c:v>
                  </c:pt>
                  <c:pt idx="7">
                    <c:v>Жылжымайтын мүлік кепілдігіне берілген тұтынушылық кредиттер</c:v>
                  </c:pt>
                  <c:pt idx="14">
                    <c:v>Кепілсіз берілген кредиттер</c:v>
                  </c:pt>
                  <c:pt idx="21">
                    <c:v>автокредиттер</c:v>
                  </c:pt>
                </c:lvl>
              </c:multiLvlStrCache>
            </c:multiLvlStrRef>
          </c:cat>
          <c:val>
            <c:numRef>
              <c:f>'Ожид-факт_физ (3)'!$B$8:$AB$8</c:f>
              <c:numCache>
                <c:formatCode>0.00%</c:formatCode>
                <c:ptCount val="27"/>
                <c:pt idx="0">
                  <c:v>3.4482758620689655E-2</c:v>
                </c:pt>
                <c:pt idx="1">
                  <c:v>-0.18518518518518517</c:v>
                </c:pt>
                <c:pt idx="2">
                  <c:v>0.115384615384615</c:v>
                </c:pt>
                <c:pt idx="3">
                  <c:v>-3.8461538461538498E-2</c:v>
                </c:pt>
                <c:pt idx="4">
                  <c:v>-0.15384615384615399</c:v>
                </c:pt>
                <c:pt idx="7">
                  <c:v>0.16129032258064516</c:v>
                </c:pt>
                <c:pt idx="8">
                  <c:v>-3.5714285714285726E-2</c:v>
                </c:pt>
                <c:pt idx="9">
                  <c:v>0.17857142857142899</c:v>
                </c:pt>
                <c:pt idx="10">
                  <c:v>3.5714285714285698E-2</c:v>
                </c:pt>
                <c:pt idx="11">
                  <c:v>-3.5714285714285698E-2</c:v>
                </c:pt>
                <c:pt idx="14">
                  <c:v>3.2258064516129031E-2</c:v>
                </c:pt>
                <c:pt idx="15">
                  <c:v>-0.17241379310344829</c:v>
                </c:pt>
                <c:pt idx="16">
                  <c:v>0.18518518518518501</c:v>
                </c:pt>
                <c:pt idx="17">
                  <c:v>-3.7037037037037E-2</c:v>
                </c:pt>
                <c:pt idx="18">
                  <c:v>-0.107142857142857</c:v>
                </c:pt>
                <c:pt idx="21">
                  <c:v>0</c:v>
                </c:pt>
                <c:pt idx="22">
                  <c:v>-0.15384615384615385</c:v>
                </c:pt>
                <c:pt idx="23">
                  <c:v>0.12</c:v>
                </c:pt>
                <c:pt idx="24">
                  <c:v>-0.115384615384615</c:v>
                </c:pt>
                <c:pt idx="25">
                  <c:v>-0.15384615384615399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064640"/>
        <c:axId val="222066176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Сұраныс_ факт</c:v>
                </c:pt>
              </c:strCache>
            </c:strRef>
          </c:tx>
          <c:spPr>
            <a:ln w="31750"/>
          </c:spPr>
          <c:marker>
            <c:spPr>
              <a:ln>
                <a:noFill/>
              </a:ln>
            </c:spPr>
          </c:marker>
          <c:dPt>
            <c:idx val="3"/>
            <c:bubble3D val="0"/>
            <c:spPr>
              <a:ln w="31750">
                <a:prstDash val="solid"/>
              </a:ln>
            </c:spPr>
          </c:dPt>
          <c:dPt>
            <c:idx val="9"/>
            <c:bubble3D val="0"/>
            <c:spPr>
              <a:ln w="31750">
                <a:prstDash val="solid"/>
              </a:ln>
            </c:spPr>
          </c:dPt>
          <c:dPt>
            <c:idx val="15"/>
            <c:bubble3D val="0"/>
            <c:spPr>
              <a:ln w="31750">
                <a:prstDash val="solid"/>
              </a:ln>
            </c:spPr>
          </c:dPt>
          <c:dPt>
            <c:idx val="21"/>
            <c:bubble3D val="0"/>
            <c:spPr>
              <a:ln w="31750">
                <a:prstDash val="solid"/>
              </a:ln>
            </c:spPr>
          </c:dPt>
          <c:cat>
            <c:multiLvlStrRef>
              <c:f>'Ожид-факт_физ (3)'!$B$4:$AB$5</c:f>
              <c:multiLvlStrCache>
                <c:ptCount val="27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4">
                    <c:v>4 тоқ 2014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19">
                    <c:v>1 тоқ 2016 </c:v>
                  </c:pt>
                  <c:pt idx="21">
                    <c:v>4 тоқ 2014</c:v>
                  </c:pt>
                  <c:pt idx="22">
                    <c:v>1 тоқ 2015 </c:v>
                  </c:pt>
                  <c:pt idx="23">
                    <c:v>2 тоқ 2015 </c:v>
                  </c:pt>
                  <c:pt idx="24">
                    <c:v>3 тоқ 2015</c:v>
                  </c:pt>
                  <c:pt idx="25">
                    <c:v>4 тоқ 2015</c:v>
                  </c:pt>
                  <c:pt idx="26">
                    <c:v>1 тоқ 2016 </c:v>
                  </c:pt>
                </c:lvl>
                <c:lvl>
                  <c:pt idx="0">
                    <c:v>Ипотекалық кредиттеу</c:v>
                  </c:pt>
                  <c:pt idx="7">
                    <c:v>Жылжымайтын мүлік кепілдігіне берілген тұтынушылық кредиттер</c:v>
                  </c:pt>
                  <c:pt idx="14">
                    <c:v>Кепілсіз берілген кредиттер</c:v>
                  </c:pt>
                  <c:pt idx="21">
                    <c:v>автокредиттер</c:v>
                  </c:pt>
                </c:lvl>
              </c:multiLvlStrCache>
            </c:multiLvlStrRef>
          </c:cat>
          <c:val>
            <c:numRef>
              <c:f>'Ожид-факт_физ (3)'!$B$6:$AB$6</c:f>
              <c:numCache>
                <c:formatCode>0.00%</c:formatCode>
                <c:ptCount val="27"/>
                <c:pt idx="0">
                  <c:v>0.20689655172413796</c:v>
                </c:pt>
                <c:pt idx="1">
                  <c:v>-0.34615384615384615</c:v>
                </c:pt>
                <c:pt idx="2">
                  <c:v>-3.8461538461538498E-2</c:v>
                </c:pt>
                <c:pt idx="3">
                  <c:v>3.8461538461538498E-2</c:v>
                </c:pt>
                <c:pt idx="4">
                  <c:v>-0.269230769230769</c:v>
                </c:pt>
                <c:pt idx="7">
                  <c:v>0.16129032258064518</c:v>
                </c:pt>
                <c:pt idx="8">
                  <c:v>-0.25000000000000006</c:v>
                </c:pt>
                <c:pt idx="9">
                  <c:v>0</c:v>
                </c:pt>
                <c:pt idx="10">
                  <c:v>7.1428571428571494E-2</c:v>
                </c:pt>
                <c:pt idx="11">
                  <c:v>-0.17857142857142899</c:v>
                </c:pt>
                <c:pt idx="14">
                  <c:v>0.12903225806451615</c:v>
                </c:pt>
                <c:pt idx="15">
                  <c:v>-0.24137931034482757</c:v>
                </c:pt>
                <c:pt idx="16">
                  <c:v>3.7037037037037E-2</c:v>
                </c:pt>
                <c:pt idx="17">
                  <c:v>0.148148148148148</c:v>
                </c:pt>
                <c:pt idx="18">
                  <c:v>-0.148148148148148</c:v>
                </c:pt>
                <c:pt idx="21">
                  <c:v>7.1428571428571425E-2</c:v>
                </c:pt>
                <c:pt idx="22">
                  <c:v>-0.23076923076923078</c:v>
                </c:pt>
                <c:pt idx="23">
                  <c:v>0.12</c:v>
                </c:pt>
                <c:pt idx="24">
                  <c:v>0</c:v>
                </c:pt>
                <c:pt idx="25">
                  <c:v>-0.38461538461538503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Сұраныс _ күту</c:v>
                </c:pt>
              </c:strCache>
            </c:strRef>
          </c:tx>
          <c:spPr>
            <a:ln w="31750">
              <a:solidFill>
                <a:srgbClr val="AA4B38"/>
              </a:solidFill>
            </a:ln>
          </c:spPr>
          <c:marker>
            <c:symbol val="diamond"/>
            <c:size val="7"/>
            <c:spPr>
              <a:solidFill>
                <a:srgbClr val="AF2121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AA4B38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AA4B38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AA4B38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AA4B38"/>
                </a:solidFill>
                <a:prstDash val="sysDash"/>
              </a:ln>
            </c:spPr>
          </c:dPt>
          <c:cat>
            <c:multiLvlStrRef>
              <c:f>'Ожид-факт_физ (3)'!$B$4:$AB$5</c:f>
              <c:multiLvlStrCache>
                <c:ptCount val="27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4">
                    <c:v>4 тоқ 2014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19">
                    <c:v>1 тоқ 2016 </c:v>
                  </c:pt>
                  <c:pt idx="21">
                    <c:v>4 тоқ 2014</c:v>
                  </c:pt>
                  <c:pt idx="22">
                    <c:v>1 тоқ 2015 </c:v>
                  </c:pt>
                  <c:pt idx="23">
                    <c:v>2 тоқ 2015 </c:v>
                  </c:pt>
                  <c:pt idx="24">
                    <c:v>3 тоқ 2015</c:v>
                  </c:pt>
                  <c:pt idx="25">
                    <c:v>4 тоқ 2015</c:v>
                  </c:pt>
                  <c:pt idx="26">
                    <c:v>1 тоқ 2016 </c:v>
                  </c:pt>
                </c:lvl>
                <c:lvl>
                  <c:pt idx="0">
                    <c:v>Ипотекалық кредиттеу</c:v>
                  </c:pt>
                  <c:pt idx="7">
                    <c:v>Жылжымайтын мүлік кепілдігіне берілген тұтынушылық кредиттер</c:v>
                  </c:pt>
                  <c:pt idx="14">
                    <c:v>Кепілсіз берілген кредиттер</c:v>
                  </c:pt>
                  <c:pt idx="21">
                    <c:v>автокредиттер</c:v>
                  </c:pt>
                </c:lvl>
              </c:multiLvlStrCache>
            </c:multiLvlStrRef>
          </c:cat>
          <c:val>
            <c:numRef>
              <c:f>'Ожид-факт_физ (3)'!$B$7:$AB$7</c:f>
              <c:numCache>
                <c:formatCode>0.00%</c:formatCode>
                <c:ptCount val="27"/>
                <c:pt idx="0">
                  <c:v>-6.8965517241379309E-2</c:v>
                </c:pt>
                <c:pt idx="1">
                  <c:v>3.4482758620689655E-2</c:v>
                </c:pt>
                <c:pt idx="2">
                  <c:v>-0.26923076923076927</c:v>
                </c:pt>
                <c:pt idx="3">
                  <c:v>0.230769230769231</c:v>
                </c:pt>
                <c:pt idx="4">
                  <c:v>-0.19230769230769201</c:v>
                </c:pt>
                <c:pt idx="5">
                  <c:v>-0.15384615384615399</c:v>
                </c:pt>
                <c:pt idx="7">
                  <c:v>-3.2258064516129031E-2</c:v>
                </c:pt>
                <c:pt idx="8">
                  <c:v>0</c:v>
                </c:pt>
                <c:pt idx="9">
                  <c:v>-0.21428571428571425</c:v>
                </c:pt>
                <c:pt idx="10">
                  <c:v>0.17857142857142899</c:v>
                </c:pt>
                <c:pt idx="11">
                  <c:v>-0.14285714285714299</c:v>
                </c:pt>
                <c:pt idx="12">
                  <c:v>-0.14285714285714299</c:v>
                </c:pt>
                <c:pt idx="14">
                  <c:v>-6.4516129032258063E-2</c:v>
                </c:pt>
                <c:pt idx="15">
                  <c:v>-9.6774193548387094E-2</c:v>
                </c:pt>
                <c:pt idx="16">
                  <c:v>-0.31034482758620696</c:v>
                </c:pt>
                <c:pt idx="17">
                  <c:v>0.25925925925925902</c:v>
                </c:pt>
                <c:pt idx="18">
                  <c:v>3.5714285714285698E-2</c:v>
                </c:pt>
                <c:pt idx="19">
                  <c:v>-3.7037037037037E-2</c:v>
                </c:pt>
                <c:pt idx="21">
                  <c:v>-7.407407407407407E-2</c:v>
                </c:pt>
                <c:pt idx="22">
                  <c:v>-7.1428571428571425E-2</c:v>
                </c:pt>
                <c:pt idx="23">
                  <c:v>-0.23076923076923081</c:v>
                </c:pt>
                <c:pt idx="24">
                  <c:v>0.16</c:v>
                </c:pt>
                <c:pt idx="25">
                  <c:v>-0.15384615384615399</c:v>
                </c:pt>
                <c:pt idx="26">
                  <c:v>-0.115384615384615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064640"/>
        <c:axId val="222066176"/>
      </c:lineChart>
      <c:catAx>
        <c:axId val="22206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22066176"/>
        <c:crosses val="autoZero"/>
        <c:auto val="1"/>
        <c:lblAlgn val="ctr"/>
        <c:lblOffset val="100"/>
        <c:noMultiLvlLbl val="0"/>
      </c:catAx>
      <c:valAx>
        <c:axId val="22206617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220646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377386279952414E-2"/>
          <c:y val="0.10525904850129028"/>
          <c:w val="0.91524131875601877"/>
          <c:h val="0.74690299741944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(3)'!$B$107</c:f>
              <c:strCache>
                <c:ptCount val="1"/>
                <c:pt idx="0">
                  <c:v>4 тоқ 2014</c:v>
                </c:pt>
              </c:strCache>
            </c:strRef>
          </c:tx>
          <c:spPr>
            <a:gradFill>
              <a:gsLst>
                <a:gs pos="61000">
                  <a:srgbClr val="00B05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(3)'!$B$108:$B$113</c:f>
              <c:numCache>
                <c:formatCode>#,##0.00%</c:formatCode>
                <c:ptCount val="6"/>
                <c:pt idx="0">
                  <c:v>0.14285714285714299</c:v>
                </c:pt>
                <c:pt idx="1">
                  <c:v>7.1428571428571397E-2</c:v>
                </c:pt>
                <c:pt idx="2">
                  <c:v>0</c:v>
                </c:pt>
                <c:pt idx="3">
                  <c:v>0</c:v>
                </c:pt>
                <c:pt idx="4">
                  <c:v>0.107142857142857</c:v>
                </c:pt>
                <c:pt idx="5">
                  <c:v>7.1428571428571397E-2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(3)'!$C$107</c:f>
              <c:strCache>
                <c:ptCount val="1"/>
                <c:pt idx="0">
                  <c:v>1 тоқ 2015 </c:v>
                </c:pt>
              </c:strCache>
            </c:strRef>
          </c:tx>
          <c:spPr>
            <a:gradFill>
              <a:gsLst>
                <a:gs pos="61000">
                  <a:srgbClr val="00B0F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(3)'!$C$108:$C$113</c:f>
              <c:numCache>
                <c:formatCode>#,##0.00%</c:formatCode>
                <c:ptCount val="6"/>
                <c:pt idx="0">
                  <c:v>-7.4074074074074098E-2</c:v>
                </c:pt>
                <c:pt idx="1">
                  <c:v>-0.22222222222222199</c:v>
                </c:pt>
                <c:pt idx="2">
                  <c:v>-0.22222222222222199</c:v>
                </c:pt>
                <c:pt idx="3">
                  <c:v>-0.148148148148148</c:v>
                </c:pt>
                <c:pt idx="4">
                  <c:v>-0.33333333333333298</c:v>
                </c:pt>
                <c:pt idx="5">
                  <c:v>-0.148148148148148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(3)'!$D$107</c:f>
              <c:strCache>
                <c:ptCount val="1"/>
                <c:pt idx="0">
                  <c:v>2 тоқ 2015 </c:v>
                </c:pt>
              </c:strCache>
            </c:strRef>
          </c:tx>
          <c:spPr>
            <a:gradFill>
              <a:gsLst>
                <a:gs pos="61000">
                  <a:srgbClr val="7030A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(3)'!$D$108:$D$113</c:f>
              <c:numCache>
                <c:formatCode>#,##0.00%</c:formatCode>
                <c:ptCount val="6"/>
                <c:pt idx="0">
                  <c:v>-0.15384615384615399</c:v>
                </c:pt>
                <c:pt idx="1">
                  <c:v>-0.230769230769231</c:v>
                </c:pt>
                <c:pt idx="2">
                  <c:v>-0.15384615384615399</c:v>
                </c:pt>
                <c:pt idx="3">
                  <c:v>-0.115384615384615</c:v>
                </c:pt>
                <c:pt idx="4">
                  <c:v>-0.115384615384615</c:v>
                </c:pt>
                <c:pt idx="5">
                  <c:v>-3.8461538461538498E-2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(3)'!$E$107</c:f>
              <c:strCache>
                <c:ptCount val="1"/>
                <c:pt idx="0">
                  <c:v>3 тоқ 2015</c:v>
                </c:pt>
              </c:strCache>
            </c:strRef>
          </c:tx>
          <c:spPr>
            <a:gradFill>
              <a:gsLst>
                <a:gs pos="48000">
                  <a:srgbClr val="FFC00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(3)'!$E$108:$E$113</c:f>
              <c:numCache>
                <c:formatCode>#,##0.00%</c:formatCode>
                <c:ptCount val="6"/>
                <c:pt idx="0">
                  <c:v>-0.15384615384615399</c:v>
                </c:pt>
                <c:pt idx="1">
                  <c:v>-0.19230769230769201</c:v>
                </c:pt>
                <c:pt idx="2">
                  <c:v>-0.115384615384615</c:v>
                </c:pt>
                <c:pt idx="3">
                  <c:v>0</c:v>
                </c:pt>
                <c:pt idx="4">
                  <c:v>0.115384615384615</c:v>
                </c:pt>
                <c:pt idx="5">
                  <c:v>7.69230769230769E-2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(3)'!$F$107</c:f>
              <c:strCache>
                <c:ptCount val="1"/>
                <c:pt idx="0">
                  <c:v>4 тоқ 2015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(3)'!$F$108:$F$113</c:f>
              <c:numCache>
                <c:formatCode>#,##0.00%</c:formatCode>
                <c:ptCount val="6"/>
                <c:pt idx="0">
                  <c:v>-0.19230769230769201</c:v>
                </c:pt>
                <c:pt idx="1">
                  <c:v>-0.30769230769230799</c:v>
                </c:pt>
                <c:pt idx="2">
                  <c:v>-0.230769230769231</c:v>
                </c:pt>
                <c:pt idx="3">
                  <c:v>-7.69230769230769E-2</c:v>
                </c:pt>
                <c:pt idx="4">
                  <c:v>-0.230769230769231</c:v>
                </c:pt>
                <c:pt idx="5">
                  <c:v>-3.8461538461538498E-2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176896"/>
        <c:axId val="234178432"/>
      </c:barChart>
      <c:catAx>
        <c:axId val="23417689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crossAx val="234178432"/>
        <c:crosses val="autoZero"/>
        <c:auto val="1"/>
        <c:lblAlgn val="ctr"/>
        <c:lblOffset val="100"/>
        <c:noMultiLvlLbl val="0"/>
      </c:catAx>
      <c:valAx>
        <c:axId val="234178432"/>
        <c:scaling>
          <c:orientation val="minMax"/>
          <c:min val="-0.5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341768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(3)'!$B$126</c:f>
              <c:strCache>
                <c:ptCount val="1"/>
                <c:pt idx="0">
                  <c:v>4 тоқ 2014</c:v>
                </c:pt>
              </c:strCache>
            </c:strRef>
          </c:tx>
          <c:spPr>
            <a:gradFill>
              <a:gsLst>
                <a:gs pos="48000">
                  <a:srgbClr val="00CC0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(3)'!$B$127:$B$131</c:f>
              <c:numCache>
                <c:formatCode>#,##0.00%</c:formatCode>
                <c:ptCount val="5"/>
                <c:pt idx="0">
                  <c:v>0.24242424242424199</c:v>
                </c:pt>
                <c:pt idx="1">
                  <c:v>6.0606060606060601E-2</c:v>
                </c:pt>
                <c:pt idx="2">
                  <c:v>3.125E-2</c:v>
                </c:pt>
                <c:pt idx="3">
                  <c:v>-3.125E-2</c:v>
                </c:pt>
                <c:pt idx="4">
                  <c:v>3.125E-2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(3)'!$C$126</c:f>
              <c:strCache>
                <c:ptCount val="1"/>
                <c:pt idx="0">
                  <c:v>1 тоқ 2015 </c:v>
                </c:pt>
              </c:strCache>
            </c:strRef>
          </c:tx>
          <c:spPr>
            <a:gradFill>
              <a:gsLst>
                <a:gs pos="48000">
                  <a:srgbClr val="00B0F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(3)'!$C$127:$C$131</c:f>
              <c:numCache>
                <c:formatCode>#,##0.00%</c:formatCode>
                <c:ptCount val="5"/>
                <c:pt idx="0">
                  <c:v>-6.4516129032258104E-2</c:v>
                </c:pt>
                <c:pt idx="1">
                  <c:v>-0.19354838709677399</c:v>
                </c:pt>
                <c:pt idx="2">
                  <c:v>-0.1</c:v>
                </c:pt>
                <c:pt idx="3">
                  <c:v>-0.266666666666667</c:v>
                </c:pt>
                <c:pt idx="4">
                  <c:v>-0.133333333333333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(3)'!$D$126</c:f>
              <c:strCache>
                <c:ptCount val="1"/>
                <c:pt idx="0">
                  <c:v>2 тоқ 2015 </c:v>
                </c:pt>
              </c:strCache>
            </c:strRef>
          </c:tx>
          <c:spPr>
            <a:gradFill>
              <a:gsLst>
                <a:gs pos="48000">
                  <a:srgbClr val="00206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(3)'!$D$127:$D$131</c:f>
              <c:numCache>
                <c:formatCode>#,##0.00%</c:formatCode>
                <c:ptCount val="5"/>
                <c:pt idx="0">
                  <c:v>-3.3333333333333298E-2</c:v>
                </c:pt>
                <c:pt idx="1">
                  <c:v>-0.16666666666666699</c:v>
                </c:pt>
                <c:pt idx="2">
                  <c:v>-3.4482758620689703E-2</c:v>
                </c:pt>
                <c:pt idx="3">
                  <c:v>6.8965517241379296E-2</c:v>
                </c:pt>
                <c:pt idx="4">
                  <c:v>6.8965517241379296E-2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(3)'!$E$126</c:f>
              <c:strCache>
                <c:ptCount val="1"/>
                <c:pt idx="0">
                  <c:v>3 тоқ 2015</c:v>
                </c:pt>
              </c:strCache>
            </c:strRef>
          </c:tx>
          <c:spPr>
            <a:gradFill>
              <a:gsLst>
                <a:gs pos="48000">
                  <a:srgbClr val="CFC731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(3)'!$E$127:$E$131</c:f>
              <c:numCache>
                <c:formatCode>#,##0.00%</c:formatCode>
                <c:ptCount val="5"/>
                <c:pt idx="0">
                  <c:v>3.3333333333333298E-2</c:v>
                </c:pt>
                <c:pt idx="1">
                  <c:v>-0.2</c:v>
                </c:pt>
                <c:pt idx="2">
                  <c:v>0</c:v>
                </c:pt>
                <c:pt idx="3">
                  <c:v>0</c:v>
                </c:pt>
                <c:pt idx="4">
                  <c:v>3.4482758620689703E-2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(3)'!$F$126</c:f>
              <c:strCache>
                <c:ptCount val="1"/>
                <c:pt idx="0">
                  <c:v>4 тоқ 2015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(3)'!$F$127:$F$131</c:f>
              <c:numCache>
                <c:formatCode>#,##0.00%</c:formatCode>
                <c:ptCount val="5"/>
                <c:pt idx="0">
                  <c:v>-0.133333333333333</c:v>
                </c:pt>
                <c:pt idx="1">
                  <c:v>-0.33333333333333298</c:v>
                </c:pt>
                <c:pt idx="2">
                  <c:v>-6.8965517241379296E-2</c:v>
                </c:pt>
                <c:pt idx="3">
                  <c:v>-0.20689655172413801</c:v>
                </c:pt>
                <c:pt idx="4">
                  <c:v>-0.10344827586206901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167936"/>
        <c:axId val="236169472"/>
      </c:barChart>
      <c:catAx>
        <c:axId val="23616793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crossAx val="236169472"/>
        <c:crosses val="autoZero"/>
        <c:auto val="1"/>
        <c:lblAlgn val="ctr"/>
        <c:lblOffset val="100"/>
        <c:noMultiLvlLbl val="0"/>
      </c:catAx>
      <c:valAx>
        <c:axId val="236169472"/>
        <c:scaling>
          <c:orientation val="minMax"/>
          <c:min val="-0.5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36167936"/>
        <c:crosses val="autoZero"/>
        <c:crossBetween val="between"/>
        <c:majorUnit val="0.1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891477150374043E-2"/>
          <c:y val="5.0458715596330278E-2"/>
          <c:w val="0.90094918872358554"/>
          <c:h val="0.50238604348768334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(3)'!$A$89</c:f>
              <c:strCache>
                <c:ptCount val="1"/>
                <c:pt idx="0">
                  <c:v>Қарыз алушылардың
қаржылық жағдайы </c:v>
                </c:pt>
              </c:strCache>
            </c:strRef>
          </c:tx>
          <c:spPr>
            <a:ln w="31750">
              <a:solidFill>
                <a:srgbClr val="00CCFF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00CCFF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'Ожид-факт_физ (3)'!$B$89:$G$89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8.8235294117647051E-2</c:v>
                </c:pt>
                <c:pt idx="2">
                  <c:v>3.125E-2</c:v>
                </c:pt>
                <c:pt idx="3">
                  <c:v>0.16129032258064499</c:v>
                </c:pt>
                <c:pt idx="4">
                  <c:v>0.38709677419354799</c:v>
                </c:pt>
                <c:pt idx="5">
                  <c:v>0.35483870967741898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(3)'!$A$90</c:f>
              <c:strCache>
                <c:ptCount val="1"/>
                <c:pt idx="0">
                  <c:v>Өтеуді кешіктіру мерзімдері</c:v>
                </c:pt>
              </c:strCache>
            </c:strRef>
          </c:tx>
          <c:spPr>
            <a:ln w="31750">
              <a:solidFill>
                <a:srgbClr val="CA366E"/>
              </a:solidFill>
            </a:ln>
          </c:spPr>
          <c:marker>
            <c:symbol val="square"/>
            <c:size val="5"/>
            <c:spPr>
              <a:solidFill>
                <a:srgbClr val="CA366E"/>
              </a:solidFill>
            </c:spPr>
          </c:marker>
          <c:dPt>
            <c:idx val="4"/>
            <c:bubble3D val="0"/>
            <c:spPr>
              <a:ln w="31750">
                <a:solidFill>
                  <a:srgbClr val="CA366E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CA366E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'Ожид-факт_физ (3)'!$B$90:$G$90</c:f>
              <c:numCache>
                <c:formatCode>0.00%</c:formatCode>
                <c:ptCount val="6"/>
                <c:pt idx="0">
                  <c:v>5.8823529411764712E-2</c:v>
                </c:pt>
                <c:pt idx="1">
                  <c:v>0.17647058823529413</c:v>
                </c:pt>
                <c:pt idx="2">
                  <c:v>0.15625</c:v>
                </c:pt>
                <c:pt idx="3">
                  <c:v>0.25806451612903197</c:v>
                </c:pt>
                <c:pt idx="4">
                  <c:v>0.483870967741936</c:v>
                </c:pt>
                <c:pt idx="5">
                  <c:v>0.38709677419354799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'Ожид-факт_физ (3)'!$A$91</c:f>
              <c:strCache>
                <c:ptCount val="1"/>
                <c:pt idx="0">
                  <c:v>Қамтамасыз ету сапасы </c:v>
                </c:pt>
              </c:strCache>
            </c:strRef>
          </c:tx>
          <c:spPr>
            <a:ln w="31750">
              <a:solidFill>
                <a:srgbClr val="64AA99"/>
              </a:solidFill>
            </a:ln>
          </c:spPr>
          <c:marker>
            <c:spPr>
              <a:solidFill>
                <a:srgbClr val="64AA99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64AA99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64AA99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'Ожид-факт_физ (3)'!$B$91:$G$91</c:f>
              <c:numCache>
                <c:formatCode>0.00%</c:formatCode>
                <c:ptCount val="6"/>
                <c:pt idx="0">
                  <c:v>0</c:v>
                </c:pt>
                <c:pt idx="1">
                  <c:v>6.0606060606060608E-2</c:v>
                </c:pt>
                <c:pt idx="2">
                  <c:v>0</c:v>
                </c:pt>
                <c:pt idx="3">
                  <c:v>7.1428571428571397E-2</c:v>
                </c:pt>
                <c:pt idx="4">
                  <c:v>0.214285714285714</c:v>
                </c:pt>
                <c:pt idx="5">
                  <c:v>0.214285714285714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'Ожид-факт_физ (3)'!$A$92</c:f>
              <c:strCache>
                <c:ptCount val="1"/>
                <c:pt idx="0">
                  <c:v>Мерзімді ұзарту саны</c:v>
                </c:pt>
              </c:strCache>
            </c:strRef>
          </c:tx>
          <c:spPr>
            <a:ln w="31750">
              <a:solidFill>
                <a:srgbClr val="C4DE70"/>
              </a:solidFill>
            </a:ln>
          </c:spPr>
          <c:marker>
            <c:symbol val="x"/>
            <c:size val="4"/>
            <c:spPr>
              <a:solidFill>
                <a:srgbClr val="C4DE70"/>
              </a:solidFill>
              <a:ln>
                <a:noFill/>
              </a:ln>
            </c:spPr>
          </c:marker>
          <c:dPt>
            <c:idx val="0"/>
            <c:bubble3D val="0"/>
            <c:spPr>
              <a:ln w="31750">
                <a:solidFill>
                  <a:srgbClr val="C4DE70"/>
                </a:solidFill>
                <a:prstDash val="sysDash"/>
              </a:ln>
            </c:spPr>
          </c:dPt>
          <c:dPt>
            <c:idx val="4"/>
            <c:bubble3D val="0"/>
            <c:spPr>
              <a:ln w="31750">
                <a:solidFill>
                  <a:srgbClr val="C4DE70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C4DE70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'Ожид-факт_физ (3)'!$B$92:$G$92</c:f>
              <c:numCache>
                <c:formatCode>0.00%</c:formatCode>
                <c:ptCount val="6"/>
                <c:pt idx="0">
                  <c:v>0</c:v>
                </c:pt>
                <c:pt idx="1">
                  <c:v>0.14705882352941177</c:v>
                </c:pt>
                <c:pt idx="2">
                  <c:v>0.15625</c:v>
                </c:pt>
                <c:pt idx="3">
                  <c:v>0.225806451612903</c:v>
                </c:pt>
                <c:pt idx="4">
                  <c:v>0.45161290322580699</c:v>
                </c:pt>
                <c:pt idx="5">
                  <c:v>0.483870967741936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'Ожид-факт_физ (3)'!$A$93</c:f>
              <c:strCache>
                <c:ptCount val="1"/>
                <c:pt idx="0">
                  <c:v>Қарыз алушылардың рейтингісінің өзгеруі </c:v>
                </c:pt>
              </c:strCache>
            </c:strRef>
          </c:tx>
          <c:spPr>
            <a:ln w="31750">
              <a:solidFill>
                <a:srgbClr val="353DD7"/>
              </a:solidFill>
            </a:ln>
          </c:spPr>
          <c:marker>
            <c:symbol val="star"/>
            <c:size val="4"/>
            <c:spPr>
              <a:solidFill>
                <a:srgbClr val="353DD7"/>
              </a:solidFill>
              <a:ln>
                <a:noFill/>
              </a:ln>
            </c:spPr>
          </c:marker>
          <c:dPt>
            <c:idx val="4"/>
            <c:marker>
              <c:spPr>
                <a:solidFill>
                  <a:srgbClr val="353DD7"/>
                </a:solidFill>
                <a:ln>
                  <a:noFill/>
                  <a:prstDash val="sysDash"/>
                </a:ln>
              </c:spPr>
            </c:marker>
            <c:bubble3D val="0"/>
            <c:spPr>
              <a:ln w="31750">
                <a:solidFill>
                  <a:srgbClr val="353DD7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353DD7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'Ожид-факт_физ (3)'!$B$93:$G$93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8.8235294117647051E-2</c:v>
                </c:pt>
                <c:pt idx="2">
                  <c:v>3.125E-2</c:v>
                </c:pt>
                <c:pt idx="3">
                  <c:v>0.12903225806451599</c:v>
                </c:pt>
                <c:pt idx="4">
                  <c:v>0.32258064516128998</c:v>
                </c:pt>
                <c:pt idx="5">
                  <c:v>0.25806451612903197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402560"/>
        <c:axId val="236404096"/>
      </c:lineChart>
      <c:catAx>
        <c:axId val="23640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6404096"/>
        <c:crosses val="autoZero"/>
        <c:auto val="1"/>
        <c:lblAlgn val="ctr"/>
        <c:lblOffset val="100"/>
        <c:noMultiLvlLbl val="0"/>
      </c:catAx>
      <c:valAx>
        <c:axId val="236404096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ru-RU"/>
          </a:p>
        </c:txPr>
        <c:crossAx val="236402560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1.9261717285339333E-2"/>
          <c:y val="0.65780297940573129"/>
          <c:w val="0.96764979377577798"/>
          <c:h val="0.3421968435820053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5322CE"/>
              </a:solidFill>
              <a:prstDash val="solid"/>
            </a:ln>
          </c:spPr>
          <c:marker>
            <c:symbol val="none"/>
          </c:marker>
          <c:dPt>
            <c:idx val="11"/>
            <c:bubble3D val="0"/>
          </c:dPt>
          <c:dPt>
            <c:idx val="28"/>
            <c:bubble3D val="0"/>
          </c:dPt>
          <c:dPt>
            <c:idx val="41"/>
            <c:bubble3D val="0"/>
          </c:dPt>
          <c:cat>
            <c:multiLvlStrRef>
              <c:f>'Ожид-факт СП'!$C$4:$AC$5</c:f>
              <c:multiLvlStrCache>
                <c:ptCount val="21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8">
                    <c:v>4 тоқ 2014</c:v>
                  </c:pt>
                  <c:pt idx="9">
                    <c:v>1 тоқ 2015 </c:v>
                  </c:pt>
                  <c:pt idx="10">
                    <c:v>2 тоқ 2015 </c:v>
                  </c:pt>
                  <c:pt idx="11">
                    <c:v>3 тоқ 2015</c:v>
                  </c:pt>
                  <c:pt idx="12">
                    <c:v>4 тоқ 2015</c:v>
                  </c:pt>
                  <c:pt idx="13">
                    <c:v>1 тоқ 2016 </c:v>
                  </c:pt>
                  <c:pt idx="15">
                    <c:v>4 тоқ 2014</c:v>
                  </c:pt>
                  <c:pt idx="16">
                    <c:v>1 тоқ 2015 </c:v>
                  </c:pt>
                  <c:pt idx="17">
                    <c:v>2 тоқ 2015 </c:v>
                  </c:pt>
                  <c:pt idx="18">
                    <c:v>3 тоқ 2015</c:v>
                  </c:pt>
                  <c:pt idx="19">
                    <c:v>4 тоқ 2015</c:v>
                  </c:pt>
                  <c:pt idx="20">
                    <c:v>1 тоқ 2016 </c:v>
                  </c:pt>
                </c:lvl>
                <c:lvl>
                  <c:pt idx="0">
                    <c:v>Несие портфелі, барлығы</c:v>
                  </c:pt>
                  <c:pt idx="8">
                    <c:v>Корпоративтік сектор</c:v>
                  </c:pt>
                  <c:pt idx="15">
                    <c:v>Жеке тұлғалар</c:v>
                  </c:pt>
                </c:lvl>
              </c:multiLvlStrCache>
            </c:multiLvlStrRef>
          </c:cat>
          <c:val>
            <c:numRef>
              <c:f>'Ожид-факт СП'!$C$6:$W$6</c:f>
              <c:numCache>
                <c:formatCode>0.00%</c:formatCode>
                <c:ptCount val="21"/>
                <c:pt idx="0">
                  <c:v>0.35135135135135137</c:v>
                </c:pt>
                <c:pt idx="1">
                  <c:v>0</c:v>
                </c:pt>
                <c:pt idx="2">
                  <c:v>-5.7142857142857148E-2</c:v>
                </c:pt>
                <c:pt idx="3">
                  <c:v>5.8823529411764698E-2</c:v>
                </c:pt>
                <c:pt idx="4">
                  <c:v>-0.20588235294117599</c:v>
                </c:pt>
                <c:pt idx="5">
                  <c:v>-0.23529411764705899</c:v>
                </c:pt>
                <c:pt idx="8">
                  <c:v>0.29411764705882354</c:v>
                </c:pt>
                <c:pt idx="9">
                  <c:v>5.8823529411764719E-2</c:v>
                </c:pt>
                <c:pt idx="10">
                  <c:v>-6.25E-2</c:v>
                </c:pt>
                <c:pt idx="11">
                  <c:v>9.375E-2</c:v>
                </c:pt>
                <c:pt idx="12" formatCode="#,##0.00%">
                  <c:v>-0.125</c:v>
                </c:pt>
                <c:pt idx="13" formatCode="#,##0.00%">
                  <c:v>-0.15625</c:v>
                </c:pt>
                <c:pt idx="15">
                  <c:v>0.29411764705882354</c:v>
                </c:pt>
                <c:pt idx="16">
                  <c:v>0</c:v>
                </c:pt>
                <c:pt idx="17">
                  <c:v>-3.125E-2</c:v>
                </c:pt>
                <c:pt idx="18">
                  <c:v>-3.2258064516128997E-2</c:v>
                </c:pt>
                <c:pt idx="19" formatCode="#,##0.00%">
                  <c:v>-0.33333333333333298</c:v>
                </c:pt>
                <c:pt idx="20">
                  <c:v>-0.38709677419354799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432768"/>
        <c:axId val="236450944"/>
      </c:lineChart>
      <c:catAx>
        <c:axId val="236432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6450944"/>
        <c:crosses val="autoZero"/>
        <c:auto val="1"/>
        <c:lblAlgn val="ctr"/>
        <c:lblOffset val="100"/>
        <c:noMultiLvlLbl val="0"/>
      </c:catAx>
      <c:valAx>
        <c:axId val="23645094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64327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(3)'!$B$99</c:f>
              <c:strCache>
                <c:ptCount val="1"/>
                <c:pt idx="0">
                  <c:v>3 тоқ 2014</c:v>
                </c:pt>
              </c:strCache>
            </c:strRef>
          </c:tx>
          <c:spPr>
            <a:solidFill>
              <a:srgbClr val="FF660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(3)'!$B$100:$B$109</c:f>
              <c:numCache>
                <c:formatCode>0.00%</c:formatCode>
                <c:ptCount val="10"/>
                <c:pt idx="0">
                  <c:v>0</c:v>
                </c:pt>
                <c:pt idx="1">
                  <c:v>2.9411764705882401E-2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#,##0.00%">
                  <c:v>2.9411764705882401E-2</c:v>
                </c:pt>
                <c:pt idx="7" formatCode="#,##0.00%">
                  <c:v>0</c:v>
                </c:pt>
                <c:pt idx="8" formatCode="#,##0.00%">
                  <c:v>-5.8823529411764698E-2</c:v>
                </c:pt>
                <c:pt idx="9" formatCode="#,##0.00%">
                  <c:v>2.9411764705882401E-2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(3)'!$C$99</c:f>
              <c:strCache>
                <c:ptCount val="1"/>
                <c:pt idx="0">
                  <c:v>4 тоқ 2014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(3)'!$C$100:$C$109</c:f>
              <c:numCache>
                <c:formatCode>0.00%</c:formatCode>
                <c:ptCount val="10"/>
                <c:pt idx="0">
                  <c:v>-5.7142857142857099E-2</c:v>
                </c:pt>
                <c:pt idx="1">
                  <c:v>-5.7142857142857099E-2</c:v>
                </c:pt>
                <c:pt idx="2">
                  <c:v>-2.8571428571428598E-2</c:v>
                </c:pt>
                <c:pt idx="3">
                  <c:v>-8.5714285714285701E-2</c:v>
                </c:pt>
                <c:pt idx="4">
                  <c:v>-5.7142857142857099E-2</c:v>
                </c:pt>
                <c:pt idx="5">
                  <c:v>-8.5714285714285701E-2</c:v>
                </c:pt>
                <c:pt idx="6" formatCode="#,##0.00%">
                  <c:v>-2.8571428571428598E-2</c:v>
                </c:pt>
                <c:pt idx="7" formatCode="#,##0.00%">
                  <c:v>-0.114285714285714</c:v>
                </c:pt>
                <c:pt idx="8" formatCode="#,##0.00%">
                  <c:v>-8.5714285714285701E-2</c:v>
                </c:pt>
                <c:pt idx="9" formatCode="#,##0.00%">
                  <c:v>-5.7142857142857099E-2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(3)'!$D$99</c:f>
              <c:strCache>
                <c:ptCount val="1"/>
                <c:pt idx="0">
                  <c:v>1 тоқ 2015 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(3)'!$D$100:$D$109</c:f>
              <c:numCache>
                <c:formatCode>0.00%</c:formatCode>
                <c:ptCount val="10"/>
                <c:pt idx="0">
                  <c:v>-0.12121212121212099</c:v>
                </c:pt>
                <c:pt idx="1">
                  <c:v>-0.30303030303030298</c:v>
                </c:pt>
                <c:pt idx="2">
                  <c:v>-6.0606060606060601E-2</c:v>
                </c:pt>
                <c:pt idx="3">
                  <c:v>-0.27272727272727298</c:v>
                </c:pt>
                <c:pt idx="4">
                  <c:v>-0.27272727272727298</c:v>
                </c:pt>
                <c:pt idx="5">
                  <c:v>-0.30303030303030298</c:v>
                </c:pt>
                <c:pt idx="6" formatCode="#,##0.00%">
                  <c:v>0</c:v>
                </c:pt>
                <c:pt idx="7" formatCode="#,##0.00%">
                  <c:v>-0.30303030303030298</c:v>
                </c:pt>
                <c:pt idx="8" formatCode="#,##0.00%">
                  <c:v>-0.24242424242424199</c:v>
                </c:pt>
                <c:pt idx="9" formatCode="#,##0.00%">
                  <c:v>-0.24242424242424199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(3)'!$E$99</c:f>
              <c:strCache>
                <c:ptCount val="1"/>
                <c:pt idx="0">
                  <c:v>2 тоқ 2015 </c:v>
                </c:pt>
              </c:strCache>
            </c:strRef>
          </c:tx>
          <c:spPr>
            <a:solidFill>
              <a:srgbClr val="9900FF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(3)'!$E$100:$E$109</c:f>
              <c:numCache>
                <c:formatCode>0.00%</c:formatCode>
                <c:ptCount val="10"/>
                <c:pt idx="0">
                  <c:v>-0.125</c:v>
                </c:pt>
                <c:pt idx="1">
                  <c:v>-0.21875</c:v>
                </c:pt>
                <c:pt idx="2">
                  <c:v>-6.25E-2</c:v>
                </c:pt>
                <c:pt idx="3">
                  <c:v>-0.1875</c:v>
                </c:pt>
                <c:pt idx="4">
                  <c:v>-0.1875</c:v>
                </c:pt>
                <c:pt idx="5">
                  <c:v>-6.25E-2</c:v>
                </c:pt>
                <c:pt idx="6" formatCode="#,##0.00%">
                  <c:v>0</c:v>
                </c:pt>
                <c:pt idx="7" formatCode="#,##0.00%">
                  <c:v>-0.15625</c:v>
                </c:pt>
                <c:pt idx="8" formatCode="#,##0.00%">
                  <c:v>-0.125</c:v>
                </c:pt>
                <c:pt idx="9" formatCode="#,##0.00%">
                  <c:v>-0.15625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(3)'!$F$99</c:f>
              <c:strCache>
                <c:ptCount val="1"/>
                <c:pt idx="0">
                  <c:v>3 тоқ 2015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(3)'!$F$100:$F$109</c:f>
              <c:numCache>
                <c:formatCode>0.00%</c:formatCode>
                <c:ptCount val="10"/>
                <c:pt idx="0">
                  <c:v>-9.375E-2</c:v>
                </c:pt>
                <c:pt idx="1">
                  <c:v>-0.21875</c:v>
                </c:pt>
                <c:pt idx="2">
                  <c:v>0</c:v>
                </c:pt>
                <c:pt idx="3">
                  <c:v>-0.125</c:v>
                </c:pt>
                <c:pt idx="4">
                  <c:v>-0.125</c:v>
                </c:pt>
                <c:pt idx="5">
                  <c:v>-0.125</c:v>
                </c:pt>
                <c:pt idx="6" formatCode="#,##0.00%">
                  <c:v>3.125E-2</c:v>
                </c:pt>
                <c:pt idx="7" formatCode="#,##0.00%">
                  <c:v>-0.21875</c:v>
                </c:pt>
                <c:pt idx="8" formatCode="#,##0.00%">
                  <c:v>-0.21875</c:v>
                </c:pt>
                <c:pt idx="9" formatCode="#,##0.00%">
                  <c:v>-0.15625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(3)'!$G$99</c:f>
              <c:strCache>
                <c:ptCount val="1"/>
                <c:pt idx="0">
                  <c:v>4 тоқ 2015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(3)'!$G$100:$G$109</c:f>
              <c:numCache>
                <c:formatCode>0.00%</c:formatCode>
                <c:ptCount val="10"/>
                <c:pt idx="0">
                  <c:v>-0.15625</c:v>
                </c:pt>
                <c:pt idx="1">
                  <c:v>-0.25</c:v>
                </c:pt>
                <c:pt idx="2">
                  <c:v>-9.375E-2</c:v>
                </c:pt>
                <c:pt idx="3">
                  <c:v>-0.15625</c:v>
                </c:pt>
                <c:pt idx="4">
                  <c:v>-0.1875</c:v>
                </c:pt>
                <c:pt idx="5">
                  <c:v>-0.21875</c:v>
                </c:pt>
                <c:pt idx="6" formatCode="#,##0.00%">
                  <c:v>-6.25E-2</c:v>
                </c:pt>
                <c:pt idx="7" formatCode="#,##0.00%">
                  <c:v>-0.375</c:v>
                </c:pt>
                <c:pt idx="8" formatCode="#,##0.00%">
                  <c:v>-0.25</c:v>
                </c:pt>
                <c:pt idx="9" formatCode="#,##0.00%">
                  <c:v>-0.3125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457024"/>
        <c:axId val="131458560"/>
      </c:barChart>
      <c:catAx>
        <c:axId val="1314570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31458560"/>
        <c:crosses val="autoZero"/>
        <c:auto val="1"/>
        <c:lblAlgn val="ctr"/>
        <c:lblOffset val="100"/>
        <c:noMultiLvlLbl val="0"/>
      </c:catAx>
      <c:valAx>
        <c:axId val="131458560"/>
        <c:scaling>
          <c:orientation val="minMax"/>
          <c:min val="-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314570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'Ожид-факт КР'!$B$3:$Y$4</c:f>
              <c:multiLvlStrCache>
                <c:ptCount val="24"/>
                <c:lvl>
                  <c:pt idx="0">
                    <c:v>1 тоқ 2015 </c:v>
                  </c:pt>
                  <c:pt idx="1">
                    <c:v>2 тоқ 2015 </c:v>
                  </c:pt>
                  <c:pt idx="2">
                    <c:v>3 тоқ 2015</c:v>
                  </c:pt>
                  <c:pt idx="3">
                    <c:v>4 тоқ 2015</c:v>
                  </c:pt>
                  <c:pt idx="5">
                    <c:v>1 тоқ 2015 </c:v>
                  </c:pt>
                  <c:pt idx="6">
                    <c:v>2 тоқ 2015 </c:v>
                  </c:pt>
                  <c:pt idx="7">
                    <c:v>3 тоқ 2015</c:v>
                  </c:pt>
                  <c:pt idx="8">
                    <c:v>4 тоқ 2015</c:v>
                  </c:pt>
                  <c:pt idx="10">
                    <c:v>1 тоқ 2015 </c:v>
                  </c:pt>
                  <c:pt idx="11">
                    <c:v>2 тоқ 2015 </c:v>
                  </c:pt>
                  <c:pt idx="12">
                    <c:v>3 тоқ 2015</c:v>
                  </c:pt>
                  <c:pt idx="13">
                    <c:v>4 тоқ 2015</c:v>
                  </c:pt>
                  <c:pt idx="15">
                    <c:v>1 тоқ 2015 </c:v>
                  </c:pt>
                  <c:pt idx="16">
                    <c:v>2 тоқ 2015 </c:v>
                  </c:pt>
                  <c:pt idx="17">
                    <c:v>3 тоқ 2015</c:v>
                  </c:pt>
                  <c:pt idx="18">
                    <c:v>4 тоқ 2015</c:v>
                  </c:pt>
                  <c:pt idx="20">
                    <c:v>1 тоқ 2015 </c:v>
                  </c:pt>
                  <c:pt idx="21">
                    <c:v>2 тоқ 2015 </c:v>
                  </c:pt>
                  <c:pt idx="22">
                    <c:v>3 тоқ 2015</c:v>
                  </c:pt>
                  <c:pt idx="23">
                    <c:v>4 тоқ 2015</c:v>
                  </c:pt>
                </c:lvl>
                <c:lvl>
                  <c:pt idx="0">
                    <c:v>Кредиттік тәуекел</c:v>
                  </c:pt>
                  <c:pt idx="5">
                    <c:v>Пайыз тәуекелі </c:v>
                  </c:pt>
                  <c:pt idx="10">
                    <c:v>Валюта тәуекелі </c:v>
                  </c:pt>
                  <c:pt idx="15">
                    <c:v>Өтімділік тәуекелі </c:v>
                  </c:pt>
                  <c:pt idx="20">
                    <c:v>Операция тәуекелі </c:v>
                  </c:pt>
                </c:lvl>
              </c:multiLvlStrCache>
            </c:multiLvlStrRef>
          </c:cat>
          <c:val>
            <c:numRef>
              <c:f>'Ожид-факт КР'!$B$5:$Y$5</c:f>
              <c:numCache>
                <c:formatCode>0.00%</c:formatCode>
                <c:ptCount val="24"/>
                <c:pt idx="0">
                  <c:v>0.34285714285714286</c:v>
                </c:pt>
                <c:pt idx="1">
                  <c:v>0.35294117647058798</c:v>
                </c:pt>
                <c:pt idx="2">
                  <c:v>0.41176470588235298</c:v>
                </c:pt>
                <c:pt idx="3">
                  <c:v>0.4118</c:v>
                </c:pt>
                <c:pt idx="5">
                  <c:v>0.19999999999999998</c:v>
                </c:pt>
                <c:pt idx="6">
                  <c:v>0.14705882352941199</c:v>
                </c:pt>
                <c:pt idx="7">
                  <c:v>0.26470588235294101</c:v>
                </c:pt>
                <c:pt idx="8">
                  <c:v>0.44119999999999998</c:v>
                </c:pt>
                <c:pt idx="10">
                  <c:v>0.31428571428571428</c:v>
                </c:pt>
                <c:pt idx="11">
                  <c:v>0.32352941176470601</c:v>
                </c:pt>
                <c:pt idx="12">
                  <c:v>0.64705882352941202</c:v>
                </c:pt>
                <c:pt idx="13">
                  <c:v>0.74470000000000003</c:v>
                </c:pt>
                <c:pt idx="15">
                  <c:v>0.4285714285714286</c:v>
                </c:pt>
                <c:pt idx="16">
                  <c:v>0.32352941176470601</c:v>
                </c:pt>
                <c:pt idx="17">
                  <c:v>0.441176470588235</c:v>
                </c:pt>
                <c:pt idx="18">
                  <c:v>0.58819999999999995</c:v>
                </c:pt>
                <c:pt idx="20">
                  <c:v>0.14285714285714285</c:v>
                </c:pt>
                <c:pt idx="21">
                  <c:v>5.8823529411764698E-2</c:v>
                </c:pt>
                <c:pt idx="22">
                  <c:v>0.11764705882352899</c:v>
                </c:pt>
                <c:pt idx="23">
                  <c:v>0.1176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738688"/>
        <c:axId val="240740224"/>
      </c:barChart>
      <c:catAx>
        <c:axId val="240738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0740224"/>
        <c:crosses val="autoZero"/>
        <c:auto val="1"/>
        <c:lblAlgn val="ctr"/>
        <c:lblOffset val="100"/>
        <c:noMultiLvlLbl val="0"/>
      </c:catAx>
      <c:valAx>
        <c:axId val="240740224"/>
        <c:scaling>
          <c:orientation val="minMax"/>
          <c:max val="1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0738688"/>
        <c:crosses val="autoZero"/>
        <c:crossBetween val="between"/>
        <c:majorUnit val="0.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(3)'!$B$149</c:f>
              <c:strCache>
                <c:ptCount val="1"/>
                <c:pt idx="0">
                  <c:v>4 тоқ 2014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CFC731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(3)'!$B$150:$B$158</c:f>
              <c:numCache>
                <c:formatCode>0.00%</c:formatCode>
                <c:ptCount val="9"/>
                <c:pt idx="0">
                  <c:v>0</c:v>
                </c:pt>
                <c:pt idx="1">
                  <c:v>-0.14705882352941177</c:v>
                </c:pt>
                <c:pt idx="2">
                  <c:v>5.8823529411764705E-2</c:v>
                </c:pt>
                <c:pt idx="3">
                  <c:v>8.8235294117647065E-2</c:v>
                </c:pt>
                <c:pt idx="4">
                  <c:v>-2.9411764705882353E-2</c:v>
                </c:pt>
                <c:pt idx="5">
                  <c:v>-2.9411764705882353E-2</c:v>
                </c:pt>
                <c:pt idx="6">
                  <c:v>0</c:v>
                </c:pt>
                <c:pt idx="7">
                  <c:v>5.8823529411764705E-2</c:v>
                </c:pt>
                <c:pt idx="8">
                  <c:v>2.9411764705882353E-2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(3)'!$C$149</c:f>
              <c:strCache>
                <c:ptCount val="1"/>
                <c:pt idx="0">
                  <c:v>1 тоқ 2015 </c:v>
                </c:pt>
              </c:strCache>
            </c:strRef>
          </c:tx>
          <c:spPr>
            <a:pattFill prst="pct75">
              <a:fgClr>
                <a:srgbClr val="0066FF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(3)'!$C$150:$C$158</c:f>
              <c:numCache>
                <c:formatCode>0.00%</c:formatCode>
                <c:ptCount val="9"/>
                <c:pt idx="0">
                  <c:v>-5.7142857142857148E-2</c:v>
                </c:pt>
                <c:pt idx="1">
                  <c:v>-8.5714285714285701E-2</c:v>
                </c:pt>
                <c:pt idx="2">
                  <c:v>-8.5714285714285715E-2</c:v>
                </c:pt>
                <c:pt idx="3">
                  <c:v>-8.5714285714285715E-2</c:v>
                </c:pt>
                <c:pt idx="4">
                  <c:v>-0.11428571428571428</c:v>
                </c:pt>
                <c:pt idx="5">
                  <c:v>-0.17142857142857143</c:v>
                </c:pt>
                <c:pt idx="6">
                  <c:v>-0.11428571428571428</c:v>
                </c:pt>
                <c:pt idx="7">
                  <c:v>-8.5714285714285715E-2</c:v>
                </c:pt>
                <c:pt idx="8">
                  <c:v>-5.7142857142857141E-2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(3)'!$D$149</c:f>
              <c:strCache>
                <c:ptCount val="1"/>
                <c:pt idx="0">
                  <c:v>2 тоқ 2015 </c:v>
                </c:pt>
              </c:strCache>
            </c:strRef>
          </c:tx>
          <c:spPr>
            <a:pattFill prst="pct5">
              <a:fgClr>
                <a:schemeClr val="bg1"/>
              </a:fgClr>
              <a:bgClr>
                <a:srgbClr val="7030A0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(3)'!$D$150:$D$158</c:f>
              <c:numCache>
                <c:formatCode>0.00%</c:formatCode>
                <c:ptCount val="9"/>
                <c:pt idx="0">
                  <c:v>-9.0909090909090912E-2</c:v>
                </c:pt>
                <c:pt idx="1">
                  <c:v>-0.12121212121212122</c:v>
                </c:pt>
                <c:pt idx="2">
                  <c:v>-9.0909090909090912E-2</c:v>
                </c:pt>
                <c:pt idx="3">
                  <c:v>-9.0909090909090912E-2</c:v>
                </c:pt>
                <c:pt idx="4">
                  <c:v>-0.12121212121212122</c:v>
                </c:pt>
                <c:pt idx="5">
                  <c:v>-0.15151515151515152</c:v>
                </c:pt>
                <c:pt idx="6">
                  <c:v>-0.12121212121212122</c:v>
                </c:pt>
                <c:pt idx="7">
                  <c:v>-6.0606060606060608E-2</c:v>
                </c:pt>
                <c:pt idx="8">
                  <c:v>-3.0303030303030304E-2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(3)'!$E$149</c:f>
              <c:strCache>
                <c:ptCount val="1"/>
                <c:pt idx="0">
                  <c:v>3 тоқ 2015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F08ED6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(3)'!$E$150:$E$158</c:f>
              <c:numCache>
                <c:formatCode>0.00%</c:formatCode>
                <c:ptCount val="9"/>
                <c:pt idx="0">
                  <c:v>0</c:v>
                </c:pt>
                <c:pt idx="1">
                  <c:v>3.125E-2</c:v>
                </c:pt>
                <c:pt idx="2">
                  <c:v>-6.25E-2</c:v>
                </c:pt>
                <c:pt idx="3">
                  <c:v>-6.25E-2</c:v>
                </c:pt>
                <c:pt idx="4">
                  <c:v>-6.25E-2</c:v>
                </c:pt>
                <c:pt idx="5">
                  <c:v>-3.125E-2</c:v>
                </c:pt>
                <c:pt idx="6">
                  <c:v>-3.125E-2</c:v>
                </c:pt>
                <c:pt idx="7">
                  <c:v>-3.125E-2</c:v>
                </c:pt>
                <c:pt idx="8">
                  <c:v>-3.125E-2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(3)'!$F$149</c:f>
              <c:strCache>
                <c:ptCount val="1"/>
                <c:pt idx="0">
                  <c:v>4 тоқ 2015</c:v>
                </c:pt>
              </c:strCache>
            </c:strRef>
          </c:tx>
          <c:spPr>
            <a:pattFill prst="pct5">
              <a:fgClr>
                <a:schemeClr val="bg1"/>
              </a:fgClr>
              <a:bgClr>
                <a:srgbClr val="C44E94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(3)'!$F$150:$F$158</c:f>
              <c:numCache>
                <c:formatCode>0.00%</c:formatCode>
                <c:ptCount val="9"/>
                <c:pt idx="0">
                  <c:v>-6.25E-2</c:v>
                </c:pt>
                <c:pt idx="1">
                  <c:v>-0.125</c:v>
                </c:pt>
                <c:pt idx="2">
                  <c:v>-9.375E-2</c:v>
                </c:pt>
                <c:pt idx="3">
                  <c:v>-3.125E-2</c:v>
                </c:pt>
                <c:pt idx="4">
                  <c:v>-0.125</c:v>
                </c:pt>
                <c:pt idx="5">
                  <c:v>-0.1875</c:v>
                </c:pt>
                <c:pt idx="6">
                  <c:v>-9.375E-2</c:v>
                </c:pt>
                <c:pt idx="7">
                  <c:v>-9.375E-2</c:v>
                </c:pt>
                <c:pt idx="8">
                  <c:v>-6.25E-2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(3)'!$G$149</c:f>
              <c:strCache>
                <c:ptCount val="1"/>
                <c:pt idx="0">
                  <c:v>1 тоқ 2016 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00CC66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(3)'!$G$150:$G$158</c:f>
              <c:numCache>
                <c:formatCode>0.00%</c:formatCode>
                <c:ptCount val="9"/>
                <c:pt idx="0">
                  <c:v>-0.25</c:v>
                </c:pt>
                <c:pt idx="1">
                  <c:v>-0.25</c:v>
                </c:pt>
                <c:pt idx="2">
                  <c:v>-9.375E-2</c:v>
                </c:pt>
                <c:pt idx="3">
                  <c:v>-3.125E-2</c:v>
                </c:pt>
                <c:pt idx="4">
                  <c:v>-0.125</c:v>
                </c:pt>
                <c:pt idx="5">
                  <c:v>-0.15625</c:v>
                </c:pt>
                <c:pt idx="6">
                  <c:v>-0.125</c:v>
                </c:pt>
                <c:pt idx="7">
                  <c:v>-0.1875</c:v>
                </c:pt>
                <c:pt idx="8">
                  <c:v>-0.125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555328"/>
        <c:axId val="133556864"/>
      </c:barChart>
      <c:catAx>
        <c:axId val="133555328"/>
        <c:scaling>
          <c:orientation val="minMax"/>
        </c:scaling>
        <c:delete val="0"/>
        <c:axPos val="b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33556864"/>
        <c:crosses val="autoZero"/>
        <c:auto val="1"/>
        <c:lblAlgn val="ctr"/>
        <c:lblOffset val="100"/>
        <c:noMultiLvlLbl val="0"/>
      </c:catAx>
      <c:valAx>
        <c:axId val="1335568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335553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(3)'!$B$124</c:f>
              <c:strCache>
                <c:ptCount val="1"/>
                <c:pt idx="0">
                  <c:v>3 тоқ 2014</c:v>
                </c:pt>
              </c:strCache>
            </c:strRef>
          </c:tx>
          <c:spPr>
            <a:gradFill>
              <a:gsLst>
                <a:gs pos="100000">
                  <a:schemeClr val="accent1">
                    <a:tint val="66000"/>
                    <a:satMod val="160000"/>
                  </a:schemeClr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(3)'!$B$125:$B$133</c:f>
              <c:numCache>
                <c:formatCode>#,##0.00%</c:formatCode>
                <c:ptCount val="9"/>
                <c:pt idx="0">
                  <c:v>-9.375E-2</c:v>
                </c:pt>
                <c:pt idx="1">
                  <c:v>0</c:v>
                </c:pt>
                <c:pt idx="2">
                  <c:v>0</c:v>
                </c:pt>
                <c:pt idx="3">
                  <c:v>-5.8823529411764698E-2</c:v>
                </c:pt>
                <c:pt idx="4">
                  <c:v>-6.25E-2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-6.0606060606060601E-2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(3)'!$C$124</c:f>
              <c:strCache>
                <c:ptCount val="1"/>
                <c:pt idx="0">
                  <c:v>4 тоқ 2014</c:v>
                </c:pt>
              </c:strCache>
            </c:strRef>
          </c:tx>
          <c:spPr>
            <a:gradFill>
              <a:gsLst>
                <a:gs pos="100000">
                  <a:srgbClr val="8F5CF7"/>
                </a:gs>
                <a:gs pos="3000">
                  <a:srgbClr val="6600FF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(3)'!$C$125:$C$133</c:f>
              <c:numCache>
                <c:formatCode>#,##0.00%</c:formatCode>
                <c:ptCount val="9"/>
                <c:pt idx="0">
                  <c:v>-0.11764705882352899</c:v>
                </c:pt>
                <c:pt idx="1">
                  <c:v>-0.11764705882352899</c:v>
                </c:pt>
                <c:pt idx="2">
                  <c:v>-5.7142857142857099E-2</c:v>
                </c:pt>
                <c:pt idx="3">
                  <c:v>-2.8571428571428598E-2</c:v>
                </c:pt>
                <c:pt idx="4">
                  <c:v>-0.12121212121212099</c:v>
                </c:pt>
                <c:pt idx="5">
                  <c:v>-2.8571428571428598E-2</c:v>
                </c:pt>
                <c:pt idx="6">
                  <c:v>-6.0606060606060601E-2</c:v>
                </c:pt>
                <c:pt idx="7">
                  <c:v>0</c:v>
                </c:pt>
                <c:pt idx="8">
                  <c:v>-0.11764705882352899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(3)'!$D$124</c:f>
              <c:strCache>
                <c:ptCount val="1"/>
                <c:pt idx="0">
                  <c:v>1 тоқ 2015 </c:v>
                </c:pt>
              </c:strCache>
            </c:strRef>
          </c:tx>
          <c:spPr>
            <a:gradFill>
              <a:gsLst>
                <a:gs pos="100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(3)'!$D$125:$D$133</c:f>
              <c:numCache>
                <c:formatCode>#,##0.00%</c:formatCode>
                <c:ptCount val="9"/>
                <c:pt idx="0">
                  <c:v>-0.21875</c:v>
                </c:pt>
                <c:pt idx="1">
                  <c:v>-9.375E-2</c:v>
                </c:pt>
                <c:pt idx="2">
                  <c:v>-0.15151515151515199</c:v>
                </c:pt>
                <c:pt idx="3">
                  <c:v>-6.0606060606060601E-2</c:v>
                </c:pt>
                <c:pt idx="4">
                  <c:v>-0.225806451612903</c:v>
                </c:pt>
                <c:pt idx="5">
                  <c:v>-6.0606060606060601E-2</c:v>
                </c:pt>
                <c:pt idx="6">
                  <c:v>-6.4516129032258104E-2</c:v>
                </c:pt>
                <c:pt idx="7">
                  <c:v>-3.03030303030303E-2</c:v>
                </c:pt>
                <c:pt idx="8">
                  <c:v>-0.1875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(3)'!$E$124</c:f>
              <c:strCache>
                <c:ptCount val="1"/>
                <c:pt idx="0">
                  <c:v>2 тоқ 2015 </c:v>
                </c:pt>
              </c:strCache>
            </c:strRef>
          </c:tx>
          <c:spPr>
            <a:gradFill>
              <a:gsLst>
                <a:gs pos="100000">
                  <a:srgbClr val="FF996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(3)'!$E$125:$E$133</c:f>
              <c:numCache>
                <c:formatCode>#,##0.00%</c:formatCode>
                <c:ptCount val="9"/>
                <c:pt idx="0">
                  <c:v>-0.19354838709677399</c:v>
                </c:pt>
                <c:pt idx="1">
                  <c:v>-0.12903225806451599</c:v>
                </c:pt>
                <c:pt idx="2">
                  <c:v>-9.375E-2</c:v>
                </c:pt>
                <c:pt idx="3">
                  <c:v>-0.125</c:v>
                </c:pt>
                <c:pt idx="4">
                  <c:v>-0.133333333333333</c:v>
                </c:pt>
                <c:pt idx="5">
                  <c:v>-6.25E-2</c:v>
                </c:pt>
                <c:pt idx="6">
                  <c:v>-6.6666666666666693E-2</c:v>
                </c:pt>
                <c:pt idx="7">
                  <c:v>-3.125E-2</c:v>
                </c:pt>
                <c:pt idx="8">
                  <c:v>-0.12903225806451599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(3)'!$F$124</c:f>
              <c:strCache>
                <c:ptCount val="1"/>
                <c:pt idx="0">
                  <c:v>3 тоқ 2015</c:v>
                </c:pt>
              </c:strCache>
            </c:strRef>
          </c:tx>
          <c:spPr>
            <a:gradFill>
              <a:gsLst>
                <a:gs pos="100000">
                  <a:srgbClr val="00B05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(3)'!$F$125:$F$133</c:f>
              <c:numCache>
                <c:formatCode>#,##0.00%</c:formatCode>
                <c:ptCount val="9"/>
                <c:pt idx="0">
                  <c:v>-0.12903225806451599</c:v>
                </c:pt>
                <c:pt idx="1">
                  <c:v>-9.6774193548387094E-2</c:v>
                </c:pt>
                <c:pt idx="2">
                  <c:v>-9.375E-2</c:v>
                </c:pt>
                <c:pt idx="3">
                  <c:v>-9.375E-2</c:v>
                </c:pt>
                <c:pt idx="4">
                  <c:v>-0.16666666666666699</c:v>
                </c:pt>
                <c:pt idx="5">
                  <c:v>-6.25E-2</c:v>
                </c:pt>
                <c:pt idx="6">
                  <c:v>-0.133333333333333</c:v>
                </c:pt>
                <c:pt idx="7">
                  <c:v>-9.375E-2</c:v>
                </c:pt>
                <c:pt idx="8">
                  <c:v>-0.2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(3)'!$G$124</c:f>
              <c:strCache>
                <c:ptCount val="1"/>
                <c:pt idx="0">
                  <c:v>4 тоқ 2015</c:v>
                </c:pt>
              </c:strCache>
            </c:strRef>
          </c:tx>
          <c:spPr>
            <a:gradFill>
              <a:gsLst>
                <a:gs pos="100000">
                  <a:srgbClr val="990099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(3)'!$G$125:$G$133</c:f>
              <c:numCache>
                <c:formatCode>#,##0.00%</c:formatCode>
                <c:ptCount val="9"/>
                <c:pt idx="0">
                  <c:v>-0.25806451612903197</c:v>
                </c:pt>
                <c:pt idx="1">
                  <c:v>-0.32258064516128998</c:v>
                </c:pt>
                <c:pt idx="2">
                  <c:v>-0.25</c:v>
                </c:pt>
                <c:pt idx="3">
                  <c:v>-0.1875</c:v>
                </c:pt>
                <c:pt idx="4">
                  <c:v>-0.35483870967741898</c:v>
                </c:pt>
                <c:pt idx="5">
                  <c:v>-0.15625</c:v>
                </c:pt>
                <c:pt idx="6">
                  <c:v>-0.35483870967741898</c:v>
                </c:pt>
                <c:pt idx="7">
                  <c:v>-0.21875</c:v>
                </c:pt>
                <c:pt idx="8">
                  <c:v>-0.38709677419354799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397056"/>
        <c:axId val="183640064"/>
      </c:barChart>
      <c:catAx>
        <c:axId val="16839705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83640064"/>
        <c:crosses val="autoZero"/>
        <c:auto val="1"/>
        <c:lblAlgn val="ctr"/>
        <c:lblOffset val="100"/>
        <c:noMultiLvlLbl val="0"/>
      </c:catAx>
      <c:valAx>
        <c:axId val="1836400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683970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237270341207343E-2"/>
          <c:y val="5.1400554097404488E-2"/>
          <c:w val="0.89241409601127797"/>
          <c:h val="0.452118325067017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(3)'!$A$77</c:f>
              <c:strCache>
                <c:ptCount val="1"/>
                <c:pt idx="0">
                  <c:v>Факт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  <a:ln>
              <a:solidFill>
                <a:schemeClr val="accent1"/>
              </a:solidFill>
            </a:ln>
          </c:spPr>
          <c:invertIfNegative val="0"/>
          <c:cat>
            <c:multiLvlStrRef>
              <c:f>'Ожид-факт_корп (3)'!$B$75:$V$76</c:f>
              <c:multiLvlStrCache>
                <c:ptCount val="21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5">
                    <c:v>4 тоқ 2014</c:v>
                  </c:pt>
                  <c:pt idx="16">
                    <c:v>1 тоқ 2015 </c:v>
                  </c:pt>
                  <c:pt idx="17">
                    <c:v>2 тоқ 2015 </c:v>
                  </c:pt>
                  <c:pt idx="18">
                    <c:v>3 тоқ 2015</c:v>
                  </c:pt>
                  <c:pt idx="19">
                    <c:v>4 тоқ 2015</c:v>
                  </c:pt>
                  <c:pt idx="20">
                    <c:v>1 тоқ 2016 </c:v>
                  </c:pt>
                </c:lvl>
                <c:lvl>
                  <c:pt idx="0">
                    <c:v>Ірі бизнес</c:v>
                  </c:pt>
                  <c:pt idx="7">
                    <c:v>Орта бизнес</c:v>
                  </c:pt>
                  <c:pt idx="15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(3)'!$B$77:$V$77</c:f>
              <c:numCache>
                <c:formatCode>0.00%</c:formatCode>
                <c:ptCount val="21"/>
                <c:pt idx="0">
                  <c:v>-0.1764705882352941</c:v>
                </c:pt>
                <c:pt idx="1">
                  <c:v>-0.4375</c:v>
                </c:pt>
                <c:pt idx="2">
                  <c:v>3.2258064516128997E-2</c:v>
                </c:pt>
                <c:pt idx="3">
                  <c:v>-0.12903225806451599</c:v>
                </c:pt>
                <c:pt idx="4">
                  <c:v>-0.32258064516128998</c:v>
                </c:pt>
                <c:pt idx="7">
                  <c:v>-9.0909090909090912E-2</c:v>
                </c:pt>
                <c:pt idx="8">
                  <c:v>-0.45161290322580649</c:v>
                </c:pt>
                <c:pt idx="9">
                  <c:v>-3.3333333333333298E-2</c:v>
                </c:pt>
                <c:pt idx="10">
                  <c:v>-0.1</c:v>
                </c:pt>
                <c:pt idx="11">
                  <c:v>-0.36666666666666697</c:v>
                </c:pt>
                <c:pt idx="15">
                  <c:v>-9.375E-2</c:v>
                </c:pt>
                <c:pt idx="16">
                  <c:v>-0.43333333333333335</c:v>
                </c:pt>
                <c:pt idx="17">
                  <c:v>-3.4482758620689599E-2</c:v>
                </c:pt>
                <c:pt idx="18">
                  <c:v>-6.8965517241379296E-2</c:v>
                </c:pt>
                <c:pt idx="19">
                  <c:v>-0.34482758620689702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671424"/>
        <c:axId val="183677312"/>
      </c:barChart>
      <c:lineChart>
        <c:grouping val="standard"/>
        <c:varyColors val="0"/>
        <c:ser>
          <c:idx val="1"/>
          <c:order val="1"/>
          <c:tx>
            <c:strRef>
              <c:f>'Ожид-факт_корп (3)'!$A$78</c:f>
              <c:strCache>
                <c:ptCount val="1"/>
                <c:pt idx="0">
                  <c:v>Күту</c:v>
                </c:pt>
              </c:strCache>
            </c:strRef>
          </c:tx>
          <c:spPr>
            <a:ln>
              <a:solidFill>
                <a:srgbClr val="FF7C80"/>
              </a:solidFill>
            </a:ln>
          </c:spPr>
          <c:marker>
            <c:symbol val="none"/>
          </c:marker>
          <c:dPt>
            <c:idx val="4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0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6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cat>
            <c:multiLvlStrRef>
              <c:f>'Ожид-факт_корп (3)'!$B$75:$V$76</c:f>
              <c:multiLvlStrCache>
                <c:ptCount val="21"/>
                <c:lvl>
                  <c:pt idx="0">
                    <c:v>4 тоқ 2014</c:v>
                  </c:pt>
                  <c:pt idx="1">
                    <c:v>1 тоқ 2015 </c:v>
                  </c:pt>
                  <c:pt idx="2">
                    <c:v>2 тоқ 2015 </c:v>
                  </c:pt>
                  <c:pt idx="3">
                    <c:v>3 тоқ 2015</c:v>
                  </c:pt>
                  <c:pt idx="4">
                    <c:v>4 тоқ 2015</c:v>
                  </c:pt>
                  <c:pt idx="5">
                    <c:v>1 тоқ 2016 </c:v>
                  </c:pt>
                  <c:pt idx="7">
                    <c:v>4 тоқ 2014</c:v>
                  </c:pt>
                  <c:pt idx="8">
                    <c:v>1 тоқ 2015 </c:v>
                  </c:pt>
                  <c:pt idx="9">
                    <c:v>2 тоқ 2015 </c:v>
                  </c:pt>
                  <c:pt idx="10">
                    <c:v>3 тоқ 2015</c:v>
                  </c:pt>
                  <c:pt idx="11">
                    <c:v>4 тоқ 2015</c:v>
                  </c:pt>
                  <c:pt idx="12">
                    <c:v>1 тоқ 2016 </c:v>
                  </c:pt>
                  <c:pt idx="15">
                    <c:v>4 тоқ 2014</c:v>
                  </c:pt>
                  <c:pt idx="16">
                    <c:v>1 тоқ 2015 </c:v>
                  </c:pt>
                  <c:pt idx="17">
                    <c:v>2 тоқ 2015 </c:v>
                  </c:pt>
                  <c:pt idx="18">
                    <c:v>3 тоқ 2015</c:v>
                  </c:pt>
                  <c:pt idx="19">
                    <c:v>4 тоқ 2015</c:v>
                  </c:pt>
                  <c:pt idx="20">
                    <c:v>1 тоқ 2016 </c:v>
                  </c:pt>
                </c:lvl>
                <c:lvl>
                  <c:pt idx="0">
                    <c:v>Ірі бизнес</c:v>
                  </c:pt>
                  <c:pt idx="7">
                    <c:v>Орта бизнес</c:v>
                  </c:pt>
                  <c:pt idx="15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(3)'!$B$78:$V$78</c:f>
              <c:numCache>
                <c:formatCode>0.00%</c:formatCode>
                <c:ptCount val="21"/>
                <c:pt idx="0">
                  <c:v>-2.9411764705882353E-2</c:v>
                </c:pt>
                <c:pt idx="1">
                  <c:v>-0.29411764705882354</c:v>
                </c:pt>
                <c:pt idx="2">
                  <c:v>0</c:v>
                </c:pt>
                <c:pt idx="3">
                  <c:v>0</c:v>
                </c:pt>
                <c:pt idx="4">
                  <c:v>-0.19354838709677399</c:v>
                </c:pt>
                <c:pt idx="5">
                  <c:v>-0.3125</c:v>
                </c:pt>
                <c:pt idx="7">
                  <c:v>2.9411764705882353E-2</c:v>
                </c:pt>
                <c:pt idx="8">
                  <c:v>-0.37142857142857144</c:v>
                </c:pt>
                <c:pt idx="9">
                  <c:v>3.0303030303030304E-2</c:v>
                </c:pt>
                <c:pt idx="10">
                  <c:v>-3.3333333333333298E-2</c:v>
                </c:pt>
                <c:pt idx="11">
                  <c:v>-0.33333333333333298</c:v>
                </c:pt>
                <c:pt idx="12">
                  <c:v>-0.38709677419354799</c:v>
                </c:pt>
                <c:pt idx="15">
                  <c:v>0</c:v>
                </c:pt>
                <c:pt idx="16">
                  <c:v>-0.33333333333333331</c:v>
                </c:pt>
                <c:pt idx="17">
                  <c:v>0</c:v>
                </c:pt>
                <c:pt idx="18">
                  <c:v>-3.4482758620689703E-2</c:v>
                </c:pt>
                <c:pt idx="19">
                  <c:v>-0.31034482758620702</c:v>
                </c:pt>
                <c:pt idx="20">
                  <c:v>-0.34482758620689702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671424"/>
        <c:axId val="183677312"/>
      </c:lineChart>
      <c:catAx>
        <c:axId val="18367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83677312"/>
        <c:crosses val="autoZero"/>
        <c:auto val="1"/>
        <c:lblAlgn val="ctr"/>
        <c:lblOffset val="100"/>
        <c:noMultiLvlLbl val="0"/>
      </c:catAx>
      <c:valAx>
        <c:axId val="1836773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83671424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4610381131238194"/>
          <c:y val="0.75463024154349656"/>
          <c:w val="0.26419692043989007"/>
          <c:h val="7.008901467387751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Ставки2!$A$23</c:f>
              <c:strCache>
                <c:ptCount val="1"/>
                <c:pt idx="0">
                  <c:v>қаржылық емес ұйымдар</c:v>
                </c:pt>
              </c:strCache>
            </c:strRef>
          </c:tx>
          <c:cat>
            <c:strRef>
              <c:f>Ставки2!$B$22:$I$22</c:f>
              <c:strCache>
                <c:ptCount val="8"/>
                <c:pt idx="0">
                  <c:v>1 тоқ 2014 </c:v>
                </c:pt>
                <c:pt idx="1">
                  <c:v>2 тоқ 2014 </c:v>
                </c:pt>
                <c:pt idx="2">
                  <c:v>3 тоқ 2014</c:v>
                </c:pt>
                <c:pt idx="3">
                  <c:v>4 тоқ 2014</c:v>
                </c:pt>
                <c:pt idx="4">
                  <c:v>1 тоқ 2015 </c:v>
                </c:pt>
                <c:pt idx="5">
                  <c:v>2 тоқ 2015 </c:v>
                </c:pt>
                <c:pt idx="6">
                  <c:v>3 тоқ 2015</c:v>
                </c:pt>
                <c:pt idx="7">
                  <c:v>4 тоқ 2015</c:v>
                </c:pt>
              </c:strCache>
            </c:strRef>
          </c:cat>
          <c:val>
            <c:numRef>
              <c:f>Ставки2!$B$23:$I$23</c:f>
              <c:numCache>
                <c:formatCode>General</c:formatCode>
                <c:ptCount val="8"/>
                <c:pt idx="0">
                  <c:v>9.67</c:v>
                </c:pt>
                <c:pt idx="1">
                  <c:v>9.86</c:v>
                </c:pt>
                <c:pt idx="2">
                  <c:v>9.69</c:v>
                </c:pt>
                <c:pt idx="3">
                  <c:v>10.32</c:v>
                </c:pt>
                <c:pt idx="4">
                  <c:v>14.89</c:v>
                </c:pt>
                <c:pt idx="5">
                  <c:v>13.04</c:v>
                </c:pt>
                <c:pt idx="6">
                  <c:v>12.91</c:v>
                </c:pt>
                <c:pt idx="7">
                  <c:v>13.36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684096"/>
        <c:axId val="183694080"/>
      </c:lineChart>
      <c:catAx>
        <c:axId val="18368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3694080"/>
        <c:crosses val="autoZero"/>
        <c:auto val="1"/>
        <c:lblAlgn val="ctr"/>
        <c:lblOffset val="100"/>
        <c:noMultiLvlLbl val="0"/>
      </c:catAx>
      <c:valAx>
        <c:axId val="1836940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36840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534439416792361E-2"/>
          <c:y val="6.9705371335625294E-2"/>
          <c:w val="0.90058397997782935"/>
          <c:h val="0.42342588433721684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Банктердің кредиттеуге ұсынысы (ниеті) 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multiLvlStrRef>
              <c:f>'Ожид-факт_корп (3)'!$B$3:$AF$4</c:f>
              <c:multiLvlStrCache>
                <c:ptCount val="31"/>
                <c:lvl>
                  <c:pt idx="0">
                    <c:v>3 тоқ 2014</c:v>
                  </c:pt>
                  <c:pt idx="1">
                    <c:v>4 тоқ 2014</c:v>
                  </c:pt>
                  <c:pt idx="2">
                    <c:v>1 тоқ 2015 </c:v>
                  </c:pt>
                  <c:pt idx="3">
                    <c:v>2 тоқ 2015 </c:v>
                  </c:pt>
                  <c:pt idx="4">
                    <c:v>3 тоқ 2015</c:v>
                  </c:pt>
                  <c:pt idx="5">
                    <c:v>4 тоқ 2015</c:v>
                  </c:pt>
                  <c:pt idx="6">
                    <c:v>1 тоқ 2016 </c:v>
                  </c:pt>
                  <c:pt idx="8">
                    <c:v>3 тоқ 2014</c:v>
                  </c:pt>
                  <c:pt idx="9">
                    <c:v>4 тоқ 2014</c:v>
                  </c:pt>
                  <c:pt idx="10">
                    <c:v>1 тоқ 2015 </c:v>
                  </c:pt>
                  <c:pt idx="11">
                    <c:v>2 тоқ 2015 </c:v>
                  </c:pt>
                  <c:pt idx="12">
                    <c:v>3 тоқ 2015</c:v>
                  </c:pt>
                  <c:pt idx="13">
                    <c:v>4 тоқ 2015</c:v>
                  </c:pt>
                  <c:pt idx="14">
                    <c:v>1 тоқ 2016 </c:v>
                  </c:pt>
                  <c:pt idx="16">
                    <c:v>3 тоқ 2014</c:v>
                  </c:pt>
                  <c:pt idx="17">
                    <c:v>4 тоқ 2014</c:v>
                  </c:pt>
                  <c:pt idx="18">
                    <c:v>1 тоқ 2015 </c:v>
                  </c:pt>
                  <c:pt idx="19">
                    <c:v>2 тоқ 2015 </c:v>
                  </c:pt>
                  <c:pt idx="20">
                    <c:v>3 тоқ 2015</c:v>
                  </c:pt>
                  <c:pt idx="21">
                    <c:v>4 тоқ 2015</c:v>
                  </c:pt>
                  <c:pt idx="22">
                    <c:v>1 тоқ 2016 </c:v>
                  </c:pt>
                  <c:pt idx="24">
                    <c:v>3 тоқ 2014</c:v>
                  </c:pt>
                  <c:pt idx="25">
                    <c:v>4 тоқ 2014</c:v>
                  </c:pt>
                  <c:pt idx="26">
                    <c:v>1 тоқ 2015 </c:v>
                  </c:pt>
                  <c:pt idx="27">
                    <c:v>2 тоқ 2015 </c:v>
                  </c:pt>
                  <c:pt idx="28">
                    <c:v>3 тоқ 2015</c:v>
                  </c:pt>
                  <c:pt idx="29">
                    <c:v>4 тоқ 2015</c:v>
                  </c:pt>
                  <c:pt idx="30">
                    <c:v>1 тоқ 2016 </c:v>
                  </c:pt>
                </c:lvl>
                <c:lvl>
                  <c:pt idx="0">
                    <c:v>Жалпы алғанда қаржылық емес ұйымдар</c:v>
                  </c:pt>
                  <c:pt idx="8">
                    <c:v>Ірі бизнес</c:v>
                  </c:pt>
                  <c:pt idx="16">
                    <c:v>Орта бизнес</c:v>
                  </c:pt>
                  <c:pt idx="24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(3)'!$B$7:$AF$7</c:f>
              <c:numCache>
                <c:formatCode>0.00%</c:formatCode>
                <c:ptCount val="31"/>
                <c:pt idx="0">
                  <c:v>0.29411764705882354</c:v>
                </c:pt>
                <c:pt idx="1">
                  <c:v>0.14705882352941174</c:v>
                </c:pt>
                <c:pt idx="2">
                  <c:v>-0.21875</c:v>
                </c:pt>
                <c:pt idx="3">
                  <c:v>3.125E-2</c:v>
                </c:pt>
                <c:pt idx="4">
                  <c:v>6.25E-2</c:v>
                </c:pt>
                <c:pt idx="5">
                  <c:v>-6.25E-2</c:v>
                </c:pt>
                <c:pt idx="8">
                  <c:v>0.20588235294117646</c:v>
                </c:pt>
                <c:pt idx="9">
                  <c:v>0.11764705882352942</c:v>
                </c:pt>
                <c:pt idx="10">
                  <c:v>-9.375E-2</c:v>
                </c:pt>
                <c:pt idx="11">
                  <c:v>0.133333333333333</c:v>
                </c:pt>
                <c:pt idx="12">
                  <c:v>6.4516129032258104E-2</c:v>
                </c:pt>
                <c:pt idx="13">
                  <c:v>-0.1</c:v>
                </c:pt>
                <c:pt idx="16">
                  <c:v>0.32258064516129031</c:v>
                </c:pt>
                <c:pt idx="17">
                  <c:v>3.0303030303030304E-2</c:v>
                </c:pt>
                <c:pt idx="18">
                  <c:v>-0.22580645161290322</c:v>
                </c:pt>
                <c:pt idx="19">
                  <c:v>-3.3333333333333298E-2</c:v>
                </c:pt>
                <c:pt idx="20">
                  <c:v>6.6666666666666693E-2</c:v>
                </c:pt>
                <c:pt idx="21">
                  <c:v>-6.6666666666666693E-2</c:v>
                </c:pt>
                <c:pt idx="24">
                  <c:v>0.36666666666666664</c:v>
                </c:pt>
                <c:pt idx="25">
                  <c:v>0</c:v>
                </c:pt>
                <c:pt idx="26">
                  <c:v>-0.23333333333333334</c:v>
                </c:pt>
                <c:pt idx="27">
                  <c:v>-6.8965517241379296E-2</c:v>
                </c:pt>
                <c:pt idx="28">
                  <c:v>0</c:v>
                </c:pt>
                <c:pt idx="29">
                  <c:v>-6.6666666666666693E-2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059776"/>
        <c:axId val="185028992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Сұраныс_факт</c:v>
                </c:pt>
              </c:strCache>
            </c:strRef>
          </c:tx>
          <c:spPr>
            <a:ln>
              <a:solidFill>
                <a:srgbClr val="FF9900"/>
              </a:solidFill>
            </a:ln>
          </c:spPr>
          <c:marker>
            <c:symbol val="none"/>
          </c:marker>
          <c:cat>
            <c:multiLvlStrRef>
              <c:f>'Ожид-факт_корп (3)'!$B$3:$AF$4</c:f>
              <c:multiLvlStrCache>
                <c:ptCount val="31"/>
                <c:lvl>
                  <c:pt idx="0">
                    <c:v>3 тоқ 2014</c:v>
                  </c:pt>
                  <c:pt idx="1">
                    <c:v>4 тоқ 2014</c:v>
                  </c:pt>
                  <c:pt idx="2">
                    <c:v>1 тоқ 2015 </c:v>
                  </c:pt>
                  <c:pt idx="3">
                    <c:v>2 тоқ 2015 </c:v>
                  </c:pt>
                  <c:pt idx="4">
                    <c:v>3 тоқ 2015</c:v>
                  </c:pt>
                  <c:pt idx="5">
                    <c:v>4 тоқ 2015</c:v>
                  </c:pt>
                  <c:pt idx="6">
                    <c:v>1 тоқ 2016 </c:v>
                  </c:pt>
                  <c:pt idx="8">
                    <c:v>3 тоқ 2014</c:v>
                  </c:pt>
                  <c:pt idx="9">
                    <c:v>4 тоқ 2014</c:v>
                  </c:pt>
                  <c:pt idx="10">
                    <c:v>1 тоқ 2015 </c:v>
                  </c:pt>
                  <c:pt idx="11">
                    <c:v>2 тоқ 2015 </c:v>
                  </c:pt>
                  <c:pt idx="12">
                    <c:v>3 тоқ 2015</c:v>
                  </c:pt>
                  <c:pt idx="13">
                    <c:v>4 тоқ 2015</c:v>
                  </c:pt>
                  <c:pt idx="14">
                    <c:v>1 тоқ 2016 </c:v>
                  </c:pt>
                  <c:pt idx="16">
                    <c:v>3 тоқ 2014</c:v>
                  </c:pt>
                  <c:pt idx="17">
                    <c:v>4 тоқ 2014</c:v>
                  </c:pt>
                  <c:pt idx="18">
                    <c:v>1 тоқ 2015 </c:v>
                  </c:pt>
                  <c:pt idx="19">
                    <c:v>2 тоқ 2015 </c:v>
                  </c:pt>
                  <c:pt idx="20">
                    <c:v>3 тоқ 2015</c:v>
                  </c:pt>
                  <c:pt idx="21">
                    <c:v>4 тоқ 2015</c:v>
                  </c:pt>
                  <c:pt idx="22">
                    <c:v>1 тоқ 2016 </c:v>
                  </c:pt>
                  <c:pt idx="24">
                    <c:v>3 тоқ 2014</c:v>
                  </c:pt>
                  <c:pt idx="25">
                    <c:v>4 тоқ 2014</c:v>
                  </c:pt>
                  <c:pt idx="26">
                    <c:v>1 тоқ 2015 </c:v>
                  </c:pt>
                  <c:pt idx="27">
                    <c:v>2 тоқ 2015 </c:v>
                  </c:pt>
                  <c:pt idx="28">
                    <c:v>3 тоқ 2015</c:v>
                  </c:pt>
                  <c:pt idx="29">
                    <c:v>4 тоқ 2015</c:v>
                  </c:pt>
                  <c:pt idx="30">
                    <c:v>1 тоқ 2016 </c:v>
                  </c:pt>
                </c:lvl>
                <c:lvl>
                  <c:pt idx="0">
                    <c:v>Жалпы алғанда қаржылық емес ұйымдар</c:v>
                  </c:pt>
                  <c:pt idx="8">
                    <c:v>Ірі бизнес</c:v>
                  </c:pt>
                  <c:pt idx="16">
                    <c:v>Орта бизнес</c:v>
                  </c:pt>
                  <c:pt idx="24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(3)'!$B$5:$AF$5</c:f>
              <c:numCache>
                <c:formatCode>0.00%</c:formatCode>
                <c:ptCount val="31"/>
                <c:pt idx="0">
                  <c:v>0.36363636363636365</c:v>
                </c:pt>
                <c:pt idx="1">
                  <c:v>0.31428571428571428</c:v>
                </c:pt>
                <c:pt idx="2">
                  <c:v>0.18181818181818182</c:v>
                </c:pt>
                <c:pt idx="3">
                  <c:v>0.28125</c:v>
                </c:pt>
                <c:pt idx="4">
                  <c:v>0.15625</c:v>
                </c:pt>
                <c:pt idx="5">
                  <c:v>0.15625</c:v>
                </c:pt>
                <c:pt idx="8">
                  <c:v>0.39393939393939392</c:v>
                </c:pt>
                <c:pt idx="9">
                  <c:v>0.2121212121212121</c:v>
                </c:pt>
                <c:pt idx="10">
                  <c:v>9.375E-2</c:v>
                </c:pt>
                <c:pt idx="11">
                  <c:v>0.225806451612903</c:v>
                </c:pt>
                <c:pt idx="12">
                  <c:v>0.133333333333333</c:v>
                </c:pt>
                <c:pt idx="13">
                  <c:v>0.225806451612903</c:v>
                </c:pt>
                <c:pt idx="16">
                  <c:v>0.39393939393939392</c:v>
                </c:pt>
                <c:pt idx="17">
                  <c:v>0.3235294117647059</c:v>
                </c:pt>
                <c:pt idx="18">
                  <c:v>6.4516129032258035E-2</c:v>
                </c:pt>
                <c:pt idx="19">
                  <c:v>0.233333333333333</c:v>
                </c:pt>
                <c:pt idx="20">
                  <c:v>0.12903225806451599</c:v>
                </c:pt>
                <c:pt idx="21">
                  <c:v>0.16129032258064499</c:v>
                </c:pt>
                <c:pt idx="24">
                  <c:v>0.36363636363636365</c:v>
                </c:pt>
                <c:pt idx="25">
                  <c:v>0.29411764705882354</c:v>
                </c:pt>
                <c:pt idx="26">
                  <c:v>0.1290322580645161</c:v>
                </c:pt>
                <c:pt idx="27">
                  <c:v>0.24137931034482801</c:v>
                </c:pt>
                <c:pt idx="28">
                  <c:v>6.4516129032258104E-2</c:v>
                </c:pt>
                <c:pt idx="29">
                  <c:v>0.1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Сұраныс_күту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(3)'!$B$3:$AF$4</c:f>
              <c:multiLvlStrCache>
                <c:ptCount val="31"/>
                <c:lvl>
                  <c:pt idx="0">
                    <c:v>3 тоқ 2014</c:v>
                  </c:pt>
                  <c:pt idx="1">
                    <c:v>4 тоқ 2014</c:v>
                  </c:pt>
                  <c:pt idx="2">
                    <c:v>1 тоқ 2015 </c:v>
                  </c:pt>
                  <c:pt idx="3">
                    <c:v>2 тоқ 2015 </c:v>
                  </c:pt>
                  <c:pt idx="4">
                    <c:v>3 тоқ 2015</c:v>
                  </c:pt>
                  <c:pt idx="5">
                    <c:v>4 тоқ 2015</c:v>
                  </c:pt>
                  <c:pt idx="6">
                    <c:v>1 тоқ 2016 </c:v>
                  </c:pt>
                  <c:pt idx="8">
                    <c:v>3 тоқ 2014</c:v>
                  </c:pt>
                  <c:pt idx="9">
                    <c:v>4 тоқ 2014</c:v>
                  </c:pt>
                  <c:pt idx="10">
                    <c:v>1 тоқ 2015 </c:v>
                  </c:pt>
                  <c:pt idx="11">
                    <c:v>2 тоқ 2015 </c:v>
                  </c:pt>
                  <c:pt idx="12">
                    <c:v>3 тоқ 2015</c:v>
                  </c:pt>
                  <c:pt idx="13">
                    <c:v>4 тоқ 2015</c:v>
                  </c:pt>
                  <c:pt idx="14">
                    <c:v>1 тоқ 2016 </c:v>
                  </c:pt>
                  <c:pt idx="16">
                    <c:v>3 тоқ 2014</c:v>
                  </c:pt>
                  <c:pt idx="17">
                    <c:v>4 тоқ 2014</c:v>
                  </c:pt>
                  <c:pt idx="18">
                    <c:v>1 тоқ 2015 </c:v>
                  </c:pt>
                  <c:pt idx="19">
                    <c:v>2 тоқ 2015 </c:v>
                  </c:pt>
                  <c:pt idx="20">
                    <c:v>3 тоқ 2015</c:v>
                  </c:pt>
                  <c:pt idx="21">
                    <c:v>4 тоқ 2015</c:v>
                  </c:pt>
                  <c:pt idx="22">
                    <c:v>1 тоқ 2016 </c:v>
                  </c:pt>
                  <c:pt idx="24">
                    <c:v>3 тоқ 2014</c:v>
                  </c:pt>
                  <c:pt idx="25">
                    <c:v>4 тоқ 2014</c:v>
                  </c:pt>
                  <c:pt idx="26">
                    <c:v>1 тоқ 2015 </c:v>
                  </c:pt>
                  <c:pt idx="27">
                    <c:v>2 тоқ 2015 </c:v>
                  </c:pt>
                  <c:pt idx="28">
                    <c:v>3 тоқ 2015</c:v>
                  </c:pt>
                  <c:pt idx="29">
                    <c:v>4 тоқ 2015</c:v>
                  </c:pt>
                  <c:pt idx="30">
                    <c:v>1 тоқ 2016 </c:v>
                  </c:pt>
                </c:lvl>
                <c:lvl>
                  <c:pt idx="0">
                    <c:v>Жалпы алғанда қаржылық емес ұйымдар</c:v>
                  </c:pt>
                  <c:pt idx="8">
                    <c:v>Ірі бизнес</c:v>
                  </c:pt>
                  <c:pt idx="16">
                    <c:v>Орта бизнес</c:v>
                  </c:pt>
                  <c:pt idx="24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(3)'!$B$6:$AF$6</c:f>
              <c:numCache>
                <c:formatCode>0.00%</c:formatCode>
                <c:ptCount val="31"/>
                <c:pt idx="0">
                  <c:v>0.14705882352941177</c:v>
                </c:pt>
                <c:pt idx="1">
                  <c:v>0.23529411764705882</c:v>
                </c:pt>
                <c:pt idx="2">
                  <c:v>0.23529411764705882</c:v>
                </c:pt>
                <c:pt idx="3">
                  <c:v>0.3125</c:v>
                </c:pt>
                <c:pt idx="4">
                  <c:v>0.34375</c:v>
                </c:pt>
                <c:pt idx="5">
                  <c:v>9.375E-2</c:v>
                </c:pt>
                <c:pt idx="6">
                  <c:v>0.125</c:v>
                </c:pt>
                <c:pt idx="8">
                  <c:v>0.23529411764705882</c:v>
                </c:pt>
                <c:pt idx="9">
                  <c:v>0.26470588235294118</c:v>
                </c:pt>
                <c:pt idx="10">
                  <c:v>0.21212121212121213</c:v>
                </c:pt>
                <c:pt idx="11">
                  <c:v>0.28125</c:v>
                </c:pt>
                <c:pt idx="12">
                  <c:v>0.32258064516128998</c:v>
                </c:pt>
                <c:pt idx="13">
                  <c:v>0.16129032258064499</c:v>
                </c:pt>
                <c:pt idx="14">
                  <c:v>0.16129032258064499</c:v>
                </c:pt>
                <c:pt idx="16">
                  <c:v>0.1875</c:v>
                </c:pt>
                <c:pt idx="17">
                  <c:v>0.25806451612903225</c:v>
                </c:pt>
                <c:pt idx="18">
                  <c:v>0.1875</c:v>
                </c:pt>
                <c:pt idx="19">
                  <c:v>0.32258064516129031</c:v>
                </c:pt>
                <c:pt idx="20">
                  <c:v>0.36666666666666697</c:v>
                </c:pt>
                <c:pt idx="21">
                  <c:v>0.12903225806451599</c:v>
                </c:pt>
                <c:pt idx="22">
                  <c:v>0.15625</c:v>
                </c:pt>
                <c:pt idx="24">
                  <c:v>0.19354838709677419</c:v>
                </c:pt>
                <c:pt idx="25">
                  <c:v>0.23333333333333334</c:v>
                </c:pt>
                <c:pt idx="26">
                  <c:v>0.12903225806451613</c:v>
                </c:pt>
                <c:pt idx="27">
                  <c:v>0.3</c:v>
                </c:pt>
                <c:pt idx="28">
                  <c:v>0.31034482758620702</c:v>
                </c:pt>
                <c:pt idx="29">
                  <c:v>6.6666666666666693E-2</c:v>
                </c:pt>
                <c:pt idx="30">
                  <c:v>6.6666666666666693E-2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059776"/>
        <c:axId val="185028992"/>
      </c:lineChart>
      <c:catAx>
        <c:axId val="18405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85028992"/>
        <c:crosses val="autoZero"/>
        <c:auto val="1"/>
        <c:lblAlgn val="ctr"/>
        <c:lblOffset val="100"/>
        <c:noMultiLvlLbl val="0"/>
      </c:catAx>
      <c:valAx>
        <c:axId val="18502899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84059776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6.6507523663614443E-6"/>
          <c:y val="0.87319507596761681"/>
          <c:w val="0.98256315245662162"/>
          <c:h val="0.11076337288824811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87530930906625E-2"/>
          <c:y val="6.0016568176466875E-2"/>
          <c:w val="0.87262401615036556"/>
          <c:h val="0.46797702701335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'Ожид-факт_корп (3)'!$A$62</c:f>
              <c:strCache>
                <c:ptCount val="1"/>
                <c:pt idx="0">
                  <c:v>Коммерциялық жылжымайтын мүлікке кредиттер</c:v>
                </c:pt>
              </c:strCache>
            </c:strRef>
          </c:tx>
          <c:spPr>
            <a:solidFill>
              <a:srgbClr val="6931CF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(3)'!$B$62:$G$62</c:f>
              <c:numCache>
                <c:formatCode>0.00%</c:formatCode>
                <c:ptCount val="6"/>
                <c:pt idx="0">
                  <c:v>0.17241379310344829</c:v>
                </c:pt>
                <c:pt idx="1">
                  <c:v>0.13333333333333333</c:v>
                </c:pt>
                <c:pt idx="2">
                  <c:v>0</c:v>
                </c:pt>
                <c:pt idx="3">
                  <c:v>-7.1428571428571397E-2</c:v>
                </c:pt>
                <c:pt idx="4">
                  <c:v>-0.25925925925925902</c:v>
                </c:pt>
                <c:pt idx="5">
                  <c:v>-0.14285714285714299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(3)'!$A$63</c:f>
              <c:strCache>
                <c:ptCount val="1"/>
                <c:pt idx="0">
                  <c:v>Халықаралық қаржы ұйымдарының қаржыландыру бағдарламалары бойынша кредиттер</c:v>
                </c:pt>
              </c:strCache>
            </c:strRef>
          </c:tx>
          <c:spPr>
            <a:solidFill>
              <a:srgbClr val="B634B0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(3)'!$B$63:$G$63</c:f>
              <c:numCache>
                <c:formatCode>0.00%</c:formatCode>
                <c:ptCount val="6"/>
                <c:pt idx="0">
                  <c:v>0.1111111111111111</c:v>
                </c:pt>
                <c:pt idx="1">
                  <c:v>0.15789473684210525</c:v>
                </c:pt>
                <c:pt idx="2">
                  <c:v>5.5555555555555552E-2</c:v>
                </c:pt>
                <c:pt idx="3">
                  <c:v>6.6666666666666693E-2</c:v>
                </c:pt>
                <c:pt idx="4">
                  <c:v>6.6666666666666693E-2</c:v>
                </c:pt>
                <c:pt idx="5">
                  <c:v>0.125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(3)'!$A$64</c:f>
              <c:strCache>
                <c:ptCount val="1"/>
                <c:pt idx="0">
                  <c:v>Лизинг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(3)'!$B$64:$G$64</c:f>
              <c:numCache>
                <c:formatCode>0.00%</c:formatCode>
                <c:ptCount val="6"/>
                <c:pt idx="0">
                  <c:v>0.14285714285714285</c:v>
                </c:pt>
                <c:pt idx="1">
                  <c:v>4.7619047619047616E-2</c:v>
                </c:pt>
                <c:pt idx="2">
                  <c:v>-5.5555555555555552E-2</c:v>
                </c:pt>
                <c:pt idx="3">
                  <c:v>-7.1428571428571397E-2</c:v>
                </c:pt>
                <c:pt idx="4">
                  <c:v>-7.1428571428571397E-2</c:v>
                </c:pt>
                <c:pt idx="5">
                  <c:v>-6.25E-2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(3)'!$A$65</c:f>
              <c:strCache>
                <c:ptCount val="1"/>
                <c:pt idx="0">
                  <c:v>Факторинг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(3)'!$B$65:$G$65</c:f>
              <c:numCache>
                <c:formatCode>0.00%</c:formatCode>
                <c:ptCount val="6"/>
                <c:pt idx="0">
                  <c:v>0.18181818181818182</c:v>
                </c:pt>
                <c:pt idx="1">
                  <c:v>8.6956521739130432E-2</c:v>
                </c:pt>
                <c:pt idx="2">
                  <c:v>-4.7619047619047616E-2</c:v>
                </c:pt>
                <c:pt idx="3">
                  <c:v>0</c:v>
                </c:pt>
                <c:pt idx="4">
                  <c:v>6.6666666666666693E-2</c:v>
                </c:pt>
                <c:pt idx="5">
                  <c:v>0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(3)'!$A$66</c:f>
              <c:strCache>
                <c:ptCount val="1"/>
                <c:pt idx="0">
                  <c:v>Овердрафт</c:v>
                </c:pt>
              </c:strCache>
            </c:strRef>
          </c:tx>
          <c:spPr>
            <a:solidFill>
              <a:srgbClr val="C9DA26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(3)'!$B$66:$G$66</c:f>
              <c:numCache>
                <c:formatCode>0.00%</c:formatCode>
                <c:ptCount val="6"/>
                <c:pt idx="0">
                  <c:v>7.1428571428571425E-2</c:v>
                </c:pt>
                <c:pt idx="1">
                  <c:v>0</c:v>
                </c:pt>
                <c:pt idx="2">
                  <c:v>3.7037037037037035E-2</c:v>
                </c:pt>
                <c:pt idx="3">
                  <c:v>3.5714285714285698E-2</c:v>
                </c:pt>
                <c:pt idx="4">
                  <c:v>-6.8965517241379296E-2</c:v>
                </c:pt>
                <c:pt idx="5">
                  <c:v>0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(3)'!$A$67</c:f>
              <c:strCache>
                <c:ptCount val="1"/>
                <c:pt idx="0">
                  <c:v>Инвестициялық мақсаттарға кредиттер</c:v>
                </c:pt>
              </c:strCache>
            </c:strRef>
          </c:tx>
          <c:spPr>
            <a:solidFill>
              <a:srgbClr val="AA9FF9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(3)'!$B$67:$G$67</c:f>
              <c:numCache>
                <c:formatCode>0.00%</c:formatCode>
                <c:ptCount val="6"/>
                <c:pt idx="0">
                  <c:v>0.29032258064516131</c:v>
                </c:pt>
                <c:pt idx="1">
                  <c:v>0.15625</c:v>
                </c:pt>
                <c:pt idx="2">
                  <c:v>0.26666666666666666</c:v>
                </c:pt>
                <c:pt idx="3">
                  <c:v>6.4516129032258104E-2</c:v>
                </c:pt>
                <c:pt idx="4">
                  <c:v>-0.133333333333333</c:v>
                </c:pt>
                <c:pt idx="5">
                  <c:v>-0.2</c:v>
                </c:pt>
              </c:numCache>
            </c:numRef>
          </c:val>
        </c:ser>
        <c:ser>
          <c:idx val="6"/>
          <c:order val="6"/>
          <c:tx>
            <c:strRef>
              <c:f>'Ожид-факт_корп (3)'!$A$68</c:f>
              <c:strCache>
                <c:ptCount val="1"/>
                <c:pt idx="0">
                  <c:v>Кері капиталға кредиттер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(3)'!$B$68:$G$68</c:f>
              <c:numCache>
                <c:formatCode>0.00%</c:formatCode>
                <c:ptCount val="6"/>
                <c:pt idx="0">
                  <c:v>0.27272727272727271</c:v>
                </c:pt>
                <c:pt idx="1">
                  <c:v>0.2</c:v>
                </c:pt>
                <c:pt idx="2">
                  <c:v>0.18181818181818177</c:v>
                </c:pt>
                <c:pt idx="3">
                  <c:v>0.25</c:v>
                </c:pt>
                <c:pt idx="4">
                  <c:v>0.125</c:v>
                </c:pt>
                <c:pt idx="5">
                  <c:v>0.15625</c:v>
                </c:pt>
              </c:numCache>
            </c:numRef>
          </c:val>
        </c:ser>
        <c:ser>
          <c:idx val="7"/>
          <c:order val="7"/>
          <c:tx>
            <c:strRef>
              <c:f>'Ожид-факт_корп (3)'!$A$69</c:f>
              <c:strCache>
                <c:ptCount val="1"/>
                <c:pt idx="0">
                  <c:v>Кредиттік желі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(3)'!$B$69:$G$69</c:f>
              <c:numCache>
                <c:formatCode>0.00%</c:formatCode>
                <c:ptCount val="6"/>
                <c:pt idx="0">
                  <c:v>0.22580645161290322</c:v>
                </c:pt>
                <c:pt idx="1">
                  <c:v>0.23529411764705882</c:v>
                </c:pt>
                <c:pt idx="2">
                  <c:v>0.25</c:v>
                </c:pt>
                <c:pt idx="3">
                  <c:v>0.12903225806451599</c:v>
                </c:pt>
                <c:pt idx="4">
                  <c:v>0</c:v>
                </c:pt>
                <c:pt idx="5">
                  <c:v>3.2258064516128997E-2</c:v>
                </c:pt>
              </c:numCache>
            </c:numRef>
          </c:val>
        </c:ser>
        <c:ser>
          <c:idx val="8"/>
          <c:order val="8"/>
          <c:tx>
            <c:strRef>
              <c:f>'Ожид-факт_корп (3)'!$A$70</c:f>
              <c:strCache>
                <c:ptCount val="1"/>
                <c:pt idx="0">
                  <c:v>Кепілдік, кепілдеме</c:v>
                </c:pt>
              </c:strCache>
            </c:strRef>
          </c:tx>
          <c:spPr>
            <a:solidFill>
              <a:srgbClr val="2DB3C1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(3)'!$B$70:$G$70</c:f>
              <c:numCache>
                <c:formatCode>0.00%</c:formatCode>
                <c:ptCount val="6"/>
                <c:pt idx="0">
                  <c:v>0.15151515151515152</c:v>
                </c:pt>
                <c:pt idx="1">
                  <c:v>0.14285714285714288</c:v>
                </c:pt>
                <c:pt idx="2">
                  <c:v>9.0909090909090912E-2</c:v>
                </c:pt>
                <c:pt idx="3">
                  <c:v>0</c:v>
                </c:pt>
                <c:pt idx="4">
                  <c:v>-6.25E-2</c:v>
                </c:pt>
                <c:pt idx="5">
                  <c:v>0</c:v>
                </c:pt>
              </c:numCache>
            </c:numRef>
          </c:val>
        </c:ser>
        <c:ser>
          <c:idx val="9"/>
          <c:order val="9"/>
          <c:tx>
            <c:strRef>
              <c:f>'Ожид-факт_корп (3)'!$A$71</c:f>
              <c:strCache>
                <c:ptCount val="1"/>
                <c:pt idx="0">
                  <c:v>Сауданы қаржыландыру (аккредитив)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тоқ 2014</c:v>
                </c:pt>
                <c:pt idx="1">
                  <c:v>4 тоқ 2014</c:v>
                </c:pt>
                <c:pt idx="2">
                  <c:v>1 тоқ 2015 </c:v>
                </c:pt>
                <c:pt idx="3">
                  <c:v>2 тоқ 2015 </c:v>
                </c:pt>
                <c:pt idx="4">
                  <c:v>3 тоқ 2015</c:v>
                </c:pt>
                <c:pt idx="5">
                  <c:v>4 тоқ 2015</c:v>
                </c:pt>
              </c:strCache>
            </c:strRef>
          </c:cat>
          <c:val>
            <c:numRef>
              <c:f>'Ожид-факт_корп (3)'!$B$71:$G$71</c:f>
              <c:numCache>
                <c:formatCode>0.00%</c:formatCode>
                <c:ptCount val="6"/>
                <c:pt idx="0">
                  <c:v>0.12121212121212122</c:v>
                </c:pt>
                <c:pt idx="1">
                  <c:v>0</c:v>
                </c:pt>
                <c:pt idx="2">
                  <c:v>3.125E-2</c:v>
                </c:pt>
                <c:pt idx="3">
                  <c:v>0</c:v>
                </c:pt>
                <c:pt idx="4">
                  <c:v>-3.3333333333333298E-2</c:v>
                </c:pt>
                <c:pt idx="5">
                  <c:v>-3.3333333333333298E-2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068928"/>
        <c:axId val="190846080"/>
        <c:axId val="0"/>
      </c:bar3DChart>
      <c:catAx>
        <c:axId val="185068928"/>
        <c:scaling>
          <c:orientation val="minMax"/>
        </c:scaling>
        <c:delete val="0"/>
        <c:axPos val="b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majorTickMark val="out"/>
        <c:minorTickMark val="none"/>
        <c:tickLblPos val="low"/>
        <c:crossAx val="190846080"/>
        <c:crosses val="autoZero"/>
        <c:auto val="1"/>
        <c:lblAlgn val="ctr"/>
        <c:lblOffset val="100"/>
        <c:noMultiLvlLbl val="0"/>
      </c:catAx>
      <c:valAx>
        <c:axId val="190846080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85068928"/>
        <c:crosses val="autoZero"/>
        <c:crossBetween val="between"/>
        <c:majorUnit val="0.1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0351590220513387E-2"/>
          <c:y val="0.60734638296888122"/>
          <c:w val="0.94143101677507701"/>
          <c:h val="0.3914169616412627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283137093896786E-2"/>
          <c:y val="5.517822368978071E-2"/>
          <c:w val="0.88527680060581604"/>
          <c:h val="0.23713972347875267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(3)'!$A$176</c:f>
              <c:strCache>
                <c:ptCount val="1"/>
                <c:pt idx="0">
                  <c:v>Қарыз алушылардың
қаржылық жағдайы </c:v>
                </c:pt>
              </c:strCache>
            </c:strRef>
          </c:tx>
          <c:cat>
            <c:strRef>
              <c:f>'Ожид-факт_корп (3)'!$B$175:$G$175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'Ожид-факт_корп (3)'!$B$176:$G$176</c:f>
              <c:numCache>
                <c:formatCode>0.00%</c:formatCode>
                <c:ptCount val="6"/>
                <c:pt idx="0">
                  <c:v>5.8823529411764705E-2</c:v>
                </c:pt>
                <c:pt idx="1">
                  <c:v>0.31428571428571428</c:v>
                </c:pt>
                <c:pt idx="2">
                  <c:v>0.30303030303030298</c:v>
                </c:pt>
                <c:pt idx="3">
                  <c:v>0.25</c:v>
                </c:pt>
                <c:pt idx="4">
                  <c:v>0.1875</c:v>
                </c:pt>
                <c:pt idx="5">
                  <c:v>0.40625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(3)'!$A$177</c:f>
              <c:strCache>
                <c:ptCount val="1"/>
                <c:pt idx="0">
                  <c:v>Шетел валют.міндеттемелерді жабу үшін шетел валю.актив.жеткіліктілігі</c:v>
                </c:pt>
              </c:strCache>
            </c:strRef>
          </c:tx>
          <c:cat>
            <c:strRef>
              <c:f>'Ожид-факт_корп (3)'!$B$175:$G$175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'Ожид-факт_корп (3)'!$B$177:$G$177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0.17142857142857146</c:v>
                </c:pt>
                <c:pt idx="2">
                  <c:v>0.12121212121212122</c:v>
                </c:pt>
                <c:pt idx="3">
                  <c:v>9.375E-2</c:v>
                </c:pt>
                <c:pt idx="4">
                  <c:v>0.15625</c:v>
                </c:pt>
                <c:pt idx="5">
                  <c:v>0.34375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'Ожид-факт_корп (3)'!$A$178</c:f>
              <c:strCache>
                <c:ptCount val="1"/>
                <c:pt idx="0">
                  <c:v>Өтеуді кешіктіру мерзімдері</c:v>
                </c:pt>
              </c:strCache>
            </c:strRef>
          </c:tx>
          <c:cat>
            <c:strRef>
              <c:f>'Ожид-факт_корп (3)'!$B$175:$G$175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'Ожид-факт_корп (3)'!$B$178:$G$178</c:f>
              <c:numCache>
                <c:formatCode>0.00%</c:formatCode>
                <c:ptCount val="6"/>
                <c:pt idx="0">
                  <c:v>0</c:v>
                </c:pt>
                <c:pt idx="1">
                  <c:v>0.19999999999999998</c:v>
                </c:pt>
                <c:pt idx="2">
                  <c:v>0.2121212121212121</c:v>
                </c:pt>
                <c:pt idx="3">
                  <c:v>0.1875</c:v>
                </c:pt>
                <c:pt idx="4">
                  <c:v>0.28125</c:v>
                </c:pt>
                <c:pt idx="5">
                  <c:v>0.40625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'Ожид-факт_корп (3)'!$A$179</c:f>
              <c:strCache>
                <c:ptCount val="1"/>
                <c:pt idx="0">
                  <c:v>Қамтамасыз ету сапасы </c:v>
                </c:pt>
              </c:strCache>
            </c:strRef>
          </c:tx>
          <c:dPt>
            <c:idx val="5"/>
            <c:bubble3D val="0"/>
            <c:spPr>
              <a:ln>
                <a:prstDash val="dash"/>
              </a:ln>
            </c:spPr>
          </c:dPt>
          <c:cat>
            <c:strRef>
              <c:f>'Ожид-факт_корп (3)'!$B$175:$G$175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'Ожид-факт_корп (3)'!$B$179:$G$179</c:f>
              <c:numCache>
                <c:formatCode>0.00%</c:formatCode>
                <c:ptCount val="6"/>
                <c:pt idx="0">
                  <c:v>-2.9411764705882353E-2</c:v>
                </c:pt>
                <c:pt idx="1">
                  <c:v>0.1142857142857143</c:v>
                </c:pt>
                <c:pt idx="2">
                  <c:v>0.12121212121212122</c:v>
                </c:pt>
                <c:pt idx="3">
                  <c:v>9.375E-2</c:v>
                </c:pt>
                <c:pt idx="4">
                  <c:v>9.375E-2</c:v>
                </c:pt>
                <c:pt idx="5">
                  <c:v>0.3125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'Ожид-факт_корп (3)'!$A$180</c:f>
              <c:strCache>
                <c:ptCount val="1"/>
                <c:pt idx="0">
                  <c:v>Мерзімді ұзарту саны</c:v>
                </c:pt>
              </c:strCache>
            </c:strRef>
          </c:tx>
          <c:dPt>
            <c:idx val="5"/>
            <c:bubble3D val="0"/>
            <c:spPr>
              <a:ln>
                <a:prstDash val="dash"/>
              </a:ln>
            </c:spPr>
          </c:dPt>
          <c:cat>
            <c:strRef>
              <c:f>'Ожид-факт_корп (3)'!$B$175:$G$175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'Ожид-факт_корп (3)'!$B$180:$G$180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0.2</c:v>
                </c:pt>
                <c:pt idx="2">
                  <c:v>0.33333333333333337</c:v>
                </c:pt>
                <c:pt idx="3">
                  <c:v>0.15625</c:v>
                </c:pt>
                <c:pt idx="4">
                  <c:v>0.25</c:v>
                </c:pt>
                <c:pt idx="5">
                  <c:v>0.40625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'Ожид-факт_корп (3)'!$A$181</c:f>
              <c:strCache>
                <c:ptCount val="1"/>
                <c:pt idx="0">
                  <c:v>Қарыз алушылардың рейтингісінің өзгеруі </c:v>
                </c:pt>
              </c:strCache>
            </c:strRef>
          </c:tx>
          <c:dPt>
            <c:idx val="5"/>
            <c:bubble3D val="0"/>
            <c:spPr>
              <a:ln>
                <a:prstDash val="dash"/>
              </a:ln>
            </c:spPr>
          </c:dPt>
          <c:cat>
            <c:strRef>
              <c:f>'Ожид-факт_корп (3)'!$B$175:$G$175</c:f>
              <c:strCache>
                <c:ptCount val="6"/>
                <c:pt idx="0">
                  <c:v>4 тоқ 2014</c:v>
                </c:pt>
                <c:pt idx="1">
                  <c:v>1 тоқ 2015 </c:v>
                </c:pt>
                <c:pt idx="2">
                  <c:v>2 тоқ 2015 </c:v>
                </c:pt>
                <c:pt idx="3">
                  <c:v>3 тоқ 2015</c:v>
                </c:pt>
                <c:pt idx="4">
                  <c:v>4 тоқ 2015</c:v>
                </c:pt>
                <c:pt idx="5">
                  <c:v>1 тоқ 2016 </c:v>
                </c:pt>
              </c:strCache>
            </c:strRef>
          </c:cat>
          <c:val>
            <c:numRef>
              <c:f>'Ожид-факт_корп (3)'!$B$181:$G$181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0.11428571428571428</c:v>
                </c:pt>
                <c:pt idx="2">
                  <c:v>0.15151515151515152</c:v>
                </c:pt>
                <c:pt idx="3">
                  <c:v>0.15625</c:v>
                </c:pt>
                <c:pt idx="4">
                  <c:v>0.21875</c:v>
                </c:pt>
                <c:pt idx="5">
                  <c:v>0.21875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867328"/>
        <c:axId val="190868864"/>
      </c:lineChart>
      <c:catAx>
        <c:axId val="190867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90868864"/>
        <c:crosses val="autoZero"/>
        <c:auto val="1"/>
        <c:lblAlgn val="ctr"/>
        <c:lblOffset val="100"/>
        <c:noMultiLvlLbl val="0"/>
      </c:catAx>
      <c:valAx>
        <c:axId val="1908688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90867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398509492882733E-2"/>
          <c:y val="0.40714351340759103"/>
          <c:w val="0.96869053777036995"/>
          <c:h val="0.5897993018513731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5AEC-4147-4944-BC45-41939317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7934</TotalTime>
  <Pages>10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Омарбеков Арман</dc:creator>
  <cp:lastModifiedBy>Омарбеков Арман Ертысович</cp:lastModifiedBy>
  <cp:revision>943</cp:revision>
  <cp:lastPrinted>2015-11-03T09:59:00Z</cp:lastPrinted>
  <dcterms:created xsi:type="dcterms:W3CDTF">2015-11-21T13:32:00Z</dcterms:created>
  <dcterms:modified xsi:type="dcterms:W3CDTF">2016-03-25T11:22:00Z</dcterms:modified>
</cp:coreProperties>
</file>