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44" w:type="dxa"/>
        <w:tblInd w:w="-556" w:type="dxa"/>
        <w:tblLayout w:type="fixed"/>
        <w:tblLook w:val="01E0" w:firstRow="1" w:lastRow="1" w:firstColumn="1" w:lastColumn="1" w:noHBand="0" w:noVBand="0"/>
      </w:tblPr>
      <w:tblGrid>
        <w:gridCol w:w="4606"/>
        <w:gridCol w:w="1918"/>
        <w:gridCol w:w="4220"/>
      </w:tblGrid>
      <w:tr w:rsidR="00186749" w:rsidRPr="00D62E32" w:rsidTr="00186749">
        <w:trPr>
          <w:trHeight w:val="1843"/>
        </w:trPr>
        <w:tc>
          <w:tcPr>
            <w:tcW w:w="4367" w:type="dxa"/>
            <w:tcBorders>
              <w:bottom w:val="single" w:sz="4" w:space="0" w:color="auto"/>
            </w:tcBorders>
            <w:shd w:val="clear" w:color="auto" w:fill="auto"/>
            <w:vAlign w:val="center"/>
          </w:tcPr>
          <w:p w:rsidR="00186749" w:rsidRPr="00D62E32" w:rsidRDefault="00186749" w:rsidP="00D62E32">
            <w:pPr>
              <w:jc w:val="center"/>
              <w:rPr>
                <w:rFonts w:eastAsia="Times New Roman"/>
                <w:b/>
                <w:sz w:val="22"/>
                <w:lang w:eastAsia="ru-RU"/>
              </w:rPr>
            </w:pPr>
            <w:r w:rsidRPr="00D62E32">
              <w:rPr>
                <w:rFonts w:eastAsia="Times New Roman"/>
                <w:b/>
                <w:sz w:val="22"/>
                <w:lang w:eastAsia="ru-RU"/>
              </w:rPr>
              <w:t>«ҚАЗАҚСТАН РЕСПУБЛИКАСЫНЫҢ ҰЛТТЫҚ БАНКІ»</w:t>
            </w:r>
          </w:p>
          <w:p w:rsidR="00186749" w:rsidRPr="00D62E32" w:rsidRDefault="00186749" w:rsidP="00D62E32">
            <w:pPr>
              <w:jc w:val="center"/>
              <w:rPr>
                <w:rFonts w:eastAsia="Times New Roman"/>
                <w:sz w:val="22"/>
                <w:lang w:eastAsia="ru-RU"/>
              </w:rPr>
            </w:pPr>
          </w:p>
          <w:p w:rsidR="00186749" w:rsidRPr="00D62E32" w:rsidRDefault="00186749" w:rsidP="00D62E32">
            <w:pPr>
              <w:jc w:val="center"/>
              <w:rPr>
                <w:rFonts w:eastAsia="Times New Roman"/>
                <w:sz w:val="22"/>
                <w:lang w:eastAsia="ru-RU"/>
              </w:rPr>
            </w:pPr>
            <w:r w:rsidRPr="00D62E32">
              <w:rPr>
                <w:rFonts w:eastAsia="Times New Roman"/>
                <w:sz w:val="22"/>
                <w:lang w:eastAsia="ru-RU"/>
              </w:rPr>
              <w:t xml:space="preserve">РЕСПУБЛИКАЛЫҚ </w:t>
            </w:r>
          </w:p>
          <w:p w:rsidR="00186749" w:rsidRPr="00D62E32" w:rsidRDefault="00186749" w:rsidP="00D62E32">
            <w:pPr>
              <w:jc w:val="center"/>
              <w:rPr>
                <w:rFonts w:eastAsia="Times New Roman"/>
                <w:sz w:val="22"/>
                <w:lang w:eastAsia="ru-RU"/>
              </w:rPr>
            </w:pPr>
            <w:r w:rsidRPr="00D62E32">
              <w:rPr>
                <w:rFonts w:eastAsia="Times New Roman"/>
                <w:sz w:val="22"/>
                <w:lang w:eastAsia="ru-RU"/>
              </w:rPr>
              <w:t xml:space="preserve">МЕМЛЕКЕТТІК </w:t>
            </w:r>
          </w:p>
          <w:p w:rsidR="00186749" w:rsidRPr="00D62E32" w:rsidRDefault="00186749" w:rsidP="00D62E32">
            <w:pPr>
              <w:jc w:val="center"/>
              <w:rPr>
                <w:rFonts w:eastAsia="Times New Roman"/>
                <w:sz w:val="22"/>
                <w:lang w:eastAsia="ru-RU"/>
              </w:rPr>
            </w:pPr>
            <w:r w:rsidRPr="00D62E32">
              <w:rPr>
                <w:rFonts w:eastAsia="Times New Roman"/>
                <w:sz w:val="22"/>
                <w:lang w:eastAsia="ru-RU"/>
              </w:rPr>
              <w:t>МЕКЕМЕСІ</w:t>
            </w:r>
          </w:p>
        </w:tc>
        <w:tc>
          <w:tcPr>
            <w:tcW w:w="1819" w:type="dxa"/>
            <w:tcBorders>
              <w:bottom w:val="single" w:sz="4" w:space="0" w:color="auto"/>
            </w:tcBorders>
            <w:shd w:val="clear" w:color="auto" w:fill="auto"/>
          </w:tcPr>
          <w:p w:rsidR="00186749" w:rsidRPr="00D62E32" w:rsidRDefault="00486313" w:rsidP="00D62E32">
            <w:pPr>
              <w:jc w:val="center"/>
              <w:rPr>
                <w:rFonts w:eastAsia="Times New Roman"/>
                <w:b/>
                <w:sz w:val="22"/>
                <w:lang w:eastAsia="ru-RU"/>
              </w:rPr>
            </w:pPr>
            <w:r>
              <w:rPr>
                <w:rFonts w:eastAsia="Times New Roman"/>
                <w:noProof/>
                <w:sz w:val="22"/>
                <w:lang w:eastAsia="ru-RU"/>
              </w:rPr>
              <w:drawing>
                <wp:inline distT="0" distB="0" distL="0" distR="0">
                  <wp:extent cx="724535" cy="712470"/>
                  <wp:effectExtent l="0" t="0" r="0" b="0"/>
                  <wp:docPr id="1" name="Рисунок 2" descr="Описание: Kazak_ger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Kazak_gerb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4535" cy="712470"/>
                          </a:xfrm>
                          <a:prstGeom prst="rect">
                            <a:avLst/>
                          </a:prstGeom>
                          <a:noFill/>
                          <a:ln>
                            <a:noFill/>
                          </a:ln>
                        </pic:spPr>
                      </pic:pic>
                    </a:graphicData>
                  </a:graphic>
                </wp:inline>
              </w:drawing>
            </w:r>
          </w:p>
        </w:tc>
        <w:tc>
          <w:tcPr>
            <w:tcW w:w="4002" w:type="dxa"/>
            <w:tcBorders>
              <w:bottom w:val="single" w:sz="4" w:space="0" w:color="auto"/>
            </w:tcBorders>
            <w:shd w:val="clear" w:color="auto" w:fill="auto"/>
            <w:vAlign w:val="center"/>
          </w:tcPr>
          <w:p w:rsidR="00186749" w:rsidRPr="00D62E32" w:rsidRDefault="00186749" w:rsidP="00D62E32">
            <w:pPr>
              <w:jc w:val="center"/>
              <w:rPr>
                <w:rFonts w:eastAsia="Times New Roman"/>
                <w:sz w:val="22"/>
                <w:lang w:eastAsia="ru-RU"/>
              </w:rPr>
            </w:pPr>
            <w:r w:rsidRPr="00D62E32">
              <w:rPr>
                <w:rFonts w:eastAsia="Times New Roman"/>
                <w:sz w:val="22"/>
                <w:lang w:eastAsia="ru-RU"/>
              </w:rPr>
              <w:t>РЕСПУБЛИКАНСКОЕ ГОСУДАРСТВЕННОЕ УЧРЕЖДЕНИЕ</w:t>
            </w:r>
          </w:p>
          <w:p w:rsidR="00186749" w:rsidRPr="00D62E32" w:rsidRDefault="00186749" w:rsidP="00D62E32">
            <w:pPr>
              <w:jc w:val="center"/>
              <w:rPr>
                <w:rFonts w:eastAsia="Times New Roman"/>
                <w:b/>
                <w:sz w:val="22"/>
                <w:lang w:eastAsia="ru-RU"/>
              </w:rPr>
            </w:pPr>
          </w:p>
          <w:p w:rsidR="00186749" w:rsidRPr="00D62E32" w:rsidRDefault="00186749" w:rsidP="00D62E32">
            <w:pPr>
              <w:jc w:val="center"/>
              <w:rPr>
                <w:rFonts w:eastAsia="Times New Roman"/>
                <w:sz w:val="22"/>
                <w:lang w:eastAsia="ru-RU"/>
              </w:rPr>
            </w:pPr>
            <w:r w:rsidRPr="00D62E32">
              <w:rPr>
                <w:rFonts w:eastAsia="Times New Roman"/>
                <w:b/>
                <w:sz w:val="22"/>
                <w:lang w:eastAsia="ru-RU"/>
              </w:rPr>
              <w:t>«НАЦИОНАЛЬНЫЙ БАНК РЕСПУБЛИКИ КАЗАХСТАН»</w:t>
            </w:r>
          </w:p>
        </w:tc>
      </w:tr>
      <w:tr w:rsidR="00186749" w:rsidRPr="00D62E32" w:rsidTr="00186749">
        <w:trPr>
          <w:trHeight w:val="987"/>
        </w:trPr>
        <w:tc>
          <w:tcPr>
            <w:tcW w:w="4367" w:type="dxa"/>
            <w:tcBorders>
              <w:top w:val="single" w:sz="4" w:space="0" w:color="auto"/>
            </w:tcBorders>
            <w:shd w:val="clear" w:color="auto" w:fill="auto"/>
            <w:vAlign w:val="center"/>
          </w:tcPr>
          <w:p w:rsidR="00186749" w:rsidRPr="00D62E32" w:rsidRDefault="00186749" w:rsidP="00D62E32">
            <w:pPr>
              <w:jc w:val="center"/>
              <w:rPr>
                <w:rFonts w:eastAsia="Times New Roman"/>
                <w:b/>
                <w:szCs w:val="24"/>
                <w:lang w:eastAsia="ru-RU"/>
              </w:rPr>
            </w:pPr>
            <w:r w:rsidRPr="00D62E32">
              <w:rPr>
                <w:rFonts w:eastAsia="Times New Roman"/>
                <w:b/>
                <w:szCs w:val="24"/>
                <w:lang w:eastAsia="ru-RU"/>
              </w:rPr>
              <w:t xml:space="preserve">БАСҚАРМАСЫ </w:t>
            </w:r>
          </w:p>
          <w:p w:rsidR="00186749" w:rsidRPr="00D62E32" w:rsidRDefault="00186749" w:rsidP="00D62E32">
            <w:pPr>
              <w:jc w:val="center"/>
              <w:rPr>
                <w:rFonts w:eastAsia="Times New Roman"/>
                <w:szCs w:val="24"/>
                <w:lang w:eastAsia="ru-RU"/>
              </w:rPr>
            </w:pPr>
            <w:r w:rsidRPr="00D62E32">
              <w:rPr>
                <w:rFonts w:eastAsia="Times New Roman"/>
                <w:b/>
                <w:szCs w:val="24"/>
                <w:lang w:eastAsia="ru-RU"/>
              </w:rPr>
              <w:t>ҚАУЛЫСЫ</w:t>
            </w:r>
          </w:p>
        </w:tc>
        <w:tc>
          <w:tcPr>
            <w:tcW w:w="1819" w:type="dxa"/>
            <w:tcBorders>
              <w:top w:val="single" w:sz="4" w:space="0" w:color="auto"/>
            </w:tcBorders>
            <w:shd w:val="clear" w:color="auto" w:fill="auto"/>
          </w:tcPr>
          <w:p w:rsidR="00186749" w:rsidRPr="00D62E32" w:rsidRDefault="00186749" w:rsidP="00D62E32">
            <w:pPr>
              <w:rPr>
                <w:rFonts w:eastAsia="Times New Roman"/>
                <w:szCs w:val="24"/>
                <w:lang w:eastAsia="ru-RU"/>
              </w:rPr>
            </w:pPr>
          </w:p>
        </w:tc>
        <w:tc>
          <w:tcPr>
            <w:tcW w:w="4002" w:type="dxa"/>
            <w:tcBorders>
              <w:top w:val="single" w:sz="4" w:space="0" w:color="auto"/>
            </w:tcBorders>
            <w:shd w:val="clear" w:color="auto" w:fill="auto"/>
            <w:vAlign w:val="center"/>
          </w:tcPr>
          <w:p w:rsidR="00186749" w:rsidRPr="00D62E32" w:rsidRDefault="00186749" w:rsidP="00D62E32">
            <w:pPr>
              <w:jc w:val="center"/>
              <w:rPr>
                <w:rFonts w:eastAsia="Times New Roman"/>
                <w:b/>
                <w:szCs w:val="24"/>
                <w:lang w:eastAsia="ru-RU"/>
              </w:rPr>
            </w:pPr>
            <w:r w:rsidRPr="00D62E32">
              <w:rPr>
                <w:rFonts w:eastAsia="Times New Roman"/>
                <w:b/>
                <w:szCs w:val="24"/>
                <w:lang w:eastAsia="ru-RU"/>
              </w:rPr>
              <w:t xml:space="preserve">ПОСТАНОВЛЕНИЕ </w:t>
            </w:r>
          </w:p>
          <w:p w:rsidR="00186749" w:rsidRPr="00D62E32" w:rsidRDefault="00186749" w:rsidP="00D62E32">
            <w:pPr>
              <w:jc w:val="center"/>
              <w:rPr>
                <w:rFonts w:eastAsia="Times New Roman"/>
                <w:szCs w:val="24"/>
                <w:lang w:eastAsia="ru-RU"/>
              </w:rPr>
            </w:pPr>
            <w:r w:rsidRPr="00D62E32">
              <w:rPr>
                <w:rFonts w:eastAsia="Times New Roman"/>
                <w:b/>
                <w:szCs w:val="24"/>
                <w:lang w:eastAsia="ru-RU"/>
              </w:rPr>
              <w:t>ПРАВЛЕНИЯ</w:t>
            </w:r>
          </w:p>
        </w:tc>
      </w:tr>
      <w:tr w:rsidR="00186749" w:rsidRPr="00D62E32" w:rsidTr="00186749">
        <w:trPr>
          <w:trHeight w:val="417"/>
        </w:trPr>
        <w:tc>
          <w:tcPr>
            <w:tcW w:w="4367" w:type="dxa"/>
            <w:shd w:val="clear" w:color="auto" w:fill="auto"/>
            <w:vAlign w:val="center"/>
          </w:tcPr>
          <w:p w:rsidR="00186749" w:rsidRPr="00D62E32" w:rsidRDefault="00186749" w:rsidP="00D62E32">
            <w:pPr>
              <w:jc w:val="center"/>
              <w:rPr>
                <w:rFonts w:eastAsia="Times New Roman"/>
                <w:szCs w:val="24"/>
                <w:lang w:eastAsia="ru-RU"/>
              </w:rPr>
            </w:pPr>
          </w:p>
          <w:p w:rsidR="00186749" w:rsidRPr="00D62E32" w:rsidRDefault="00186749" w:rsidP="00D62E32">
            <w:pPr>
              <w:jc w:val="center"/>
              <w:rPr>
                <w:rFonts w:eastAsia="Times New Roman"/>
                <w:b/>
                <w:szCs w:val="24"/>
                <w:lang w:eastAsia="ru-RU"/>
              </w:rPr>
            </w:pPr>
            <w:r w:rsidRPr="00D62E32">
              <w:rPr>
                <w:rFonts w:eastAsia="Times New Roman"/>
                <w:szCs w:val="24"/>
                <w:lang w:eastAsia="ru-RU"/>
              </w:rPr>
              <w:t>_______________ 201_ года</w:t>
            </w:r>
          </w:p>
        </w:tc>
        <w:tc>
          <w:tcPr>
            <w:tcW w:w="1819" w:type="dxa"/>
            <w:shd w:val="clear" w:color="auto" w:fill="auto"/>
          </w:tcPr>
          <w:p w:rsidR="00186749" w:rsidRPr="00D62E32" w:rsidRDefault="00186749" w:rsidP="00D62E32">
            <w:pPr>
              <w:rPr>
                <w:rFonts w:eastAsia="Times New Roman"/>
                <w:szCs w:val="24"/>
                <w:lang w:eastAsia="ru-RU"/>
              </w:rPr>
            </w:pPr>
          </w:p>
        </w:tc>
        <w:tc>
          <w:tcPr>
            <w:tcW w:w="4002" w:type="dxa"/>
            <w:shd w:val="clear" w:color="auto" w:fill="auto"/>
            <w:vAlign w:val="center"/>
          </w:tcPr>
          <w:p w:rsidR="00186749" w:rsidRPr="00D62E32" w:rsidRDefault="00186749" w:rsidP="00D62E32">
            <w:pPr>
              <w:jc w:val="center"/>
              <w:rPr>
                <w:rFonts w:eastAsia="Times New Roman"/>
                <w:szCs w:val="24"/>
                <w:lang w:eastAsia="ru-RU"/>
              </w:rPr>
            </w:pPr>
          </w:p>
          <w:p w:rsidR="00186749" w:rsidRPr="00D62E32" w:rsidRDefault="00186749" w:rsidP="00D62E32">
            <w:pPr>
              <w:jc w:val="center"/>
              <w:rPr>
                <w:rFonts w:eastAsia="Times New Roman"/>
                <w:b/>
                <w:szCs w:val="24"/>
                <w:lang w:eastAsia="ru-RU"/>
              </w:rPr>
            </w:pPr>
            <w:r w:rsidRPr="00D62E32">
              <w:rPr>
                <w:rFonts w:eastAsia="Times New Roman"/>
                <w:szCs w:val="24"/>
                <w:lang w:eastAsia="ru-RU"/>
              </w:rPr>
              <w:t>№ ____</w:t>
            </w:r>
          </w:p>
        </w:tc>
      </w:tr>
    </w:tbl>
    <w:p w:rsidR="00F17D2E" w:rsidRPr="00D62E32" w:rsidRDefault="00F17D2E" w:rsidP="00D62E32">
      <w:pPr>
        <w:rPr>
          <w:vanish/>
        </w:rPr>
      </w:pPr>
    </w:p>
    <w:tbl>
      <w:tblPr>
        <w:tblpPr w:leftFromText="180" w:rightFromText="180" w:vertAnchor="text" w:horzAnchor="margin" w:tblpY="225"/>
        <w:tblW w:w="10188" w:type="dxa"/>
        <w:tblLayout w:type="fixed"/>
        <w:tblLook w:val="01E0" w:firstRow="1" w:lastRow="1" w:firstColumn="1" w:lastColumn="1" w:noHBand="0" w:noVBand="0"/>
      </w:tblPr>
      <w:tblGrid>
        <w:gridCol w:w="4367"/>
        <w:gridCol w:w="1819"/>
        <w:gridCol w:w="4002"/>
      </w:tblGrid>
      <w:tr w:rsidR="00186749" w:rsidRPr="00D62E32" w:rsidTr="00186749">
        <w:trPr>
          <w:trHeight w:val="70"/>
        </w:trPr>
        <w:tc>
          <w:tcPr>
            <w:tcW w:w="4367" w:type="dxa"/>
            <w:shd w:val="clear" w:color="auto" w:fill="auto"/>
            <w:vAlign w:val="center"/>
          </w:tcPr>
          <w:p w:rsidR="00186749" w:rsidRPr="00D62E32" w:rsidRDefault="00186749" w:rsidP="00D62E32">
            <w:pPr>
              <w:jc w:val="center"/>
              <w:rPr>
                <w:rFonts w:eastAsia="Times New Roman"/>
                <w:sz w:val="22"/>
                <w:lang w:eastAsia="ru-RU"/>
              </w:rPr>
            </w:pPr>
          </w:p>
          <w:p w:rsidR="00186749" w:rsidRPr="00D62E32" w:rsidRDefault="00186749" w:rsidP="00D62E32">
            <w:pPr>
              <w:rPr>
                <w:rFonts w:eastAsia="Times New Roman"/>
                <w:b/>
                <w:sz w:val="22"/>
                <w:lang w:eastAsia="ru-RU"/>
              </w:rPr>
            </w:pPr>
            <w:r w:rsidRPr="00D62E32">
              <w:rPr>
                <w:rFonts w:eastAsia="Times New Roman"/>
                <w:sz w:val="22"/>
                <w:lang w:eastAsia="ru-RU"/>
              </w:rPr>
              <w:t xml:space="preserve">                 Алматы қ.</w:t>
            </w:r>
          </w:p>
        </w:tc>
        <w:tc>
          <w:tcPr>
            <w:tcW w:w="1819" w:type="dxa"/>
            <w:shd w:val="clear" w:color="auto" w:fill="auto"/>
          </w:tcPr>
          <w:p w:rsidR="00186749" w:rsidRPr="00D62E32" w:rsidRDefault="00186749" w:rsidP="00D62E32">
            <w:pPr>
              <w:rPr>
                <w:rFonts w:eastAsia="Times New Roman"/>
                <w:sz w:val="22"/>
                <w:lang w:eastAsia="ru-RU"/>
              </w:rPr>
            </w:pPr>
          </w:p>
        </w:tc>
        <w:tc>
          <w:tcPr>
            <w:tcW w:w="4002" w:type="dxa"/>
            <w:shd w:val="clear" w:color="auto" w:fill="auto"/>
            <w:vAlign w:val="center"/>
          </w:tcPr>
          <w:p w:rsidR="00186749" w:rsidRPr="00D62E32" w:rsidRDefault="00186749" w:rsidP="00D62E32">
            <w:pPr>
              <w:jc w:val="center"/>
              <w:rPr>
                <w:rFonts w:eastAsia="Times New Roman"/>
                <w:sz w:val="22"/>
                <w:lang w:eastAsia="ru-RU"/>
              </w:rPr>
            </w:pPr>
          </w:p>
          <w:p w:rsidR="00186749" w:rsidRPr="00D62E32" w:rsidRDefault="00186749" w:rsidP="00D62E32">
            <w:pPr>
              <w:rPr>
                <w:rFonts w:eastAsia="Times New Roman"/>
                <w:b/>
                <w:sz w:val="22"/>
                <w:lang w:eastAsia="ru-RU"/>
              </w:rPr>
            </w:pPr>
            <w:r w:rsidRPr="00D62E32">
              <w:rPr>
                <w:rFonts w:eastAsia="Times New Roman"/>
                <w:sz w:val="22"/>
                <w:lang w:eastAsia="ru-RU"/>
              </w:rPr>
              <w:t xml:space="preserve">                    г. Алматы</w:t>
            </w:r>
          </w:p>
        </w:tc>
      </w:tr>
    </w:tbl>
    <w:p w:rsidR="00810BA7" w:rsidRPr="00D62E32" w:rsidRDefault="00810BA7" w:rsidP="00D62E32">
      <w:pPr>
        <w:ind w:firstLine="709"/>
        <w:rPr>
          <w:rStyle w:val="s1"/>
          <w:b w:val="0"/>
          <w:sz w:val="28"/>
          <w:szCs w:val="28"/>
        </w:rPr>
      </w:pPr>
    </w:p>
    <w:p w:rsidR="00810BA7" w:rsidRPr="00D62E32" w:rsidRDefault="00810BA7" w:rsidP="00D62E32">
      <w:pPr>
        <w:ind w:firstLine="709"/>
        <w:rPr>
          <w:rStyle w:val="s1"/>
          <w:b w:val="0"/>
          <w:sz w:val="28"/>
          <w:szCs w:val="28"/>
        </w:rPr>
      </w:pPr>
    </w:p>
    <w:tbl>
      <w:tblPr>
        <w:tblW w:w="9889" w:type="dxa"/>
        <w:tblLook w:val="04A0" w:firstRow="1" w:lastRow="0" w:firstColumn="1" w:lastColumn="0" w:noHBand="0" w:noVBand="1"/>
      </w:tblPr>
      <w:tblGrid>
        <w:gridCol w:w="9889"/>
      </w:tblGrid>
      <w:tr w:rsidR="00810BA7" w:rsidRPr="00EE21E7" w:rsidTr="00EE21E7">
        <w:tc>
          <w:tcPr>
            <w:tcW w:w="9889" w:type="dxa"/>
            <w:shd w:val="clear" w:color="auto" w:fill="auto"/>
          </w:tcPr>
          <w:p w:rsidR="00810BA7" w:rsidRPr="00D62E32" w:rsidRDefault="00EE21E7" w:rsidP="00EE21E7">
            <w:pPr>
              <w:jc w:val="center"/>
              <w:rPr>
                <w:rStyle w:val="s1"/>
                <w:sz w:val="28"/>
                <w:szCs w:val="28"/>
                <w:lang w:val="kk-KZ"/>
              </w:rPr>
            </w:pPr>
            <w:r w:rsidRPr="00EE21E7">
              <w:rPr>
                <w:rStyle w:val="s1"/>
                <w:sz w:val="28"/>
                <w:szCs w:val="28"/>
                <w:lang w:val="kk-KZ"/>
              </w:rPr>
              <w:t>Бір тұлғаның дербес не бір немесе бірнеше тұлғамен бірлесіп заңды тұлғаның шешімдерін басқаша айқындау мүмкіндігінің болу жағдайларын белгілеу туралы</w:t>
            </w:r>
          </w:p>
        </w:tc>
      </w:tr>
    </w:tbl>
    <w:p w:rsidR="00810BA7" w:rsidRPr="00D62E32" w:rsidRDefault="00810BA7" w:rsidP="00D62E32">
      <w:pPr>
        <w:ind w:firstLine="709"/>
        <w:rPr>
          <w:rStyle w:val="s0"/>
          <w:sz w:val="28"/>
          <w:szCs w:val="28"/>
          <w:lang w:val="kk-KZ"/>
        </w:rPr>
      </w:pPr>
    </w:p>
    <w:p w:rsidR="00975903" w:rsidRPr="00975903" w:rsidRDefault="00975903" w:rsidP="00975903">
      <w:pPr>
        <w:ind w:firstLine="709"/>
        <w:rPr>
          <w:color w:val="000000"/>
          <w:sz w:val="28"/>
          <w:szCs w:val="28"/>
          <w:lang w:val="kk-KZ"/>
        </w:rPr>
      </w:pPr>
      <w:r w:rsidRPr="00975903">
        <w:rPr>
          <w:color w:val="000000"/>
          <w:sz w:val="28"/>
          <w:szCs w:val="28"/>
          <w:lang w:val="kk-KZ"/>
        </w:rPr>
        <w:t xml:space="preserve">«Қазақстан Республикасындағы банктер және банк қызметі туралы» 1995 жылғы 31 тамыздағы (бұдан әрі – Банктер туралы заң) және «Сақтандыру қызметі туралы» 2000 жылғы 18 желтоқсандағы (бұдан әрі – Сақтандыру қызметі туралы заң) Қазақстан Республикасының заңдарына сәйкес Қазақстан Республикасы Ұлттық Банкінің Басқармасы </w:t>
      </w:r>
      <w:r w:rsidRPr="00975903">
        <w:rPr>
          <w:b/>
          <w:color w:val="000000"/>
          <w:sz w:val="28"/>
          <w:szCs w:val="28"/>
          <w:lang w:val="kk-KZ"/>
        </w:rPr>
        <w:t>ҚАУЛЫ ЕТЕДІ</w:t>
      </w:r>
      <w:r w:rsidRPr="00975903">
        <w:rPr>
          <w:color w:val="000000"/>
          <w:sz w:val="28"/>
          <w:szCs w:val="28"/>
          <w:lang w:val="kk-KZ"/>
        </w:rPr>
        <w:t>:</w:t>
      </w:r>
    </w:p>
    <w:p w:rsidR="00975903" w:rsidRPr="00975903" w:rsidRDefault="00975903" w:rsidP="00975903">
      <w:pPr>
        <w:ind w:firstLine="709"/>
        <w:rPr>
          <w:b/>
          <w:bCs/>
          <w:color w:val="000000"/>
          <w:sz w:val="28"/>
          <w:szCs w:val="28"/>
          <w:lang w:val="kk-KZ"/>
        </w:rPr>
      </w:pPr>
      <w:r w:rsidRPr="00975903">
        <w:rPr>
          <w:color w:val="000000"/>
          <w:sz w:val="28"/>
          <w:szCs w:val="28"/>
          <w:lang w:val="kk-KZ"/>
        </w:rPr>
        <w:t xml:space="preserve">1. </w:t>
      </w:r>
      <w:r w:rsidRPr="00975903">
        <w:rPr>
          <w:bCs/>
          <w:color w:val="000000"/>
          <w:sz w:val="28"/>
          <w:szCs w:val="28"/>
          <w:lang w:val="kk-KZ"/>
        </w:rPr>
        <w:t>Бір тұлғаның дербес не бір немесе бірнеше тұлғамен бірлесіп заңды тұлғаның шешімдерін басқаша айқындау мүмкіндігі болуының мынадай жағдайлары</w:t>
      </w:r>
      <w:r w:rsidRPr="00975903">
        <w:rPr>
          <w:color w:val="000000"/>
          <w:sz w:val="28"/>
          <w:szCs w:val="28"/>
          <w:lang w:val="kk-KZ"/>
        </w:rPr>
        <w:t xml:space="preserve"> белгіленсін:</w:t>
      </w:r>
    </w:p>
    <w:p w:rsidR="00975903" w:rsidRPr="00975903" w:rsidRDefault="00975903" w:rsidP="00975903">
      <w:pPr>
        <w:ind w:firstLine="709"/>
        <w:rPr>
          <w:color w:val="000000"/>
          <w:sz w:val="28"/>
          <w:szCs w:val="28"/>
          <w:lang w:val="kk-KZ"/>
        </w:rPr>
      </w:pPr>
      <w:r w:rsidRPr="00975903">
        <w:rPr>
          <w:color w:val="000000"/>
          <w:sz w:val="28"/>
          <w:szCs w:val="28"/>
          <w:lang w:val="kk-KZ"/>
        </w:rPr>
        <w:t>1) бір тұлғаның дербес не бір немесе бірнеше тұлғамен бірлесіп басшы қызметкерлері және (немесе) акционерлері (құрылтайшылары, қатысушылары) қаржыландыратын тұлғаның (тұлғалардың) қызметкерлері болып табылатын заңды тұлғаны қаржыландыратын заңды тұлғаның меншікті капиталынан асатын мөлшерде қаржыландыруы;</w:t>
      </w:r>
    </w:p>
    <w:p w:rsidR="00975903" w:rsidRPr="00975903" w:rsidRDefault="00975903" w:rsidP="00975903">
      <w:pPr>
        <w:ind w:firstLine="709"/>
        <w:rPr>
          <w:color w:val="000000"/>
          <w:sz w:val="28"/>
          <w:szCs w:val="28"/>
          <w:lang w:val="kk-KZ"/>
        </w:rPr>
      </w:pPr>
      <w:r w:rsidRPr="00975903">
        <w:rPr>
          <w:color w:val="000000"/>
          <w:sz w:val="28"/>
          <w:szCs w:val="28"/>
          <w:lang w:val="kk-KZ"/>
        </w:rPr>
        <w:t>2) тұлғаның дербес не заңды тұлғаның шешімдерін айқындайтын бір немесе бірнеше тұлғамен бірлесіп, ақысы бақылаудағы және осы қызметтерді ұсынған заңды тұлға кірістерінің кемінде жартысын құраған, бақылаудағы және (немесе) қызметтерді алушы (алушылар) болып табылатын көрсетілген тұлға (тұлғалар) алдында берешегі бар заңды тұлғадан қызметтерді алуы.</w:t>
      </w:r>
    </w:p>
    <w:p w:rsidR="00975903" w:rsidRPr="00975903" w:rsidRDefault="00975903" w:rsidP="00975903">
      <w:pPr>
        <w:ind w:firstLine="709"/>
        <w:rPr>
          <w:color w:val="000000"/>
          <w:sz w:val="28"/>
          <w:szCs w:val="28"/>
          <w:lang w:val="kk-KZ"/>
        </w:rPr>
      </w:pPr>
      <w:r w:rsidRPr="00975903">
        <w:rPr>
          <w:color w:val="000000"/>
          <w:sz w:val="28"/>
          <w:szCs w:val="28"/>
          <w:lang w:val="kk-KZ"/>
        </w:rPr>
        <w:t>Қазақстан Республикасының Ұлттық Банкі (бұдан әрі – уәкілетті орган) шоғырландырылған негізде қадағалауды жүзеге асыру мақсатында өз құзыреті шегінде бақылаудағы заңды тұлғаның шешімдерін дербес не бір немесе бірнеше тұлғамен бірлесіп айқындайтын тұлғалардан бақылаудағы заңды тұлғаға бақылаудың болуын не оның болмауын айқындауға қажетті ақпаратты сұратады.</w:t>
      </w:r>
    </w:p>
    <w:p w:rsidR="00975903" w:rsidRPr="00975903" w:rsidRDefault="00975903" w:rsidP="00975903">
      <w:pPr>
        <w:ind w:firstLine="709"/>
        <w:rPr>
          <w:color w:val="000000"/>
          <w:sz w:val="28"/>
          <w:szCs w:val="28"/>
          <w:lang w:val="kk-KZ"/>
        </w:rPr>
      </w:pPr>
      <w:r w:rsidRPr="00975903">
        <w:rPr>
          <w:color w:val="000000"/>
          <w:sz w:val="28"/>
          <w:szCs w:val="28"/>
          <w:lang w:val="kk-KZ"/>
        </w:rPr>
        <w:lastRenderedPageBreak/>
        <w:t>Осы тармақтың екінші бөлігінде көрсетілген ақпарат берілмеген жағдайда, уәкілетті органның сұратуын алған күннен бастап күнтізбелік 30 (отыз) күн ішінде атына сұрату жіберілген тұлға (тұлғалар) заңды тұлғаға бақылауы бар тұлға (тұлғалар) деп танылады.</w:t>
      </w:r>
    </w:p>
    <w:p w:rsidR="00975903" w:rsidRPr="00975903" w:rsidRDefault="00975903" w:rsidP="00975903">
      <w:pPr>
        <w:ind w:firstLine="709"/>
        <w:rPr>
          <w:color w:val="000000"/>
          <w:sz w:val="28"/>
          <w:szCs w:val="28"/>
          <w:lang w:val="kk-KZ"/>
        </w:rPr>
      </w:pPr>
      <w:r w:rsidRPr="00975903">
        <w:rPr>
          <w:color w:val="000000"/>
          <w:sz w:val="28"/>
          <w:szCs w:val="28"/>
          <w:lang w:val="kk-KZ"/>
        </w:rPr>
        <w:t xml:space="preserve">Уәкілетті орган бақылаудағы заңды тұлғаға бір тұлға тарапынан бақылаудың болуын айқындаған жағдайда, бақылаушы тұлға уәкілетті органның тиісті жазбаша хабарламасын алған күнінен бастап күнтізбелік 30 (отыз) күн ішінде Банктер туралы </w:t>
      </w:r>
      <w:r w:rsidRPr="006A22E4">
        <w:rPr>
          <w:sz w:val="28"/>
          <w:szCs w:val="28"/>
          <w:lang w:val="kk-KZ"/>
        </w:rPr>
        <w:t xml:space="preserve">заңның </w:t>
      </w:r>
      <w:bookmarkStart w:id="0" w:name="sub1000234128"/>
      <w:r w:rsidRPr="006A22E4">
        <w:rPr>
          <w:sz w:val="28"/>
          <w:szCs w:val="28"/>
        </w:rPr>
        <w:fldChar w:fldCharType="begin"/>
      </w:r>
      <w:r w:rsidRPr="006A22E4">
        <w:rPr>
          <w:sz w:val="28"/>
          <w:szCs w:val="28"/>
          <w:lang w:val="kk-KZ"/>
        </w:rPr>
        <w:instrText xml:space="preserve"> HYPERLINK "jl:51003931.17010000 " </w:instrText>
      </w:r>
      <w:r w:rsidRPr="006A22E4">
        <w:rPr>
          <w:sz w:val="28"/>
          <w:szCs w:val="28"/>
        </w:rPr>
        <w:fldChar w:fldCharType="separate"/>
      </w:r>
      <w:r w:rsidRPr="006A22E4">
        <w:rPr>
          <w:rStyle w:val="a3"/>
          <w:color w:val="auto"/>
          <w:sz w:val="28"/>
          <w:szCs w:val="28"/>
          <w:u w:val="none"/>
          <w:lang w:val="kk-KZ"/>
        </w:rPr>
        <w:t>17-1-бабында</w:t>
      </w:r>
      <w:r w:rsidRPr="006A22E4">
        <w:rPr>
          <w:sz w:val="28"/>
          <w:szCs w:val="28"/>
          <w:lang w:val="kk-KZ"/>
        </w:rPr>
        <w:fldChar w:fldCharType="end"/>
      </w:r>
      <w:bookmarkEnd w:id="0"/>
      <w:r w:rsidRPr="006A22E4">
        <w:rPr>
          <w:sz w:val="28"/>
          <w:szCs w:val="28"/>
          <w:lang w:val="kk-KZ"/>
        </w:rPr>
        <w:t xml:space="preserve"> және Сақтандыру қызметі туралы заңның </w:t>
      </w:r>
      <w:hyperlink r:id="rId10" w:history="1">
        <w:r w:rsidRPr="006A22E4">
          <w:rPr>
            <w:rStyle w:val="a3"/>
            <w:color w:val="auto"/>
            <w:sz w:val="28"/>
            <w:szCs w:val="28"/>
            <w:u w:val="none"/>
            <w:lang w:val="kk-KZ"/>
          </w:rPr>
          <w:t>26-бабында</w:t>
        </w:r>
      </w:hyperlink>
      <w:r w:rsidRPr="006A22E4">
        <w:rPr>
          <w:sz w:val="28"/>
          <w:szCs w:val="28"/>
          <w:lang w:val="kk-KZ"/>
        </w:rPr>
        <w:t xml:space="preserve"> көрсетілген құжаттарды </w:t>
      </w:r>
      <w:r w:rsidRPr="00975903">
        <w:rPr>
          <w:color w:val="000000"/>
          <w:sz w:val="28"/>
          <w:szCs w:val="28"/>
          <w:lang w:val="kk-KZ"/>
        </w:rPr>
        <w:t>ұсынады.</w:t>
      </w:r>
    </w:p>
    <w:p w:rsidR="00975903" w:rsidRPr="00975903" w:rsidRDefault="00975903" w:rsidP="00975903">
      <w:pPr>
        <w:ind w:firstLine="709"/>
        <w:rPr>
          <w:color w:val="000000"/>
          <w:sz w:val="28"/>
          <w:szCs w:val="28"/>
          <w:lang w:val="kk-KZ"/>
        </w:rPr>
      </w:pPr>
      <w:r w:rsidRPr="00975903">
        <w:rPr>
          <w:color w:val="000000"/>
          <w:sz w:val="28"/>
          <w:szCs w:val="28"/>
          <w:lang w:val="kk-KZ"/>
        </w:rPr>
        <w:t>Осы қаулының мақсаттары үшін:</w:t>
      </w:r>
    </w:p>
    <w:p w:rsidR="00975903" w:rsidRPr="00975903" w:rsidRDefault="00975903" w:rsidP="00975903">
      <w:pPr>
        <w:ind w:firstLine="709"/>
        <w:rPr>
          <w:color w:val="000000"/>
          <w:sz w:val="28"/>
          <w:szCs w:val="28"/>
          <w:lang w:val="kk-KZ"/>
        </w:rPr>
      </w:pPr>
      <w:r w:rsidRPr="00975903">
        <w:rPr>
          <w:color w:val="000000"/>
          <w:sz w:val="28"/>
          <w:szCs w:val="28"/>
          <w:lang w:val="kk-KZ"/>
        </w:rPr>
        <w:t>бақылаудағы заңды тұлға деп шешімдерін қаржы ұйымы дербес не бір немесе бірнеше жеке және (немесе) заңды тұлғамен бірлесіп айқындайтын заңды тұлға, не шешімдерін жеке және (немесе) заңды тұлға дербес не бір немесе бірнеше тұлғамен бірлесіп айқындайтын, қаржы ұйымы болып табылатын заңды тұлға;</w:t>
      </w:r>
    </w:p>
    <w:p w:rsidR="00975903" w:rsidRPr="00975903" w:rsidRDefault="00975903" w:rsidP="00975903">
      <w:pPr>
        <w:ind w:firstLine="709"/>
        <w:rPr>
          <w:color w:val="000000"/>
          <w:sz w:val="28"/>
          <w:szCs w:val="28"/>
          <w:lang w:val="kk-KZ"/>
        </w:rPr>
      </w:pPr>
      <w:r w:rsidRPr="00975903">
        <w:rPr>
          <w:color w:val="000000"/>
          <w:sz w:val="28"/>
          <w:szCs w:val="28"/>
          <w:lang w:val="kk-KZ"/>
        </w:rPr>
        <w:t>заңды тұлғаның шешімдерін дербес не бір немесе бірнеше тұлғамен бірлесіп айқындайтын тұлғалар деп қаржы ұйымының шешімдерін дербес не бірлесі</w:t>
      </w:r>
      <w:bookmarkStart w:id="1" w:name="_GoBack"/>
      <w:bookmarkEnd w:id="1"/>
      <w:r w:rsidRPr="00975903">
        <w:rPr>
          <w:color w:val="000000"/>
          <w:sz w:val="28"/>
          <w:szCs w:val="28"/>
          <w:lang w:val="kk-KZ"/>
        </w:rPr>
        <w:t>п айқындайтын жеке және (немесе) заңды тұлға не заңды тұлғаның шешімдерін дербес не бір немесе бірнеше тұлғамен айқындайтын қаржы ұйымы түсініледі.</w:t>
      </w:r>
    </w:p>
    <w:p w:rsidR="00975903" w:rsidRPr="00975903" w:rsidRDefault="00975903" w:rsidP="00975903">
      <w:pPr>
        <w:ind w:firstLine="709"/>
        <w:rPr>
          <w:color w:val="000000"/>
          <w:sz w:val="28"/>
          <w:szCs w:val="28"/>
          <w:lang w:val="kk-KZ"/>
        </w:rPr>
      </w:pPr>
      <w:r w:rsidRPr="00975903">
        <w:rPr>
          <w:color w:val="000000"/>
          <w:sz w:val="28"/>
          <w:szCs w:val="28"/>
          <w:lang w:val="kk-KZ"/>
        </w:rPr>
        <w:t>2. «Бір тұлғаның дербес не бір немесе бірнеше тұлғамен бірлесіп заңды тұлғаның шешімдерін шартқа (растайтын құжаттарға) байланысты немесе басқаша айқындау мүмкіндігі туралы нұсқаулықты бекіту жөнінде» Қазақстан Республикасы Ұлттық Банкі Басқармасының 2012 жылғы 4 шілдедегі № 217 қаулысының (Нормативтік құқықтық актілерді мемлекеттік тіркеу тізілімінде № 7854 болып тіркелген, 2012 жылғы 26 қыркүйекте «Егемен Қазақстан» газетінде № 622-630 (27701) жарияланған) күші жойылды деп танылсын.</w:t>
      </w:r>
    </w:p>
    <w:p w:rsidR="00975903" w:rsidRPr="00975903" w:rsidRDefault="00975903" w:rsidP="00975903">
      <w:pPr>
        <w:ind w:firstLine="709"/>
        <w:rPr>
          <w:color w:val="000000"/>
          <w:sz w:val="28"/>
          <w:szCs w:val="28"/>
          <w:lang w:val="kk-KZ"/>
        </w:rPr>
      </w:pPr>
      <w:r w:rsidRPr="00975903">
        <w:rPr>
          <w:color w:val="000000"/>
          <w:sz w:val="28"/>
          <w:szCs w:val="28"/>
          <w:lang w:val="kk-KZ"/>
        </w:rPr>
        <w:t xml:space="preserve">3. Қаржы нарығының әдіснамасы департаменті (Сәлімбаев Д.Н.) </w:t>
      </w:r>
    </w:p>
    <w:p w:rsidR="00975903" w:rsidRPr="00975903" w:rsidRDefault="00975903" w:rsidP="00975903">
      <w:pPr>
        <w:ind w:firstLine="709"/>
        <w:rPr>
          <w:color w:val="000000"/>
          <w:sz w:val="28"/>
          <w:szCs w:val="28"/>
        </w:rPr>
      </w:pPr>
      <w:r w:rsidRPr="00975903">
        <w:rPr>
          <w:color w:val="000000"/>
          <w:sz w:val="28"/>
          <w:szCs w:val="28"/>
          <w:lang w:val="kk-KZ"/>
        </w:rPr>
        <w:t>Қазақстан Республикасының заңнамасында белгіленген тәртіппен:</w:t>
      </w:r>
    </w:p>
    <w:p w:rsidR="00975903" w:rsidRPr="00975903" w:rsidRDefault="00975903" w:rsidP="00975903">
      <w:pPr>
        <w:ind w:firstLine="709"/>
        <w:rPr>
          <w:color w:val="000000"/>
          <w:sz w:val="28"/>
          <w:szCs w:val="28"/>
          <w:lang w:val="kk-KZ"/>
        </w:rPr>
      </w:pPr>
      <w:r w:rsidRPr="00975903">
        <w:rPr>
          <w:color w:val="000000"/>
          <w:sz w:val="28"/>
          <w:szCs w:val="28"/>
        </w:rPr>
        <w:t>1)</w:t>
      </w:r>
      <w:r w:rsidRPr="00975903">
        <w:rPr>
          <w:color w:val="000000"/>
          <w:sz w:val="28"/>
          <w:szCs w:val="28"/>
        </w:rPr>
        <w:tab/>
      </w:r>
      <w:r w:rsidRPr="00975903">
        <w:rPr>
          <w:color w:val="000000"/>
          <w:sz w:val="28"/>
          <w:szCs w:val="28"/>
          <w:lang w:val="kk-KZ"/>
        </w:rPr>
        <w:t>Заң департаментімен (Сәрсенова Н.В.) бірлесі</w:t>
      </w:r>
      <w:proofErr w:type="gramStart"/>
      <w:r w:rsidRPr="00975903">
        <w:rPr>
          <w:color w:val="000000"/>
          <w:sz w:val="28"/>
          <w:szCs w:val="28"/>
          <w:lang w:val="kk-KZ"/>
        </w:rPr>
        <w:t>п</w:t>
      </w:r>
      <w:proofErr w:type="gramEnd"/>
      <w:r w:rsidRPr="00975903">
        <w:rPr>
          <w:color w:val="000000"/>
          <w:sz w:val="28"/>
          <w:szCs w:val="28"/>
          <w:lang w:val="kk-KZ"/>
        </w:rPr>
        <w:t xml:space="preserve"> осы қаулыны Қазақстан Республикасының Әділет министрлігінде мемлекеттік тіркеуді;</w:t>
      </w:r>
    </w:p>
    <w:p w:rsidR="00975903" w:rsidRPr="00975903" w:rsidRDefault="00975903" w:rsidP="00975903">
      <w:pPr>
        <w:ind w:firstLine="709"/>
        <w:rPr>
          <w:color w:val="000000"/>
          <w:sz w:val="28"/>
          <w:szCs w:val="28"/>
          <w:lang w:val="kk-KZ"/>
        </w:rPr>
      </w:pPr>
      <w:r w:rsidRPr="00975903">
        <w:rPr>
          <w:color w:val="000000"/>
          <w:sz w:val="28"/>
          <w:szCs w:val="28"/>
          <w:lang w:val="kk-KZ"/>
        </w:rPr>
        <w:t>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rsidR="00975903" w:rsidRPr="00975903" w:rsidRDefault="00975903" w:rsidP="00975903">
      <w:pPr>
        <w:ind w:firstLine="709"/>
        <w:rPr>
          <w:color w:val="000000"/>
          <w:sz w:val="28"/>
          <w:szCs w:val="28"/>
          <w:lang w:val="kk-KZ"/>
        </w:rPr>
      </w:pPr>
      <w:r w:rsidRPr="00975903">
        <w:rPr>
          <w:color w:val="000000"/>
          <w:sz w:val="28"/>
          <w:szCs w:val="28"/>
          <w:lang w:val="kk-KZ"/>
        </w:rPr>
        <w:t>3) осы қаулыны ресми жарияланғаннан кейін Қазақстан Республикасы Ұлттық Банкінің ресми интернет-ресурсына орналастыруды қамтамасыз етсін.</w:t>
      </w:r>
    </w:p>
    <w:p w:rsidR="00975903" w:rsidRPr="00975903" w:rsidRDefault="00975903" w:rsidP="00975903">
      <w:pPr>
        <w:ind w:firstLine="709"/>
        <w:rPr>
          <w:color w:val="000000"/>
          <w:sz w:val="28"/>
          <w:szCs w:val="28"/>
          <w:lang w:val="kk-KZ"/>
        </w:rPr>
      </w:pPr>
      <w:r w:rsidRPr="00975903">
        <w:rPr>
          <w:color w:val="000000"/>
          <w:sz w:val="28"/>
          <w:szCs w:val="28"/>
          <w:lang w:val="kk-KZ"/>
        </w:rPr>
        <w:t xml:space="preserve">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p w:rsidR="00975903" w:rsidRPr="00975903" w:rsidRDefault="00975903" w:rsidP="00975903">
      <w:pPr>
        <w:ind w:firstLine="709"/>
        <w:rPr>
          <w:color w:val="000000"/>
          <w:sz w:val="28"/>
          <w:szCs w:val="28"/>
          <w:lang w:val="kk-KZ"/>
        </w:rPr>
      </w:pPr>
      <w:r w:rsidRPr="00975903">
        <w:rPr>
          <w:color w:val="000000"/>
          <w:sz w:val="28"/>
          <w:szCs w:val="28"/>
          <w:lang w:val="kk-KZ"/>
        </w:rPr>
        <w:lastRenderedPageBreak/>
        <w:t>5.</w:t>
      </w:r>
      <w:r w:rsidRPr="00975903">
        <w:rPr>
          <w:color w:val="000000"/>
          <w:sz w:val="28"/>
          <w:szCs w:val="28"/>
          <w:lang w:val="kk-KZ"/>
        </w:rPr>
        <w:tab/>
        <w:t>Осы қаулының орындалуын бақылау Қазақстан Республикасының Ұлттық Банкі Төрағасының орынбасары О.А. Смоляковқа жүктелсін.</w:t>
      </w:r>
    </w:p>
    <w:p w:rsidR="00975903" w:rsidRPr="00975903" w:rsidRDefault="00975903" w:rsidP="00975903">
      <w:pPr>
        <w:ind w:firstLine="709"/>
        <w:rPr>
          <w:color w:val="000000"/>
          <w:sz w:val="28"/>
          <w:szCs w:val="28"/>
          <w:lang w:val="kk-KZ"/>
        </w:rPr>
      </w:pPr>
      <w:r w:rsidRPr="00975903">
        <w:rPr>
          <w:color w:val="000000"/>
          <w:sz w:val="28"/>
          <w:szCs w:val="28"/>
          <w:lang w:val="kk-KZ"/>
        </w:rPr>
        <w:t>6.</w:t>
      </w:r>
      <w:r w:rsidRPr="00975903">
        <w:rPr>
          <w:color w:val="000000"/>
          <w:sz w:val="28"/>
          <w:szCs w:val="28"/>
          <w:lang w:val="kk-KZ"/>
        </w:rPr>
        <w:tab/>
        <w:t xml:space="preserve">Осы қаулы алғашқы ресми жарияланған күнінен кейін күнтізбелік он күн өткен соң қолданысқа енгізіледі. </w:t>
      </w:r>
    </w:p>
    <w:p w:rsidR="00975903" w:rsidRPr="00975903" w:rsidRDefault="00975903" w:rsidP="00975903">
      <w:pPr>
        <w:ind w:firstLine="709"/>
        <w:rPr>
          <w:color w:val="000000"/>
          <w:sz w:val="28"/>
          <w:szCs w:val="28"/>
          <w:lang w:val="kk-KZ"/>
        </w:rPr>
      </w:pPr>
    </w:p>
    <w:p w:rsidR="00975903" w:rsidRPr="00975903" w:rsidRDefault="00975903" w:rsidP="00975903">
      <w:pPr>
        <w:ind w:firstLine="709"/>
        <w:rPr>
          <w:color w:val="000000"/>
          <w:sz w:val="28"/>
          <w:szCs w:val="28"/>
          <w:lang w:val="kk-KZ"/>
        </w:rPr>
      </w:pPr>
    </w:p>
    <w:tbl>
      <w:tblPr>
        <w:tblW w:w="5000" w:type="pct"/>
        <w:tblCellMar>
          <w:left w:w="0" w:type="dxa"/>
          <w:right w:w="0" w:type="dxa"/>
        </w:tblCellMar>
        <w:tblLook w:val="04A0" w:firstRow="1" w:lastRow="0" w:firstColumn="1" w:lastColumn="0" w:noHBand="0" w:noVBand="1"/>
      </w:tblPr>
      <w:tblGrid>
        <w:gridCol w:w="4926"/>
        <w:gridCol w:w="4927"/>
      </w:tblGrid>
      <w:tr w:rsidR="00975903" w:rsidRPr="00975903" w:rsidTr="004B3492">
        <w:tc>
          <w:tcPr>
            <w:tcW w:w="2500" w:type="pct"/>
            <w:tcMar>
              <w:top w:w="0" w:type="dxa"/>
              <w:left w:w="108" w:type="dxa"/>
              <w:bottom w:w="0" w:type="dxa"/>
              <w:right w:w="108" w:type="dxa"/>
            </w:tcMar>
            <w:hideMark/>
          </w:tcPr>
          <w:p w:rsidR="00975903" w:rsidRPr="00975903" w:rsidRDefault="00975903" w:rsidP="00975903">
            <w:pPr>
              <w:ind w:firstLine="709"/>
              <w:rPr>
                <w:color w:val="000000"/>
                <w:sz w:val="28"/>
                <w:szCs w:val="28"/>
              </w:rPr>
            </w:pPr>
            <w:r w:rsidRPr="00975903">
              <w:rPr>
                <w:b/>
                <w:bCs/>
                <w:color w:val="000000"/>
                <w:sz w:val="28"/>
                <w:szCs w:val="28"/>
                <w:lang w:val="kk-KZ"/>
              </w:rPr>
              <w:t xml:space="preserve">          </w:t>
            </w:r>
            <w:proofErr w:type="spellStart"/>
            <w:r w:rsidRPr="00975903">
              <w:rPr>
                <w:b/>
                <w:bCs/>
                <w:color w:val="000000"/>
                <w:sz w:val="28"/>
                <w:szCs w:val="28"/>
              </w:rPr>
              <w:t>Ұлттық</w:t>
            </w:r>
            <w:proofErr w:type="spellEnd"/>
            <w:r w:rsidRPr="00975903">
              <w:rPr>
                <w:b/>
                <w:bCs/>
                <w:color w:val="000000"/>
                <w:sz w:val="28"/>
                <w:szCs w:val="28"/>
              </w:rPr>
              <w:t xml:space="preserve"> Банк</w:t>
            </w:r>
          </w:p>
          <w:p w:rsidR="00975903" w:rsidRPr="00975903" w:rsidRDefault="00975903" w:rsidP="00975903">
            <w:pPr>
              <w:ind w:firstLine="709"/>
              <w:rPr>
                <w:color w:val="000000"/>
                <w:sz w:val="28"/>
                <w:szCs w:val="28"/>
              </w:rPr>
            </w:pPr>
            <w:r w:rsidRPr="00975903">
              <w:rPr>
                <w:b/>
                <w:bCs/>
                <w:color w:val="000000"/>
                <w:sz w:val="28"/>
                <w:szCs w:val="28"/>
                <w:lang w:val="kk-KZ"/>
              </w:rPr>
              <w:t xml:space="preserve">             </w:t>
            </w:r>
            <w:proofErr w:type="spellStart"/>
            <w:r w:rsidRPr="00975903">
              <w:rPr>
                <w:b/>
                <w:bCs/>
                <w:color w:val="000000"/>
                <w:sz w:val="28"/>
                <w:szCs w:val="28"/>
              </w:rPr>
              <w:t>Төрағасы</w:t>
            </w:r>
            <w:proofErr w:type="spellEnd"/>
            <w:r w:rsidRPr="00975903">
              <w:rPr>
                <w:b/>
                <w:bCs/>
                <w:color w:val="000000"/>
                <w:sz w:val="28"/>
                <w:szCs w:val="28"/>
              </w:rPr>
              <w:t xml:space="preserve"> </w:t>
            </w:r>
          </w:p>
        </w:tc>
        <w:tc>
          <w:tcPr>
            <w:tcW w:w="2500" w:type="pct"/>
            <w:tcMar>
              <w:top w:w="0" w:type="dxa"/>
              <w:left w:w="108" w:type="dxa"/>
              <w:bottom w:w="0" w:type="dxa"/>
              <w:right w:w="108" w:type="dxa"/>
            </w:tcMar>
          </w:tcPr>
          <w:p w:rsidR="00975903" w:rsidRPr="00975903" w:rsidRDefault="00975903" w:rsidP="00975903">
            <w:pPr>
              <w:ind w:firstLine="709"/>
              <w:rPr>
                <w:b/>
                <w:bCs/>
                <w:color w:val="000000"/>
                <w:sz w:val="28"/>
                <w:szCs w:val="28"/>
              </w:rPr>
            </w:pPr>
          </w:p>
          <w:p w:rsidR="00975903" w:rsidRPr="00975903" w:rsidRDefault="00975903" w:rsidP="00975903">
            <w:pPr>
              <w:ind w:firstLine="709"/>
              <w:rPr>
                <w:color w:val="000000"/>
                <w:sz w:val="28"/>
                <w:szCs w:val="28"/>
              </w:rPr>
            </w:pPr>
            <w:r w:rsidRPr="00975903">
              <w:rPr>
                <w:b/>
                <w:bCs/>
                <w:color w:val="000000"/>
                <w:sz w:val="28"/>
                <w:szCs w:val="28"/>
              </w:rPr>
              <w:t xml:space="preserve">                    Д. А</w:t>
            </w:r>
            <w:proofErr w:type="spellStart"/>
            <w:r w:rsidRPr="00975903">
              <w:rPr>
                <w:b/>
                <w:bCs/>
                <w:color w:val="000000"/>
                <w:sz w:val="28"/>
                <w:szCs w:val="28"/>
                <w:lang w:val="kk-KZ"/>
              </w:rPr>
              <w:t>қы</w:t>
            </w:r>
            <w:r w:rsidRPr="00975903">
              <w:rPr>
                <w:b/>
                <w:bCs/>
                <w:color w:val="000000"/>
                <w:sz w:val="28"/>
                <w:szCs w:val="28"/>
              </w:rPr>
              <w:t>шев</w:t>
            </w:r>
            <w:proofErr w:type="spellEnd"/>
          </w:p>
        </w:tc>
      </w:tr>
    </w:tbl>
    <w:p w:rsidR="00975903" w:rsidRPr="00975903" w:rsidRDefault="00975903" w:rsidP="00975903">
      <w:pPr>
        <w:ind w:firstLine="709"/>
        <w:rPr>
          <w:color w:val="000000"/>
          <w:sz w:val="28"/>
          <w:szCs w:val="28"/>
        </w:rPr>
      </w:pPr>
    </w:p>
    <w:p w:rsidR="00A01029" w:rsidRPr="00D62E32" w:rsidRDefault="00A01029" w:rsidP="00975903">
      <w:pPr>
        <w:ind w:firstLine="709"/>
        <w:rPr>
          <w:rStyle w:val="s0"/>
          <w:sz w:val="28"/>
          <w:szCs w:val="28"/>
          <w:highlight w:val="green"/>
          <w:lang w:val="kk-KZ"/>
        </w:rPr>
      </w:pPr>
    </w:p>
    <w:sectPr w:rsidR="00A01029" w:rsidRPr="00D62E32" w:rsidSect="007C69AE">
      <w:headerReference w:type="default" r:id="rId11"/>
      <w:headerReference w:type="first" r:id="rId12"/>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FD3" w:rsidRDefault="002B5FD3" w:rsidP="007C69AE">
      <w:r>
        <w:separator/>
      </w:r>
    </w:p>
  </w:endnote>
  <w:endnote w:type="continuationSeparator" w:id="0">
    <w:p w:rsidR="002B5FD3" w:rsidRDefault="002B5FD3" w:rsidP="007C6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FD3" w:rsidRDefault="002B5FD3" w:rsidP="007C69AE">
      <w:r>
        <w:separator/>
      </w:r>
    </w:p>
  </w:footnote>
  <w:footnote w:type="continuationSeparator" w:id="0">
    <w:p w:rsidR="002B5FD3" w:rsidRDefault="002B5FD3" w:rsidP="007C69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9AE" w:rsidRDefault="007C69AE" w:rsidP="00D62E32">
    <w:pPr>
      <w:pStyle w:val="ac"/>
      <w:jc w:val="center"/>
    </w:pPr>
    <w:r w:rsidRPr="007C69AE">
      <w:rPr>
        <w:sz w:val="28"/>
        <w:szCs w:val="28"/>
      </w:rPr>
      <w:fldChar w:fldCharType="begin"/>
    </w:r>
    <w:r w:rsidRPr="007C69AE">
      <w:rPr>
        <w:sz w:val="28"/>
        <w:szCs w:val="28"/>
      </w:rPr>
      <w:instrText>PAGE   \* MERGEFORMAT</w:instrText>
    </w:r>
    <w:r w:rsidRPr="007C69AE">
      <w:rPr>
        <w:sz w:val="28"/>
        <w:szCs w:val="28"/>
      </w:rPr>
      <w:fldChar w:fldCharType="separate"/>
    </w:r>
    <w:r w:rsidR="006A22E4">
      <w:rPr>
        <w:noProof/>
        <w:sz w:val="28"/>
        <w:szCs w:val="28"/>
      </w:rPr>
      <w:t>2</w:t>
    </w:r>
    <w:r w:rsidRPr="007C69AE">
      <w:rPr>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749" w:rsidRPr="00186749" w:rsidRDefault="00186749" w:rsidP="00186749">
    <w:pPr>
      <w:pStyle w:val="ac"/>
      <w:jc w:val="right"/>
      <w:rPr>
        <w:b/>
      </w:rPr>
    </w:pPr>
    <w:r w:rsidRPr="00186749">
      <w:rPr>
        <w:rStyle w:val="s1"/>
        <w:b w:val="0"/>
        <w:sz w:val="28"/>
        <w:szCs w:val="28"/>
      </w:rPr>
      <w:t>ЖОБА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B49BA"/>
    <w:multiLevelType w:val="hybridMultilevel"/>
    <w:tmpl w:val="A02437D6"/>
    <w:lvl w:ilvl="0" w:tplc="11AC3B4E">
      <w:start w:val="2"/>
      <w:numFmt w:val="decimal"/>
      <w:lvlText w:val="%1."/>
      <w:lvlJc w:val="left"/>
      <w:pPr>
        <w:ind w:left="928" w:hanging="360"/>
      </w:pPr>
      <w:rPr>
        <w:rFonts w:hint="default"/>
      </w:rPr>
    </w:lvl>
    <w:lvl w:ilvl="1" w:tplc="04190019" w:tentative="1">
      <w:start w:val="1"/>
      <w:numFmt w:val="lowerLetter"/>
      <w:lvlText w:val="%2."/>
      <w:lvlJc w:val="left"/>
      <w:pPr>
        <w:ind w:left="2218" w:hanging="360"/>
      </w:pPr>
    </w:lvl>
    <w:lvl w:ilvl="2" w:tplc="0419001B" w:tentative="1">
      <w:start w:val="1"/>
      <w:numFmt w:val="lowerRoman"/>
      <w:lvlText w:val="%3."/>
      <w:lvlJc w:val="right"/>
      <w:pPr>
        <w:ind w:left="2938" w:hanging="180"/>
      </w:pPr>
    </w:lvl>
    <w:lvl w:ilvl="3" w:tplc="0419000F" w:tentative="1">
      <w:start w:val="1"/>
      <w:numFmt w:val="decimal"/>
      <w:lvlText w:val="%4."/>
      <w:lvlJc w:val="left"/>
      <w:pPr>
        <w:ind w:left="3658" w:hanging="360"/>
      </w:pPr>
    </w:lvl>
    <w:lvl w:ilvl="4" w:tplc="04190019" w:tentative="1">
      <w:start w:val="1"/>
      <w:numFmt w:val="lowerLetter"/>
      <w:lvlText w:val="%5."/>
      <w:lvlJc w:val="left"/>
      <w:pPr>
        <w:ind w:left="4378" w:hanging="360"/>
      </w:pPr>
    </w:lvl>
    <w:lvl w:ilvl="5" w:tplc="0419001B" w:tentative="1">
      <w:start w:val="1"/>
      <w:numFmt w:val="lowerRoman"/>
      <w:lvlText w:val="%6."/>
      <w:lvlJc w:val="right"/>
      <w:pPr>
        <w:ind w:left="5098" w:hanging="180"/>
      </w:pPr>
    </w:lvl>
    <w:lvl w:ilvl="6" w:tplc="0419000F" w:tentative="1">
      <w:start w:val="1"/>
      <w:numFmt w:val="decimal"/>
      <w:lvlText w:val="%7."/>
      <w:lvlJc w:val="left"/>
      <w:pPr>
        <w:ind w:left="5818" w:hanging="360"/>
      </w:pPr>
    </w:lvl>
    <w:lvl w:ilvl="7" w:tplc="04190019" w:tentative="1">
      <w:start w:val="1"/>
      <w:numFmt w:val="lowerLetter"/>
      <w:lvlText w:val="%8."/>
      <w:lvlJc w:val="left"/>
      <w:pPr>
        <w:ind w:left="6538" w:hanging="360"/>
      </w:pPr>
    </w:lvl>
    <w:lvl w:ilvl="8" w:tplc="0419001B" w:tentative="1">
      <w:start w:val="1"/>
      <w:numFmt w:val="lowerRoman"/>
      <w:lvlText w:val="%9."/>
      <w:lvlJc w:val="right"/>
      <w:pPr>
        <w:ind w:left="7258" w:hanging="180"/>
      </w:pPr>
    </w:lvl>
  </w:abstractNum>
  <w:abstractNum w:abstractNumId="1">
    <w:nsid w:val="343C251F"/>
    <w:multiLevelType w:val="hybridMultilevel"/>
    <w:tmpl w:val="6D9A108A"/>
    <w:lvl w:ilvl="0" w:tplc="91222E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02A69F2"/>
    <w:multiLevelType w:val="hybridMultilevel"/>
    <w:tmpl w:val="5FEAF762"/>
    <w:lvl w:ilvl="0" w:tplc="781438F4">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931"/>
    <w:rsid w:val="000104AF"/>
    <w:rsid w:val="00010AA0"/>
    <w:rsid w:val="0001129E"/>
    <w:rsid w:val="000127D2"/>
    <w:rsid w:val="000138B7"/>
    <w:rsid w:val="00020465"/>
    <w:rsid w:val="000430D0"/>
    <w:rsid w:val="00046EB8"/>
    <w:rsid w:val="00050534"/>
    <w:rsid w:val="00052489"/>
    <w:rsid w:val="00057937"/>
    <w:rsid w:val="00074166"/>
    <w:rsid w:val="000769D4"/>
    <w:rsid w:val="000776AC"/>
    <w:rsid w:val="0008369D"/>
    <w:rsid w:val="0009451F"/>
    <w:rsid w:val="000964AD"/>
    <w:rsid w:val="00096D69"/>
    <w:rsid w:val="000A6B99"/>
    <w:rsid w:val="000B367C"/>
    <w:rsid w:val="000D149F"/>
    <w:rsid w:val="000D1B98"/>
    <w:rsid w:val="000D618D"/>
    <w:rsid w:val="000D71C2"/>
    <w:rsid w:val="000E2AD4"/>
    <w:rsid w:val="000E3474"/>
    <w:rsid w:val="000E6C7D"/>
    <w:rsid w:val="000F3980"/>
    <w:rsid w:val="000F63A3"/>
    <w:rsid w:val="00102CC6"/>
    <w:rsid w:val="00106B7A"/>
    <w:rsid w:val="00110AA5"/>
    <w:rsid w:val="00112850"/>
    <w:rsid w:val="00112F69"/>
    <w:rsid w:val="00117B48"/>
    <w:rsid w:val="001337AD"/>
    <w:rsid w:val="0015001A"/>
    <w:rsid w:val="00155542"/>
    <w:rsid w:val="0015661A"/>
    <w:rsid w:val="001611C3"/>
    <w:rsid w:val="00162FAF"/>
    <w:rsid w:val="001667DE"/>
    <w:rsid w:val="001706BA"/>
    <w:rsid w:val="00173AB3"/>
    <w:rsid w:val="001773C1"/>
    <w:rsid w:val="001816A6"/>
    <w:rsid w:val="00183AA4"/>
    <w:rsid w:val="00186749"/>
    <w:rsid w:val="00192114"/>
    <w:rsid w:val="0019335C"/>
    <w:rsid w:val="0019488B"/>
    <w:rsid w:val="001A39C5"/>
    <w:rsid w:val="001C3A1F"/>
    <w:rsid w:val="001E07A2"/>
    <w:rsid w:val="001F3DC6"/>
    <w:rsid w:val="0021227C"/>
    <w:rsid w:val="00214CA7"/>
    <w:rsid w:val="002150E9"/>
    <w:rsid w:val="002163D9"/>
    <w:rsid w:val="00227C85"/>
    <w:rsid w:val="002319DF"/>
    <w:rsid w:val="002328E2"/>
    <w:rsid w:val="002335C6"/>
    <w:rsid w:val="002367C6"/>
    <w:rsid w:val="00240E03"/>
    <w:rsid w:val="002438F3"/>
    <w:rsid w:val="002443A2"/>
    <w:rsid w:val="002449D1"/>
    <w:rsid w:val="00245A65"/>
    <w:rsid w:val="00251C0C"/>
    <w:rsid w:val="00256ADA"/>
    <w:rsid w:val="00257A0C"/>
    <w:rsid w:val="00281258"/>
    <w:rsid w:val="0028351F"/>
    <w:rsid w:val="0029043C"/>
    <w:rsid w:val="0029364B"/>
    <w:rsid w:val="002A3359"/>
    <w:rsid w:val="002A58A8"/>
    <w:rsid w:val="002A6168"/>
    <w:rsid w:val="002B092F"/>
    <w:rsid w:val="002B2EB8"/>
    <w:rsid w:val="002B5FD3"/>
    <w:rsid w:val="002C4C4D"/>
    <w:rsid w:val="002C548F"/>
    <w:rsid w:val="002C705D"/>
    <w:rsid w:val="002D3F10"/>
    <w:rsid w:val="002D6172"/>
    <w:rsid w:val="002E3EE5"/>
    <w:rsid w:val="003004A0"/>
    <w:rsid w:val="003016CF"/>
    <w:rsid w:val="0030534F"/>
    <w:rsid w:val="00307F70"/>
    <w:rsid w:val="00313983"/>
    <w:rsid w:val="00314405"/>
    <w:rsid w:val="00324BD5"/>
    <w:rsid w:val="00336F5C"/>
    <w:rsid w:val="0034421B"/>
    <w:rsid w:val="00352BCE"/>
    <w:rsid w:val="00352BDE"/>
    <w:rsid w:val="00353D40"/>
    <w:rsid w:val="00357829"/>
    <w:rsid w:val="00357863"/>
    <w:rsid w:val="00360DD2"/>
    <w:rsid w:val="0036479F"/>
    <w:rsid w:val="00365205"/>
    <w:rsid w:val="00376A96"/>
    <w:rsid w:val="0037799A"/>
    <w:rsid w:val="00382D03"/>
    <w:rsid w:val="003830F3"/>
    <w:rsid w:val="003920C6"/>
    <w:rsid w:val="003923DD"/>
    <w:rsid w:val="003A057E"/>
    <w:rsid w:val="003A150C"/>
    <w:rsid w:val="003A41FA"/>
    <w:rsid w:val="003A4A99"/>
    <w:rsid w:val="003A51A4"/>
    <w:rsid w:val="003A5C80"/>
    <w:rsid w:val="003A60A3"/>
    <w:rsid w:val="003A6AE4"/>
    <w:rsid w:val="003B21AE"/>
    <w:rsid w:val="003C2D3F"/>
    <w:rsid w:val="003C4951"/>
    <w:rsid w:val="003C4FDE"/>
    <w:rsid w:val="003D1AE0"/>
    <w:rsid w:val="003D3B52"/>
    <w:rsid w:val="003D4CCF"/>
    <w:rsid w:val="003D5E03"/>
    <w:rsid w:val="003E019D"/>
    <w:rsid w:val="003E5CCA"/>
    <w:rsid w:val="003F05FB"/>
    <w:rsid w:val="003F1344"/>
    <w:rsid w:val="003F452B"/>
    <w:rsid w:val="00401B65"/>
    <w:rsid w:val="00430164"/>
    <w:rsid w:val="00445863"/>
    <w:rsid w:val="0044753A"/>
    <w:rsid w:val="00452FD3"/>
    <w:rsid w:val="00460CDA"/>
    <w:rsid w:val="00471A04"/>
    <w:rsid w:val="00475894"/>
    <w:rsid w:val="00486313"/>
    <w:rsid w:val="0049357F"/>
    <w:rsid w:val="004A71EF"/>
    <w:rsid w:val="004A725E"/>
    <w:rsid w:val="004B58B2"/>
    <w:rsid w:val="004C4ACD"/>
    <w:rsid w:val="004D07BA"/>
    <w:rsid w:val="004D35A3"/>
    <w:rsid w:val="004E6D2A"/>
    <w:rsid w:val="004F0CCF"/>
    <w:rsid w:val="004F1D9D"/>
    <w:rsid w:val="004F36CA"/>
    <w:rsid w:val="005006DB"/>
    <w:rsid w:val="0050336E"/>
    <w:rsid w:val="00511A9A"/>
    <w:rsid w:val="00517282"/>
    <w:rsid w:val="005210EF"/>
    <w:rsid w:val="00534108"/>
    <w:rsid w:val="00543D9B"/>
    <w:rsid w:val="00544867"/>
    <w:rsid w:val="00554BD1"/>
    <w:rsid w:val="0056395D"/>
    <w:rsid w:val="005645C1"/>
    <w:rsid w:val="005702E7"/>
    <w:rsid w:val="00572D7E"/>
    <w:rsid w:val="005808C5"/>
    <w:rsid w:val="00590EE0"/>
    <w:rsid w:val="00592CB1"/>
    <w:rsid w:val="005A1FCE"/>
    <w:rsid w:val="005B5C91"/>
    <w:rsid w:val="005C4FDC"/>
    <w:rsid w:val="005D03D0"/>
    <w:rsid w:val="005E4A1A"/>
    <w:rsid w:val="005E5242"/>
    <w:rsid w:val="005F6EEA"/>
    <w:rsid w:val="00610EAB"/>
    <w:rsid w:val="00611255"/>
    <w:rsid w:val="006175E3"/>
    <w:rsid w:val="00627889"/>
    <w:rsid w:val="00635872"/>
    <w:rsid w:val="00641931"/>
    <w:rsid w:val="00647014"/>
    <w:rsid w:val="0064713F"/>
    <w:rsid w:val="006476DA"/>
    <w:rsid w:val="0065058E"/>
    <w:rsid w:val="006601F1"/>
    <w:rsid w:val="00682971"/>
    <w:rsid w:val="00682DE7"/>
    <w:rsid w:val="006846FA"/>
    <w:rsid w:val="00685617"/>
    <w:rsid w:val="00686F13"/>
    <w:rsid w:val="006930C4"/>
    <w:rsid w:val="006A22E4"/>
    <w:rsid w:val="006B37D9"/>
    <w:rsid w:val="006D483B"/>
    <w:rsid w:val="006E5C6D"/>
    <w:rsid w:val="006E615A"/>
    <w:rsid w:val="006F40EE"/>
    <w:rsid w:val="00701B83"/>
    <w:rsid w:val="00706A37"/>
    <w:rsid w:val="007148DB"/>
    <w:rsid w:val="00722D27"/>
    <w:rsid w:val="0073137B"/>
    <w:rsid w:val="00731AE4"/>
    <w:rsid w:val="00735835"/>
    <w:rsid w:val="007364C8"/>
    <w:rsid w:val="007400DE"/>
    <w:rsid w:val="007474F0"/>
    <w:rsid w:val="00754C3F"/>
    <w:rsid w:val="007616C0"/>
    <w:rsid w:val="00761BFF"/>
    <w:rsid w:val="00771E32"/>
    <w:rsid w:val="007745A3"/>
    <w:rsid w:val="007779E9"/>
    <w:rsid w:val="00777AFF"/>
    <w:rsid w:val="00783A81"/>
    <w:rsid w:val="00797DDC"/>
    <w:rsid w:val="007A0B56"/>
    <w:rsid w:val="007B05D8"/>
    <w:rsid w:val="007B17A4"/>
    <w:rsid w:val="007B4D51"/>
    <w:rsid w:val="007C69AE"/>
    <w:rsid w:val="007D0157"/>
    <w:rsid w:val="007D3834"/>
    <w:rsid w:val="007D517C"/>
    <w:rsid w:val="007E1D2A"/>
    <w:rsid w:val="007E43B8"/>
    <w:rsid w:val="007F6E79"/>
    <w:rsid w:val="0080122D"/>
    <w:rsid w:val="008056C4"/>
    <w:rsid w:val="00810BA7"/>
    <w:rsid w:val="00811F3D"/>
    <w:rsid w:val="00822EC6"/>
    <w:rsid w:val="0082356F"/>
    <w:rsid w:val="0084500B"/>
    <w:rsid w:val="00847B30"/>
    <w:rsid w:val="00847DFE"/>
    <w:rsid w:val="00860FF3"/>
    <w:rsid w:val="00861FBE"/>
    <w:rsid w:val="00882933"/>
    <w:rsid w:val="008933E9"/>
    <w:rsid w:val="008947B0"/>
    <w:rsid w:val="008959AA"/>
    <w:rsid w:val="008A5C6F"/>
    <w:rsid w:val="008B22DE"/>
    <w:rsid w:val="008C2EA6"/>
    <w:rsid w:val="008D3BF5"/>
    <w:rsid w:val="008E0812"/>
    <w:rsid w:val="008E4226"/>
    <w:rsid w:val="008F13C5"/>
    <w:rsid w:val="008F6D62"/>
    <w:rsid w:val="008F7293"/>
    <w:rsid w:val="00906194"/>
    <w:rsid w:val="00910DB3"/>
    <w:rsid w:val="009113C4"/>
    <w:rsid w:val="00914C54"/>
    <w:rsid w:val="009435C3"/>
    <w:rsid w:val="0095183A"/>
    <w:rsid w:val="0095593F"/>
    <w:rsid w:val="00955C58"/>
    <w:rsid w:val="00972E62"/>
    <w:rsid w:val="00975903"/>
    <w:rsid w:val="0098067F"/>
    <w:rsid w:val="009923C3"/>
    <w:rsid w:val="00996D18"/>
    <w:rsid w:val="009B2008"/>
    <w:rsid w:val="009C0C73"/>
    <w:rsid w:val="009C1CE6"/>
    <w:rsid w:val="009C34DE"/>
    <w:rsid w:val="009E2A68"/>
    <w:rsid w:val="009E7D6D"/>
    <w:rsid w:val="009F59FD"/>
    <w:rsid w:val="00A01029"/>
    <w:rsid w:val="00A03C61"/>
    <w:rsid w:val="00A14821"/>
    <w:rsid w:val="00A1540C"/>
    <w:rsid w:val="00A22DDE"/>
    <w:rsid w:val="00A232F2"/>
    <w:rsid w:val="00A25824"/>
    <w:rsid w:val="00A36015"/>
    <w:rsid w:val="00A46277"/>
    <w:rsid w:val="00A53007"/>
    <w:rsid w:val="00A54A91"/>
    <w:rsid w:val="00A54F51"/>
    <w:rsid w:val="00A706BE"/>
    <w:rsid w:val="00A71DAC"/>
    <w:rsid w:val="00A800AB"/>
    <w:rsid w:val="00A822FA"/>
    <w:rsid w:val="00A82DE4"/>
    <w:rsid w:val="00A8714E"/>
    <w:rsid w:val="00A913A5"/>
    <w:rsid w:val="00AA0CA9"/>
    <w:rsid w:val="00AA302A"/>
    <w:rsid w:val="00AC3F34"/>
    <w:rsid w:val="00AC76E1"/>
    <w:rsid w:val="00AC79F4"/>
    <w:rsid w:val="00AD47B2"/>
    <w:rsid w:val="00AD4C0B"/>
    <w:rsid w:val="00AD6854"/>
    <w:rsid w:val="00AD72A8"/>
    <w:rsid w:val="00AE6DF2"/>
    <w:rsid w:val="00AF61E2"/>
    <w:rsid w:val="00B02F1F"/>
    <w:rsid w:val="00B11A48"/>
    <w:rsid w:val="00B52E11"/>
    <w:rsid w:val="00B5477F"/>
    <w:rsid w:val="00B5579A"/>
    <w:rsid w:val="00B60C4F"/>
    <w:rsid w:val="00B82331"/>
    <w:rsid w:val="00B82925"/>
    <w:rsid w:val="00B90DB0"/>
    <w:rsid w:val="00B92924"/>
    <w:rsid w:val="00BA32AA"/>
    <w:rsid w:val="00BA6564"/>
    <w:rsid w:val="00BD16FF"/>
    <w:rsid w:val="00BD3A6A"/>
    <w:rsid w:val="00BD4EDF"/>
    <w:rsid w:val="00BD513D"/>
    <w:rsid w:val="00BE035F"/>
    <w:rsid w:val="00BE6BF7"/>
    <w:rsid w:val="00BF4AE5"/>
    <w:rsid w:val="00BF59B8"/>
    <w:rsid w:val="00C01B07"/>
    <w:rsid w:val="00C159E4"/>
    <w:rsid w:val="00C24E6D"/>
    <w:rsid w:val="00C2625D"/>
    <w:rsid w:val="00C35BEE"/>
    <w:rsid w:val="00C42D1C"/>
    <w:rsid w:val="00C50C2F"/>
    <w:rsid w:val="00C50D48"/>
    <w:rsid w:val="00C5580F"/>
    <w:rsid w:val="00C61177"/>
    <w:rsid w:val="00C72BE0"/>
    <w:rsid w:val="00C72C45"/>
    <w:rsid w:val="00C80301"/>
    <w:rsid w:val="00C868BD"/>
    <w:rsid w:val="00C86F51"/>
    <w:rsid w:val="00C90936"/>
    <w:rsid w:val="00C93901"/>
    <w:rsid w:val="00CB16ED"/>
    <w:rsid w:val="00CB47DC"/>
    <w:rsid w:val="00CC3A1C"/>
    <w:rsid w:val="00CD2908"/>
    <w:rsid w:val="00CE083F"/>
    <w:rsid w:val="00CF2C55"/>
    <w:rsid w:val="00D13BC8"/>
    <w:rsid w:val="00D21D11"/>
    <w:rsid w:val="00D25F7A"/>
    <w:rsid w:val="00D270BD"/>
    <w:rsid w:val="00D31826"/>
    <w:rsid w:val="00D44EB5"/>
    <w:rsid w:val="00D62D8D"/>
    <w:rsid w:val="00D62E32"/>
    <w:rsid w:val="00D70905"/>
    <w:rsid w:val="00D849CB"/>
    <w:rsid w:val="00D84E17"/>
    <w:rsid w:val="00D92137"/>
    <w:rsid w:val="00DB03B2"/>
    <w:rsid w:val="00DC1B80"/>
    <w:rsid w:val="00DC2D6E"/>
    <w:rsid w:val="00DC307F"/>
    <w:rsid w:val="00DC3F8F"/>
    <w:rsid w:val="00DE1B8E"/>
    <w:rsid w:val="00DF4EDA"/>
    <w:rsid w:val="00DF6E7A"/>
    <w:rsid w:val="00E007E2"/>
    <w:rsid w:val="00E039BF"/>
    <w:rsid w:val="00E129E7"/>
    <w:rsid w:val="00E240B8"/>
    <w:rsid w:val="00E31857"/>
    <w:rsid w:val="00E32669"/>
    <w:rsid w:val="00E44F03"/>
    <w:rsid w:val="00E4544F"/>
    <w:rsid w:val="00E51BF4"/>
    <w:rsid w:val="00E5703A"/>
    <w:rsid w:val="00E87AEF"/>
    <w:rsid w:val="00E9681B"/>
    <w:rsid w:val="00EB2E57"/>
    <w:rsid w:val="00EC2B6A"/>
    <w:rsid w:val="00EE07CD"/>
    <w:rsid w:val="00EE0A24"/>
    <w:rsid w:val="00EE21E7"/>
    <w:rsid w:val="00EF715A"/>
    <w:rsid w:val="00F05436"/>
    <w:rsid w:val="00F07681"/>
    <w:rsid w:val="00F136A2"/>
    <w:rsid w:val="00F160F6"/>
    <w:rsid w:val="00F16A66"/>
    <w:rsid w:val="00F17D2E"/>
    <w:rsid w:val="00F2594D"/>
    <w:rsid w:val="00F262DC"/>
    <w:rsid w:val="00F30714"/>
    <w:rsid w:val="00F330B6"/>
    <w:rsid w:val="00F33C79"/>
    <w:rsid w:val="00F434E6"/>
    <w:rsid w:val="00F603E7"/>
    <w:rsid w:val="00F64CC0"/>
    <w:rsid w:val="00F668CD"/>
    <w:rsid w:val="00F73FFC"/>
    <w:rsid w:val="00F74261"/>
    <w:rsid w:val="00F81F97"/>
    <w:rsid w:val="00F90B6A"/>
    <w:rsid w:val="00FA0FFD"/>
    <w:rsid w:val="00FB4123"/>
    <w:rsid w:val="00FC5427"/>
    <w:rsid w:val="00FC73AD"/>
    <w:rsid w:val="00FD49C3"/>
    <w:rsid w:val="00FD7283"/>
    <w:rsid w:val="00FE1817"/>
    <w:rsid w:val="00FE44AC"/>
    <w:rsid w:val="00FE7D34"/>
    <w:rsid w:val="00FF47CB"/>
    <w:rsid w:val="00FF66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7A4"/>
    <w:pPr>
      <w:jc w:val="both"/>
    </w:pPr>
    <w:rPr>
      <w:rFonts w:ascii="Times New Roman" w:hAnsi="Times New Roman"/>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41931"/>
    <w:rPr>
      <w:color w:val="333399"/>
      <w:u w:val="single"/>
    </w:rPr>
  </w:style>
  <w:style w:type="character" w:customStyle="1" w:styleId="s0">
    <w:name w:val="s0"/>
    <w:qFormat/>
    <w:rsid w:val="00641931"/>
    <w:rPr>
      <w:rFonts w:ascii="Times New Roman" w:hAnsi="Times New Roman" w:cs="Times New Roman" w:hint="default"/>
      <w:b w:val="0"/>
      <w:bCs w:val="0"/>
      <w:i w:val="0"/>
      <w:iCs w:val="0"/>
      <w:color w:val="000000"/>
    </w:rPr>
  </w:style>
  <w:style w:type="character" w:customStyle="1" w:styleId="s2">
    <w:name w:val="s2"/>
    <w:rsid w:val="00641931"/>
    <w:rPr>
      <w:rFonts w:ascii="Times New Roman" w:hAnsi="Times New Roman" w:cs="Times New Roman" w:hint="default"/>
      <w:color w:val="333399"/>
      <w:u w:val="single"/>
    </w:rPr>
  </w:style>
  <w:style w:type="character" w:styleId="a4">
    <w:name w:val="annotation reference"/>
    <w:uiPriority w:val="99"/>
    <w:semiHidden/>
    <w:unhideWhenUsed/>
    <w:rsid w:val="00AD6854"/>
    <w:rPr>
      <w:sz w:val="16"/>
      <w:szCs w:val="16"/>
    </w:rPr>
  </w:style>
  <w:style w:type="paragraph" w:styleId="a5">
    <w:name w:val="annotation text"/>
    <w:basedOn w:val="a"/>
    <w:link w:val="a6"/>
    <w:uiPriority w:val="99"/>
    <w:semiHidden/>
    <w:unhideWhenUsed/>
    <w:rsid w:val="00AD6854"/>
    <w:rPr>
      <w:sz w:val="20"/>
      <w:szCs w:val="20"/>
    </w:rPr>
  </w:style>
  <w:style w:type="character" w:customStyle="1" w:styleId="a6">
    <w:name w:val="Текст примечания Знак"/>
    <w:link w:val="a5"/>
    <w:uiPriority w:val="99"/>
    <w:semiHidden/>
    <w:rsid w:val="00AD6854"/>
    <w:rPr>
      <w:rFonts w:ascii="Times New Roman" w:hAnsi="Times New Roman"/>
      <w:lang w:eastAsia="en-US"/>
    </w:rPr>
  </w:style>
  <w:style w:type="paragraph" w:styleId="a7">
    <w:name w:val="annotation subject"/>
    <w:basedOn w:val="a5"/>
    <w:next w:val="a5"/>
    <w:link w:val="a8"/>
    <w:uiPriority w:val="99"/>
    <w:semiHidden/>
    <w:unhideWhenUsed/>
    <w:rsid w:val="00AD6854"/>
    <w:rPr>
      <w:b/>
      <w:bCs/>
    </w:rPr>
  </w:style>
  <w:style w:type="character" w:customStyle="1" w:styleId="a8">
    <w:name w:val="Тема примечания Знак"/>
    <w:link w:val="a7"/>
    <w:uiPriority w:val="99"/>
    <w:semiHidden/>
    <w:rsid w:val="00AD6854"/>
    <w:rPr>
      <w:rFonts w:ascii="Times New Roman" w:hAnsi="Times New Roman"/>
      <w:b/>
      <w:bCs/>
      <w:lang w:eastAsia="en-US"/>
    </w:rPr>
  </w:style>
  <w:style w:type="paragraph" w:styleId="a9">
    <w:name w:val="Balloon Text"/>
    <w:basedOn w:val="a"/>
    <w:link w:val="aa"/>
    <w:uiPriority w:val="99"/>
    <w:semiHidden/>
    <w:unhideWhenUsed/>
    <w:rsid w:val="00AD6854"/>
    <w:rPr>
      <w:rFonts w:ascii="Tahoma" w:hAnsi="Tahoma" w:cs="Tahoma"/>
      <w:sz w:val="16"/>
      <w:szCs w:val="16"/>
    </w:rPr>
  </w:style>
  <w:style w:type="character" w:customStyle="1" w:styleId="aa">
    <w:name w:val="Текст выноски Знак"/>
    <w:link w:val="a9"/>
    <w:uiPriority w:val="99"/>
    <w:semiHidden/>
    <w:rsid w:val="00AD6854"/>
    <w:rPr>
      <w:rFonts w:ascii="Tahoma" w:hAnsi="Tahoma" w:cs="Tahoma"/>
      <w:sz w:val="16"/>
      <w:szCs w:val="16"/>
      <w:lang w:eastAsia="en-US"/>
    </w:rPr>
  </w:style>
  <w:style w:type="character" w:customStyle="1" w:styleId="s1">
    <w:name w:val="s1"/>
    <w:rsid w:val="00810BA7"/>
    <w:rPr>
      <w:rFonts w:ascii="Times New Roman" w:hAnsi="Times New Roman" w:cs="Times New Roman" w:hint="default"/>
      <w:b/>
      <w:bCs/>
      <w:color w:val="000000"/>
    </w:rPr>
  </w:style>
  <w:style w:type="character" w:styleId="ab">
    <w:name w:val="FollowedHyperlink"/>
    <w:uiPriority w:val="99"/>
    <w:semiHidden/>
    <w:unhideWhenUsed/>
    <w:rsid w:val="000104AF"/>
    <w:rPr>
      <w:color w:val="800080"/>
      <w:u w:val="single"/>
    </w:rPr>
  </w:style>
  <w:style w:type="paragraph" w:customStyle="1" w:styleId="11">
    <w:name w:val="Заголовок 11"/>
    <w:basedOn w:val="a"/>
    <w:next w:val="a"/>
    <w:link w:val="7"/>
    <w:qFormat/>
    <w:rsid w:val="00FF66F7"/>
    <w:pPr>
      <w:keepNext/>
      <w:spacing w:before="240" w:after="60"/>
    </w:pPr>
    <w:rPr>
      <w:rFonts w:ascii="Arial" w:hAnsi="Arial"/>
      <w:b/>
      <w:sz w:val="32"/>
      <w:szCs w:val="20"/>
      <w:lang w:val="x-none" w:eastAsia="x-none"/>
    </w:rPr>
  </w:style>
  <w:style w:type="character" w:customStyle="1" w:styleId="7">
    <w:name w:val="Знак Знак7"/>
    <w:link w:val="11"/>
    <w:locked/>
    <w:rsid w:val="00FF66F7"/>
    <w:rPr>
      <w:rFonts w:ascii="Arial" w:hAnsi="Arial"/>
      <w:b/>
      <w:sz w:val="32"/>
      <w:lang w:val="x-none" w:eastAsia="x-none"/>
    </w:rPr>
  </w:style>
  <w:style w:type="paragraph" w:styleId="ac">
    <w:name w:val="header"/>
    <w:basedOn w:val="a"/>
    <w:link w:val="ad"/>
    <w:uiPriority w:val="99"/>
    <w:unhideWhenUsed/>
    <w:rsid w:val="007C69AE"/>
    <w:pPr>
      <w:tabs>
        <w:tab w:val="center" w:pos="4677"/>
        <w:tab w:val="right" w:pos="9355"/>
      </w:tabs>
    </w:pPr>
  </w:style>
  <w:style w:type="character" w:customStyle="1" w:styleId="ad">
    <w:name w:val="Верхний колонтитул Знак"/>
    <w:link w:val="ac"/>
    <w:uiPriority w:val="99"/>
    <w:rsid w:val="007C69AE"/>
    <w:rPr>
      <w:rFonts w:ascii="Times New Roman" w:hAnsi="Times New Roman"/>
      <w:sz w:val="24"/>
      <w:szCs w:val="22"/>
      <w:lang w:eastAsia="en-US"/>
    </w:rPr>
  </w:style>
  <w:style w:type="paragraph" w:styleId="ae">
    <w:name w:val="footer"/>
    <w:basedOn w:val="a"/>
    <w:link w:val="af"/>
    <w:uiPriority w:val="99"/>
    <w:unhideWhenUsed/>
    <w:rsid w:val="007C69AE"/>
    <w:pPr>
      <w:tabs>
        <w:tab w:val="center" w:pos="4677"/>
        <w:tab w:val="right" w:pos="9355"/>
      </w:tabs>
    </w:pPr>
  </w:style>
  <w:style w:type="character" w:customStyle="1" w:styleId="af">
    <w:name w:val="Нижний колонтитул Знак"/>
    <w:link w:val="ae"/>
    <w:uiPriority w:val="99"/>
    <w:rsid w:val="007C69AE"/>
    <w:rPr>
      <w:rFonts w:ascii="Times New Roman" w:hAnsi="Times New Roman"/>
      <w:sz w:val="24"/>
      <w:szCs w:val="22"/>
      <w:lang w:eastAsia="en-US"/>
    </w:rPr>
  </w:style>
  <w:style w:type="character" w:customStyle="1" w:styleId="tlid-translation">
    <w:name w:val="tlid-translation"/>
    <w:rsid w:val="007616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7A4"/>
    <w:pPr>
      <w:jc w:val="both"/>
    </w:pPr>
    <w:rPr>
      <w:rFonts w:ascii="Times New Roman" w:hAnsi="Times New Roman"/>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41931"/>
    <w:rPr>
      <w:color w:val="333399"/>
      <w:u w:val="single"/>
    </w:rPr>
  </w:style>
  <w:style w:type="character" w:customStyle="1" w:styleId="s0">
    <w:name w:val="s0"/>
    <w:qFormat/>
    <w:rsid w:val="00641931"/>
    <w:rPr>
      <w:rFonts w:ascii="Times New Roman" w:hAnsi="Times New Roman" w:cs="Times New Roman" w:hint="default"/>
      <w:b w:val="0"/>
      <w:bCs w:val="0"/>
      <w:i w:val="0"/>
      <w:iCs w:val="0"/>
      <w:color w:val="000000"/>
    </w:rPr>
  </w:style>
  <w:style w:type="character" w:customStyle="1" w:styleId="s2">
    <w:name w:val="s2"/>
    <w:rsid w:val="00641931"/>
    <w:rPr>
      <w:rFonts w:ascii="Times New Roman" w:hAnsi="Times New Roman" w:cs="Times New Roman" w:hint="default"/>
      <w:color w:val="333399"/>
      <w:u w:val="single"/>
    </w:rPr>
  </w:style>
  <w:style w:type="character" w:styleId="a4">
    <w:name w:val="annotation reference"/>
    <w:uiPriority w:val="99"/>
    <w:semiHidden/>
    <w:unhideWhenUsed/>
    <w:rsid w:val="00AD6854"/>
    <w:rPr>
      <w:sz w:val="16"/>
      <w:szCs w:val="16"/>
    </w:rPr>
  </w:style>
  <w:style w:type="paragraph" w:styleId="a5">
    <w:name w:val="annotation text"/>
    <w:basedOn w:val="a"/>
    <w:link w:val="a6"/>
    <w:uiPriority w:val="99"/>
    <w:semiHidden/>
    <w:unhideWhenUsed/>
    <w:rsid w:val="00AD6854"/>
    <w:rPr>
      <w:sz w:val="20"/>
      <w:szCs w:val="20"/>
    </w:rPr>
  </w:style>
  <w:style w:type="character" w:customStyle="1" w:styleId="a6">
    <w:name w:val="Текст примечания Знак"/>
    <w:link w:val="a5"/>
    <w:uiPriority w:val="99"/>
    <w:semiHidden/>
    <w:rsid w:val="00AD6854"/>
    <w:rPr>
      <w:rFonts w:ascii="Times New Roman" w:hAnsi="Times New Roman"/>
      <w:lang w:eastAsia="en-US"/>
    </w:rPr>
  </w:style>
  <w:style w:type="paragraph" w:styleId="a7">
    <w:name w:val="annotation subject"/>
    <w:basedOn w:val="a5"/>
    <w:next w:val="a5"/>
    <w:link w:val="a8"/>
    <w:uiPriority w:val="99"/>
    <w:semiHidden/>
    <w:unhideWhenUsed/>
    <w:rsid w:val="00AD6854"/>
    <w:rPr>
      <w:b/>
      <w:bCs/>
    </w:rPr>
  </w:style>
  <w:style w:type="character" w:customStyle="1" w:styleId="a8">
    <w:name w:val="Тема примечания Знак"/>
    <w:link w:val="a7"/>
    <w:uiPriority w:val="99"/>
    <w:semiHidden/>
    <w:rsid w:val="00AD6854"/>
    <w:rPr>
      <w:rFonts w:ascii="Times New Roman" w:hAnsi="Times New Roman"/>
      <w:b/>
      <w:bCs/>
      <w:lang w:eastAsia="en-US"/>
    </w:rPr>
  </w:style>
  <w:style w:type="paragraph" w:styleId="a9">
    <w:name w:val="Balloon Text"/>
    <w:basedOn w:val="a"/>
    <w:link w:val="aa"/>
    <w:uiPriority w:val="99"/>
    <w:semiHidden/>
    <w:unhideWhenUsed/>
    <w:rsid w:val="00AD6854"/>
    <w:rPr>
      <w:rFonts w:ascii="Tahoma" w:hAnsi="Tahoma" w:cs="Tahoma"/>
      <w:sz w:val="16"/>
      <w:szCs w:val="16"/>
    </w:rPr>
  </w:style>
  <w:style w:type="character" w:customStyle="1" w:styleId="aa">
    <w:name w:val="Текст выноски Знак"/>
    <w:link w:val="a9"/>
    <w:uiPriority w:val="99"/>
    <w:semiHidden/>
    <w:rsid w:val="00AD6854"/>
    <w:rPr>
      <w:rFonts w:ascii="Tahoma" w:hAnsi="Tahoma" w:cs="Tahoma"/>
      <w:sz w:val="16"/>
      <w:szCs w:val="16"/>
      <w:lang w:eastAsia="en-US"/>
    </w:rPr>
  </w:style>
  <w:style w:type="character" w:customStyle="1" w:styleId="s1">
    <w:name w:val="s1"/>
    <w:rsid w:val="00810BA7"/>
    <w:rPr>
      <w:rFonts w:ascii="Times New Roman" w:hAnsi="Times New Roman" w:cs="Times New Roman" w:hint="default"/>
      <w:b/>
      <w:bCs/>
      <w:color w:val="000000"/>
    </w:rPr>
  </w:style>
  <w:style w:type="character" w:styleId="ab">
    <w:name w:val="FollowedHyperlink"/>
    <w:uiPriority w:val="99"/>
    <w:semiHidden/>
    <w:unhideWhenUsed/>
    <w:rsid w:val="000104AF"/>
    <w:rPr>
      <w:color w:val="800080"/>
      <w:u w:val="single"/>
    </w:rPr>
  </w:style>
  <w:style w:type="paragraph" w:customStyle="1" w:styleId="11">
    <w:name w:val="Заголовок 11"/>
    <w:basedOn w:val="a"/>
    <w:next w:val="a"/>
    <w:link w:val="7"/>
    <w:qFormat/>
    <w:rsid w:val="00FF66F7"/>
    <w:pPr>
      <w:keepNext/>
      <w:spacing w:before="240" w:after="60"/>
    </w:pPr>
    <w:rPr>
      <w:rFonts w:ascii="Arial" w:hAnsi="Arial"/>
      <w:b/>
      <w:sz w:val="32"/>
      <w:szCs w:val="20"/>
      <w:lang w:val="x-none" w:eastAsia="x-none"/>
    </w:rPr>
  </w:style>
  <w:style w:type="character" w:customStyle="1" w:styleId="7">
    <w:name w:val="Знак Знак7"/>
    <w:link w:val="11"/>
    <w:locked/>
    <w:rsid w:val="00FF66F7"/>
    <w:rPr>
      <w:rFonts w:ascii="Arial" w:hAnsi="Arial"/>
      <w:b/>
      <w:sz w:val="32"/>
      <w:lang w:val="x-none" w:eastAsia="x-none"/>
    </w:rPr>
  </w:style>
  <w:style w:type="paragraph" w:styleId="ac">
    <w:name w:val="header"/>
    <w:basedOn w:val="a"/>
    <w:link w:val="ad"/>
    <w:uiPriority w:val="99"/>
    <w:unhideWhenUsed/>
    <w:rsid w:val="007C69AE"/>
    <w:pPr>
      <w:tabs>
        <w:tab w:val="center" w:pos="4677"/>
        <w:tab w:val="right" w:pos="9355"/>
      </w:tabs>
    </w:pPr>
  </w:style>
  <w:style w:type="character" w:customStyle="1" w:styleId="ad">
    <w:name w:val="Верхний колонтитул Знак"/>
    <w:link w:val="ac"/>
    <w:uiPriority w:val="99"/>
    <w:rsid w:val="007C69AE"/>
    <w:rPr>
      <w:rFonts w:ascii="Times New Roman" w:hAnsi="Times New Roman"/>
      <w:sz w:val="24"/>
      <w:szCs w:val="22"/>
      <w:lang w:eastAsia="en-US"/>
    </w:rPr>
  </w:style>
  <w:style w:type="paragraph" w:styleId="ae">
    <w:name w:val="footer"/>
    <w:basedOn w:val="a"/>
    <w:link w:val="af"/>
    <w:uiPriority w:val="99"/>
    <w:unhideWhenUsed/>
    <w:rsid w:val="007C69AE"/>
    <w:pPr>
      <w:tabs>
        <w:tab w:val="center" w:pos="4677"/>
        <w:tab w:val="right" w:pos="9355"/>
      </w:tabs>
    </w:pPr>
  </w:style>
  <w:style w:type="character" w:customStyle="1" w:styleId="af">
    <w:name w:val="Нижний колонтитул Знак"/>
    <w:link w:val="ae"/>
    <w:uiPriority w:val="99"/>
    <w:rsid w:val="007C69AE"/>
    <w:rPr>
      <w:rFonts w:ascii="Times New Roman" w:hAnsi="Times New Roman"/>
      <w:sz w:val="24"/>
      <w:szCs w:val="22"/>
      <w:lang w:eastAsia="en-US"/>
    </w:rPr>
  </w:style>
  <w:style w:type="character" w:customStyle="1" w:styleId="tlid-translation">
    <w:name w:val="tlid-translation"/>
    <w:rsid w:val="00761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1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jl:51021136.0%20"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30A7F-C9AE-4260-AA1B-DBCB7770C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753</Words>
  <Characters>4297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5040</CharactersWithSpaces>
  <SharedDoc>false</SharedDoc>
  <HLinks>
    <vt:vector size="18" baseType="variant">
      <vt:variant>
        <vt:i4>4784219</vt:i4>
      </vt:variant>
      <vt:variant>
        <vt:i4>6</vt:i4>
      </vt:variant>
      <vt:variant>
        <vt:i4>0</vt:i4>
      </vt:variant>
      <vt:variant>
        <vt:i4>5</vt:i4>
      </vt:variant>
      <vt:variant>
        <vt:lpwstr>jl:38372692.0</vt:lpwstr>
      </vt:variant>
      <vt:variant>
        <vt:lpwstr/>
      </vt:variant>
      <vt:variant>
        <vt:i4>5636166</vt:i4>
      </vt:variant>
      <vt:variant>
        <vt:i4>3</vt:i4>
      </vt:variant>
      <vt:variant>
        <vt:i4>0</vt:i4>
      </vt:variant>
      <vt:variant>
        <vt:i4>5</vt:i4>
      </vt:variant>
      <vt:variant>
        <vt:lpwstr>http://adilet.zan.kz/kaz/docs/V1700015886</vt:lpwstr>
      </vt:variant>
      <vt:variant>
        <vt:lpwstr>z739</vt:lpwstr>
      </vt:variant>
      <vt:variant>
        <vt:i4>5701702</vt:i4>
      </vt:variant>
      <vt:variant>
        <vt:i4>0</vt:i4>
      </vt:variant>
      <vt:variant>
        <vt:i4>0</vt:i4>
      </vt:variant>
      <vt:variant>
        <vt:i4>5</vt:i4>
      </vt:variant>
      <vt:variant>
        <vt:lpwstr>http://adilet.zan.kz/kaz/docs/V1700015886</vt:lpwstr>
      </vt:variant>
      <vt:variant>
        <vt:lpwstr>z738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Аян Артыкбеков</dc:creator>
  <cp:lastModifiedBy>Aigerim Nurgazina</cp:lastModifiedBy>
  <cp:revision>3</cp:revision>
  <cp:lastPrinted>2018-12-11T09:01:00Z</cp:lastPrinted>
  <dcterms:created xsi:type="dcterms:W3CDTF">2018-12-24T05:42:00Z</dcterms:created>
  <dcterms:modified xsi:type="dcterms:W3CDTF">2018-12-24T05:42:00Z</dcterms:modified>
</cp:coreProperties>
</file>