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DF4DA" w14:textId="77777777" w:rsidR="00CC0632" w:rsidRDefault="00CC0632" w:rsidP="00CC0632">
      <w:pPr>
        <w:pStyle w:val="ConsPlusTitle"/>
        <w:jc w:val="center"/>
        <w:outlineLvl w:val="0"/>
        <w:rPr>
          <w:sz w:val="28"/>
          <w:szCs w:val="28"/>
        </w:rPr>
      </w:pPr>
      <w:bookmarkStart w:id="0" w:name="_GoBack"/>
      <w:bookmarkEnd w:id="0"/>
      <w:r w:rsidRPr="0009740B">
        <w:rPr>
          <w:sz w:val="28"/>
          <w:szCs w:val="28"/>
        </w:rPr>
        <w:t xml:space="preserve">СООБЩЕНИЕ НАЦИОНАЛЬНОГО БАНКА </w:t>
      </w:r>
    </w:p>
    <w:p w14:paraId="18874968" w14:textId="77777777" w:rsidR="00CC0632" w:rsidRPr="0009740B" w:rsidRDefault="00CC0632" w:rsidP="00CC0632">
      <w:pPr>
        <w:pStyle w:val="ConsPlusTitle"/>
        <w:jc w:val="center"/>
        <w:outlineLvl w:val="0"/>
        <w:rPr>
          <w:sz w:val="28"/>
          <w:szCs w:val="28"/>
        </w:rPr>
      </w:pPr>
      <w:r w:rsidRPr="0009740B">
        <w:rPr>
          <w:sz w:val="28"/>
          <w:szCs w:val="28"/>
        </w:rPr>
        <w:t xml:space="preserve">РЕСПУБЛИКИ КАЗАХСТАН </w:t>
      </w:r>
    </w:p>
    <w:p w14:paraId="1917D826" w14:textId="77777777" w:rsidR="00CC0632" w:rsidRPr="0009740B" w:rsidRDefault="00CC0632" w:rsidP="00CC0632">
      <w:pPr>
        <w:pStyle w:val="ConsPlusTitle"/>
        <w:jc w:val="center"/>
        <w:rPr>
          <w:sz w:val="28"/>
          <w:szCs w:val="28"/>
        </w:rPr>
      </w:pPr>
    </w:p>
    <w:p w14:paraId="42CBFA94" w14:textId="77777777" w:rsidR="00CC0632" w:rsidRPr="0009740B" w:rsidRDefault="00CC0632" w:rsidP="00CC0632">
      <w:pPr>
        <w:pStyle w:val="ConsPlusTitle"/>
        <w:jc w:val="center"/>
        <w:rPr>
          <w:sz w:val="28"/>
          <w:szCs w:val="28"/>
        </w:rPr>
      </w:pPr>
      <w:r w:rsidRPr="0009740B">
        <w:rPr>
          <w:sz w:val="28"/>
          <w:szCs w:val="28"/>
        </w:rPr>
        <w:t>О ДОКУМЕНТЕ</w:t>
      </w:r>
    </w:p>
    <w:p w14:paraId="2658D243" w14:textId="77777777" w:rsidR="00CC0632" w:rsidRPr="0009740B" w:rsidRDefault="00CC0632" w:rsidP="00CC0632">
      <w:pPr>
        <w:pStyle w:val="ConsPlusTitle"/>
        <w:jc w:val="center"/>
        <w:rPr>
          <w:sz w:val="28"/>
          <w:szCs w:val="28"/>
        </w:rPr>
      </w:pPr>
      <w:r w:rsidRPr="0009740B">
        <w:rPr>
          <w:sz w:val="28"/>
          <w:szCs w:val="28"/>
        </w:rPr>
        <w:t>КОМИТЕТА ПО ПЛАТЕЖНЫМ И РАСЧЕТНЫМ ИНФРАСТРУКТУРАМ «ПРИНЦИПЫ</w:t>
      </w:r>
    </w:p>
    <w:p w14:paraId="38872DA8" w14:textId="77777777" w:rsidR="00CC0632" w:rsidRPr="0009740B" w:rsidRDefault="00CC0632" w:rsidP="00CC0632">
      <w:pPr>
        <w:pStyle w:val="ConsPlusTitle"/>
        <w:jc w:val="center"/>
        <w:rPr>
          <w:sz w:val="28"/>
          <w:szCs w:val="28"/>
        </w:rPr>
      </w:pPr>
      <w:r w:rsidRPr="0009740B">
        <w:rPr>
          <w:sz w:val="28"/>
          <w:szCs w:val="28"/>
        </w:rPr>
        <w:t>ДЛЯ ИНФРАСТРУКТУР ФИНАНСОВОГО РЫНКА»</w:t>
      </w:r>
    </w:p>
    <w:p w14:paraId="34EF4D4A" w14:textId="77777777" w:rsidR="00CC0632" w:rsidRPr="0009740B" w:rsidRDefault="00CC0632" w:rsidP="00CC0632">
      <w:pPr>
        <w:widowControl w:val="0"/>
        <w:autoSpaceDE w:val="0"/>
        <w:autoSpaceDN w:val="0"/>
        <w:adjustRightInd w:val="0"/>
        <w:ind w:firstLine="540"/>
        <w:rPr>
          <w:b/>
          <w:sz w:val="28"/>
          <w:szCs w:val="28"/>
        </w:rPr>
      </w:pPr>
    </w:p>
    <w:p w14:paraId="5B74DFC1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  <w:r w:rsidRPr="00A71D16">
        <w:rPr>
          <w:sz w:val="28"/>
          <w:szCs w:val="28"/>
        </w:rPr>
        <w:t xml:space="preserve">Национальный Банк Республики Казахстан информирует, что в 2012 году Комитетом по платежным и расчетным </w:t>
      </w:r>
      <w:r>
        <w:rPr>
          <w:sz w:val="28"/>
          <w:szCs w:val="28"/>
        </w:rPr>
        <w:t xml:space="preserve">инфраструктурам </w:t>
      </w:r>
      <w:r w:rsidRPr="00A71D16">
        <w:rPr>
          <w:sz w:val="28"/>
          <w:szCs w:val="28"/>
        </w:rPr>
        <w:t>Банка международных расчетов и Техническим комитетом Международной организации комиссий по ценным бумагам были опубликованы новые Принципы для инфраструктур финансового рынка (ИФР).</w:t>
      </w:r>
      <w:r>
        <w:rPr>
          <w:sz w:val="28"/>
          <w:szCs w:val="28"/>
        </w:rPr>
        <w:t xml:space="preserve"> Настоящим Национальный Банк Республики Казахстан сообщает о своем намерении придерживаться международных стандартов в соответствии с Принципами для ИФР.   </w:t>
      </w:r>
    </w:p>
    <w:p w14:paraId="2DB8E115" w14:textId="77777777" w:rsidR="00CC0632" w:rsidRPr="00A71D16" w:rsidRDefault="00CC0632" w:rsidP="00CC0632">
      <w:pPr>
        <w:spacing w:line="233" w:lineRule="auto"/>
        <w:rPr>
          <w:sz w:val="28"/>
          <w:szCs w:val="28"/>
        </w:rPr>
      </w:pPr>
      <w:r w:rsidRPr="00A71D16">
        <w:rPr>
          <w:sz w:val="28"/>
          <w:szCs w:val="28"/>
        </w:rPr>
        <w:t>Принципы для ИФР замен</w:t>
      </w:r>
      <w:r>
        <w:rPr>
          <w:sz w:val="28"/>
          <w:szCs w:val="28"/>
        </w:rPr>
        <w:t xml:space="preserve">или действовавшие ранее </w:t>
      </w:r>
      <w:r w:rsidRPr="00A71D16">
        <w:rPr>
          <w:sz w:val="28"/>
          <w:szCs w:val="28"/>
        </w:rPr>
        <w:t>международные стандарты, в том числе Ключевые принципы для системно-значимых платежных систем</w:t>
      </w:r>
      <w:r w:rsidR="00AB27E6">
        <w:rPr>
          <w:sz w:val="28"/>
          <w:szCs w:val="28"/>
          <w:lang w:val="kk-KZ"/>
        </w:rPr>
        <w:t xml:space="preserve"> </w:t>
      </w:r>
      <w:r w:rsidR="00AB27E6">
        <w:rPr>
          <w:sz w:val="28"/>
          <w:szCs w:val="28"/>
        </w:rPr>
        <w:t>(2001)</w:t>
      </w:r>
      <w:r w:rsidRPr="00A71D16">
        <w:rPr>
          <w:sz w:val="28"/>
          <w:szCs w:val="28"/>
        </w:rPr>
        <w:t>, Рекомендации для систем расчетов по ценным бумагам</w:t>
      </w:r>
      <w:r w:rsidR="00AB27E6">
        <w:rPr>
          <w:sz w:val="28"/>
          <w:szCs w:val="28"/>
        </w:rPr>
        <w:t xml:space="preserve"> (2001)</w:t>
      </w:r>
      <w:r w:rsidRPr="00A71D16">
        <w:rPr>
          <w:sz w:val="28"/>
          <w:szCs w:val="28"/>
        </w:rPr>
        <w:t xml:space="preserve"> и Рекомендации для Центральных Контрагентов</w:t>
      </w:r>
      <w:r w:rsidR="00AB27E6">
        <w:rPr>
          <w:sz w:val="28"/>
          <w:szCs w:val="28"/>
        </w:rPr>
        <w:t xml:space="preserve"> (2004)</w:t>
      </w:r>
      <w:r w:rsidRPr="00A71D16">
        <w:rPr>
          <w:sz w:val="28"/>
          <w:szCs w:val="28"/>
        </w:rPr>
        <w:t>. При этом к ИФР, подлежащим оценке, отн</w:t>
      </w:r>
      <w:r>
        <w:rPr>
          <w:sz w:val="28"/>
          <w:szCs w:val="28"/>
        </w:rPr>
        <w:t>о</w:t>
      </w:r>
      <w:r w:rsidRPr="00A71D16">
        <w:rPr>
          <w:sz w:val="28"/>
          <w:szCs w:val="28"/>
        </w:rPr>
        <w:t>с</w:t>
      </w:r>
      <w:r>
        <w:rPr>
          <w:sz w:val="28"/>
          <w:szCs w:val="28"/>
        </w:rPr>
        <w:t xml:space="preserve">ятся </w:t>
      </w:r>
      <w:r w:rsidRPr="00A71D16">
        <w:rPr>
          <w:sz w:val="28"/>
          <w:szCs w:val="28"/>
        </w:rPr>
        <w:t>платежные системы</w:t>
      </w:r>
      <w:r w:rsidR="00AB27E6">
        <w:rPr>
          <w:sz w:val="28"/>
          <w:szCs w:val="28"/>
        </w:rPr>
        <w:t xml:space="preserve"> (</w:t>
      </w:r>
      <w:r w:rsidR="00AB27E6">
        <w:rPr>
          <w:sz w:val="28"/>
          <w:szCs w:val="28"/>
          <w:lang w:val="en-US"/>
        </w:rPr>
        <w:t>PS</w:t>
      </w:r>
      <w:r w:rsidR="00AB27E6">
        <w:rPr>
          <w:sz w:val="28"/>
          <w:szCs w:val="28"/>
        </w:rPr>
        <w:t>)</w:t>
      </w:r>
      <w:r w:rsidRPr="00A71D16">
        <w:rPr>
          <w:sz w:val="28"/>
          <w:szCs w:val="28"/>
        </w:rPr>
        <w:t>, системы расчетов по ценным бумагам</w:t>
      </w:r>
      <w:r w:rsidR="00AB27E6">
        <w:rPr>
          <w:sz w:val="28"/>
          <w:szCs w:val="28"/>
        </w:rPr>
        <w:t xml:space="preserve"> (</w:t>
      </w:r>
      <w:r w:rsidR="00AB27E6">
        <w:rPr>
          <w:sz w:val="28"/>
          <w:szCs w:val="28"/>
          <w:lang w:val="en-US"/>
        </w:rPr>
        <w:t>SSS</w:t>
      </w:r>
      <w:r w:rsidR="00AB27E6">
        <w:rPr>
          <w:sz w:val="28"/>
          <w:szCs w:val="28"/>
        </w:rPr>
        <w:t>)</w:t>
      </w:r>
      <w:r w:rsidRPr="00A71D16">
        <w:rPr>
          <w:sz w:val="28"/>
          <w:szCs w:val="28"/>
        </w:rPr>
        <w:t>, центральный депозитарий ценных бумаг</w:t>
      </w:r>
      <w:r w:rsidR="00AB27E6">
        <w:rPr>
          <w:sz w:val="28"/>
          <w:szCs w:val="28"/>
        </w:rPr>
        <w:t xml:space="preserve"> (</w:t>
      </w:r>
      <w:r w:rsidR="00AB27E6">
        <w:rPr>
          <w:sz w:val="28"/>
          <w:szCs w:val="28"/>
          <w:lang w:val="en-US"/>
        </w:rPr>
        <w:t>CSD</w:t>
      </w:r>
      <w:r w:rsidR="00AB27E6">
        <w:rPr>
          <w:sz w:val="28"/>
          <w:szCs w:val="28"/>
        </w:rPr>
        <w:t>)</w:t>
      </w:r>
      <w:r w:rsidRPr="00A71D16">
        <w:rPr>
          <w:sz w:val="28"/>
          <w:szCs w:val="28"/>
        </w:rPr>
        <w:t xml:space="preserve">, центральные контрагенты </w:t>
      </w:r>
      <w:r w:rsidR="00AB27E6">
        <w:rPr>
          <w:sz w:val="28"/>
          <w:szCs w:val="28"/>
        </w:rPr>
        <w:t>(</w:t>
      </w:r>
      <w:r w:rsidR="00AB27E6">
        <w:rPr>
          <w:sz w:val="28"/>
          <w:szCs w:val="28"/>
          <w:lang w:val="en-US"/>
        </w:rPr>
        <w:t>CCPs</w:t>
      </w:r>
      <w:r w:rsidR="00AB27E6">
        <w:rPr>
          <w:sz w:val="28"/>
          <w:szCs w:val="28"/>
        </w:rPr>
        <w:t xml:space="preserve">) </w:t>
      </w:r>
      <w:r w:rsidRPr="00A71D16">
        <w:rPr>
          <w:sz w:val="28"/>
          <w:szCs w:val="28"/>
        </w:rPr>
        <w:t>и торговый репозит</w:t>
      </w:r>
      <w:r w:rsidR="00AB27E6">
        <w:rPr>
          <w:sz w:val="28"/>
          <w:szCs w:val="28"/>
        </w:rPr>
        <w:t>о</w:t>
      </w:r>
      <w:r w:rsidRPr="00A71D16">
        <w:rPr>
          <w:sz w:val="28"/>
          <w:szCs w:val="28"/>
        </w:rPr>
        <w:t>рий</w:t>
      </w:r>
      <w:r w:rsidR="00AB27E6">
        <w:rPr>
          <w:sz w:val="28"/>
          <w:szCs w:val="28"/>
        </w:rPr>
        <w:t xml:space="preserve"> (</w:t>
      </w:r>
      <w:r w:rsidR="00AB27E6">
        <w:rPr>
          <w:sz w:val="28"/>
          <w:szCs w:val="28"/>
          <w:lang w:val="en-US"/>
        </w:rPr>
        <w:t>TR</w:t>
      </w:r>
      <w:r w:rsidR="00AB27E6">
        <w:rPr>
          <w:sz w:val="28"/>
          <w:szCs w:val="28"/>
        </w:rPr>
        <w:t>)</w:t>
      </w:r>
      <w:r w:rsidRPr="00A71D1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14:paraId="289FA0AC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  <w:r w:rsidRPr="00A71D16">
        <w:rPr>
          <w:sz w:val="28"/>
          <w:szCs w:val="28"/>
        </w:rPr>
        <w:t>Документ</w:t>
      </w:r>
      <w:r w:rsidRPr="00147D5C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</w:rPr>
        <w:t>на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</w:rPr>
        <w:t>английском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</w:rPr>
        <w:t>языке</w:t>
      </w:r>
      <w:r w:rsidRPr="00147D5C">
        <w:rPr>
          <w:sz w:val="28"/>
          <w:szCs w:val="28"/>
        </w:rPr>
        <w:t xml:space="preserve"> (</w:t>
      </w:r>
      <w:r w:rsidRPr="00A71D16">
        <w:rPr>
          <w:sz w:val="28"/>
          <w:szCs w:val="28"/>
          <w:lang w:val="en-US"/>
        </w:rPr>
        <w:t>Committee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  <w:lang w:val="en-US"/>
        </w:rPr>
        <w:t>on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  <w:lang w:val="en-US"/>
        </w:rPr>
        <w:t>Payment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  <w:lang w:val="en-US"/>
        </w:rPr>
        <w:t>and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  <w:lang w:val="en-US"/>
        </w:rPr>
        <w:t>Settlement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  <w:lang w:val="en-US"/>
        </w:rPr>
        <w:t>Systems</w:t>
      </w:r>
      <w:r w:rsidRPr="00147D5C">
        <w:rPr>
          <w:sz w:val="28"/>
          <w:szCs w:val="28"/>
        </w:rPr>
        <w:t xml:space="preserve"> </w:t>
      </w:r>
      <w:r w:rsidR="006C5702">
        <w:rPr>
          <w:sz w:val="28"/>
          <w:szCs w:val="28"/>
        </w:rPr>
        <w:t>«</w:t>
      </w:r>
      <w:r w:rsidRPr="00A71D16">
        <w:rPr>
          <w:sz w:val="28"/>
          <w:szCs w:val="28"/>
          <w:lang w:val="en-US"/>
        </w:rPr>
        <w:t>Principles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  <w:lang w:val="en-US"/>
        </w:rPr>
        <w:t>for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  <w:lang w:val="en-US"/>
        </w:rPr>
        <w:t>Financial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  <w:lang w:val="en-US"/>
        </w:rPr>
        <w:t>Market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  <w:lang w:val="en-US"/>
        </w:rPr>
        <w:t>Infrastructures</w:t>
      </w:r>
      <w:r w:rsidR="006C5702">
        <w:rPr>
          <w:sz w:val="28"/>
          <w:szCs w:val="28"/>
        </w:rPr>
        <w:t>»</w:t>
      </w:r>
      <w:r w:rsidRPr="00147D5C">
        <w:rPr>
          <w:sz w:val="28"/>
          <w:szCs w:val="28"/>
        </w:rPr>
        <w:t xml:space="preserve">, </w:t>
      </w:r>
      <w:r w:rsidRPr="00A71D16">
        <w:rPr>
          <w:sz w:val="28"/>
          <w:szCs w:val="28"/>
          <w:lang w:val="en-US"/>
        </w:rPr>
        <w:t>April</w:t>
      </w:r>
      <w:r w:rsidRPr="00147D5C">
        <w:rPr>
          <w:sz w:val="28"/>
          <w:szCs w:val="28"/>
        </w:rPr>
        <w:t xml:space="preserve"> 2012) </w:t>
      </w:r>
      <w:r>
        <w:rPr>
          <w:sz w:val="28"/>
          <w:szCs w:val="28"/>
        </w:rPr>
        <w:t xml:space="preserve">и </w:t>
      </w:r>
      <w:r w:rsidRPr="00A71D16">
        <w:rPr>
          <w:sz w:val="28"/>
          <w:szCs w:val="28"/>
        </w:rPr>
        <w:t>доступен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</w:rPr>
        <w:t>на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</w:rPr>
        <w:t>сайте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</w:rPr>
        <w:t>Банка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</w:rPr>
        <w:t>международных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</w:rPr>
        <w:t>расчетов</w:t>
      </w:r>
      <w:r w:rsidRPr="00147D5C">
        <w:rPr>
          <w:sz w:val="28"/>
          <w:szCs w:val="28"/>
        </w:rPr>
        <w:t xml:space="preserve"> (</w:t>
      </w:r>
      <w:hyperlink r:id="rId4" w:history="1">
        <w:r w:rsidR="00C23BD4" w:rsidRPr="0045702E">
          <w:rPr>
            <w:rStyle w:val="a3"/>
            <w:sz w:val="28"/>
            <w:szCs w:val="28"/>
            <w:lang w:val="en-US"/>
          </w:rPr>
          <w:t>http</w:t>
        </w:r>
        <w:r w:rsidR="00C23BD4" w:rsidRPr="0045702E">
          <w:rPr>
            <w:rStyle w:val="a3"/>
            <w:sz w:val="28"/>
            <w:szCs w:val="28"/>
          </w:rPr>
          <w:t>://</w:t>
        </w:r>
        <w:r w:rsidR="00C23BD4" w:rsidRPr="0045702E">
          <w:rPr>
            <w:rStyle w:val="a3"/>
            <w:sz w:val="28"/>
            <w:szCs w:val="28"/>
            <w:lang w:val="en-US"/>
          </w:rPr>
          <w:t>www</w:t>
        </w:r>
        <w:r w:rsidR="00C23BD4" w:rsidRPr="0045702E">
          <w:rPr>
            <w:rStyle w:val="a3"/>
            <w:sz w:val="28"/>
            <w:szCs w:val="28"/>
          </w:rPr>
          <w:t>.</w:t>
        </w:r>
        <w:r w:rsidR="00C23BD4" w:rsidRPr="0045702E">
          <w:rPr>
            <w:rStyle w:val="a3"/>
            <w:sz w:val="28"/>
            <w:szCs w:val="28"/>
            <w:lang w:val="en-US"/>
          </w:rPr>
          <w:t>bis</w:t>
        </w:r>
        <w:r w:rsidR="00C23BD4" w:rsidRPr="0045702E">
          <w:rPr>
            <w:rStyle w:val="a3"/>
            <w:sz w:val="28"/>
            <w:szCs w:val="28"/>
          </w:rPr>
          <w:t>.</w:t>
        </w:r>
        <w:r w:rsidR="00C23BD4" w:rsidRPr="0045702E">
          <w:rPr>
            <w:rStyle w:val="a3"/>
            <w:sz w:val="28"/>
            <w:szCs w:val="28"/>
            <w:lang w:val="en-US"/>
          </w:rPr>
          <w:t>org</w:t>
        </w:r>
        <w:r w:rsidR="00C23BD4" w:rsidRPr="0045702E">
          <w:rPr>
            <w:rStyle w:val="a3"/>
            <w:sz w:val="28"/>
            <w:szCs w:val="28"/>
          </w:rPr>
          <w:t>/</w:t>
        </w:r>
        <w:r w:rsidR="00C23BD4" w:rsidRPr="0045702E">
          <w:rPr>
            <w:rStyle w:val="a3"/>
            <w:sz w:val="28"/>
            <w:szCs w:val="28"/>
            <w:lang w:val="en-US"/>
          </w:rPr>
          <w:t>cpmi</w:t>
        </w:r>
        <w:r w:rsidR="00C23BD4" w:rsidRPr="0045702E">
          <w:rPr>
            <w:rStyle w:val="a3"/>
            <w:sz w:val="28"/>
            <w:szCs w:val="28"/>
          </w:rPr>
          <w:t>/</w:t>
        </w:r>
        <w:r w:rsidR="00C23BD4" w:rsidRPr="0045702E">
          <w:rPr>
            <w:rStyle w:val="a3"/>
            <w:sz w:val="28"/>
            <w:szCs w:val="28"/>
            <w:lang w:val="en-US"/>
          </w:rPr>
          <w:t>publ</w:t>
        </w:r>
        <w:r w:rsidR="00C23BD4" w:rsidRPr="0045702E">
          <w:rPr>
            <w:rStyle w:val="a3"/>
            <w:sz w:val="28"/>
            <w:szCs w:val="28"/>
          </w:rPr>
          <w:t>/</w:t>
        </w:r>
        <w:r w:rsidR="00C23BD4" w:rsidRPr="0045702E">
          <w:rPr>
            <w:rStyle w:val="a3"/>
            <w:sz w:val="28"/>
            <w:szCs w:val="28"/>
            <w:lang w:val="en-US"/>
          </w:rPr>
          <w:t>d</w:t>
        </w:r>
        <w:r w:rsidR="00C23BD4" w:rsidRPr="0045702E">
          <w:rPr>
            <w:rStyle w:val="a3"/>
            <w:sz w:val="28"/>
            <w:szCs w:val="28"/>
          </w:rPr>
          <w:t>101</w:t>
        </w:r>
        <w:r w:rsidR="00C23BD4" w:rsidRPr="0045702E">
          <w:rPr>
            <w:rStyle w:val="a3"/>
            <w:sz w:val="28"/>
            <w:szCs w:val="28"/>
            <w:lang w:val="en-US"/>
          </w:rPr>
          <w:t>a</w:t>
        </w:r>
        <w:r w:rsidR="00C23BD4" w:rsidRPr="0045702E">
          <w:rPr>
            <w:rStyle w:val="a3"/>
            <w:sz w:val="28"/>
            <w:szCs w:val="28"/>
          </w:rPr>
          <w:t>.</w:t>
        </w:r>
        <w:r w:rsidR="00C23BD4" w:rsidRPr="0045702E">
          <w:rPr>
            <w:rStyle w:val="a3"/>
            <w:sz w:val="28"/>
            <w:szCs w:val="28"/>
            <w:lang w:val="en-US"/>
          </w:rPr>
          <w:t>pdf</w:t>
        </w:r>
      </w:hyperlink>
      <w:r w:rsidR="00C23BD4" w:rsidRPr="00C23BD4">
        <w:rPr>
          <w:sz w:val="28"/>
          <w:szCs w:val="28"/>
        </w:rPr>
        <w:t xml:space="preserve"> </w:t>
      </w:r>
      <w:r w:rsidRPr="00147D5C">
        <w:rPr>
          <w:sz w:val="28"/>
          <w:szCs w:val="28"/>
        </w:rPr>
        <w:t>).</w:t>
      </w:r>
      <w:r>
        <w:rPr>
          <w:sz w:val="28"/>
          <w:szCs w:val="28"/>
        </w:rPr>
        <w:t xml:space="preserve"> Также в целях проведения оценки используется документ «Структура раскрытия информации и методология оценки», который также доступен на сайте </w:t>
      </w:r>
      <w:r w:rsidRPr="00A71D16">
        <w:rPr>
          <w:sz w:val="28"/>
          <w:szCs w:val="28"/>
        </w:rPr>
        <w:t>Банка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</w:rPr>
        <w:t>международных</w:t>
      </w:r>
      <w:r w:rsidRPr="00147D5C">
        <w:rPr>
          <w:sz w:val="28"/>
          <w:szCs w:val="28"/>
        </w:rPr>
        <w:t xml:space="preserve"> </w:t>
      </w:r>
      <w:r w:rsidRPr="00A71D16">
        <w:rPr>
          <w:sz w:val="28"/>
          <w:szCs w:val="28"/>
        </w:rPr>
        <w:t>расчетов</w:t>
      </w:r>
      <w:r>
        <w:rPr>
          <w:sz w:val="28"/>
          <w:szCs w:val="28"/>
        </w:rPr>
        <w:t xml:space="preserve"> (</w:t>
      </w:r>
      <w:hyperlink r:id="rId5" w:history="1">
        <w:r w:rsidRPr="00A0749C">
          <w:rPr>
            <w:rStyle w:val="a3"/>
            <w:sz w:val="28"/>
            <w:szCs w:val="28"/>
          </w:rPr>
          <w:t>http://www.bis.org/cpm</w:t>
        </w:r>
        <w:r w:rsidRPr="00A0749C">
          <w:rPr>
            <w:rStyle w:val="a3"/>
            <w:sz w:val="28"/>
            <w:szCs w:val="28"/>
          </w:rPr>
          <w:t>i</w:t>
        </w:r>
        <w:r w:rsidRPr="00A0749C">
          <w:rPr>
            <w:rStyle w:val="a3"/>
            <w:sz w:val="28"/>
            <w:szCs w:val="28"/>
          </w:rPr>
          <w:t>/publ/d106.pdf</w:t>
        </w:r>
      </w:hyperlink>
      <w:r w:rsidRPr="003E7750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Неофициальный перевод документов прилагается. </w:t>
      </w:r>
    </w:p>
    <w:p w14:paraId="0EE3A940" w14:textId="77777777" w:rsidR="00CC0632" w:rsidRPr="00C541B2" w:rsidRDefault="00CC0632" w:rsidP="00CC0632">
      <w:pPr>
        <w:spacing w:line="233" w:lineRule="auto"/>
        <w:rPr>
          <w:sz w:val="28"/>
          <w:szCs w:val="28"/>
        </w:rPr>
      </w:pPr>
      <w:r w:rsidRPr="00C541B2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 xml:space="preserve">вышеуказанным стандартам </w:t>
      </w:r>
      <w:r w:rsidRPr="00C541B2">
        <w:rPr>
          <w:sz w:val="28"/>
          <w:szCs w:val="28"/>
        </w:rPr>
        <w:t xml:space="preserve">выделены следующие этапы оценки </w:t>
      </w:r>
      <w:r>
        <w:rPr>
          <w:sz w:val="28"/>
          <w:szCs w:val="28"/>
        </w:rPr>
        <w:t xml:space="preserve">стран на </w:t>
      </w:r>
      <w:r w:rsidRPr="00C541B2">
        <w:rPr>
          <w:sz w:val="28"/>
          <w:szCs w:val="28"/>
        </w:rPr>
        <w:t>соблюдени</w:t>
      </w:r>
      <w:r>
        <w:rPr>
          <w:sz w:val="28"/>
          <w:szCs w:val="28"/>
        </w:rPr>
        <w:t xml:space="preserve">е </w:t>
      </w:r>
      <w:r w:rsidRPr="00C541B2">
        <w:rPr>
          <w:sz w:val="28"/>
          <w:szCs w:val="28"/>
        </w:rPr>
        <w:t>Принципов для ИФР</w:t>
      </w:r>
      <w:r>
        <w:rPr>
          <w:sz w:val="28"/>
          <w:szCs w:val="28"/>
        </w:rPr>
        <w:t xml:space="preserve">: </w:t>
      </w:r>
      <w:r w:rsidRPr="00C541B2">
        <w:rPr>
          <w:sz w:val="28"/>
          <w:szCs w:val="28"/>
        </w:rPr>
        <w:t>проведение самооценки соблюдения принципов на национальном уровне, а также проведение внешней оценки стран международными финансовыми организациями (</w:t>
      </w:r>
      <w:r w:rsidR="00AB27E6">
        <w:rPr>
          <w:sz w:val="28"/>
          <w:szCs w:val="28"/>
          <w:lang w:val="kk-KZ"/>
        </w:rPr>
        <w:t xml:space="preserve">эсперты </w:t>
      </w:r>
      <w:r w:rsidRPr="00C541B2">
        <w:rPr>
          <w:sz w:val="28"/>
          <w:szCs w:val="28"/>
        </w:rPr>
        <w:t>МВФ и Всемирн</w:t>
      </w:r>
      <w:r w:rsidR="00AB27E6">
        <w:rPr>
          <w:sz w:val="28"/>
          <w:szCs w:val="28"/>
          <w:lang w:val="kk-KZ"/>
        </w:rPr>
        <w:t xml:space="preserve">ого </w:t>
      </w:r>
      <w:r w:rsidRPr="00C541B2">
        <w:rPr>
          <w:sz w:val="28"/>
          <w:szCs w:val="28"/>
        </w:rPr>
        <w:t>банк</w:t>
      </w:r>
      <w:r w:rsidR="00AB27E6">
        <w:rPr>
          <w:sz w:val="28"/>
          <w:szCs w:val="28"/>
          <w:lang w:val="kk-KZ"/>
        </w:rPr>
        <w:t>а</w:t>
      </w:r>
      <w:r w:rsidRPr="00C541B2">
        <w:rPr>
          <w:sz w:val="28"/>
          <w:szCs w:val="28"/>
        </w:rPr>
        <w:t>) с дальнейшим опубликованием результатов оценки.</w:t>
      </w:r>
    </w:p>
    <w:p w14:paraId="4EE0A9A8" w14:textId="77777777" w:rsidR="00CC0632" w:rsidRDefault="006C570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 Национальный Банк уже приступил к проведению работ по имплементации Принципов для ИФР в инфраструктуры финансового рынка Каз</w:t>
      </w:r>
      <w:r w:rsidR="00C23BD4">
        <w:rPr>
          <w:sz w:val="28"/>
          <w:szCs w:val="28"/>
        </w:rPr>
        <w:t>ахстана. В рамках данной работы</w:t>
      </w:r>
      <w:r>
        <w:rPr>
          <w:sz w:val="28"/>
          <w:szCs w:val="28"/>
        </w:rPr>
        <w:t xml:space="preserve"> </w:t>
      </w:r>
      <w:r w:rsidR="00CC0632">
        <w:rPr>
          <w:sz w:val="28"/>
          <w:szCs w:val="28"/>
        </w:rPr>
        <w:t>Национальным Банком совместно с РГП «КЦМР НБРК», АО «Казахстанская фондовая биржа» и АО «Центральный депозитарий ценных бумаг» в 2014 году завершено проведение самооценки следующих ИФР:</w:t>
      </w:r>
    </w:p>
    <w:p w14:paraId="1BD96EB8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- платежные системы (Межбанковская система переводов денег – </w:t>
      </w:r>
      <w:r>
        <w:rPr>
          <w:sz w:val="28"/>
          <w:szCs w:val="28"/>
          <w:lang w:val="en-US"/>
        </w:rPr>
        <w:t>RTGS</w:t>
      </w:r>
      <w:r w:rsidRPr="00A71D16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система и Система межбанковского клиринга), оператором которых является РГП «КЦМР НБРК»;</w:t>
      </w:r>
    </w:p>
    <w:p w14:paraId="7F7956C4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t>- система расчетов на валю</w:t>
      </w:r>
      <w:r w:rsidR="00AB27E6">
        <w:rPr>
          <w:sz w:val="28"/>
          <w:szCs w:val="28"/>
        </w:rPr>
        <w:t>тном рынке и рынке деривативов,</w:t>
      </w:r>
      <w:r w:rsidR="00AB27E6" w:rsidRPr="00AB27E6">
        <w:rPr>
          <w:sz w:val="28"/>
          <w:szCs w:val="28"/>
        </w:rPr>
        <w:t xml:space="preserve"> </w:t>
      </w:r>
      <w:r w:rsidR="00AB27E6">
        <w:rPr>
          <w:sz w:val="28"/>
          <w:szCs w:val="28"/>
          <w:lang w:val="en-US"/>
        </w:rPr>
        <w:t>SSS</w:t>
      </w:r>
      <w:r>
        <w:rPr>
          <w:sz w:val="28"/>
          <w:szCs w:val="28"/>
        </w:rPr>
        <w:t xml:space="preserve"> и </w:t>
      </w:r>
      <w:r w:rsidR="00AB27E6">
        <w:rPr>
          <w:sz w:val="28"/>
          <w:szCs w:val="28"/>
          <w:lang w:val="en-US"/>
        </w:rPr>
        <w:t>CCPs</w:t>
      </w:r>
      <w:r>
        <w:rPr>
          <w:sz w:val="28"/>
          <w:szCs w:val="28"/>
        </w:rPr>
        <w:t xml:space="preserve"> </w:t>
      </w:r>
      <w:r w:rsidR="002F69F8">
        <w:rPr>
          <w:sz w:val="28"/>
          <w:szCs w:val="28"/>
        </w:rPr>
        <w:t xml:space="preserve">- </w:t>
      </w:r>
      <w:r>
        <w:rPr>
          <w:sz w:val="28"/>
          <w:szCs w:val="28"/>
        </w:rPr>
        <w:t>АО «Казахстанская фондовая биржа»</w:t>
      </w:r>
      <w:r w:rsidR="002F69F8">
        <w:rPr>
          <w:sz w:val="28"/>
          <w:szCs w:val="28"/>
        </w:rPr>
        <w:t>, АО «Центральный депозитарий ценных бумаг»</w:t>
      </w:r>
      <w:r>
        <w:rPr>
          <w:sz w:val="28"/>
          <w:szCs w:val="28"/>
        </w:rPr>
        <w:t>;</w:t>
      </w:r>
    </w:p>
    <w:p w14:paraId="6D0299CE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t>- центральный депозитарий ценн</w:t>
      </w:r>
      <w:r w:rsidR="00AB27E6">
        <w:rPr>
          <w:sz w:val="28"/>
          <w:szCs w:val="28"/>
        </w:rPr>
        <w:t xml:space="preserve">ых бумаг </w:t>
      </w:r>
      <w:r w:rsidR="002F69F8">
        <w:rPr>
          <w:sz w:val="28"/>
          <w:szCs w:val="28"/>
        </w:rPr>
        <w:t>(</w:t>
      </w:r>
      <w:r w:rsidR="002F69F8">
        <w:rPr>
          <w:sz w:val="28"/>
          <w:szCs w:val="28"/>
          <w:lang w:val="en-US"/>
        </w:rPr>
        <w:t>CSD</w:t>
      </w:r>
      <w:r w:rsidR="002F69F8">
        <w:rPr>
          <w:sz w:val="28"/>
          <w:szCs w:val="28"/>
        </w:rPr>
        <w:t xml:space="preserve">) </w:t>
      </w:r>
      <w:r w:rsidR="00AB27E6">
        <w:rPr>
          <w:sz w:val="28"/>
          <w:szCs w:val="28"/>
        </w:rPr>
        <w:t>и торговый репозиторий</w:t>
      </w:r>
      <w:r w:rsidR="002F69F8">
        <w:rPr>
          <w:sz w:val="28"/>
          <w:szCs w:val="28"/>
        </w:rPr>
        <w:t xml:space="preserve"> (</w:t>
      </w:r>
      <w:r w:rsidR="00AB27E6">
        <w:rPr>
          <w:sz w:val="28"/>
          <w:szCs w:val="28"/>
          <w:lang w:val="en-US"/>
        </w:rPr>
        <w:t>TR</w:t>
      </w:r>
      <w:r w:rsidR="002F69F8">
        <w:rPr>
          <w:sz w:val="28"/>
          <w:szCs w:val="28"/>
        </w:rPr>
        <w:t xml:space="preserve">) - </w:t>
      </w:r>
      <w:r>
        <w:rPr>
          <w:sz w:val="28"/>
          <w:szCs w:val="28"/>
        </w:rPr>
        <w:t xml:space="preserve">АО «Центральный депозитарий ценных бумаг». </w:t>
      </w:r>
    </w:p>
    <w:p w14:paraId="17D376BD" w14:textId="77777777" w:rsidR="006C5702" w:rsidRDefault="006C570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проведенной самооценки по компоненту «Платежные системы» будут размещены на официальном сайте Национального Банка в ближайшем будущем. </w:t>
      </w:r>
    </w:p>
    <w:p w14:paraId="267EF0BA" w14:textId="77777777" w:rsidR="00CC0632" w:rsidRDefault="006C570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0632" w:rsidRPr="00A71D16">
        <w:rPr>
          <w:sz w:val="28"/>
          <w:szCs w:val="28"/>
        </w:rPr>
        <w:t xml:space="preserve">После внесения необходимых изменений в нормативную </w:t>
      </w:r>
      <w:r w:rsidR="00CC0632">
        <w:rPr>
          <w:sz w:val="28"/>
          <w:szCs w:val="28"/>
        </w:rPr>
        <w:t xml:space="preserve">правовую базу, Национальный Банк Республики Казахстан </w:t>
      </w:r>
      <w:r w:rsidR="00CC0632" w:rsidRPr="00A71D16">
        <w:rPr>
          <w:sz w:val="28"/>
          <w:szCs w:val="28"/>
        </w:rPr>
        <w:t xml:space="preserve">предполагает поэтапно начать предъявлять требования к платежным системам на предмет их соответствия </w:t>
      </w:r>
      <w:r w:rsidR="00CC0632">
        <w:rPr>
          <w:sz w:val="28"/>
          <w:szCs w:val="28"/>
        </w:rPr>
        <w:t>«</w:t>
      </w:r>
      <w:r w:rsidR="00CC0632" w:rsidRPr="00A71D16">
        <w:rPr>
          <w:sz w:val="28"/>
          <w:szCs w:val="28"/>
        </w:rPr>
        <w:t>Принципам для инфраструктур финансового рынка</w:t>
      </w:r>
      <w:r w:rsidR="00CC0632">
        <w:rPr>
          <w:sz w:val="28"/>
          <w:szCs w:val="28"/>
        </w:rPr>
        <w:t>»</w:t>
      </w:r>
      <w:r w:rsidR="00CC0632" w:rsidRPr="00A71D16">
        <w:rPr>
          <w:sz w:val="28"/>
          <w:szCs w:val="28"/>
        </w:rPr>
        <w:t xml:space="preserve"> и оценивать степень указанного соответствия в рамках </w:t>
      </w:r>
      <w:r w:rsidR="00CC0632">
        <w:rPr>
          <w:sz w:val="28"/>
          <w:szCs w:val="28"/>
        </w:rPr>
        <w:t>надзора (оверсайта) за платежными системами</w:t>
      </w:r>
      <w:r w:rsidR="00CC0632" w:rsidRPr="00A71D16">
        <w:rPr>
          <w:sz w:val="28"/>
          <w:szCs w:val="28"/>
        </w:rPr>
        <w:t>.</w:t>
      </w:r>
    </w:p>
    <w:p w14:paraId="6EE5CEA8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013600FD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0FD0AA6D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Приложение: Документы «Принципы для инфраструктур финансового рынка» и «Структура раскрытия информации и методология оценки». </w:t>
      </w:r>
    </w:p>
    <w:p w14:paraId="5326DA22" w14:textId="77777777" w:rsidR="003633E5" w:rsidRDefault="003633E5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148B3B16" w14:textId="77777777" w:rsidR="00CC0632" w:rsidRDefault="00BC1323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  <w:r w:rsidRPr="00BC1323">
        <w:rPr>
          <w:sz w:val="28"/>
          <w:szCs w:val="28"/>
        </w:rPr>
        <w:object w:dxaOrig="1755" w:dyaOrig="765" w14:anchorId="7E34DF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6pt;height:38.4pt" o:ole="">
            <v:imagedata r:id="rId6" o:title=""/>
          </v:shape>
          <o:OLEObject Type="Embed" ProgID="Package" ShapeID="_x0000_i1025" DrawAspect="Content" ObjectID="_1636524976" r:id="rId7"/>
        </w:object>
      </w:r>
      <w:r w:rsidRPr="00BC1323">
        <w:rPr>
          <w:sz w:val="28"/>
          <w:szCs w:val="28"/>
        </w:rPr>
        <w:object w:dxaOrig="3690" w:dyaOrig="765" w14:anchorId="4D5ED80F">
          <v:shape id="_x0000_i1026" type="#_x0000_t75" style="width:184.8pt;height:38.4pt" o:ole="">
            <v:imagedata r:id="rId8" o:title=""/>
          </v:shape>
          <o:OLEObject Type="Embed" ProgID="Package" ShapeID="_x0000_i1026" DrawAspect="Content" ObjectID="_1636524977" r:id="rId9"/>
        </w:object>
      </w:r>
    </w:p>
    <w:p w14:paraId="3C666600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3F63F1E1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78432372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42B3BD08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0467B60D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19BFB18B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6A0AEA66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3FCF4124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0D02E61C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43428674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6A2CF883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5A46BAC4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6677D0BC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1D8FACD7" w14:textId="77777777" w:rsidR="00CC0632" w:rsidRDefault="00CC0632" w:rsidP="00CC0632">
      <w:pPr>
        <w:widowControl w:val="0"/>
        <w:autoSpaceDE w:val="0"/>
        <w:autoSpaceDN w:val="0"/>
        <w:adjustRightInd w:val="0"/>
        <w:spacing w:line="240" w:lineRule="auto"/>
        <w:ind w:firstLine="539"/>
        <w:rPr>
          <w:sz w:val="28"/>
          <w:szCs w:val="28"/>
        </w:rPr>
      </w:pPr>
    </w:p>
    <w:p w14:paraId="2BE68734" w14:textId="77777777" w:rsidR="009F32BB" w:rsidRDefault="009F32BB"/>
    <w:sectPr w:rsidR="009F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0632"/>
    <w:rsid w:val="0000471B"/>
    <w:rsid w:val="00020FA4"/>
    <w:rsid w:val="0002162B"/>
    <w:rsid w:val="00025E82"/>
    <w:rsid w:val="00040072"/>
    <w:rsid w:val="00050698"/>
    <w:rsid w:val="00062DD2"/>
    <w:rsid w:val="00071789"/>
    <w:rsid w:val="0009531A"/>
    <w:rsid w:val="00095F0A"/>
    <w:rsid w:val="000A78C1"/>
    <w:rsid w:val="000C38DC"/>
    <w:rsid w:val="000C68AD"/>
    <w:rsid w:val="001172AE"/>
    <w:rsid w:val="00152FAD"/>
    <w:rsid w:val="001547CF"/>
    <w:rsid w:val="00162135"/>
    <w:rsid w:val="00163F51"/>
    <w:rsid w:val="001663D0"/>
    <w:rsid w:val="001722F1"/>
    <w:rsid w:val="001768D5"/>
    <w:rsid w:val="001772FE"/>
    <w:rsid w:val="00177416"/>
    <w:rsid w:val="00197FA8"/>
    <w:rsid w:val="001B02C5"/>
    <w:rsid w:val="001B1FBB"/>
    <w:rsid w:val="001C3C82"/>
    <w:rsid w:val="001D30F9"/>
    <w:rsid w:val="001F439F"/>
    <w:rsid w:val="001F557D"/>
    <w:rsid w:val="002043C4"/>
    <w:rsid w:val="002263E9"/>
    <w:rsid w:val="00231070"/>
    <w:rsid w:val="00255459"/>
    <w:rsid w:val="00274CA9"/>
    <w:rsid w:val="002761BF"/>
    <w:rsid w:val="00295D13"/>
    <w:rsid w:val="002B2E41"/>
    <w:rsid w:val="002B4AE7"/>
    <w:rsid w:val="002D06D4"/>
    <w:rsid w:val="002D4FFF"/>
    <w:rsid w:val="002D7E54"/>
    <w:rsid w:val="002E0722"/>
    <w:rsid w:val="002F5C58"/>
    <w:rsid w:val="002F69F8"/>
    <w:rsid w:val="002F6E45"/>
    <w:rsid w:val="003075E5"/>
    <w:rsid w:val="0031510D"/>
    <w:rsid w:val="00331732"/>
    <w:rsid w:val="00335711"/>
    <w:rsid w:val="003413FF"/>
    <w:rsid w:val="003633E5"/>
    <w:rsid w:val="0037799C"/>
    <w:rsid w:val="00381348"/>
    <w:rsid w:val="00392C62"/>
    <w:rsid w:val="00397FAA"/>
    <w:rsid w:val="003B667D"/>
    <w:rsid w:val="003B6B86"/>
    <w:rsid w:val="003C6522"/>
    <w:rsid w:val="003E74B6"/>
    <w:rsid w:val="003F4EFE"/>
    <w:rsid w:val="003F75F8"/>
    <w:rsid w:val="004051EF"/>
    <w:rsid w:val="00424FF4"/>
    <w:rsid w:val="004420DD"/>
    <w:rsid w:val="004734E4"/>
    <w:rsid w:val="00487F6E"/>
    <w:rsid w:val="004A40E2"/>
    <w:rsid w:val="004C4B77"/>
    <w:rsid w:val="004E1990"/>
    <w:rsid w:val="004F7318"/>
    <w:rsid w:val="0051610F"/>
    <w:rsid w:val="005200F7"/>
    <w:rsid w:val="005265E4"/>
    <w:rsid w:val="00530F38"/>
    <w:rsid w:val="0057132B"/>
    <w:rsid w:val="00573C6D"/>
    <w:rsid w:val="005C037F"/>
    <w:rsid w:val="005D4B98"/>
    <w:rsid w:val="006039B2"/>
    <w:rsid w:val="00604CFD"/>
    <w:rsid w:val="00620933"/>
    <w:rsid w:val="00622DA8"/>
    <w:rsid w:val="00635A82"/>
    <w:rsid w:val="00643337"/>
    <w:rsid w:val="00665B4B"/>
    <w:rsid w:val="00683A40"/>
    <w:rsid w:val="00694B58"/>
    <w:rsid w:val="006B066A"/>
    <w:rsid w:val="006C46A3"/>
    <w:rsid w:val="006C5702"/>
    <w:rsid w:val="006D7C55"/>
    <w:rsid w:val="007029E1"/>
    <w:rsid w:val="007571F9"/>
    <w:rsid w:val="00763907"/>
    <w:rsid w:val="007648A7"/>
    <w:rsid w:val="007847E6"/>
    <w:rsid w:val="007A18E8"/>
    <w:rsid w:val="007B3666"/>
    <w:rsid w:val="007B7C2F"/>
    <w:rsid w:val="007C4949"/>
    <w:rsid w:val="007D160D"/>
    <w:rsid w:val="00800772"/>
    <w:rsid w:val="00846255"/>
    <w:rsid w:val="008633DC"/>
    <w:rsid w:val="00863794"/>
    <w:rsid w:val="008777F0"/>
    <w:rsid w:val="008815B6"/>
    <w:rsid w:val="00893855"/>
    <w:rsid w:val="008A47D3"/>
    <w:rsid w:val="008A7723"/>
    <w:rsid w:val="008B06DA"/>
    <w:rsid w:val="008C197C"/>
    <w:rsid w:val="008F4958"/>
    <w:rsid w:val="008F5C38"/>
    <w:rsid w:val="00903F58"/>
    <w:rsid w:val="0092718E"/>
    <w:rsid w:val="009517E0"/>
    <w:rsid w:val="00970F1D"/>
    <w:rsid w:val="0097101F"/>
    <w:rsid w:val="00986523"/>
    <w:rsid w:val="00992197"/>
    <w:rsid w:val="009A53C3"/>
    <w:rsid w:val="009C6AF0"/>
    <w:rsid w:val="009D1A9F"/>
    <w:rsid w:val="009D6BDC"/>
    <w:rsid w:val="009E18AC"/>
    <w:rsid w:val="009F32BB"/>
    <w:rsid w:val="00A13589"/>
    <w:rsid w:val="00A310D6"/>
    <w:rsid w:val="00A35D71"/>
    <w:rsid w:val="00A600B0"/>
    <w:rsid w:val="00A63E9B"/>
    <w:rsid w:val="00A94EC2"/>
    <w:rsid w:val="00A976CD"/>
    <w:rsid w:val="00A97738"/>
    <w:rsid w:val="00AA56EC"/>
    <w:rsid w:val="00AB27E6"/>
    <w:rsid w:val="00AB6B52"/>
    <w:rsid w:val="00AD1053"/>
    <w:rsid w:val="00AD6A37"/>
    <w:rsid w:val="00AE147D"/>
    <w:rsid w:val="00AE365B"/>
    <w:rsid w:val="00AE4632"/>
    <w:rsid w:val="00AE4F7A"/>
    <w:rsid w:val="00AF1035"/>
    <w:rsid w:val="00B2322E"/>
    <w:rsid w:val="00B3701E"/>
    <w:rsid w:val="00B6268A"/>
    <w:rsid w:val="00B7313D"/>
    <w:rsid w:val="00B76CF0"/>
    <w:rsid w:val="00B8274A"/>
    <w:rsid w:val="00B877DF"/>
    <w:rsid w:val="00B927CF"/>
    <w:rsid w:val="00B95458"/>
    <w:rsid w:val="00BA3E3A"/>
    <w:rsid w:val="00BB11B8"/>
    <w:rsid w:val="00BC1323"/>
    <w:rsid w:val="00BD4BB6"/>
    <w:rsid w:val="00BE1AF8"/>
    <w:rsid w:val="00BE1EE8"/>
    <w:rsid w:val="00C21F45"/>
    <w:rsid w:val="00C23BD4"/>
    <w:rsid w:val="00C31B82"/>
    <w:rsid w:val="00C3651B"/>
    <w:rsid w:val="00C37F66"/>
    <w:rsid w:val="00C441E0"/>
    <w:rsid w:val="00C532E2"/>
    <w:rsid w:val="00C77615"/>
    <w:rsid w:val="00C82236"/>
    <w:rsid w:val="00C93D72"/>
    <w:rsid w:val="00CA4056"/>
    <w:rsid w:val="00CB18E8"/>
    <w:rsid w:val="00CB4B1F"/>
    <w:rsid w:val="00CB61D7"/>
    <w:rsid w:val="00CC0632"/>
    <w:rsid w:val="00CC1112"/>
    <w:rsid w:val="00CD4FD6"/>
    <w:rsid w:val="00D25854"/>
    <w:rsid w:val="00D46C26"/>
    <w:rsid w:val="00D65923"/>
    <w:rsid w:val="00D77DD2"/>
    <w:rsid w:val="00D939CA"/>
    <w:rsid w:val="00D943D5"/>
    <w:rsid w:val="00DA030A"/>
    <w:rsid w:val="00DA161E"/>
    <w:rsid w:val="00DB21ED"/>
    <w:rsid w:val="00DC4F22"/>
    <w:rsid w:val="00DE582F"/>
    <w:rsid w:val="00DE7BBE"/>
    <w:rsid w:val="00E07255"/>
    <w:rsid w:val="00E23F70"/>
    <w:rsid w:val="00E24252"/>
    <w:rsid w:val="00E40BC3"/>
    <w:rsid w:val="00E61515"/>
    <w:rsid w:val="00E6570A"/>
    <w:rsid w:val="00E65F4D"/>
    <w:rsid w:val="00E76E9D"/>
    <w:rsid w:val="00E80810"/>
    <w:rsid w:val="00E86625"/>
    <w:rsid w:val="00E951B8"/>
    <w:rsid w:val="00E96298"/>
    <w:rsid w:val="00EA4BDE"/>
    <w:rsid w:val="00EB2F57"/>
    <w:rsid w:val="00EE56D1"/>
    <w:rsid w:val="00F05EB5"/>
    <w:rsid w:val="00F2306C"/>
    <w:rsid w:val="00F246EA"/>
    <w:rsid w:val="00F46C2D"/>
    <w:rsid w:val="00F51FB1"/>
    <w:rsid w:val="00F56F26"/>
    <w:rsid w:val="00F67B2D"/>
    <w:rsid w:val="00F85019"/>
    <w:rsid w:val="00FA2556"/>
    <w:rsid w:val="00FF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26FB8"/>
  <w15:chartTrackingRefBased/>
  <w15:docId w15:val="{3CB2F2C2-FF63-4F1B-8DAF-68F89BDA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0632"/>
    <w:pPr>
      <w:spacing w:line="360" w:lineRule="auto"/>
      <w:ind w:firstLine="709"/>
      <w:jc w:val="both"/>
    </w:pPr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CC0632"/>
    <w:pPr>
      <w:widowControl w:val="0"/>
      <w:autoSpaceDE w:val="0"/>
      <w:autoSpaceDN w:val="0"/>
      <w:adjustRightInd w:val="0"/>
    </w:pPr>
    <w:rPr>
      <w:b/>
      <w:bCs/>
      <w:sz w:val="24"/>
      <w:szCs w:val="24"/>
      <w:lang w:val="ru-RU" w:eastAsia="ru-RU"/>
    </w:rPr>
  </w:style>
  <w:style w:type="character" w:styleId="a3">
    <w:name w:val="Hyperlink"/>
    <w:rsid w:val="00CC0632"/>
    <w:rPr>
      <w:color w:val="0000FF"/>
      <w:u w:val="single"/>
    </w:rPr>
  </w:style>
  <w:style w:type="character" w:styleId="a4">
    <w:name w:val="FollowedHyperlink"/>
    <w:rsid w:val="006C5702"/>
    <w:rPr>
      <w:color w:val="800080"/>
      <w:u w:val="single"/>
    </w:rPr>
  </w:style>
  <w:style w:type="paragraph" w:styleId="a5">
    <w:name w:val="Plain Text"/>
    <w:basedOn w:val="a"/>
    <w:rsid w:val="00BC1323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hyperlink" Target="http://www.bis.org/cpmi/publ/d106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bis.org/cpmi/publ/d101a.pdf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НАЦИОНАЛЬНОГО БАНКА </vt:lpstr>
    </vt:vector>
  </TitlesOfParts>
  <Company/>
  <LinksUpToDate>false</LinksUpToDate>
  <CharactersWithSpaces>3485</CharactersWithSpaces>
  <SharedDoc>false</SharedDoc>
  <HLinks>
    <vt:vector size="12" baseType="variant">
      <vt:variant>
        <vt:i4>1310745</vt:i4>
      </vt:variant>
      <vt:variant>
        <vt:i4>3</vt:i4>
      </vt:variant>
      <vt:variant>
        <vt:i4>0</vt:i4>
      </vt:variant>
      <vt:variant>
        <vt:i4>5</vt:i4>
      </vt:variant>
      <vt:variant>
        <vt:lpwstr>http://www.bis.org/cpmi/publ/d106.pdf</vt:lpwstr>
      </vt:variant>
      <vt:variant>
        <vt:lpwstr/>
      </vt:variant>
      <vt:variant>
        <vt:i4>2687012</vt:i4>
      </vt:variant>
      <vt:variant>
        <vt:i4>0</vt:i4>
      </vt:variant>
      <vt:variant>
        <vt:i4>0</vt:i4>
      </vt:variant>
      <vt:variant>
        <vt:i4>5</vt:i4>
      </vt:variant>
      <vt:variant>
        <vt:lpwstr>http://www.bis.org/cpmi/publ/d101a.pdf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НАЦИОНАЛЬНОГО БАНКА </dc:title>
  <dc:subject/>
  <dc:creator>Dit_admin</dc:creator>
  <cp:keywords/>
  <dc:description/>
  <cp:lastModifiedBy>Сакен Озаев</cp:lastModifiedBy>
  <cp:revision>2</cp:revision>
  <dcterms:created xsi:type="dcterms:W3CDTF">2019-11-29T03:30:00Z</dcterms:created>
  <dcterms:modified xsi:type="dcterms:W3CDTF">2019-11-29T03:30:00Z</dcterms:modified>
</cp:coreProperties>
</file>