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F93" w:rsidRDefault="00021F93" w:rsidP="00E524F9">
      <w:pPr>
        <w:pStyle w:val="aa"/>
        <w:spacing w:before="0" w:after="0"/>
        <w:rPr>
          <w:rFonts w:ascii="Times New Roman" w:hAnsi="Times New Roman"/>
          <w:sz w:val="28"/>
          <w:szCs w:val="28"/>
          <w:lang w:val="kk-KZ"/>
        </w:rPr>
      </w:pPr>
      <w:r>
        <w:rPr>
          <w:rFonts w:ascii="Times New Roman" w:hAnsi="Times New Roman"/>
          <w:sz w:val="28"/>
          <w:szCs w:val="28"/>
          <w:lang w:val="kk-KZ"/>
        </w:rPr>
        <w:t>«</w:t>
      </w:r>
      <w:r w:rsidR="00F90C14">
        <w:rPr>
          <w:rFonts w:ascii="Times New Roman" w:hAnsi="Times New Roman"/>
          <w:sz w:val="28"/>
          <w:szCs w:val="28"/>
          <w:lang w:val="kk-KZ"/>
        </w:rPr>
        <w:t>Кредит нарығы</w:t>
      </w:r>
      <w:r w:rsidR="000A1626">
        <w:rPr>
          <w:rFonts w:ascii="Times New Roman" w:hAnsi="Times New Roman"/>
          <w:sz w:val="28"/>
          <w:szCs w:val="28"/>
          <w:lang w:val="kk-KZ"/>
        </w:rPr>
        <w:t>ның</w:t>
      </w:r>
      <w:r w:rsidR="00F90C14">
        <w:rPr>
          <w:rFonts w:ascii="Times New Roman" w:hAnsi="Times New Roman"/>
          <w:sz w:val="28"/>
          <w:szCs w:val="28"/>
          <w:lang w:val="kk-KZ"/>
        </w:rPr>
        <w:t xml:space="preserve"> жай-күйі және </w:t>
      </w:r>
      <w:r w:rsidR="000A1626">
        <w:rPr>
          <w:rFonts w:ascii="Times New Roman" w:hAnsi="Times New Roman"/>
          <w:sz w:val="28"/>
          <w:szCs w:val="28"/>
          <w:lang w:val="kk-KZ"/>
        </w:rPr>
        <w:t xml:space="preserve">өлшемдерінің </w:t>
      </w:r>
      <w:r w:rsidR="00F90C14">
        <w:rPr>
          <w:rFonts w:ascii="Times New Roman" w:hAnsi="Times New Roman"/>
          <w:sz w:val="28"/>
          <w:szCs w:val="28"/>
          <w:lang w:val="kk-KZ"/>
        </w:rPr>
        <w:t>болжамы</w:t>
      </w:r>
      <w:r>
        <w:rPr>
          <w:rFonts w:ascii="Times New Roman" w:hAnsi="Times New Roman"/>
          <w:sz w:val="28"/>
          <w:szCs w:val="28"/>
          <w:lang w:val="kk-KZ"/>
        </w:rPr>
        <w:t>»</w:t>
      </w:r>
      <w:r w:rsidR="00F90C14">
        <w:rPr>
          <w:rFonts w:ascii="Times New Roman" w:hAnsi="Times New Roman"/>
          <w:sz w:val="28"/>
          <w:szCs w:val="28"/>
          <w:lang w:val="kk-KZ"/>
        </w:rPr>
        <w:t xml:space="preserve"> екінші деңгейдегі банктерді зерттеу, 2015 жылғы қаңтар </w:t>
      </w:r>
    </w:p>
    <w:p w:rsidR="00F90C14" w:rsidRDefault="00F90C14" w:rsidP="00EE50D0">
      <w:pPr>
        <w:ind w:firstLine="708"/>
        <w:jc w:val="both"/>
        <w:rPr>
          <w:color w:val="000000"/>
          <w:lang w:val="kk-KZ"/>
        </w:rPr>
      </w:pPr>
    </w:p>
    <w:p w:rsidR="000A1626" w:rsidRDefault="000A1626" w:rsidP="00EE50D0">
      <w:pPr>
        <w:ind w:firstLine="708"/>
        <w:jc w:val="both"/>
        <w:rPr>
          <w:color w:val="000000"/>
          <w:lang w:val="kk-KZ"/>
        </w:rPr>
      </w:pPr>
      <w:r>
        <w:rPr>
          <w:color w:val="000000"/>
          <w:lang w:val="kk-KZ"/>
        </w:rPr>
        <w:t>Банктерге сауалнама жүргізу негізінде кредит нарығының сапалық өлшемдерін зерттеу қорытындылары 2014 жылғы 4-тоқсанда банктер тарапынан да, қарыз алушылар тарапынан да белсенділіктің төмен бол</w:t>
      </w:r>
      <w:bookmarkStart w:id="0" w:name="_GoBack"/>
      <w:bookmarkEnd w:id="0"/>
      <w:r>
        <w:rPr>
          <w:color w:val="000000"/>
          <w:lang w:val="kk-KZ"/>
        </w:rPr>
        <w:t>ғанын растайды. Елдің жалпы</w:t>
      </w:r>
      <w:r w:rsidR="00D463F2">
        <w:rPr>
          <w:color w:val="000000"/>
          <w:lang w:val="kk-KZ"/>
        </w:rPr>
        <w:t xml:space="preserve"> </w:t>
      </w:r>
      <w:r>
        <w:rPr>
          <w:color w:val="000000"/>
          <w:lang w:val="kk-KZ"/>
        </w:rPr>
        <w:t xml:space="preserve">экономикалық тәуекелдерінің деңгейі, оның ішінде мұнай бағасының төмендеуі, күтулердің нашарлауы, сондай-ақ теңгемен өтімділіктің төмендеуі, банктердің пікірінше, банктердің кредиттік белсенділігінің </w:t>
      </w:r>
      <w:r w:rsidR="00D463F2">
        <w:rPr>
          <w:color w:val="000000"/>
          <w:lang w:val="kk-KZ"/>
        </w:rPr>
        <w:t>іркілуіне</w:t>
      </w:r>
      <w:r>
        <w:rPr>
          <w:color w:val="000000"/>
          <w:lang w:val="kk-KZ"/>
        </w:rPr>
        <w:t xml:space="preserve"> әсер етті. Алайда банктер экономикаға қолдау көрсету жөніндегі жаңа мемлекеттік бастамалардың (</w:t>
      </w:r>
      <w:r w:rsidR="00D463F2">
        <w:rPr>
          <w:color w:val="000000"/>
          <w:lang w:val="kk-KZ"/>
        </w:rPr>
        <w:t>атап айтқанда «Нұрлы-Жол» мемлекеттік бағдарламасы, экономиканы долларсыздандыру жөніндегі саясат</w:t>
      </w:r>
      <w:r>
        <w:rPr>
          <w:color w:val="000000"/>
          <w:lang w:val="kk-KZ"/>
        </w:rPr>
        <w:t>) іске асырыла бастауына байланысты</w:t>
      </w:r>
      <w:r w:rsidR="00D463F2">
        <w:rPr>
          <w:color w:val="000000"/>
          <w:lang w:val="kk-KZ"/>
        </w:rPr>
        <w:t xml:space="preserve"> 2015 жылғы 2-тоқсаннан бастап өтімділікпен байланысты ахуал аздап жақсарады деп күтеді. </w:t>
      </w:r>
      <w:r>
        <w:rPr>
          <w:color w:val="000000"/>
          <w:lang w:val="kk-KZ"/>
        </w:rPr>
        <w:t xml:space="preserve">      </w:t>
      </w:r>
    </w:p>
    <w:p w:rsidR="006A72A2" w:rsidRPr="00751FF0" w:rsidRDefault="00D463F2" w:rsidP="006A72A2">
      <w:pPr>
        <w:ind w:firstLine="708"/>
        <w:jc w:val="both"/>
        <w:rPr>
          <w:color w:val="000000"/>
          <w:lang w:val="kk-KZ"/>
        </w:rPr>
      </w:pPr>
      <w:r>
        <w:rPr>
          <w:lang w:val="kk-KZ"/>
        </w:rPr>
        <w:t xml:space="preserve">Қаржылық емес ұйымдарға кредиттер </w:t>
      </w:r>
      <w:r w:rsidR="008916ED">
        <w:rPr>
          <w:lang w:val="kk-KZ"/>
        </w:rPr>
        <w:t xml:space="preserve">көбіне айналым капиталын қаржыландыру және қолдағы борыштарды қайта құрылымдау мақсаттары үшін берілді. Банктердің кредиттік белсенділігі бөлшек сегментте тұтынушылық қарыздар портфелінің шамадан тыс өсу тәуекелдерін барынша азайтуға бағытталған реттеу шараларымен төмендетілді. </w:t>
      </w:r>
      <w:r w:rsidR="006A72A2">
        <w:rPr>
          <w:lang w:val="kk-KZ"/>
        </w:rPr>
        <w:t xml:space="preserve">Ипотекалық кредиттеу сегменті де белсенділігінің төмендігімен сипатталады және оның қысқамерзімді кезеңдегі одан әрі даму перспективалары, банктердің пікірінше, өсу факторларының болмауына және қорландырудың шектелуіне байланысты шектелген. Нәтижесінде банктердің қатаң кредит саясаты мен қарыз алушыларға қойылатын жоғары талаптардың сақталуы қаржылық емес ұйымдар тарапынан да, жеке тұлғалар тарапынан да сұраныстың өсуін шектеді. Сонымен қатар ШОБ қолдау көрсетудің мемлекеттік бағдарламалары шеңберінде шағын және орта бизнесті кредиттеудің аздап жанданғаны байқалды. </w:t>
      </w:r>
    </w:p>
    <w:p w:rsidR="001A3B24" w:rsidRDefault="006A72A2" w:rsidP="000E5116">
      <w:pPr>
        <w:ind w:firstLine="708"/>
        <w:jc w:val="both"/>
        <w:rPr>
          <w:color w:val="000000"/>
          <w:lang w:val="kk-KZ"/>
        </w:rPr>
      </w:pPr>
      <w:r>
        <w:rPr>
          <w:color w:val="000000"/>
          <w:lang w:val="kk-KZ"/>
        </w:rPr>
        <w:t xml:space="preserve">2014 жылғы екінші жартыжылдықтан бастап жұмыс істемейтін қарыздар деңгейін төмендету жөнінде белсенді жұмыс жүргізілді, алайда, проблемалық қарыздар деңгейінің төмендеуіне қарамастан, несие портфелінің сапасы </w:t>
      </w:r>
      <w:r w:rsidR="000E5116">
        <w:rPr>
          <w:color w:val="000000"/>
          <w:lang w:val="kk-KZ"/>
        </w:rPr>
        <w:t xml:space="preserve">әлі де </w:t>
      </w:r>
      <w:r>
        <w:rPr>
          <w:color w:val="000000"/>
          <w:lang w:val="kk-KZ"/>
        </w:rPr>
        <w:t>қанағаттана</w:t>
      </w:r>
      <w:r w:rsidR="000E5116">
        <w:rPr>
          <w:color w:val="000000"/>
          <w:lang w:val="kk-KZ"/>
        </w:rPr>
        <w:t xml:space="preserve">рлықсыз болып қалуда. Проблемалық кредиттермен жұмыс кезіндегі неғұрлым басым шаралар ретінде банктер үмітсіз берешекті коллекторлық компанияларға сатуды, есептен шығаруды, кредиттің жалпы мерзімін ұзартуды, төлемдер кестесін өзгертуді, борышты қайта қаржыландыруды бөлек атап өтеді. </w:t>
      </w:r>
    </w:p>
    <w:p w:rsidR="000E5116" w:rsidRPr="00751FF0" w:rsidRDefault="000E5116" w:rsidP="000E5116">
      <w:pPr>
        <w:ind w:firstLine="708"/>
        <w:jc w:val="both"/>
        <w:rPr>
          <w:color w:val="000000"/>
          <w:lang w:val="kk-KZ"/>
        </w:rPr>
      </w:pPr>
    </w:p>
    <w:p w:rsidR="009A4CFD" w:rsidRPr="00751FF0" w:rsidRDefault="009A4CFD" w:rsidP="00E524F9">
      <w:pPr>
        <w:ind w:firstLine="708"/>
        <w:jc w:val="both"/>
        <w:rPr>
          <w:lang w:val="kk-KZ"/>
        </w:rPr>
      </w:pPr>
    </w:p>
    <w:p w:rsidR="009F4B82" w:rsidRDefault="000A1626" w:rsidP="00E524F9">
      <w:pPr>
        <w:ind w:firstLine="708"/>
        <w:jc w:val="both"/>
        <w:rPr>
          <w:b/>
          <w:lang w:val="kk-KZ"/>
        </w:rPr>
      </w:pPr>
      <w:r w:rsidRPr="00FA5C40">
        <w:rPr>
          <w:b/>
          <w:lang w:val="kk-KZ"/>
        </w:rPr>
        <w:t>Корпоративтік секторды кредиттеу нарығы</w:t>
      </w:r>
    </w:p>
    <w:p w:rsidR="000A1626" w:rsidRPr="00751FF0" w:rsidRDefault="000A1626" w:rsidP="00E524F9">
      <w:pPr>
        <w:ind w:firstLine="708"/>
        <w:jc w:val="both"/>
        <w:rPr>
          <w:b/>
          <w:lang w:val="kk-KZ"/>
        </w:rPr>
      </w:pPr>
    </w:p>
    <w:p w:rsidR="000B2485" w:rsidRPr="00751FF0" w:rsidRDefault="000E5116" w:rsidP="000B2485">
      <w:pPr>
        <w:ind w:firstLine="708"/>
        <w:jc w:val="both"/>
        <w:rPr>
          <w:lang w:val="kk-KZ"/>
        </w:rPr>
      </w:pPr>
      <w:r>
        <w:rPr>
          <w:b/>
          <w:lang w:val="kk-KZ"/>
        </w:rPr>
        <w:t xml:space="preserve">2014 жылғы </w:t>
      </w:r>
      <w:r w:rsidR="00861CF7" w:rsidRPr="00751FF0">
        <w:rPr>
          <w:b/>
          <w:lang w:val="kk-KZ"/>
        </w:rPr>
        <w:t>4-</w:t>
      </w:r>
      <w:r>
        <w:rPr>
          <w:b/>
          <w:lang w:val="kk-KZ"/>
        </w:rPr>
        <w:t xml:space="preserve">тоқсанда өткен тоқсанмен салыстырғанда қаржылық емес секторды кредиттеуге ниетті банктер санының азаюы аясында </w:t>
      </w:r>
      <w:r w:rsidR="00861CF7" w:rsidRPr="00751FF0">
        <w:rPr>
          <w:b/>
          <w:lang w:val="kk-KZ"/>
        </w:rPr>
        <w:t>(</w:t>
      </w:r>
      <w:r w:rsidR="00F751FE" w:rsidRPr="00751FF0">
        <w:rPr>
          <w:b/>
          <w:lang w:val="kk-KZ"/>
        </w:rPr>
        <w:t>29%</w:t>
      </w:r>
      <w:r>
        <w:rPr>
          <w:b/>
          <w:lang w:val="kk-KZ"/>
        </w:rPr>
        <w:t>-дан</w:t>
      </w:r>
      <w:r w:rsidR="00F751FE" w:rsidRPr="00751FF0">
        <w:rPr>
          <w:b/>
          <w:lang w:val="kk-KZ"/>
        </w:rPr>
        <w:t xml:space="preserve"> 20%</w:t>
      </w:r>
      <w:r>
        <w:rPr>
          <w:b/>
          <w:lang w:val="kk-KZ"/>
        </w:rPr>
        <w:t>-ға дейін</w:t>
      </w:r>
      <w:r w:rsidR="00861CF7" w:rsidRPr="00751FF0">
        <w:rPr>
          <w:b/>
          <w:lang w:val="kk-KZ"/>
        </w:rPr>
        <w:t>)</w:t>
      </w:r>
      <w:r>
        <w:rPr>
          <w:b/>
          <w:lang w:val="kk-KZ"/>
        </w:rPr>
        <w:t xml:space="preserve"> кредиттерге деген сұранысты</w:t>
      </w:r>
      <w:r w:rsidR="009C3CCE">
        <w:rPr>
          <w:b/>
          <w:lang w:val="kk-KZ"/>
        </w:rPr>
        <w:t>ң ұлғайғанын атап өткен банктер</w:t>
      </w:r>
      <w:r>
        <w:rPr>
          <w:b/>
          <w:lang w:val="kk-KZ"/>
        </w:rPr>
        <w:t xml:space="preserve"> үлесі </w:t>
      </w:r>
      <w:r w:rsidR="00C637AC" w:rsidRPr="00751FF0">
        <w:rPr>
          <w:b/>
          <w:lang w:val="kk-KZ"/>
        </w:rPr>
        <w:t>39%</w:t>
      </w:r>
      <w:r>
        <w:rPr>
          <w:b/>
          <w:lang w:val="kk-KZ"/>
        </w:rPr>
        <w:t>-дан</w:t>
      </w:r>
      <w:r w:rsidR="00C637AC" w:rsidRPr="00751FF0">
        <w:rPr>
          <w:b/>
          <w:lang w:val="kk-KZ"/>
        </w:rPr>
        <w:t xml:space="preserve"> 34%</w:t>
      </w:r>
      <w:r>
        <w:rPr>
          <w:b/>
          <w:lang w:val="kk-KZ"/>
        </w:rPr>
        <w:t xml:space="preserve">-ға дейін </w:t>
      </w:r>
      <w:r w:rsidRPr="000E5116">
        <w:rPr>
          <w:lang w:val="kk-KZ"/>
        </w:rPr>
        <w:t>төмендеді</w:t>
      </w:r>
      <w:r w:rsidR="00C637AC" w:rsidRPr="00751FF0">
        <w:rPr>
          <w:b/>
          <w:lang w:val="kk-KZ"/>
        </w:rPr>
        <w:t xml:space="preserve"> </w:t>
      </w:r>
      <w:r w:rsidR="005A1734" w:rsidRPr="00751FF0">
        <w:rPr>
          <w:lang w:val="kk-KZ"/>
        </w:rPr>
        <w:t>(1</w:t>
      </w:r>
      <w:r>
        <w:rPr>
          <w:lang w:val="kk-KZ"/>
        </w:rPr>
        <w:t>-</w:t>
      </w:r>
      <w:r w:rsidRPr="00751FF0">
        <w:rPr>
          <w:lang w:val="kk-KZ"/>
        </w:rPr>
        <w:t>диаграмма</w:t>
      </w:r>
      <w:r w:rsidR="005A1734" w:rsidRPr="00CA1BA3">
        <w:rPr>
          <w:rStyle w:val="a5"/>
        </w:rPr>
        <w:footnoteReference w:id="1"/>
      </w:r>
      <w:r w:rsidR="005A1734" w:rsidRPr="00751FF0">
        <w:rPr>
          <w:lang w:val="kk-KZ"/>
        </w:rPr>
        <w:t>).</w:t>
      </w:r>
      <w:r w:rsidR="000B2485">
        <w:rPr>
          <w:lang w:val="kk-KZ"/>
        </w:rPr>
        <w:t xml:space="preserve"> Қарыз алушыларда 2014 жылғы 4-тоқсанда, өткен тоқсандағыдай, айналым капиталына, инвестициялық мақсаттарға кредиттер үлкен сұранысқа ие, бұл ретте кредиттік желілер, кредиттік кепілдік және кепілдеме басым өнімдер болды. </w:t>
      </w:r>
    </w:p>
    <w:p w:rsidR="001A2543" w:rsidRPr="006A5FED" w:rsidRDefault="000B2485" w:rsidP="006A5FED">
      <w:pPr>
        <w:ind w:firstLine="708"/>
        <w:jc w:val="both"/>
        <w:rPr>
          <w:lang w:val="kk-KZ"/>
        </w:rPr>
      </w:pPr>
      <w:r w:rsidRPr="000B2485">
        <w:rPr>
          <w:b/>
          <w:lang w:val="kk-KZ"/>
        </w:rPr>
        <w:t>Негізгі ойыншылар</w:t>
      </w:r>
      <w:r>
        <w:rPr>
          <w:lang w:val="kk-KZ"/>
        </w:rPr>
        <w:t xml:space="preserve"> </w:t>
      </w:r>
      <w:r w:rsidRPr="000B2485">
        <w:rPr>
          <w:b/>
          <w:lang w:val="kk-KZ"/>
        </w:rPr>
        <w:t>экономиканың нақты секторының субъектілерін кредиттеуде онша белсенділік танытпады</w:t>
      </w:r>
      <w:r>
        <w:rPr>
          <w:b/>
          <w:lang w:val="kk-KZ"/>
        </w:rPr>
        <w:t>, соның нәтижесінде банктердің кредит саясаты</w:t>
      </w:r>
      <w:r w:rsidR="005A1734" w:rsidRPr="00751FF0">
        <w:rPr>
          <w:b/>
          <w:lang w:val="kk-KZ"/>
        </w:rPr>
        <w:t xml:space="preserve"> консерватив</w:t>
      </w:r>
      <w:r>
        <w:rPr>
          <w:b/>
          <w:lang w:val="kk-KZ"/>
        </w:rPr>
        <w:t>ті болып қалып отыр</w:t>
      </w:r>
      <w:r w:rsidR="005E2C86" w:rsidRPr="00751FF0">
        <w:rPr>
          <w:b/>
          <w:lang w:val="kk-KZ"/>
        </w:rPr>
        <w:t xml:space="preserve"> (2</w:t>
      </w:r>
      <w:r>
        <w:rPr>
          <w:b/>
          <w:lang w:val="kk-KZ"/>
        </w:rPr>
        <w:t>-</w:t>
      </w:r>
      <w:r w:rsidRPr="00751FF0">
        <w:rPr>
          <w:b/>
          <w:lang w:val="kk-KZ"/>
        </w:rPr>
        <w:t>диаграмма</w:t>
      </w:r>
      <w:r w:rsidR="005E2C86" w:rsidRPr="00751FF0">
        <w:rPr>
          <w:b/>
          <w:lang w:val="kk-KZ"/>
        </w:rPr>
        <w:t>)</w:t>
      </w:r>
      <w:r w:rsidR="005A1734" w:rsidRPr="00751FF0">
        <w:rPr>
          <w:b/>
          <w:lang w:val="kk-KZ"/>
        </w:rPr>
        <w:t>:</w:t>
      </w:r>
      <w:r w:rsidRPr="00751FF0">
        <w:rPr>
          <w:lang w:val="kk-KZ"/>
        </w:rPr>
        <w:t xml:space="preserve"> </w:t>
      </w:r>
      <w:r>
        <w:rPr>
          <w:lang w:val="kk-KZ"/>
        </w:rPr>
        <w:t>4</w:t>
      </w:r>
      <w:r w:rsidR="004B7839" w:rsidRPr="00751FF0">
        <w:rPr>
          <w:lang w:val="kk-KZ"/>
        </w:rPr>
        <w:t>-</w:t>
      </w:r>
      <w:r>
        <w:rPr>
          <w:lang w:val="kk-KZ"/>
        </w:rPr>
        <w:t xml:space="preserve">тоқсанда </w:t>
      </w:r>
      <w:r w:rsidR="006A5FED">
        <w:rPr>
          <w:lang w:val="kk-KZ"/>
        </w:rPr>
        <w:t xml:space="preserve">аздаған қатаңдануды атап өткен жекелеген банктердің саясатын қоспағанда, </w:t>
      </w:r>
      <w:r>
        <w:rPr>
          <w:lang w:val="kk-KZ"/>
        </w:rPr>
        <w:t>айтарлықтай өзгерістер байқалған жоқ</w:t>
      </w:r>
      <w:r w:rsidR="006A5FED">
        <w:rPr>
          <w:lang w:val="kk-KZ"/>
        </w:rPr>
        <w:t xml:space="preserve">. Бұл ретте Қазақстанның қатысуы бар банктер 2014 жылғы 4-тоқсанда жолға қойылған клиенттік базасына байланысты ірі бизнес субъектілеріне басымдық берді. Банктердің сақталған консервативтік кредит саясаты қарыз алушылардың белсенділігін төмендететін негізгі факторлардың бірі болып табылады. Мәселен, экономиканың нақты </w:t>
      </w:r>
      <w:r w:rsidR="006A5FED">
        <w:rPr>
          <w:lang w:val="kk-KZ"/>
        </w:rPr>
        <w:lastRenderedPageBreak/>
        <w:t>секторы кәсіпорындарының</w:t>
      </w:r>
      <w:r w:rsidR="00414EBC" w:rsidRPr="006A5FED">
        <w:rPr>
          <w:lang w:val="kk-KZ"/>
        </w:rPr>
        <w:t xml:space="preserve"> мониторинг</w:t>
      </w:r>
      <w:r w:rsidR="006A5FED">
        <w:rPr>
          <w:lang w:val="kk-KZ"/>
        </w:rPr>
        <w:t xml:space="preserve">іне сәйкес 2014 жылғы </w:t>
      </w:r>
      <w:r w:rsidR="00C00116" w:rsidRPr="006A5FED">
        <w:rPr>
          <w:lang w:val="kk-KZ"/>
        </w:rPr>
        <w:t>4</w:t>
      </w:r>
      <w:r w:rsidR="006A5FED">
        <w:rPr>
          <w:lang w:val="kk-KZ"/>
        </w:rPr>
        <w:t xml:space="preserve">-тоқсанда кәсіпорындардың теңгемен кредиттер бойынша қалаған пайыздық мөлшерлемесі </w:t>
      </w:r>
      <w:r w:rsidR="00C00116" w:rsidRPr="006A5FED">
        <w:rPr>
          <w:lang w:val="kk-KZ"/>
        </w:rPr>
        <w:t>8,7%</w:t>
      </w:r>
      <w:r w:rsidR="009C3CCE">
        <w:rPr>
          <w:lang w:val="kk-KZ"/>
        </w:rPr>
        <w:t>-ды</w:t>
      </w:r>
      <w:r w:rsidR="00C00116" w:rsidRPr="006A5FED">
        <w:rPr>
          <w:lang w:val="kk-KZ"/>
        </w:rPr>
        <w:t xml:space="preserve">, </w:t>
      </w:r>
      <w:r w:rsidR="006A5FED">
        <w:rPr>
          <w:lang w:val="kk-KZ"/>
        </w:rPr>
        <w:t xml:space="preserve">шетел валютасында </w:t>
      </w:r>
      <w:r w:rsidR="00C00116" w:rsidRPr="006A5FED">
        <w:rPr>
          <w:lang w:val="kk-KZ"/>
        </w:rPr>
        <w:t>6,2%</w:t>
      </w:r>
      <w:r w:rsidR="006A5FED">
        <w:rPr>
          <w:lang w:val="kk-KZ"/>
        </w:rPr>
        <w:t>-д</w:t>
      </w:r>
      <w:r w:rsidR="009C3CCE">
        <w:rPr>
          <w:lang w:val="kk-KZ"/>
        </w:rPr>
        <w:t>ы</w:t>
      </w:r>
      <w:r w:rsidR="006A5FED">
        <w:rPr>
          <w:lang w:val="kk-KZ"/>
        </w:rPr>
        <w:t xml:space="preserve"> құрады</w:t>
      </w:r>
      <w:r w:rsidR="00C00116" w:rsidRPr="006A5FED">
        <w:rPr>
          <w:lang w:val="kk-KZ"/>
        </w:rPr>
        <w:t xml:space="preserve">, </w:t>
      </w:r>
      <w:r w:rsidR="006A5FED">
        <w:rPr>
          <w:lang w:val="kk-KZ"/>
        </w:rPr>
        <w:t>ал нақты пайыздық мөлшерлеме болса</w:t>
      </w:r>
      <w:r w:rsidR="009C3CCE">
        <w:rPr>
          <w:lang w:val="kk-KZ"/>
        </w:rPr>
        <w:t>,</w:t>
      </w:r>
      <w:r w:rsidR="006A5FED">
        <w:rPr>
          <w:lang w:val="kk-KZ"/>
        </w:rPr>
        <w:t xml:space="preserve"> тиісінше </w:t>
      </w:r>
      <w:r w:rsidR="00C00116" w:rsidRPr="006A5FED">
        <w:rPr>
          <w:lang w:val="kk-KZ"/>
        </w:rPr>
        <w:t xml:space="preserve">11,8% </w:t>
      </w:r>
      <w:r w:rsidR="006A5FED">
        <w:rPr>
          <w:lang w:val="kk-KZ"/>
        </w:rPr>
        <w:t>және</w:t>
      </w:r>
      <w:r w:rsidR="00C00116" w:rsidRPr="006A5FED">
        <w:rPr>
          <w:lang w:val="kk-KZ"/>
        </w:rPr>
        <w:t xml:space="preserve"> 8,4%</w:t>
      </w:r>
      <w:r w:rsidR="006A5FED">
        <w:rPr>
          <w:lang w:val="kk-KZ"/>
        </w:rPr>
        <w:t>-д</w:t>
      </w:r>
      <w:r w:rsidR="009C3CCE">
        <w:rPr>
          <w:lang w:val="kk-KZ"/>
        </w:rPr>
        <w:t>ы</w:t>
      </w:r>
      <w:r w:rsidR="006A5FED">
        <w:rPr>
          <w:lang w:val="kk-KZ"/>
        </w:rPr>
        <w:t xml:space="preserve"> құрады.</w:t>
      </w:r>
    </w:p>
    <w:p w:rsidR="00414EBC" w:rsidRPr="006A5FED" w:rsidRDefault="00414EBC" w:rsidP="001A2543">
      <w:pPr>
        <w:ind w:firstLine="708"/>
        <w:jc w:val="both"/>
        <w:rPr>
          <w:lang w:val="kk-KZ"/>
        </w:rPr>
      </w:pPr>
    </w:p>
    <w:tbl>
      <w:tblPr>
        <w:tblpPr w:leftFromText="180" w:rightFromText="180" w:vertAnchor="text" w:horzAnchor="margin" w:tblpY="17"/>
        <w:tblOverlap w:val="never"/>
        <w:tblW w:w="0" w:type="auto"/>
        <w:tblLayout w:type="fixed"/>
        <w:tblLook w:val="04A0" w:firstRow="1" w:lastRow="0" w:firstColumn="1" w:lastColumn="0" w:noHBand="0" w:noVBand="1"/>
      </w:tblPr>
      <w:tblGrid>
        <w:gridCol w:w="9747"/>
      </w:tblGrid>
      <w:tr w:rsidR="00A018E1" w:rsidRPr="00ED785D" w:rsidTr="00CC5386">
        <w:trPr>
          <w:trHeight w:val="70"/>
        </w:trPr>
        <w:tc>
          <w:tcPr>
            <w:tcW w:w="9747" w:type="dxa"/>
            <w:shd w:val="clear" w:color="auto" w:fill="auto"/>
            <w:vAlign w:val="center"/>
          </w:tcPr>
          <w:p w:rsidR="00A018E1" w:rsidRPr="00751FF0" w:rsidRDefault="00A018E1" w:rsidP="00C62474">
            <w:pPr>
              <w:jc w:val="center"/>
              <w:rPr>
                <w:b/>
                <w:sz w:val="20"/>
                <w:szCs w:val="20"/>
                <w:lang w:val="kk-KZ"/>
              </w:rPr>
            </w:pPr>
            <w:r w:rsidRPr="00751FF0">
              <w:rPr>
                <w:b/>
                <w:sz w:val="20"/>
                <w:szCs w:val="20"/>
                <w:lang w:val="kk-KZ"/>
              </w:rPr>
              <w:t>1</w:t>
            </w:r>
            <w:r w:rsidR="00C62474">
              <w:rPr>
                <w:b/>
                <w:sz w:val="20"/>
                <w:szCs w:val="20"/>
                <w:lang w:val="kk-KZ"/>
              </w:rPr>
              <w:t>-д</w:t>
            </w:r>
            <w:r w:rsidR="00C62474" w:rsidRPr="00751FF0">
              <w:rPr>
                <w:b/>
                <w:sz w:val="20"/>
                <w:szCs w:val="20"/>
                <w:lang w:val="kk-KZ"/>
              </w:rPr>
              <w:t>иаграмма</w:t>
            </w:r>
            <w:r w:rsidRPr="00751FF0">
              <w:rPr>
                <w:b/>
                <w:sz w:val="20"/>
                <w:szCs w:val="20"/>
                <w:lang w:val="kk-KZ"/>
              </w:rPr>
              <w:t xml:space="preserve">. </w:t>
            </w:r>
            <w:r w:rsidR="00C62474">
              <w:rPr>
                <w:b/>
                <w:sz w:val="20"/>
                <w:szCs w:val="20"/>
                <w:lang w:val="kk-KZ"/>
              </w:rPr>
              <w:t>Кредиттік ресурстарға деген сұраныстың және ұсыныстың өзгеруі</w:t>
            </w:r>
            <w:r w:rsidRPr="00751FF0">
              <w:rPr>
                <w:b/>
                <w:sz w:val="20"/>
                <w:szCs w:val="20"/>
                <w:lang w:val="kk-KZ"/>
              </w:rPr>
              <w:t xml:space="preserve">, </w:t>
            </w:r>
            <w:r w:rsidR="00C62474">
              <w:rPr>
                <w:b/>
                <w:sz w:val="20"/>
                <w:szCs w:val="20"/>
                <w:lang w:val="kk-KZ"/>
              </w:rPr>
              <w:t xml:space="preserve">респонденттер </w:t>
            </w:r>
            <w:r w:rsidRPr="00751FF0">
              <w:rPr>
                <w:b/>
                <w:sz w:val="20"/>
                <w:szCs w:val="20"/>
                <w:lang w:val="kk-KZ"/>
              </w:rPr>
              <w:t>%</w:t>
            </w:r>
            <w:r w:rsidR="00C62474">
              <w:rPr>
                <w:b/>
                <w:sz w:val="20"/>
                <w:szCs w:val="20"/>
                <w:lang w:val="kk-KZ"/>
              </w:rPr>
              <w:t>-ы</w:t>
            </w:r>
            <w:r w:rsidRPr="00751FF0">
              <w:rPr>
                <w:b/>
                <w:sz w:val="20"/>
                <w:szCs w:val="20"/>
                <w:lang w:val="kk-KZ"/>
              </w:rPr>
              <w:t xml:space="preserve"> (корпоратив</w:t>
            </w:r>
            <w:r w:rsidR="00C62474">
              <w:rPr>
                <w:b/>
                <w:sz w:val="20"/>
                <w:szCs w:val="20"/>
                <w:lang w:val="kk-KZ"/>
              </w:rPr>
              <w:t xml:space="preserve">тік </w:t>
            </w:r>
            <w:r w:rsidRPr="00751FF0">
              <w:rPr>
                <w:b/>
                <w:sz w:val="20"/>
                <w:szCs w:val="20"/>
                <w:lang w:val="kk-KZ"/>
              </w:rPr>
              <w:t>сектор)</w:t>
            </w:r>
          </w:p>
        </w:tc>
      </w:tr>
      <w:tr w:rsidR="00A018E1" w:rsidRPr="003F4812" w:rsidTr="00CC5386">
        <w:trPr>
          <w:trHeight w:val="3198"/>
        </w:trPr>
        <w:tc>
          <w:tcPr>
            <w:tcW w:w="9747" w:type="dxa"/>
            <w:shd w:val="clear" w:color="auto" w:fill="auto"/>
            <w:vAlign w:val="center"/>
          </w:tcPr>
          <w:p w:rsidR="00A018E1" w:rsidRPr="005356CF" w:rsidRDefault="007D75A6" w:rsidP="00A018E1">
            <w:pPr>
              <w:rPr>
                <w:sz w:val="14"/>
                <w:szCs w:val="14"/>
              </w:rPr>
            </w:pPr>
            <w:r>
              <w:rPr>
                <w:noProof/>
              </w:rPr>
              <w:drawing>
                <wp:inline distT="0" distB="0" distL="0" distR="0" wp14:anchorId="34337D34" wp14:editId="3657142D">
                  <wp:extent cx="6078931" cy="237012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A018E1" w:rsidRPr="003669AA" w:rsidTr="00CC5386">
        <w:trPr>
          <w:trHeight w:val="263"/>
        </w:trPr>
        <w:tc>
          <w:tcPr>
            <w:tcW w:w="9747" w:type="dxa"/>
            <w:shd w:val="clear" w:color="auto" w:fill="auto"/>
            <w:vAlign w:val="center"/>
          </w:tcPr>
          <w:p w:rsidR="00A018E1" w:rsidRPr="003669AA" w:rsidRDefault="004B7839" w:rsidP="004800C2">
            <w:pPr>
              <w:autoSpaceDE w:val="0"/>
              <w:autoSpaceDN w:val="0"/>
              <w:adjustRightInd w:val="0"/>
              <w:rPr>
                <w:i/>
                <w:color w:val="000000"/>
                <w:sz w:val="18"/>
                <w:szCs w:val="18"/>
              </w:rPr>
            </w:pPr>
            <w:r>
              <w:rPr>
                <w:i/>
                <w:color w:val="000000"/>
                <w:sz w:val="18"/>
                <w:szCs w:val="18"/>
              </w:rPr>
              <w:t xml:space="preserve"> </w:t>
            </w:r>
            <w:r w:rsidR="004800C2">
              <w:rPr>
                <w:i/>
                <w:color w:val="000000"/>
                <w:sz w:val="18"/>
                <w:szCs w:val="18"/>
                <w:lang w:val="kk-KZ"/>
              </w:rPr>
              <w:t>Ескерту</w:t>
            </w:r>
            <w:r w:rsidR="00A018E1">
              <w:rPr>
                <w:i/>
                <w:color w:val="000000"/>
                <w:sz w:val="18"/>
                <w:szCs w:val="18"/>
              </w:rPr>
              <w:t>:</w:t>
            </w:r>
            <w:r w:rsidR="00A018E1" w:rsidRPr="005A3793">
              <w:rPr>
                <w:i/>
                <w:color w:val="000000"/>
                <w:sz w:val="18"/>
                <w:szCs w:val="18"/>
              </w:rPr>
              <w:t xml:space="preserve"> </w:t>
            </w:r>
            <w:r w:rsidR="004800C2">
              <w:rPr>
                <w:i/>
                <w:color w:val="000000"/>
                <w:sz w:val="18"/>
                <w:szCs w:val="18"/>
                <w:lang w:val="kk-KZ"/>
              </w:rPr>
              <w:t>Кредиттік ресурстардың қолжетімділігі кредит алу үшін өтініш жасаған, бірақ оны алмаған кәсіпорындардың үлесі ретінде есептелген</w:t>
            </w:r>
            <w:r w:rsidR="00A018E1" w:rsidRPr="005A3793">
              <w:rPr>
                <w:i/>
                <w:color w:val="000000"/>
                <w:sz w:val="18"/>
                <w:szCs w:val="18"/>
              </w:rPr>
              <w:t>, %</w:t>
            </w:r>
          </w:p>
        </w:tc>
      </w:tr>
      <w:tr w:rsidR="00A018E1" w:rsidRPr="003669AA" w:rsidTr="00CC5386">
        <w:trPr>
          <w:trHeight w:val="263"/>
        </w:trPr>
        <w:tc>
          <w:tcPr>
            <w:tcW w:w="9747" w:type="dxa"/>
            <w:shd w:val="clear" w:color="auto" w:fill="auto"/>
            <w:vAlign w:val="center"/>
          </w:tcPr>
          <w:p w:rsidR="00A018E1" w:rsidRPr="003669AA" w:rsidRDefault="00A018E1" w:rsidP="004800C2">
            <w:pPr>
              <w:autoSpaceDE w:val="0"/>
              <w:autoSpaceDN w:val="0"/>
              <w:adjustRightInd w:val="0"/>
              <w:rPr>
                <w:i/>
                <w:color w:val="000000"/>
                <w:sz w:val="18"/>
                <w:szCs w:val="18"/>
              </w:rPr>
            </w:pPr>
            <w:r w:rsidRPr="003669AA">
              <w:rPr>
                <w:i/>
                <w:color w:val="000000"/>
                <w:sz w:val="18"/>
                <w:szCs w:val="18"/>
              </w:rPr>
              <w:t xml:space="preserve"> </w:t>
            </w:r>
            <w:r w:rsidR="004800C2">
              <w:rPr>
                <w:i/>
                <w:color w:val="000000"/>
                <w:sz w:val="18"/>
                <w:szCs w:val="18"/>
                <w:lang w:val="kk-KZ"/>
              </w:rPr>
              <w:t>Дерек көзі</w:t>
            </w:r>
            <w:r w:rsidRPr="003669AA">
              <w:rPr>
                <w:i/>
                <w:color w:val="000000"/>
                <w:sz w:val="18"/>
                <w:szCs w:val="18"/>
              </w:rPr>
              <w:t xml:space="preserve">: </w:t>
            </w:r>
            <w:r w:rsidR="004800C2">
              <w:rPr>
                <w:i/>
                <w:color w:val="000000"/>
                <w:sz w:val="18"/>
                <w:szCs w:val="18"/>
                <w:lang w:val="kk-KZ"/>
              </w:rPr>
              <w:t>ҚРҰБ</w:t>
            </w:r>
          </w:p>
        </w:tc>
      </w:tr>
    </w:tbl>
    <w:p w:rsidR="00751FF0" w:rsidRPr="00751FF0" w:rsidRDefault="00751FF0" w:rsidP="005A1734">
      <w:pPr>
        <w:ind w:firstLine="708"/>
        <w:jc w:val="both"/>
        <w:rPr>
          <w:sz w:val="16"/>
          <w:szCs w:val="16"/>
          <w:lang w:val="kk-KZ"/>
        </w:rPr>
      </w:pPr>
    </w:p>
    <w:p w:rsidR="005A1734" w:rsidRPr="00827EC2" w:rsidRDefault="00827EC2" w:rsidP="00827EC2">
      <w:pPr>
        <w:ind w:firstLine="708"/>
        <w:jc w:val="both"/>
        <w:rPr>
          <w:lang w:val="kk-KZ"/>
        </w:rPr>
      </w:pPr>
      <w:r>
        <w:rPr>
          <w:b/>
          <w:lang w:val="kk-KZ"/>
        </w:rPr>
        <w:t>Өтімділіктің қазіргі деңгейі банктердің өз кредиттік ресурстарын неғұрлым қысқа мерзімге беруге бейім екендігін айқындайды.</w:t>
      </w:r>
      <w:r w:rsidR="005A1734" w:rsidRPr="00827EC2">
        <w:rPr>
          <w:lang w:val="kk-KZ"/>
        </w:rPr>
        <w:t xml:space="preserve"> </w:t>
      </w:r>
      <w:r>
        <w:rPr>
          <w:lang w:val="kk-KZ"/>
        </w:rPr>
        <w:t xml:space="preserve">Сонымен қатар қаржылық емес ұйымдар тарапынан ұзақмерзімді теңге кредиттеріне деген қызығушылықтың өскендігі байқалады </w:t>
      </w:r>
      <w:r w:rsidR="004E34FE" w:rsidRPr="00827EC2">
        <w:rPr>
          <w:lang w:val="kk-KZ"/>
        </w:rPr>
        <w:t>(3</w:t>
      </w:r>
      <w:r>
        <w:rPr>
          <w:lang w:val="kk-KZ"/>
        </w:rPr>
        <w:t>-</w:t>
      </w:r>
      <w:r w:rsidRPr="00827EC2">
        <w:rPr>
          <w:lang w:val="kk-KZ"/>
        </w:rPr>
        <w:t>диаграмма</w:t>
      </w:r>
      <w:r w:rsidR="004E34FE" w:rsidRPr="00827EC2">
        <w:rPr>
          <w:lang w:val="kk-KZ"/>
        </w:rPr>
        <w:t xml:space="preserve">). </w:t>
      </w:r>
      <w:r>
        <w:rPr>
          <w:lang w:val="kk-KZ"/>
        </w:rPr>
        <w:t xml:space="preserve">Теңгемен ұзақмерзімді кредиттер бойынша орташа пайыздық мөлшерлеме 2014 жылғы 3-тоқсандағы </w:t>
      </w:r>
      <w:r w:rsidR="004E34FE" w:rsidRPr="00827EC2">
        <w:rPr>
          <w:lang w:val="kk-KZ"/>
        </w:rPr>
        <w:t>10,8%</w:t>
      </w:r>
      <w:r>
        <w:rPr>
          <w:lang w:val="kk-KZ"/>
        </w:rPr>
        <w:t xml:space="preserve">-дан 2014 жылғы 4-тоқсанда </w:t>
      </w:r>
      <w:r w:rsidR="004E34FE" w:rsidRPr="00827EC2">
        <w:rPr>
          <w:lang w:val="kk-KZ"/>
        </w:rPr>
        <w:t>9,8%</w:t>
      </w:r>
      <w:r>
        <w:rPr>
          <w:lang w:val="kk-KZ"/>
        </w:rPr>
        <w:t>-ға дейін төмендеді</w:t>
      </w:r>
      <w:r w:rsidR="004E34FE" w:rsidRPr="00827EC2">
        <w:rPr>
          <w:lang w:val="kk-KZ"/>
        </w:rPr>
        <w:t xml:space="preserve">. </w:t>
      </w:r>
      <w:r>
        <w:rPr>
          <w:lang w:val="kk-KZ"/>
        </w:rPr>
        <w:t xml:space="preserve">Валюталар бойынша да шетел валютасындағы кредиттерге деген сұраныстың өсуінің баяулауы байқалады, бұл кредиттеудің бағалық талаптарының қатаңдауына байланысты болды. Шетел валютасындағы кредиттер бойынша орташа пайыздық мөлшерлеме 2014 жылғы 4-тоқсанда </w:t>
      </w:r>
      <w:r w:rsidR="004E34FE" w:rsidRPr="00827EC2">
        <w:rPr>
          <w:lang w:val="kk-KZ"/>
        </w:rPr>
        <w:t>8,</w:t>
      </w:r>
      <w:r w:rsidR="00000488" w:rsidRPr="00827EC2">
        <w:rPr>
          <w:lang w:val="kk-KZ"/>
        </w:rPr>
        <w:t>1</w:t>
      </w:r>
      <w:r w:rsidR="004E34FE" w:rsidRPr="00827EC2">
        <w:rPr>
          <w:lang w:val="kk-KZ"/>
        </w:rPr>
        <w:t>%</w:t>
      </w:r>
      <w:r>
        <w:rPr>
          <w:lang w:val="kk-KZ"/>
        </w:rPr>
        <w:t xml:space="preserve">-ға дейін ұлғайды </w:t>
      </w:r>
      <w:r w:rsidR="004E34FE" w:rsidRPr="00827EC2">
        <w:rPr>
          <w:lang w:val="kk-KZ"/>
        </w:rPr>
        <w:t>(</w:t>
      </w:r>
      <w:r>
        <w:rPr>
          <w:lang w:val="kk-KZ"/>
        </w:rPr>
        <w:t xml:space="preserve">2014 жылғы 3-тоқсанда </w:t>
      </w:r>
      <w:r w:rsidR="004E34FE" w:rsidRPr="00827EC2">
        <w:rPr>
          <w:lang w:val="kk-KZ"/>
        </w:rPr>
        <w:t>7,</w:t>
      </w:r>
      <w:r w:rsidR="00650853" w:rsidRPr="00827EC2">
        <w:rPr>
          <w:lang w:val="kk-KZ"/>
        </w:rPr>
        <w:t>6</w:t>
      </w:r>
      <w:r w:rsidR="004E34FE" w:rsidRPr="00827EC2">
        <w:rPr>
          <w:lang w:val="kk-KZ"/>
        </w:rPr>
        <w:t>%).</w:t>
      </w:r>
      <w:r w:rsidR="005A1734" w:rsidRPr="00827EC2">
        <w:rPr>
          <w:lang w:val="kk-KZ"/>
        </w:rPr>
        <w:t xml:space="preserve"> </w:t>
      </w:r>
    </w:p>
    <w:tbl>
      <w:tblPr>
        <w:tblpPr w:leftFromText="180" w:rightFromText="180" w:vertAnchor="text" w:horzAnchor="margin" w:tblpX="108" w:tblpY="178"/>
        <w:tblOverlap w:val="never"/>
        <w:tblW w:w="9606" w:type="dxa"/>
        <w:tblLayout w:type="fixed"/>
        <w:tblLook w:val="04A0" w:firstRow="1" w:lastRow="0" w:firstColumn="1" w:lastColumn="0" w:noHBand="0" w:noVBand="1"/>
      </w:tblPr>
      <w:tblGrid>
        <w:gridCol w:w="9606"/>
      </w:tblGrid>
      <w:tr w:rsidR="00627D2E" w:rsidRPr="00ED785D" w:rsidTr="00CC5386">
        <w:tc>
          <w:tcPr>
            <w:tcW w:w="9606" w:type="dxa"/>
            <w:shd w:val="clear" w:color="auto" w:fill="auto"/>
          </w:tcPr>
          <w:p w:rsidR="00627D2E" w:rsidRPr="007D75A6" w:rsidRDefault="00627D2E" w:rsidP="00627D2E">
            <w:pPr>
              <w:jc w:val="center"/>
              <w:rPr>
                <w:sz w:val="20"/>
                <w:szCs w:val="20"/>
                <w:lang w:val="kk-KZ"/>
              </w:rPr>
            </w:pPr>
            <w:r w:rsidRPr="007D75A6">
              <w:rPr>
                <w:b/>
                <w:sz w:val="20"/>
                <w:szCs w:val="20"/>
                <w:lang w:val="kk-KZ"/>
              </w:rPr>
              <w:t>2</w:t>
            </w:r>
            <w:r>
              <w:rPr>
                <w:b/>
                <w:sz w:val="20"/>
                <w:szCs w:val="20"/>
                <w:lang w:val="kk-KZ"/>
              </w:rPr>
              <w:t>-д</w:t>
            </w:r>
            <w:r w:rsidRPr="007D75A6">
              <w:rPr>
                <w:b/>
                <w:sz w:val="20"/>
                <w:szCs w:val="20"/>
                <w:lang w:val="kk-KZ"/>
              </w:rPr>
              <w:t xml:space="preserve">иаграмма. </w:t>
            </w:r>
            <w:r>
              <w:rPr>
                <w:b/>
                <w:sz w:val="20"/>
                <w:szCs w:val="20"/>
                <w:lang w:val="kk-KZ"/>
              </w:rPr>
              <w:t xml:space="preserve">Кредиттеу субъектілері бойынша кредит саясатының өзгеруі </w:t>
            </w:r>
          </w:p>
        </w:tc>
      </w:tr>
      <w:tr w:rsidR="00627D2E" w:rsidRPr="00DC4625" w:rsidTr="00CC5386">
        <w:trPr>
          <w:trHeight w:val="2724"/>
        </w:trPr>
        <w:tc>
          <w:tcPr>
            <w:tcW w:w="9606" w:type="dxa"/>
            <w:shd w:val="clear" w:color="auto" w:fill="auto"/>
          </w:tcPr>
          <w:p w:rsidR="00627D2E" w:rsidRPr="000C4098" w:rsidRDefault="00627D2E" w:rsidP="00627D2E">
            <w:pPr>
              <w:jc w:val="center"/>
              <w:rPr>
                <w:sz w:val="22"/>
                <w:szCs w:val="22"/>
              </w:rPr>
            </w:pPr>
            <w:r>
              <w:rPr>
                <w:noProof/>
              </w:rPr>
              <w:drawing>
                <wp:inline distT="0" distB="0" distL="0" distR="0" wp14:anchorId="64E41525" wp14:editId="1D0C290D">
                  <wp:extent cx="5961888" cy="1967789"/>
                  <wp:effectExtent l="0" t="0" r="127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627D2E" w:rsidRPr="00DC4625" w:rsidTr="00CC5386">
        <w:trPr>
          <w:trHeight w:val="133"/>
        </w:trPr>
        <w:tc>
          <w:tcPr>
            <w:tcW w:w="9606" w:type="dxa"/>
            <w:shd w:val="clear" w:color="auto" w:fill="auto"/>
          </w:tcPr>
          <w:p w:rsidR="00627D2E" w:rsidRPr="00691B1F" w:rsidRDefault="00627D2E" w:rsidP="00627D2E">
            <w:pPr>
              <w:jc w:val="both"/>
              <w:rPr>
                <w:i/>
                <w:color w:val="000000"/>
                <w:sz w:val="16"/>
                <w:szCs w:val="16"/>
              </w:rPr>
            </w:pPr>
            <w:r>
              <w:rPr>
                <w:i/>
                <w:color w:val="000000"/>
                <w:sz w:val="16"/>
                <w:szCs w:val="16"/>
                <w:lang w:val="kk-KZ"/>
              </w:rPr>
              <w:t>Дерек көзі</w:t>
            </w:r>
            <w:r w:rsidRPr="00DC4625">
              <w:rPr>
                <w:i/>
                <w:color w:val="000000"/>
                <w:sz w:val="16"/>
                <w:szCs w:val="16"/>
              </w:rPr>
              <w:t xml:space="preserve">: </w:t>
            </w:r>
            <w:r>
              <w:rPr>
                <w:i/>
                <w:color w:val="000000"/>
                <w:sz w:val="16"/>
                <w:szCs w:val="16"/>
                <w:lang w:val="kk-KZ"/>
              </w:rPr>
              <w:t>ҚРҰБ</w:t>
            </w:r>
          </w:p>
        </w:tc>
      </w:tr>
    </w:tbl>
    <w:p w:rsidR="005D276F" w:rsidRDefault="005D276F" w:rsidP="00827EC2">
      <w:pPr>
        <w:ind w:firstLine="708"/>
        <w:jc w:val="both"/>
        <w:rPr>
          <w:sz w:val="16"/>
          <w:szCs w:val="16"/>
          <w:highlight w:val="yellow"/>
          <w:lang w:val="kk-KZ"/>
        </w:rPr>
      </w:pPr>
    </w:p>
    <w:p w:rsidR="00F21E5A" w:rsidRDefault="00827EC2" w:rsidP="005A1734">
      <w:pPr>
        <w:ind w:firstLine="708"/>
        <w:jc w:val="both"/>
        <w:rPr>
          <w:lang w:val="kk-KZ"/>
        </w:rPr>
      </w:pPr>
      <w:r>
        <w:rPr>
          <w:b/>
          <w:lang w:val="kk-KZ"/>
        </w:rPr>
        <w:t>Теңгемен өтімділік тапшылығының сақталуы</w:t>
      </w:r>
      <w:r w:rsidR="005A1734" w:rsidRPr="00F21E5A">
        <w:rPr>
          <w:b/>
          <w:lang w:val="kk-KZ"/>
        </w:rPr>
        <w:t xml:space="preserve">, </w:t>
      </w:r>
      <w:r>
        <w:rPr>
          <w:b/>
          <w:lang w:val="kk-KZ"/>
        </w:rPr>
        <w:t>банктердің пікірінше</w:t>
      </w:r>
      <w:r w:rsidR="005A1734" w:rsidRPr="00F21E5A">
        <w:rPr>
          <w:b/>
          <w:lang w:val="kk-KZ"/>
        </w:rPr>
        <w:t xml:space="preserve">, </w:t>
      </w:r>
      <w:r w:rsidR="00F21E5A">
        <w:rPr>
          <w:b/>
          <w:lang w:val="kk-KZ"/>
        </w:rPr>
        <w:t>кредит  саясатының қатаңдануына және</w:t>
      </w:r>
      <w:r w:rsidR="007178F3" w:rsidRPr="00F21E5A">
        <w:rPr>
          <w:b/>
          <w:lang w:val="kk-KZ"/>
        </w:rPr>
        <w:t>,</w:t>
      </w:r>
      <w:r w:rsidR="005A1734" w:rsidRPr="00F21E5A">
        <w:rPr>
          <w:b/>
          <w:lang w:val="kk-KZ"/>
        </w:rPr>
        <w:t xml:space="preserve"> </w:t>
      </w:r>
      <w:r w:rsidR="00F21E5A">
        <w:rPr>
          <w:b/>
          <w:lang w:val="kk-KZ"/>
        </w:rPr>
        <w:t>тиісінше</w:t>
      </w:r>
      <w:r w:rsidR="007178F3" w:rsidRPr="00F21E5A">
        <w:rPr>
          <w:b/>
          <w:lang w:val="kk-KZ"/>
        </w:rPr>
        <w:t>,</w:t>
      </w:r>
      <w:r w:rsidR="005A1734" w:rsidRPr="00F21E5A">
        <w:rPr>
          <w:b/>
          <w:lang w:val="kk-KZ"/>
        </w:rPr>
        <w:t xml:space="preserve"> </w:t>
      </w:r>
      <w:r w:rsidR="00F21E5A">
        <w:rPr>
          <w:b/>
          <w:lang w:val="kk-KZ"/>
        </w:rPr>
        <w:t>сұраныстың өсуінің одан әрі баяулауына әкелуі мүмкін</w:t>
      </w:r>
      <w:r w:rsidR="005E2C86" w:rsidRPr="00F21E5A">
        <w:rPr>
          <w:b/>
          <w:lang w:val="kk-KZ"/>
        </w:rPr>
        <w:t>.</w:t>
      </w:r>
      <w:r w:rsidR="005A1734" w:rsidRPr="00F21E5A">
        <w:rPr>
          <w:lang w:val="kk-KZ"/>
        </w:rPr>
        <w:t xml:space="preserve"> </w:t>
      </w:r>
      <w:r w:rsidR="00F21E5A">
        <w:rPr>
          <w:lang w:val="kk-KZ"/>
        </w:rPr>
        <w:t xml:space="preserve">Бұл ретте кредиттеу талаптарының ішінде 2015 жылғы 1-тоқсанда кредиттер бойынша баға өлшемдері (кредиттеудің стандартты және тәуекелді түрлері бойынша банктің маржасы), сондай-ақ қарыз алушының қаржылық жай-күйіне/кредит қабілеттілігіне қойылатын талаптар көбірек қатаяды.  </w:t>
      </w:r>
    </w:p>
    <w:p w:rsidR="00E00E56" w:rsidRPr="007D75A6" w:rsidRDefault="00E00E56" w:rsidP="005A1734">
      <w:pPr>
        <w:ind w:firstLine="708"/>
        <w:jc w:val="both"/>
        <w:rPr>
          <w:lang w:val="kk-KZ"/>
        </w:rPr>
      </w:pPr>
    </w:p>
    <w:p w:rsidR="00E00E56" w:rsidRPr="007D75A6" w:rsidRDefault="00E00E56" w:rsidP="005A1734">
      <w:pPr>
        <w:ind w:firstLine="708"/>
        <w:jc w:val="both"/>
        <w:rPr>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3819E0" w:rsidRPr="00ED785D" w:rsidTr="00CC5386">
        <w:tc>
          <w:tcPr>
            <w:tcW w:w="9854" w:type="dxa"/>
          </w:tcPr>
          <w:p w:rsidR="003819E0" w:rsidRPr="007D75A6" w:rsidRDefault="003819E0" w:rsidP="00F21E5A">
            <w:pPr>
              <w:jc w:val="center"/>
              <w:rPr>
                <w:lang w:val="kk-KZ"/>
              </w:rPr>
            </w:pPr>
            <w:r w:rsidRPr="007D75A6">
              <w:rPr>
                <w:b/>
                <w:sz w:val="20"/>
                <w:szCs w:val="20"/>
                <w:lang w:val="kk-KZ"/>
              </w:rPr>
              <w:t>3</w:t>
            </w:r>
            <w:r w:rsidR="00F21E5A">
              <w:rPr>
                <w:b/>
                <w:sz w:val="20"/>
                <w:szCs w:val="20"/>
                <w:lang w:val="kk-KZ"/>
              </w:rPr>
              <w:t>-д</w:t>
            </w:r>
            <w:r w:rsidR="00F21E5A" w:rsidRPr="007D75A6">
              <w:rPr>
                <w:b/>
                <w:sz w:val="20"/>
                <w:szCs w:val="20"/>
                <w:lang w:val="kk-KZ"/>
              </w:rPr>
              <w:t>иаграмма</w:t>
            </w:r>
            <w:r w:rsidRPr="007D75A6">
              <w:rPr>
                <w:b/>
                <w:sz w:val="20"/>
                <w:szCs w:val="20"/>
                <w:lang w:val="kk-KZ"/>
              </w:rPr>
              <w:t xml:space="preserve">. </w:t>
            </w:r>
            <w:r w:rsidR="00F21E5A">
              <w:rPr>
                <w:b/>
                <w:sz w:val="20"/>
                <w:szCs w:val="20"/>
                <w:lang w:val="kk-KZ"/>
              </w:rPr>
              <w:t xml:space="preserve">Мерзімдері мен валюталары бойынша қарыздарға деген сұраныстың өзгеруі </w:t>
            </w:r>
          </w:p>
        </w:tc>
      </w:tr>
      <w:tr w:rsidR="003819E0" w:rsidRPr="00CA1BA3" w:rsidTr="00CC5386">
        <w:tc>
          <w:tcPr>
            <w:tcW w:w="9854" w:type="dxa"/>
          </w:tcPr>
          <w:p w:rsidR="003819E0" w:rsidRPr="00CA1BA3" w:rsidRDefault="00627D2E" w:rsidP="003819E0">
            <w:pPr>
              <w:jc w:val="both"/>
            </w:pPr>
            <w:r>
              <w:rPr>
                <w:noProof/>
              </w:rPr>
              <w:drawing>
                <wp:inline distT="0" distB="0" distL="0" distR="0" wp14:anchorId="050A98E3" wp14:editId="0297EC59">
                  <wp:extent cx="6100876" cy="2223821"/>
                  <wp:effectExtent l="0" t="0" r="0" b="508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3819E0" w:rsidRPr="00CA1BA3" w:rsidTr="00CC5386">
        <w:tc>
          <w:tcPr>
            <w:tcW w:w="9854" w:type="dxa"/>
          </w:tcPr>
          <w:p w:rsidR="003819E0" w:rsidRPr="00CA1BA3" w:rsidRDefault="00F21E5A" w:rsidP="00F21E5A">
            <w:pPr>
              <w:jc w:val="both"/>
            </w:pPr>
            <w:r>
              <w:rPr>
                <w:i/>
                <w:color w:val="000000"/>
                <w:sz w:val="18"/>
                <w:szCs w:val="18"/>
                <w:lang w:val="kk-KZ"/>
              </w:rPr>
              <w:t>Дерек көзі</w:t>
            </w:r>
            <w:r w:rsidR="003819E0" w:rsidRPr="00CA1BA3">
              <w:rPr>
                <w:i/>
                <w:color w:val="000000"/>
                <w:sz w:val="18"/>
                <w:szCs w:val="18"/>
              </w:rPr>
              <w:t xml:space="preserve">: </w:t>
            </w:r>
            <w:r>
              <w:rPr>
                <w:i/>
                <w:color w:val="000000"/>
                <w:sz w:val="18"/>
                <w:szCs w:val="18"/>
                <w:lang w:val="kk-KZ"/>
              </w:rPr>
              <w:t>ҚРҰБ</w:t>
            </w:r>
          </w:p>
        </w:tc>
      </w:tr>
    </w:tbl>
    <w:p w:rsidR="005710DD" w:rsidRPr="00F21E5A" w:rsidRDefault="00F21E5A" w:rsidP="005710DD">
      <w:pPr>
        <w:ind w:firstLine="708"/>
        <w:jc w:val="both"/>
        <w:rPr>
          <w:lang w:val="kk-KZ"/>
        </w:rPr>
      </w:pPr>
      <w:r>
        <w:rPr>
          <w:lang w:val="kk-KZ"/>
        </w:rPr>
        <w:t xml:space="preserve">   </w:t>
      </w:r>
      <w:r w:rsidR="00142877" w:rsidRPr="00F21E5A">
        <w:rPr>
          <w:lang w:val="kk-KZ"/>
        </w:rPr>
        <w:t xml:space="preserve"> </w:t>
      </w:r>
    </w:p>
    <w:p w:rsidR="00E524F9" w:rsidRPr="00F21E5A" w:rsidRDefault="00E524F9" w:rsidP="00E524F9">
      <w:pPr>
        <w:ind w:firstLine="708"/>
        <w:jc w:val="both"/>
        <w:rPr>
          <w:b/>
          <w:lang w:val="kk-KZ"/>
        </w:rPr>
      </w:pPr>
      <w:r w:rsidRPr="00F21E5A">
        <w:rPr>
          <w:b/>
          <w:lang w:val="kk-KZ"/>
        </w:rPr>
        <w:t xml:space="preserve">II. </w:t>
      </w:r>
      <w:bookmarkStart w:id="1" w:name="OLE_LINK3"/>
      <w:bookmarkStart w:id="2" w:name="OLE_LINK4"/>
      <w:r w:rsidR="000A1626" w:rsidRPr="0037032F">
        <w:rPr>
          <w:b/>
          <w:lang w:val="kk-KZ"/>
        </w:rPr>
        <w:t>Жеке тұлғаларды кредиттеу нарығы</w:t>
      </w:r>
    </w:p>
    <w:p w:rsidR="00163B9F" w:rsidRPr="00F21E5A" w:rsidRDefault="00163B9F" w:rsidP="00E524F9">
      <w:pPr>
        <w:ind w:firstLine="708"/>
        <w:jc w:val="both"/>
        <w:rPr>
          <w:b/>
          <w:lang w:val="kk-KZ"/>
        </w:rPr>
      </w:pPr>
    </w:p>
    <w:p w:rsidR="00163B9F" w:rsidRPr="001103DB" w:rsidRDefault="001103DB" w:rsidP="00163B9F">
      <w:pPr>
        <w:ind w:firstLine="709"/>
        <w:jc w:val="both"/>
        <w:rPr>
          <w:b/>
          <w:lang w:val="kk-KZ"/>
        </w:rPr>
      </w:pPr>
      <w:r>
        <w:rPr>
          <w:b/>
          <w:lang w:val="kk-KZ"/>
        </w:rPr>
        <w:t xml:space="preserve">Кредит нарығының бөлшек секторы тұтынушылық және ипотекалық кредиттеуге деген сұраныстың өсуінің шектелуімен сипатталады </w:t>
      </w:r>
      <w:r w:rsidR="00163B9F" w:rsidRPr="001103DB">
        <w:rPr>
          <w:b/>
          <w:lang w:val="kk-KZ"/>
        </w:rPr>
        <w:t>(</w:t>
      </w:r>
      <w:r w:rsidR="00167842" w:rsidRPr="001103DB">
        <w:rPr>
          <w:b/>
          <w:lang w:val="kk-KZ"/>
        </w:rPr>
        <w:t>4</w:t>
      </w:r>
      <w:r>
        <w:rPr>
          <w:b/>
          <w:lang w:val="kk-KZ"/>
        </w:rPr>
        <w:t>-</w:t>
      </w:r>
      <w:r w:rsidRPr="001103DB">
        <w:rPr>
          <w:b/>
          <w:lang w:val="kk-KZ"/>
        </w:rPr>
        <w:t>диаграмма</w:t>
      </w:r>
      <w:r w:rsidR="00163B9F" w:rsidRPr="001103DB">
        <w:rPr>
          <w:b/>
          <w:lang w:val="kk-KZ"/>
        </w:rPr>
        <w:t>).</w:t>
      </w:r>
    </w:p>
    <w:p w:rsidR="00163B9F" w:rsidRPr="00627D2E" w:rsidRDefault="00C700BC" w:rsidP="00627D2E">
      <w:pPr>
        <w:ind w:firstLine="720"/>
        <w:jc w:val="both"/>
        <w:rPr>
          <w:lang w:val="kk-KZ"/>
        </w:rPr>
      </w:pPr>
      <w:r>
        <w:rPr>
          <w:lang w:val="kk-KZ"/>
        </w:rPr>
        <w:t xml:space="preserve">Ипотекаға деген сұраныстың өсуін бағалайтын банктердің үлесі 2014 жылғы 3-тоқсандағыдай </w:t>
      </w:r>
      <w:r w:rsidR="00163B9F" w:rsidRPr="00C700BC">
        <w:rPr>
          <w:lang w:val="kk-KZ"/>
        </w:rPr>
        <w:t>31%</w:t>
      </w:r>
      <w:r>
        <w:rPr>
          <w:lang w:val="kk-KZ"/>
        </w:rPr>
        <w:t>-д</w:t>
      </w:r>
      <w:r w:rsidR="009C3CCE">
        <w:rPr>
          <w:lang w:val="kk-KZ"/>
        </w:rPr>
        <w:t>ы</w:t>
      </w:r>
      <w:r>
        <w:rPr>
          <w:lang w:val="kk-KZ"/>
        </w:rPr>
        <w:t xml:space="preserve"> құрады</w:t>
      </w:r>
      <w:r w:rsidR="00600B18" w:rsidRPr="00C700BC">
        <w:rPr>
          <w:lang w:val="kk-KZ"/>
        </w:rPr>
        <w:t xml:space="preserve">, </w:t>
      </w:r>
      <w:r>
        <w:rPr>
          <w:lang w:val="kk-KZ"/>
        </w:rPr>
        <w:t xml:space="preserve">ал </w:t>
      </w:r>
      <w:r w:rsidR="00600B18" w:rsidRPr="00C700BC">
        <w:rPr>
          <w:lang w:val="kk-KZ"/>
        </w:rPr>
        <w:t>62%</w:t>
      </w:r>
      <w:r>
        <w:rPr>
          <w:lang w:val="kk-KZ"/>
        </w:rPr>
        <w:t>-ы</w:t>
      </w:r>
      <w:r w:rsidR="00600B18" w:rsidRPr="00C700BC">
        <w:rPr>
          <w:lang w:val="kk-KZ"/>
        </w:rPr>
        <w:t xml:space="preserve"> </w:t>
      </w:r>
      <w:r>
        <w:rPr>
          <w:lang w:val="kk-KZ"/>
        </w:rPr>
        <w:t>сұраныстың бұрынғы деңгейде қалғандығы</w:t>
      </w:r>
      <w:r w:rsidR="009C3CCE">
        <w:rPr>
          <w:lang w:val="kk-KZ"/>
        </w:rPr>
        <w:t>н</w:t>
      </w:r>
      <w:r>
        <w:rPr>
          <w:lang w:val="kk-KZ"/>
        </w:rPr>
        <w:t xml:space="preserve"> атап өтеді </w:t>
      </w:r>
      <w:r w:rsidR="00163B9F" w:rsidRPr="00C700BC">
        <w:rPr>
          <w:lang w:val="kk-KZ"/>
        </w:rPr>
        <w:t>(</w:t>
      </w:r>
      <w:r w:rsidR="00167842" w:rsidRPr="00C700BC">
        <w:rPr>
          <w:lang w:val="kk-KZ"/>
        </w:rPr>
        <w:t>4</w:t>
      </w:r>
      <w:r>
        <w:rPr>
          <w:lang w:val="kk-KZ"/>
        </w:rPr>
        <w:t>-</w:t>
      </w:r>
      <w:r w:rsidRPr="00C700BC">
        <w:rPr>
          <w:lang w:val="kk-KZ"/>
        </w:rPr>
        <w:t>диаграмма</w:t>
      </w:r>
      <w:r w:rsidR="00163B9F" w:rsidRPr="00C700BC">
        <w:rPr>
          <w:lang w:val="kk-KZ"/>
        </w:rPr>
        <w:t>).</w:t>
      </w:r>
      <w:r w:rsidR="00B920B3" w:rsidRPr="00C700BC">
        <w:rPr>
          <w:lang w:val="kk-KZ"/>
        </w:rPr>
        <w:t xml:space="preserve"> </w:t>
      </w:r>
      <w:r>
        <w:rPr>
          <w:lang w:val="kk-KZ"/>
        </w:rPr>
        <w:t xml:space="preserve">Сонымен қатар жекелеген банктер сұраныстың өсуі ірі компаниялар – банк әріптестерінің қызметкерлеріне жеңілдік берілген талаптармен ипотекалық кредиттердің берілуімен, сондай-ақ ипотекалық қарыздарды қайта қаржыландырумен қамтамасыз етілетіндігін атап өтеді. </w:t>
      </w:r>
    </w:p>
    <w:tbl>
      <w:tblPr>
        <w:tblpPr w:leftFromText="180" w:rightFromText="180" w:vertAnchor="text" w:horzAnchor="margin" w:tblpX="108" w:tblpY="112"/>
        <w:tblW w:w="0" w:type="auto"/>
        <w:tblLayout w:type="fixed"/>
        <w:tblLook w:val="04A0" w:firstRow="1" w:lastRow="0" w:firstColumn="1" w:lastColumn="0" w:noHBand="0" w:noVBand="1"/>
      </w:tblPr>
      <w:tblGrid>
        <w:gridCol w:w="9606"/>
      </w:tblGrid>
      <w:tr w:rsidR="00163B9F" w:rsidRPr="00ED785D" w:rsidTr="00CC5386">
        <w:tc>
          <w:tcPr>
            <w:tcW w:w="9606" w:type="dxa"/>
            <w:shd w:val="clear" w:color="auto" w:fill="auto"/>
          </w:tcPr>
          <w:p w:rsidR="00163B9F" w:rsidRPr="007D75A6" w:rsidRDefault="00167842" w:rsidP="00627D2E">
            <w:pPr>
              <w:jc w:val="center"/>
              <w:rPr>
                <w:b/>
                <w:sz w:val="20"/>
                <w:szCs w:val="20"/>
                <w:lang w:val="kk-KZ"/>
              </w:rPr>
            </w:pPr>
            <w:r w:rsidRPr="007D75A6">
              <w:rPr>
                <w:b/>
                <w:sz w:val="20"/>
                <w:szCs w:val="20"/>
                <w:lang w:val="kk-KZ"/>
              </w:rPr>
              <w:t>4</w:t>
            </w:r>
            <w:r w:rsidR="00C700BC">
              <w:rPr>
                <w:b/>
                <w:sz w:val="20"/>
                <w:szCs w:val="20"/>
                <w:lang w:val="kk-KZ"/>
              </w:rPr>
              <w:t>-д</w:t>
            </w:r>
            <w:r w:rsidR="00C700BC" w:rsidRPr="007D75A6">
              <w:rPr>
                <w:b/>
                <w:sz w:val="20"/>
                <w:szCs w:val="20"/>
                <w:lang w:val="kk-KZ"/>
              </w:rPr>
              <w:t>иаграмма</w:t>
            </w:r>
            <w:r w:rsidR="00163B9F" w:rsidRPr="007D75A6">
              <w:rPr>
                <w:b/>
                <w:sz w:val="20"/>
                <w:szCs w:val="20"/>
                <w:lang w:val="kk-KZ"/>
              </w:rPr>
              <w:t xml:space="preserve">. </w:t>
            </w:r>
            <w:r w:rsidR="00872963">
              <w:rPr>
                <w:b/>
                <w:sz w:val="20"/>
                <w:szCs w:val="20"/>
                <w:lang w:val="kk-KZ"/>
              </w:rPr>
              <w:t xml:space="preserve">Кредиттерге деген сұраныс пен ұсыныстың өзгеруі </w:t>
            </w:r>
          </w:p>
        </w:tc>
      </w:tr>
      <w:tr w:rsidR="00163B9F" w:rsidTr="00CC5386">
        <w:tc>
          <w:tcPr>
            <w:tcW w:w="9606" w:type="dxa"/>
            <w:shd w:val="clear" w:color="auto" w:fill="auto"/>
          </w:tcPr>
          <w:p w:rsidR="00163B9F" w:rsidRDefault="00CC5386" w:rsidP="00627D2E">
            <w:pPr>
              <w:jc w:val="both"/>
            </w:pPr>
            <w:r>
              <w:rPr>
                <w:noProof/>
              </w:rPr>
              <w:drawing>
                <wp:inline distT="0" distB="0" distL="0" distR="0" wp14:anchorId="127679A5" wp14:editId="66257632">
                  <wp:extent cx="5976518" cy="2018995"/>
                  <wp:effectExtent l="0" t="0" r="5715" b="63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163B9F" w:rsidTr="00CC5386">
        <w:tc>
          <w:tcPr>
            <w:tcW w:w="9606" w:type="dxa"/>
            <w:shd w:val="clear" w:color="auto" w:fill="auto"/>
          </w:tcPr>
          <w:p w:rsidR="00163B9F" w:rsidRDefault="00872963" w:rsidP="00627D2E">
            <w:pPr>
              <w:jc w:val="both"/>
            </w:pPr>
            <w:r>
              <w:rPr>
                <w:i/>
                <w:sz w:val="18"/>
                <w:szCs w:val="18"/>
                <w:lang w:val="kk-KZ"/>
              </w:rPr>
              <w:t>Дерек көзі</w:t>
            </w:r>
            <w:r w:rsidR="00163B9F" w:rsidRPr="00DE52D3">
              <w:rPr>
                <w:i/>
                <w:sz w:val="18"/>
                <w:szCs w:val="18"/>
              </w:rPr>
              <w:t xml:space="preserve">: </w:t>
            </w:r>
            <w:r>
              <w:rPr>
                <w:i/>
                <w:sz w:val="18"/>
                <w:szCs w:val="18"/>
                <w:lang w:val="kk-KZ"/>
              </w:rPr>
              <w:t xml:space="preserve">ҚРҰБ </w:t>
            </w:r>
          </w:p>
        </w:tc>
      </w:tr>
    </w:tbl>
    <w:p w:rsidR="00872963" w:rsidRDefault="00872963" w:rsidP="00163B9F">
      <w:pPr>
        <w:ind w:firstLine="720"/>
        <w:jc w:val="both"/>
        <w:rPr>
          <w:sz w:val="16"/>
          <w:szCs w:val="16"/>
          <w:lang w:val="kk-KZ"/>
        </w:rPr>
      </w:pPr>
    </w:p>
    <w:p w:rsidR="00163B9F" w:rsidRPr="001F7470" w:rsidRDefault="001F7470" w:rsidP="00163B9F">
      <w:pPr>
        <w:ind w:firstLine="720"/>
        <w:jc w:val="both"/>
        <w:rPr>
          <w:lang w:val="kk-KZ"/>
        </w:rPr>
      </w:pPr>
      <w:r>
        <w:rPr>
          <w:lang w:val="kk-KZ"/>
        </w:rPr>
        <w:t>Тұтастай алғанда и</w:t>
      </w:r>
      <w:r w:rsidRPr="001F7470">
        <w:rPr>
          <w:lang w:val="kk-KZ"/>
        </w:rPr>
        <w:t>потекалық кредиттеуге қатысты</w:t>
      </w:r>
      <w:r>
        <w:rPr>
          <w:lang w:val="kk-KZ"/>
        </w:rPr>
        <w:t xml:space="preserve"> кредит саясаты бұрынғы деңгейде  қалды</w:t>
      </w:r>
      <w:r w:rsidR="00163B9F" w:rsidRPr="001F7470">
        <w:rPr>
          <w:lang w:val="kk-KZ"/>
        </w:rPr>
        <w:t xml:space="preserve">: </w:t>
      </w:r>
      <w:r>
        <w:rPr>
          <w:lang w:val="kk-KZ"/>
        </w:rPr>
        <w:t xml:space="preserve">банктердің </w:t>
      </w:r>
      <w:r w:rsidR="00163B9F" w:rsidRPr="001F7470">
        <w:rPr>
          <w:lang w:val="kk-KZ"/>
        </w:rPr>
        <w:t>7%</w:t>
      </w:r>
      <w:r>
        <w:rPr>
          <w:lang w:val="kk-KZ"/>
        </w:rPr>
        <w:t>-ы</w:t>
      </w:r>
      <w:r w:rsidR="00163B9F" w:rsidRPr="001F7470">
        <w:rPr>
          <w:lang w:val="kk-KZ"/>
        </w:rPr>
        <w:t xml:space="preserve"> </w:t>
      </w:r>
      <w:r>
        <w:rPr>
          <w:lang w:val="kk-KZ"/>
        </w:rPr>
        <w:t xml:space="preserve">аздап қатаңдатты және банктердің </w:t>
      </w:r>
      <w:r w:rsidR="00163B9F" w:rsidRPr="001F7470">
        <w:rPr>
          <w:lang w:val="kk-KZ"/>
        </w:rPr>
        <w:t>93%</w:t>
      </w:r>
      <w:r>
        <w:rPr>
          <w:lang w:val="kk-KZ"/>
        </w:rPr>
        <w:t>-ы</w:t>
      </w:r>
      <w:r w:rsidR="00163B9F" w:rsidRPr="001F7470">
        <w:rPr>
          <w:lang w:val="kk-KZ"/>
        </w:rPr>
        <w:t xml:space="preserve"> </w:t>
      </w:r>
      <w:r>
        <w:rPr>
          <w:lang w:val="kk-KZ"/>
        </w:rPr>
        <w:t xml:space="preserve">капиталды тартудағы шығасылардың өсуіне және пессимистік экономикалық күтулерге байланысты кредит саясатын өзгеріссіз қалдырды </w:t>
      </w:r>
      <w:r w:rsidR="007A73AF" w:rsidRPr="001F7470">
        <w:rPr>
          <w:lang w:val="kk-KZ"/>
        </w:rPr>
        <w:t>(</w:t>
      </w:r>
      <w:r w:rsidR="00167842" w:rsidRPr="001F7470">
        <w:rPr>
          <w:lang w:val="kk-KZ"/>
        </w:rPr>
        <w:t>5</w:t>
      </w:r>
      <w:r>
        <w:rPr>
          <w:lang w:val="kk-KZ"/>
        </w:rPr>
        <w:t>-д</w:t>
      </w:r>
      <w:r w:rsidRPr="001F7470">
        <w:rPr>
          <w:lang w:val="kk-KZ"/>
        </w:rPr>
        <w:t>иаграмма</w:t>
      </w:r>
      <w:r w:rsidR="007A73AF" w:rsidRPr="001F7470">
        <w:rPr>
          <w:lang w:val="kk-KZ"/>
        </w:rPr>
        <w:t>)</w:t>
      </w:r>
      <w:r w:rsidR="00163B9F" w:rsidRPr="001F7470">
        <w:rPr>
          <w:lang w:val="kk-KZ"/>
        </w:rPr>
        <w:t xml:space="preserve">. </w:t>
      </w:r>
    </w:p>
    <w:p w:rsidR="00163B9F" w:rsidRPr="00AF4AB6" w:rsidRDefault="001F7470" w:rsidP="00163B9F">
      <w:pPr>
        <w:ind w:firstLine="708"/>
        <w:jc w:val="both"/>
        <w:rPr>
          <w:lang w:val="kk-KZ"/>
        </w:rPr>
      </w:pPr>
      <w:r>
        <w:rPr>
          <w:lang w:val="kk-KZ"/>
        </w:rPr>
        <w:t>Кредиттеудің тұтыну нарығында</w:t>
      </w:r>
      <w:r w:rsidR="00AF4AB6">
        <w:rPr>
          <w:lang w:val="kk-KZ"/>
        </w:rPr>
        <w:t xml:space="preserve"> маусымдық фактордың әсеріне байланысты </w:t>
      </w:r>
      <w:r>
        <w:rPr>
          <w:lang w:val="kk-KZ"/>
        </w:rPr>
        <w:t>сұраныстың артқандығын мәлімдеген банктердің үлесі</w:t>
      </w:r>
      <w:r w:rsidR="00AF4AB6">
        <w:rPr>
          <w:lang w:val="kk-KZ"/>
        </w:rPr>
        <w:t xml:space="preserve"> 2014 жылғы 3-тоқсандағы </w:t>
      </w:r>
      <w:r w:rsidR="00163B9F" w:rsidRPr="00AF4AB6">
        <w:rPr>
          <w:lang w:val="kk-KZ"/>
        </w:rPr>
        <w:t>27%</w:t>
      </w:r>
      <w:r w:rsidR="00AF4AB6">
        <w:rPr>
          <w:lang w:val="kk-KZ"/>
        </w:rPr>
        <w:t>-дан</w:t>
      </w:r>
      <w:r w:rsidR="00163B9F" w:rsidRPr="00AF4AB6">
        <w:rPr>
          <w:lang w:val="kk-KZ"/>
        </w:rPr>
        <w:t xml:space="preserve"> </w:t>
      </w:r>
      <w:r w:rsidR="00AF4AB6">
        <w:rPr>
          <w:lang w:val="kk-KZ"/>
        </w:rPr>
        <w:t xml:space="preserve">4-тоқсанда </w:t>
      </w:r>
      <w:r w:rsidR="00163B9F" w:rsidRPr="00AF4AB6">
        <w:rPr>
          <w:lang w:val="kk-KZ"/>
        </w:rPr>
        <w:t>39%</w:t>
      </w:r>
      <w:r w:rsidR="00AF4AB6">
        <w:rPr>
          <w:lang w:val="kk-KZ"/>
        </w:rPr>
        <w:t>-ға дейін ұлғайды.</w:t>
      </w:r>
      <w:r w:rsidR="00163B9F" w:rsidRPr="00AF4AB6">
        <w:rPr>
          <w:lang w:val="kk-KZ"/>
        </w:rPr>
        <w:t xml:space="preserve"> </w:t>
      </w:r>
      <w:r w:rsidR="00AF4AB6">
        <w:rPr>
          <w:lang w:val="kk-KZ"/>
        </w:rPr>
        <w:t xml:space="preserve">Бұл ретте қарыз алушылардың төлем қабілеттілігінің төмен болуына, қорландыруды және капиталды тартудың шектелуіне байланысты </w:t>
      </w:r>
      <w:r w:rsidR="00163B9F" w:rsidRPr="00AF4AB6">
        <w:rPr>
          <w:lang w:val="kk-KZ"/>
        </w:rPr>
        <w:t>банк</w:t>
      </w:r>
      <w:r w:rsidR="00AF4AB6">
        <w:rPr>
          <w:lang w:val="kk-KZ"/>
        </w:rPr>
        <w:t xml:space="preserve">тердің негізгі бөлігі </w:t>
      </w:r>
      <w:r w:rsidR="00163B9F" w:rsidRPr="00AF4AB6">
        <w:rPr>
          <w:lang w:val="kk-KZ"/>
        </w:rPr>
        <w:t>(респондент</w:t>
      </w:r>
      <w:r w:rsidR="00AF4AB6">
        <w:rPr>
          <w:lang w:val="kk-KZ"/>
        </w:rPr>
        <w:t>тердің 77%-ы</w:t>
      </w:r>
      <w:r w:rsidR="00163B9F" w:rsidRPr="00AF4AB6">
        <w:rPr>
          <w:lang w:val="kk-KZ"/>
        </w:rPr>
        <w:t xml:space="preserve">) </w:t>
      </w:r>
      <w:r w:rsidR="00AF4AB6">
        <w:rPr>
          <w:lang w:val="kk-KZ"/>
        </w:rPr>
        <w:t xml:space="preserve">өздерінің кредит саясатын бұрынғы деңгейде қалдырды және банктердің </w:t>
      </w:r>
      <w:r w:rsidR="00163B9F" w:rsidRPr="00AF4AB6">
        <w:rPr>
          <w:lang w:val="kk-KZ"/>
        </w:rPr>
        <w:t>23%</w:t>
      </w:r>
      <w:r w:rsidR="00AF4AB6">
        <w:rPr>
          <w:lang w:val="kk-KZ"/>
        </w:rPr>
        <w:t>-ы қатаңдатты</w:t>
      </w:r>
      <w:r w:rsidR="007A73AF" w:rsidRPr="00AF4AB6">
        <w:rPr>
          <w:lang w:val="kk-KZ"/>
        </w:rPr>
        <w:t xml:space="preserve"> (</w:t>
      </w:r>
      <w:r w:rsidR="00167842" w:rsidRPr="00AF4AB6">
        <w:rPr>
          <w:lang w:val="kk-KZ"/>
        </w:rPr>
        <w:t>5</w:t>
      </w:r>
      <w:r w:rsidR="00AF4AB6">
        <w:rPr>
          <w:lang w:val="kk-KZ"/>
        </w:rPr>
        <w:t>-</w:t>
      </w:r>
      <w:r w:rsidR="00AF4AB6" w:rsidRPr="00AF4AB6">
        <w:rPr>
          <w:lang w:val="kk-KZ"/>
        </w:rPr>
        <w:t>диаграмма</w:t>
      </w:r>
      <w:r w:rsidR="007A73AF" w:rsidRPr="00AF4AB6">
        <w:rPr>
          <w:lang w:val="kk-KZ"/>
        </w:rPr>
        <w:t>)</w:t>
      </w:r>
      <w:r w:rsidR="00163B9F" w:rsidRPr="00AF4AB6">
        <w:rPr>
          <w:lang w:val="kk-KZ"/>
        </w:rPr>
        <w:t xml:space="preserve">. </w:t>
      </w:r>
    </w:p>
    <w:p w:rsidR="00BA435F" w:rsidRPr="00CC5386" w:rsidRDefault="00AF4AB6" w:rsidP="00CC5386">
      <w:pPr>
        <w:ind w:firstLine="709"/>
        <w:jc w:val="both"/>
        <w:rPr>
          <w:lang w:val="kk-KZ"/>
        </w:rPr>
      </w:pPr>
      <w:r>
        <w:rPr>
          <w:lang w:val="kk-KZ"/>
        </w:rPr>
        <w:t xml:space="preserve">2014 жылғы 4-тоқсанға жаңажылдық мерекелердің келетіндігін назарға ала отырып, жекелеген банктер кредиттеудің бөлшек сегментінде клиенттік базаны ұлғайту жөнінде аздап жұмыс жүргізді: бастапқы жарнаны төмендету, қарыз мерзімін ұзарту және </w:t>
      </w:r>
      <w:r>
        <w:rPr>
          <w:lang w:val="kk-KZ"/>
        </w:rPr>
        <w:lastRenderedPageBreak/>
        <w:t>комиссиялардың кейбір түрлерін жою</w:t>
      </w:r>
      <w:r w:rsidR="00163B9F" w:rsidRPr="00AF4AB6">
        <w:rPr>
          <w:lang w:val="kk-KZ"/>
        </w:rPr>
        <w:t xml:space="preserve">. </w:t>
      </w:r>
      <w:r>
        <w:rPr>
          <w:lang w:val="kk-KZ"/>
        </w:rPr>
        <w:t>Бұл ретте кейбір орта</w:t>
      </w:r>
      <w:r w:rsidR="00833A56">
        <w:rPr>
          <w:lang w:val="kk-KZ"/>
        </w:rPr>
        <w:t>ша</w:t>
      </w:r>
      <w:r>
        <w:rPr>
          <w:lang w:val="kk-KZ"/>
        </w:rPr>
        <w:t xml:space="preserve"> банктер үшін, мысалы,  ипотекалық кредиттеу немесе қарыз алушының өмірін сақтандыру </w:t>
      </w:r>
      <w:r w:rsidR="00785A33">
        <w:rPr>
          <w:lang w:val="kk-KZ"/>
        </w:rPr>
        <w:t>кезінде объектіні сақтандыру сияқты і</w:t>
      </w:r>
      <w:r>
        <w:rPr>
          <w:lang w:val="kk-KZ"/>
        </w:rPr>
        <w:t>леспе қызметтерді тегін көрсету</w:t>
      </w:r>
      <w:r w:rsidR="00785A33">
        <w:rPr>
          <w:lang w:val="kk-KZ"/>
        </w:rPr>
        <w:t xml:space="preserve"> </w:t>
      </w:r>
      <w:r w:rsidR="00163B9F" w:rsidRPr="00833A56">
        <w:rPr>
          <w:lang w:val="kk-KZ"/>
        </w:rPr>
        <w:t>маркетинг</w:t>
      </w:r>
      <w:r w:rsidR="00785A33">
        <w:rPr>
          <w:lang w:val="kk-KZ"/>
        </w:rPr>
        <w:t xml:space="preserve">тік </w:t>
      </w:r>
      <w:r w:rsidR="00833A56">
        <w:rPr>
          <w:lang w:val="kk-KZ"/>
        </w:rPr>
        <w:t>қадам</w:t>
      </w:r>
      <w:r w:rsidR="00785A33">
        <w:rPr>
          <w:lang w:val="kk-KZ"/>
        </w:rPr>
        <w:t xml:space="preserve"> болды. </w:t>
      </w:r>
    </w:p>
    <w:tbl>
      <w:tblPr>
        <w:tblpPr w:leftFromText="180" w:rightFromText="180" w:vertAnchor="text" w:horzAnchor="margin" w:tblpX="108" w:tblpY="75"/>
        <w:tblW w:w="0" w:type="auto"/>
        <w:tblLayout w:type="fixed"/>
        <w:tblLook w:val="04A0" w:firstRow="1" w:lastRow="0" w:firstColumn="1" w:lastColumn="0" w:noHBand="0" w:noVBand="1"/>
      </w:tblPr>
      <w:tblGrid>
        <w:gridCol w:w="9639"/>
      </w:tblGrid>
      <w:tr w:rsidR="00163B9F" w:rsidTr="00CC5386">
        <w:tc>
          <w:tcPr>
            <w:tcW w:w="9639" w:type="dxa"/>
            <w:shd w:val="clear" w:color="auto" w:fill="auto"/>
          </w:tcPr>
          <w:p w:rsidR="00163B9F" w:rsidRDefault="00167842" w:rsidP="00CC5386">
            <w:pPr>
              <w:jc w:val="center"/>
            </w:pPr>
            <w:r>
              <w:rPr>
                <w:b/>
                <w:sz w:val="20"/>
                <w:szCs w:val="20"/>
              </w:rPr>
              <w:t>5</w:t>
            </w:r>
            <w:r w:rsidR="00BA435F">
              <w:rPr>
                <w:b/>
                <w:sz w:val="20"/>
                <w:szCs w:val="20"/>
                <w:lang w:val="kk-KZ"/>
              </w:rPr>
              <w:t>-д</w:t>
            </w:r>
            <w:proofErr w:type="spellStart"/>
            <w:r w:rsidR="00BA435F" w:rsidRPr="00DE52D3">
              <w:rPr>
                <w:b/>
                <w:sz w:val="20"/>
                <w:szCs w:val="20"/>
              </w:rPr>
              <w:t>иаграмма</w:t>
            </w:r>
            <w:proofErr w:type="spellEnd"/>
            <w:r w:rsidR="00163B9F" w:rsidRPr="00DE52D3">
              <w:rPr>
                <w:b/>
                <w:sz w:val="20"/>
                <w:szCs w:val="20"/>
              </w:rPr>
              <w:t xml:space="preserve">. </w:t>
            </w:r>
            <w:r w:rsidR="00BA435F">
              <w:rPr>
                <w:b/>
                <w:sz w:val="20"/>
                <w:szCs w:val="20"/>
                <w:lang w:val="kk-KZ"/>
              </w:rPr>
              <w:t xml:space="preserve">Банктердің кредит саясатының өзгеруі </w:t>
            </w:r>
          </w:p>
        </w:tc>
      </w:tr>
      <w:tr w:rsidR="00163B9F" w:rsidTr="00CC5386">
        <w:tc>
          <w:tcPr>
            <w:tcW w:w="9639" w:type="dxa"/>
            <w:shd w:val="clear" w:color="auto" w:fill="auto"/>
          </w:tcPr>
          <w:p w:rsidR="00163B9F" w:rsidRDefault="00CC5386" w:rsidP="00CC5386">
            <w:pPr>
              <w:jc w:val="both"/>
            </w:pPr>
            <w:r>
              <w:rPr>
                <w:noProof/>
              </w:rPr>
              <w:drawing>
                <wp:inline distT="0" distB="0" distL="0" distR="0" wp14:anchorId="310EA66D" wp14:editId="1A137E90">
                  <wp:extent cx="6020409" cy="1945843"/>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163B9F" w:rsidTr="00CC5386">
        <w:tc>
          <w:tcPr>
            <w:tcW w:w="9639" w:type="dxa"/>
            <w:shd w:val="clear" w:color="auto" w:fill="auto"/>
          </w:tcPr>
          <w:p w:rsidR="00163B9F" w:rsidRDefault="00BA435F" w:rsidP="00CC5386">
            <w:pPr>
              <w:jc w:val="both"/>
            </w:pPr>
            <w:r>
              <w:rPr>
                <w:i/>
                <w:sz w:val="18"/>
                <w:szCs w:val="18"/>
                <w:lang w:val="kk-KZ"/>
              </w:rPr>
              <w:t>Дерек көзі</w:t>
            </w:r>
            <w:r w:rsidR="00163B9F" w:rsidRPr="00DE52D3">
              <w:rPr>
                <w:i/>
                <w:sz w:val="18"/>
                <w:szCs w:val="18"/>
              </w:rPr>
              <w:t xml:space="preserve">: </w:t>
            </w:r>
            <w:r>
              <w:rPr>
                <w:i/>
                <w:sz w:val="18"/>
                <w:szCs w:val="18"/>
                <w:lang w:val="kk-KZ"/>
              </w:rPr>
              <w:t xml:space="preserve">ҚРҰБ </w:t>
            </w:r>
          </w:p>
        </w:tc>
      </w:tr>
    </w:tbl>
    <w:p w:rsidR="00163B9F" w:rsidRPr="00BA435F" w:rsidRDefault="00BA435F" w:rsidP="00BA435F">
      <w:pPr>
        <w:ind w:firstLine="709"/>
        <w:jc w:val="both"/>
        <w:rPr>
          <w:lang w:val="kk-KZ"/>
        </w:rPr>
      </w:pPr>
      <w:r>
        <w:rPr>
          <w:lang w:val="kk-KZ"/>
        </w:rPr>
        <w:t>Қорландырудың шектеулілігіне және тұтынушылық қарыз портфелінің шамадан тыс өсу тәуекелдерін төмендетуге бағытталған реттеуші шектеулердің болуына байланысты банктер жеке тұлғаларды белсенді түрде кредиттеуге дайын емес. Соның нәтижесінде</w:t>
      </w:r>
      <w:r w:rsidR="00163B9F" w:rsidRPr="00BA435F">
        <w:rPr>
          <w:lang w:val="kk-KZ"/>
        </w:rPr>
        <w:t xml:space="preserve">, </w:t>
      </w:r>
      <w:r>
        <w:rPr>
          <w:lang w:val="kk-KZ"/>
        </w:rPr>
        <w:t>банктердің кредит саясаты кредиттер бойынша пайыздық мөлшерлемелерді аздап ұлғайтуға бағытталатын болады</w:t>
      </w:r>
      <w:r w:rsidR="00163B9F" w:rsidRPr="00BA435F">
        <w:rPr>
          <w:lang w:val="kk-KZ"/>
        </w:rPr>
        <w:t xml:space="preserve">: </w:t>
      </w:r>
      <w:r>
        <w:rPr>
          <w:lang w:val="kk-KZ"/>
        </w:rPr>
        <w:t xml:space="preserve">банктердің </w:t>
      </w:r>
      <w:r w:rsidR="00163B9F" w:rsidRPr="00BA435F">
        <w:rPr>
          <w:lang w:val="kk-KZ"/>
        </w:rPr>
        <w:t>32%</w:t>
      </w:r>
      <w:r>
        <w:rPr>
          <w:lang w:val="kk-KZ"/>
        </w:rPr>
        <w:t>-ы</w:t>
      </w:r>
      <w:r w:rsidR="00163B9F" w:rsidRPr="00BA435F">
        <w:rPr>
          <w:lang w:val="kk-KZ"/>
        </w:rPr>
        <w:t xml:space="preserve"> </w:t>
      </w:r>
      <w:r>
        <w:rPr>
          <w:lang w:val="kk-KZ"/>
        </w:rPr>
        <w:t xml:space="preserve">тұтынушылық кредиттерге қатысты пайыздық мөлшерлемелерді ұлғайтуды жоспарлайды және </w:t>
      </w:r>
      <w:r w:rsidR="00163B9F" w:rsidRPr="00BA435F">
        <w:rPr>
          <w:lang w:val="kk-KZ"/>
        </w:rPr>
        <w:t>респондент</w:t>
      </w:r>
      <w:r>
        <w:rPr>
          <w:lang w:val="kk-KZ"/>
        </w:rPr>
        <w:t xml:space="preserve">тердің </w:t>
      </w:r>
      <w:r w:rsidRPr="00BA435F">
        <w:rPr>
          <w:lang w:val="kk-KZ"/>
        </w:rPr>
        <w:t>27%</w:t>
      </w:r>
      <w:r>
        <w:rPr>
          <w:lang w:val="kk-KZ"/>
        </w:rPr>
        <w:t xml:space="preserve">-ы </w:t>
      </w:r>
      <w:r w:rsidR="00F8598D">
        <w:rPr>
          <w:lang w:val="kk-KZ"/>
        </w:rPr>
        <w:t>оларды</w:t>
      </w:r>
      <w:r w:rsidR="00833A56">
        <w:rPr>
          <w:lang w:val="kk-KZ"/>
        </w:rPr>
        <w:t>ң</w:t>
      </w:r>
      <w:r w:rsidR="00F8598D">
        <w:rPr>
          <w:lang w:val="kk-KZ"/>
        </w:rPr>
        <w:t xml:space="preserve"> ипотекалық кредиттер бойынша ұлға</w:t>
      </w:r>
      <w:r w:rsidR="00833A56">
        <w:rPr>
          <w:lang w:val="kk-KZ"/>
        </w:rPr>
        <w:t>юын</w:t>
      </w:r>
      <w:r w:rsidR="00F8598D">
        <w:rPr>
          <w:lang w:val="kk-KZ"/>
        </w:rPr>
        <w:t xml:space="preserve"> күтеді.</w:t>
      </w:r>
      <w:r w:rsidR="00163B9F" w:rsidRPr="00BA435F">
        <w:rPr>
          <w:lang w:val="kk-KZ"/>
        </w:rPr>
        <w:t xml:space="preserve"> </w:t>
      </w:r>
    </w:p>
    <w:p w:rsidR="00F205FF" w:rsidRDefault="00F8598D" w:rsidP="00163B9F">
      <w:pPr>
        <w:ind w:firstLine="708"/>
        <w:jc w:val="both"/>
        <w:rPr>
          <w:lang w:val="kk-KZ"/>
        </w:rPr>
      </w:pPr>
      <w:r>
        <w:rPr>
          <w:lang w:val="kk-KZ"/>
        </w:rPr>
        <w:t>Қарыз алушылардың қаржылық жай-күйінің нашарлауымен байланысты тәуекелдер банктер үшін аздап ұлғаюда</w:t>
      </w:r>
      <w:r w:rsidR="00163B9F" w:rsidRPr="00F8598D">
        <w:rPr>
          <w:lang w:val="kk-KZ"/>
        </w:rPr>
        <w:t xml:space="preserve">: </w:t>
      </w:r>
      <w:r>
        <w:rPr>
          <w:lang w:val="kk-KZ"/>
        </w:rPr>
        <w:t xml:space="preserve">банктердің шамамен </w:t>
      </w:r>
      <w:r w:rsidR="00163B9F" w:rsidRPr="00F8598D">
        <w:rPr>
          <w:lang w:val="kk-KZ"/>
        </w:rPr>
        <w:t>12%</w:t>
      </w:r>
      <w:r>
        <w:rPr>
          <w:lang w:val="kk-KZ"/>
        </w:rPr>
        <w:t xml:space="preserve">-ы қарыз алушылардың қаржылық жай-күйінің және қамтамасыз ету сапасының одан әрі нашарлауын күтеді. </w:t>
      </w:r>
    </w:p>
    <w:p w:rsidR="00F8598D" w:rsidRPr="007D75A6" w:rsidRDefault="00F8598D" w:rsidP="00163B9F">
      <w:pPr>
        <w:ind w:firstLine="708"/>
        <w:jc w:val="both"/>
        <w:rPr>
          <w:b/>
          <w:lang w:val="kk-KZ"/>
        </w:rPr>
      </w:pPr>
    </w:p>
    <w:p w:rsidR="00C23E6B" w:rsidRPr="007D75A6" w:rsidRDefault="00C23E6B" w:rsidP="00C8752C">
      <w:pPr>
        <w:jc w:val="both"/>
        <w:rPr>
          <w:b/>
          <w:lang w:val="kk-KZ"/>
        </w:rPr>
      </w:pPr>
      <w:bookmarkStart w:id="3" w:name="OLE_LINK1"/>
      <w:bookmarkStart w:id="4" w:name="OLE_LINK2"/>
    </w:p>
    <w:bookmarkEnd w:id="1"/>
    <w:bookmarkEnd w:id="2"/>
    <w:bookmarkEnd w:id="3"/>
    <w:bookmarkEnd w:id="4"/>
    <w:p w:rsidR="00B123BC" w:rsidRPr="007D75A6" w:rsidRDefault="00B123BC" w:rsidP="00B123BC">
      <w:pPr>
        <w:ind w:left="720"/>
        <w:jc w:val="both"/>
        <w:rPr>
          <w:b/>
          <w:lang w:val="kk-KZ"/>
        </w:rPr>
      </w:pPr>
      <w:r w:rsidRPr="007D75A6">
        <w:rPr>
          <w:b/>
          <w:lang w:val="kk-KZ"/>
        </w:rPr>
        <w:t xml:space="preserve">III. </w:t>
      </w:r>
      <w:r w:rsidR="000A1626" w:rsidRPr="0037032F">
        <w:rPr>
          <w:b/>
          <w:lang w:val="kk-KZ"/>
        </w:rPr>
        <w:t>Тәуекелдер картасы</w:t>
      </w:r>
      <w:r w:rsidRPr="007D75A6">
        <w:rPr>
          <w:b/>
          <w:lang w:val="kk-KZ"/>
        </w:rPr>
        <w:t xml:space="preserve"> </w:t>
      </w:r>
    </w:p>
    <w:p w:rsidR="00B123BC" w:rsidRPr="007D75A6" w:rsidRDefault="00B123BC" w:rsidP="00B123BC">
      <w:pPr>
        <w:ind w:left="720"/>
        <w:jc w:val="both"/>
        <w:rPr>
          <w:b/>
          <w:lang w:val="kk-KZ"/>
        </w:rPr>
      </w:pPr>
    </w:p>
    <w:p w:rsidR="00F8598D" w:rsidRPr="007D75A6" w:rsidRDefault="00F8598D" w:rsidP="00F8598D">
      <w:pPr>
        <w:ind w:firstLine="708"/>
        <w:jc w:val="both"/>
        <w:rPr>
          <w:b/>
          <w:lang w:val="kk-KZ"/>
        </w:rPr>
      </w:pPr>
      <w:r>
        <w:rPr>
          <w:b/>
          <w:lang w:val="kk-KZ"/>
        </w:rPr>
        <w:t xml:space="preserve">2014 жылғы 4-тоқсанда, банктердің бағалауынша, клиенттердің депозиттерін долларландыру жылдамдатылды. Бұл ретте Ұлттық Банктен валюталық своптар және БЖЗҚ-дан ұзақмерзімді теңгемен өтімділікті беру түріндегі мемлекет тарапынан қолдау көрсетілгеніне қарамастан, капиталдың банкаралық нарық капиталында теңгемен өтімділік құны ұлғайды. </w:t>
      </w:r>
    </w:p>
    <w:p w:rsidR="00B123BC" w:rsidRPr="00ED785D" w:rsidRDefault="001A73E1" w:rsidP="00872F82">
      <w:pPr>
        <w:ind w:firstLine="708"/>
        <w:jc w:val="both"/>
        <w:rPr>
          <w:lang w:val="kk-KZ"/>
        </w:rPr>
      </w:pPr>
      <w:r w:rsidRPr="001A73E1">
        <w:rPr>
          <w:lang w:val="kk-KZ"/>
        </w:rPr>
        <w:t>Жақын арадағы 3 айда</w:t>
      </w:r>
      <w:r>
        <w:rPr>
          <w:lang w:val="kk-KZ"/>
        </w:rPr>
        <w:t xml:space="preserve"> банктер несие портфелі сапасының айтарлықтай нашарлауын күтпейді: банктердің </w:t>
      </w:r>
      <w:r w:rsidRPr="007D75A6">
        <w:rPr>
          <w:lang w:val="kk-KZ"/>
        </w:rPr>
        <w:t>67%</w:t>
      </w:r>
      <w:r>
        <w:rPr>
          <w:lang w:val="kk-KZ"/>
        </w:rPr>
        <w:t xml:space="preserve">-ы сапаның өзгеріссіз қалатындығын, </w:t>
      </w:r>
      <w:r w:rsidRPr="007D75A6">
        <w:rPr>
          <w:lang w:val="kk-KZ"/>
        </w:rPr>
        <w:t>16%</w:t>
      </w:r>
      <w:r>
        <w:rPr>
          <w:lang w:val="kk-KZ"/>
        </w:rPr>
        <w:t>-ы</w:t>
      </w:r>
      <w:r w:rsidRPr="007D75A6">
        <w:rPr>
          <w:lang w:val="kk-KZ"/>
        </w:rPr>
        <w:t xml:space="preserve"> </w:t>
      </w:r>
      <w:r>
        <w:rPr>
          <w:lang w:val="kk-KZ"/>
        </w:rPr>
        <w:t>сапаның аздап нашарлауын болжайды</w:t>
      </w:r>
      <w:r w:rsidRPr="007D75A6">
        <w:rPr>
          <w:lang w:val="kk-KZ"/>
        </w:rPr>
        <w:t xml:space="preserve">, </w:t>
      </w:r>
      <w:r>
        <w:rPr>
          <w:lang w:val="kk-KZ"/>
        </w:rPr>
        <w:t>соншалықты банк оның жақсаратынын күтеді.</w:t>
      </w:r>
      <w:r w:rsidRPr="007D75A6">
        <w:rPr>
          <w:lang w:val="kk-KZ"/>
        </w:rPr>
        <w:t xml:space="preserve"> </w:t>
      </w:r>
      <w:r>
        <w:rPr>
          <w:lang w:val="kk-KZ"/>
        </w:rPr>
        <w:t xml:space="preserve">Корпоративтік секторды және жеке тұлғаларды кредиттеу сегменттері бойынша </w:t>
      </w:r>
      <w:r w:rsidRPr="007D75A6">
        <w:rPr>
          <w:lang w:val="kk-KZ"/>
        </w:rPr>
        <w:t>респондент</w:t>
      </w:r>
      <w:r>
        <w:rPr>
          <w:lang w:val="kk-KZ"/>
        </w:rPr>
        <w:t xml:space="preserve">тердің, тиісінше, </w:t>
      </w:r>
      <w:r w:rsidRPr="007D75A6">
        <w:rPr>
          <w:lang w:val="kk-KZ"/>
        </w:rPr>
        <w:t xml:space="preserve">65% </w:t>
      </w:r>
      <w:r>
        <w:rPr>
          <w:lang w:val="kk-KZ"/>
        </w:rPr>
        <w:t>және</w:t>
      </w:r>
      <w:r w:rsidRPr="007D75A6">
        <w:rPr>
          <w:lang w:val="kk-KZ"/>
        </w:rPr>
        <w:t xml:space="preserve"> 76%</w:t>
      </w:r>
      <w:r>
        <w:rPr>
          <w:lang w:val="kk-KZ"/>
        </w:rPr>
        <w:t>-ы портфель сапасының өзгеріссіз қалатындығын болжайды</w:t>
      </w:r>
      <w:r w:rsidRPr="007D75A6">
        <w:rPr>
          <w:lang w:val="kk-KZ"/>
        </w:rPr>
        <w:t xml:space="preserve">, </w:t>
      </w:r>
      <w:r>
        <w:rPr>
          <w:lang w:val="kk-KZ"/>
        </w:rPr>
        <w:t xml:space="preserve">ал </w:t>
      </w:r>
      <w:r w:rsidRPr="007D75A6">
        <w:rPr>
          <w:lang w:val="kk-KZ"/>
        </w:rPr>
        <w:t xml:space="preserve">15% </w:t>
      </w:r>
      <w:r>
        <w:rPr>
          <w:lang w:val="kk-KZ"/>
        </w:rPr>
        <w:t>және</w:t>
      </w:r>
      <w:r w:rsidRPr="007D75A6">
        <w:rPr>
          <w:lang w:val="kk-KZ"/>
        </w:rPr>
        <w:t xml:space="preserve"> 12%</w:t>
      </w:r>
      <w:r>
        <w:rPr>
          <w:lang w:val="kk-KZ"/>
        </w:rPr>
        <w:t>-ы</w:t>
      </w:r>
      <w:r w:rsidRPr="007D75A6">
        <w:rPr>
          <w:lang w:val="kk-KZ"/>
        </w:rPr>
        <w:t xml:space="preserve"> </w:t>
      </w:r>
      <w:r>
        <w:rPr>
          <w:lang w:val="kk-KZ"/>
        </w:rPr>
        <w:t xml:space="preserve">портфель сапасының нашарлауын күтеді </w:t>
      </w:r>
      <w:r w:rsidRPr="007D75A6">
        <w:rPr>
          <w:lang w:val="kk-KZ"/>
        </w:rPr>
        <w:t>(6</w:t>
      </w:r>
      <w:r>
        <w:rPr>
          <w:lang w:val="kk-KZ"/>
        </w:rPr>
        <w:t>-</w:t>
      </w:r>
      <w:r w:rsidRPr="007D75A6">
        <w:rPr>
          <w:lang w:val="kk-KZ"/>
        </w:rPr>
        <w:t>диаграмма).</w:t>
      </w:r>
    </w:p>
    <w:p w:rsidR="00CC5386" w:rsidRPr="00ED785D" w:rsidRDefault="00CC5386" w:rsidP="00872F82">
      <w:pPr>
        <w:ind w:firstLine="708"/>
        <w:jc w:val="both"/>
        <w:rPr>
          <w:lang w:val="kk-KZ"/>
        </w:rPr>
      </w:pPr>
    </w:p>
    <w:p w:rsidR="00CC5386" w:rsidRPr="00ED785D" w:rsidRDefault="00CC5386" w:rsidP="00872F82">
      <w:pPr>
        <w:ind w:firstLine="708"/>
        <w:jc w:val="both"/>
        <w:rPr>
          <w:lang w:val="kk-KZ"/>
        </w:rPr>
      </w:pPr>
    </w:p>
    <w:p w:rsidR="00CC5386" w:rsidRPr="00ED785D" w:rsidRDefault="00CC5386" w:rsidP="00872F82">
      <w:pPr>
        <w:ind w:firstLine="708"/>
        <w:jc w:val="both"/>
        <w:rPr>
          <w:lang w:val="kk-KZ"/>
        </w:rPr>
      </w:pPr>
    </w:p>
    <w:p w:rsidR="00CC5386" w:rsidRPr="00ED785D" w:rsidRDefault="00CC5386" w:rsidP="00872F82">
      <w:pPr>
        <w:ind w:firstLine="708"/>
        <w:jc w:val="both"/>
        <w:rPr>
          <w:lang w:val="kk-KZ"/>
        </w:rPr>
      </w:pPr>
    </w:p>
    <w:p w:rsidR="00CC5386" w:rsidRPr="00ED785D" w:rsidRDefault="00CC5386" w:rsidP="00872F82">
      <w:pPr>
        <w:ind w:firstLine="708"/>
        <w:jc w:val="both"/>
        <w:rPr>
          <w:lang w:val="kk-KZ"/>
        </w:rPr>
      </w:pPr>
    </w:p>
    <w:p w:rsidR="00CC5386" w:rsidRPr="00ED785D" w:rsidRDefault="00CC5386" w:rsidP="00872F82">
      <w:pPr>
        <w:ind w:firstLine="708"/>
        <w:jc w:val="both"/>
        <w:rPr>
          <w:lang w:val="kk-KZ"/>
        </w:rPr>
      </w:pPr>
    </w:p>
    <w:p w:rsidR="00CC5386" w:rsidRPr="00ED785D" w:rsidRDefault="00CC5386" w:rsidP="00872F82">
      <w:pPr>
        <w:ind w:firstLine="708"/>
        <w:jc w:val="both"/>
        <w:rPr>
          <w:lang w:val="kk-KZ"/>
        </w:rPr>
      </w:pPr>
    </w:p>
    <w:p w:rsidR="00CC5386" w:rsidRPr="00ED785D" w:rsidRDefault="00CC5386" w:rsidP="00872F82">
      <w:pPr>
        <w:ind w:firstLine="708"/>
        <w:jc w:val="both"/>
        <w:rPr>
          <w:lang w:val="kk-KZ"/>
        </w:rPr>
      </w:pPr>
    </w:p>
    <w:p w:rsidR="00CC5386" w:rsidRPr="00ED785D" w:rsidRDefault="00CC5386" w:rsidP="00872F82">
      <w:pPr>
        <w:ind w:firstLine="708"/>
        <w:jc w:val="both"/>
        <w:rPr>
          <w:lang w:val="kk-KZ"/>
        </w:rPr>
      </w:pPr>
    </w:p>
    <w:p w:rsidR="00CC5386" w:rsidRPr="00ED785D" w:rsidRDefault="00CC5386" w:rsidP="00872F82">
      <w:pPr>
        <w:ind w:firstLine="708"/>
        <w:jc w:val="both"/>
        <w:rPr>
          <w:lang w:val="kk-KZ"/>
        </w:rPr>
      </w:pPr>
    </w:p>
    <w:p w:rsidR="00CC5386" w:rsidRPr="00ED785D" w:rsidRDefault="00CC5386" w:rsidP="00872F82">
      <w:pPr>
        <w:ind w:firstLine="708"/>
        <w:jc w:val="both"/>
        <w:rPr>
          <w:lang w:val="kk-KZ"/>
        </w:rPr>
      </w:pPr>
    </w:p>
    <w:p w:rsidR="00CC5386" w:rsidRPr="00ED785D" w:rsidRDefault="00CC5386" w:rsidP="00872F82">
      <w:pPr>
        <w:ind w:firstLine="708"/>
        <w:jc w:val="both"/>
        <w:rPr>
          <w:lang w:val="kk-KZ"/>
        </w:rPr>
      </w:pPr>
    </w:p>
    <w:p w:rsidR="00CC5386" w:rsidRPr="00ED785D" w:rsidRDefault="00CC5386" w:rsidP="00872F82">
      <w:pPr>
        <w:ind w:firstLine="708"/>
        <w:jc w:val="both"/>
        <w:rPr>
          <w:lang w:val="kk-KZ"/>
        </w:rPr>
      </w:pPr>
    </w:p>
    <w:p w:rsidR="00CC5386" w:rsidRPr="00ED785D" w:rsidRDefault="00CC5386" w:rsidP="00872F82">
      <w:pPr>
        <w:ind w:firstLine="708"/>
        <w:jc w:val="both"/>
        <w:rPr>
          <w:lang w:val="kk-KZ"/>
        </w:rPr>
      </w:pPr>
    </w:p>
    <w:p w:rsidR="005E0FB3" w:rsidRDefault="00740062" w:rsidP="005D276F">
      <w:pPr>
        <w:jc w:val="both"/>
        <w:rPr>
          <w:lang w:val="kk-KZ"/>
        </w:rPr>
      </w:pPr>
      <w:r w:rsidRPr="008832FD">
        <w:rPr>
          <w:lang w:val="kk-KZ"/>
        </w:rPr>
        <w:t xml:space="preserve"> </w:t>
      </w:r>
      <w:r w:rsidR="005D276F">
        <w:rPr>
          <w:lang w:val="kk-KZ"/>
        </w:rPr>
        <w:tab/>
      </w:r>
      <w:r w:rsidR="005D276F" w:rsidRPr="005D276F">
        <w:rPr>
          <w:lang w:val="kk-KZ"/>
        </w:rPr>
        <w:t xml:space="preserve">Банктердің </w:t>
      </w:r>
      <w:r w:rsidR="005D276F">
        <w:rPr>
          <w:lang w:val="kk-KZ"/>
        </w:rPr>
        <w:t xml:space="preserve">бағалауынша, проблемалық кредиттермен жұмыс кезінде (1) мерзімі өткен берешекті өтеуге мерзімді ұзарту, (2) </w:t>
      </w:r>
      <w:r w:rsidR="005D276F" w:rsidRPr="005D276F">
        <w:rPr>
          <w:b/>
          <w:lang w:val="kk-KZ"/>
        </w:rPr>
        <w:t>ТТТ (төлемдік талап-тапсырма)</w:t>
      </w:r>
      <w:r w:rsidR="005D276F">
        <w:rPr>
          <w:b/>
          <w:lang w:val="kk-KZ"/>
        </w:rPr>
        <w:t xml:space="preserve"> беру, (3) коллекторлық компанияларға сату, (4) үмітсіз проблемалық берешекті есептен шығару </w:t>
      </w:r>
      <w:r w:rsidR="005D276F">
        <w:rPr>
          <w:lang w:val="kk-KZ"/>
        </w:rPr>
        <w:t xml:space="preserve">басымдықты шаралар болып қалуда. </w:t>
      </w:r>
      <w:r w:rsidR="005D276F">
        <w:rPr>
          <w:b/>
          <w:lang w:val="kk-KZ"/>
        </w:rPr>
        <w:t xml:space="preserve"> </w:t>
      </w:r>
      <w:r w:rsidR="005D276F">
        <w:rPr>
          <w:lang w:val="kk-KZ"/>
        </w:rPr>
        <w:t xml:space="preserve">  </w:t>
      </w:r>
    </w:p>
    <w:tbl>
      <w:tblPr>
        <w:tblpPr w:leftFromText="180" w:rightFromText="180" w:vertAnchor="text" w:horzAnchor="margin" w:tblpX="108" w:tblpY="121"/>
        <w:tblW w:w="9606" w:type="dxa"/>
        <w:tblLayout w:type="fixed"/>
        <w:tblLook w:val="04A0" w:firstRow="1" w:lastRow="0" w:firstColumn="1" w:lastColumn="0" w:noHBand="0" w:noVBand="1"/>
      </w:tblPr>
      <w:tblGrid>
        <w:gridCol w:w="9606"/>
      </w:tblGrid>
      <w:tr w:rsidR="00CC5386" w:rsidRPr="00ED785D" w:rsidTr="00CC5386">
        <w:tc>
          <w:tcPr>
            <w:tcW w:w="9606" w:type="dxa"/>
            <w:shd w:val="clear" w:color="auto" w:fill="auto"/>
          </w:tcPr>
          <w:p w:rsidR="00CC5386" w:rsidRPr="008832FD" w:rsidRDefault="00CC5386" w:rsidP="00CC5386">
            <w:pPr>
              <w:jc w:val="center"/>
              <w:rPr>
                <w:b/>
                <w:lang w:val="kk-KZ"/>
              </w:rPr>
            </w:pPr>
            <w:r w:rsidRPr="008832FD">
              <w:rPr>
                <w:b/>
                <w:sz w:val="20"/>
                <w:szCs w:val="20"/>
                <w:lang w:val="kk-KZ"/>
              </w:rPr>
              <w:t>6</w:t>
            </w:r>
            <w:r>
              <w:rPr>
                <w:b/>
                <w:sz w:val="20"/>
                <w:szCs w:val="20"/>
                <w:lang w:val="kk-KZ"/>
              </w:rPr>
              <w:t>-д</w:t>
            </w:r>
            <w:r w:rsidRPr="008832FD">
              <w:rPr>
                <w:b/>
                <w:sz w:val="20"/>
                <w:szCs w:val="20"/>
                <w:lang w:val="kk-KZ"/>
              </w:rPr>
              <w:t xml:space="preserve">иаграмма. </w:t>
            </w:r>
            <w:r>
              <w:rPr>
                <w:b/>
                <w:sz w:val="20"/>
                <w:szCs w:val="20"/>
                <w:lang w:val="kk-KZ"/>
              </w:rPr>
              <w:t xml:space="preserve">Банктердің несие портфелінің сапасының өзгерістерін күту </w:t>
            </w:r>
          </w:p>
        </w:tc>
      </w:tr>
      <w:tr w:rsidR="00CC5386" w:rsidTr="00ED785D">
        <w:tc>
          <w:tcPr>
            <w:tcW w:w="9606" w:type="dxa"/>
            <w:shd w:val="clear" w:color="auto" w:fill="auto"/>
          </w:tcPr>
          <w:p w:rsidR="00CC5386" w:rsidRPr="001D77DE" w:rsidRDefault="00ED785D" w:rsidP="00CC5386">
            <w:pPr>
              <w:jc w:val="both"/>
              <w:rPr>
                <w:b/>
              </w:rPr>
            </w:pPr>
            <w:r>
              <w:rPr>
                <w:noProof/>
              </w:rPr>
              <w:drawing>
                <wp:inline distT="0" distB="0" distL="0" distR="0" wp14:anchorId="5122A238" wp14:editId="5FFB4860">
                  <wp:extent cx="6058894" cy="2075290"/>
                  <wp:effectExtent l="0" t="0" r="0" b="127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CC5386" w:rsidTr="00CC5386">
        <w:tc>
          <w:tcPr>
            <w:tcW w:w="9606" w:type="dxa"/>
            <w:shd w:val="clear" w:color="auto" w:fill="auto"/>
          </w:tcPr>
          <w:p w:rsidR="00CC5386" w:rsidRPr="001D77DE" w:rsidRDefault="00CC5386" w:rsidP="00CC5386">
            <w:pPr>
              <w:jc w:val="both"/>
              <w:rPr>
                <w:i/>
                <w:color w:val="000000"/>
                <w:sz w:val="18"/>
                <w:szCs w:val="18"/>
              </w:rPr>
            </w:pPr>
            <w:r>
              <w:rPr>
                <w:i/>
                <w:color w:val="000000"/>
                <w:sz w:val="18"/>
                <w:szCs w:val="18"/>
                <w:lang w:val="kk-KZ"/>
              </w:rPr>
              <w:t>Дерек көзі</w:t>
            </w:r>
            <w:r w:rsidRPr="001D77DE">
              <w:rPr>
                <w:i/>
                <w:color w:val="000000"/>
                <w:sz w:val="18"/>
                <w:szCs w:val="18"/>
              </w:rPr>
              <w:t xml:space="preserve">: </w:t>
            </w:r>
            <w:r>
              <w:rPr>
                <w:i/>
                <w:color w:val="000000"/>
                <w:sz w:val="18"/>
                <w:szCs w:val="18"/>
                <w:lang w:val="kk-KZ"/>
              </w:rPr>
              <w:t>ҚРҰБ</w:t>
            </w:r>
          </w:p>
        </w:tc>
      </w:tr>
    </w:tbl>
    <w:p w:rsidR="008832FD" w:rsidRDefault="008832FD" w:rsidP="00151A57">
      <w:pPr>
        <w:ind w:firstLine="708"/>
        <w:jc w:val="both"/>
        <w:rPr>
          <w:b/>
          <w:sz w:val="16"/>
          <w:szCs w:val="16"/>
          <w:highlight w:val="yellow"/>
          <w:lang w:val="kk-KZ"/>
        </w:rPr>
      </w:pPr>
    </w:p>
    <w:p w:rsidR="004F5998" w:rsidRDefault="00151A57" w:rsidP="00151A57">
      <w:pPr>
        <w:ind w:firstLine="708"/>
        <w:jc w:val="both"/>
        <w:rPr>
          <w:lang w:val="kk-KZ"/>
        </w:rPr>
      </w:pPr>
      <w:r>
        <w:rPr>
          <w:b/>
          <w:lang w:val="kk-KZ"/>
        </w:rPr>
        <w:t xml:space="preserve">Қосымша қаржыландыру көздері бойынша банктер заңды және жеке тұлғалардың салымдарын тартуға сүйенуін жалғастыруда </w:t>
      </w:r>
      <w:r w:rsidR="00B123BC" w:rsidRPr="00151A57">
        <w:rPr>
          <w:lang w:val="kk-KZ"/>
        </w:rPr>
        <w:t>(</w:t>
      </w:r>
      <w:r>
        <w:rPr>
          <w:lang w:val="kk-KZ"/>
        </w:rPr>
        <w:t xml:space="preserve">банктердің </w:t>
      </w:r>
      <w:r w:rsidR="00B123BC" w:rsidRPr="00151A57">
        <w:rPr>
          <w:lang w:val="kk-KZ"/>
        </w:rPr>
        <w:t xml:space="preserve">60% </w:t>
      </w:r>
      <w:r>
        <w:rPr>
          <w:lang w:val="kk-KZ"/>
        </w:rPr>
        <w:t>және</w:t>
      </w:r>
      <w:r w:rsidR="00B123BC" w:rsidRPr="00151A57">
        <w:rPr>
          <w:lang w:val="kk-KZ"/>
        </w:rPr>
        <w:t xml:space="preserve"> 65%</w:t>
      </w:r>
      <w:r>
        <w:rPr>
          <w:lang w:val="kk-KZ"/>
        </w:rPr>
        <w:t>-ы басымдығының жоғары екендігін атап өтті</w:t>
      </w:r>
      <w:r w:rsidR="00B123BC" w:rsidRPr="00151A57">
        <w:rPr>
          <w:lang w:val="kk-KZ"/>
        </w:rPr>
        <w:t>).</w:t>
      </w:r>
      <w:r>
        <w:rPr>
          <w:lang w:val="kk-KZ"/>
        </w:rPr>
        <w:t xml:space="preserve"> </w:t>
      </w:r>
      <w:r w:rsidR="00B123BC" w:rsidRPr="00151A57">
        <w:rPr>
          <w:lang w:val="kk-KZ"/>
        </w:rPr>
        <w:t xml:space="preserve"> </w:t>
      </w:r>
      <w:r w:rsidR="004F5998">
        <w:rPr>
          <w:lang w:val="kk-KZ"/>
        </w:rPr>
        <w:t xml:space="preserve">Өздерінің депозиттік өнімдерінің тартымдылығын арттыру мақсатында кейбір орташа банктер түрлі маркетингтік акциялар өткізуді жоспарлап отыр. Өз кезегінде, ірі банктер негізгі экспортталатын шикізат бағасының құлдырауынан экспорттық түсімнің төмендеуін бастан кешіріп отырған негізі клиенттерінің (ірі өндіруші компаниялар) депозиттеріндегі қалдықтардың ықтимал төмендеуіне алаңдаушылық білдіреді.  </w:t>
      </w:r>
    </w:p>
    <w:p w:rsidR="006216B4" w:rsidRDefault="004F5998" w:rsidP="00B123BC">
      <w:pPr>
        <w:ind w:firstLine="708"/>
        <w:jc w:val="both"/>
        <w:rPr>
          <w:lang w:val="kk-KZ"/>
        </w:rPr>
      </w:pPr>
      <w:r>
        <w:rPr>
          <w:lang w:val="kk-KZ"/>
        </w:rPr>
        <w:t xml:space="preserve">Бұл ретте капиталды тарту көздері бойынша неғұрлым төмен басымдық деп банктер: капиталдың халықаралық нарықтарында акцияларды орналастыру есебінен капиталдың ұлғаюын </w:t>
      </w:r>
      <w:r w:rsidR="006216B4" w:rsidRPr="00327951">
        <w:rPr>
          <w:lang w:val="kk-KZ"/>
        </w:rPr>
        <w:t xml:space="preserve">(72%), </w:t>
      </w:r>
      <w:r w:rsidR="00327951">
        <w:rPr>
          <w:lang w:val="kk-KZ"/>
        </w:rPr>
        <w:t xml:space="preserve">стратегиялық шетелдік </w:t>
      </w:r>
      <w:r w:rsidR="006216B4" w:rsidRPr="00327951">
        <w:rPr>
          <w:lang w:val="kk-KZ"/>
        </w:rPr>
        <w:t>инвестор</w:t>
      </w:r>
      <w:r w:rsidR="00327951">
        <w:rPr>
          <w:lang w:val="kk-KZ"/>
        </w:rPr>
        <w:t xml:space="preserve">ды тартуды </w:t>
      </w:r>
      <w:r w:rsidR="00704373" w:rsidRPr="00327951">
        <w:rPr>
          <w:lang w:val="kk-KZ"/>
        </w:rPr>
        <w:t xml:space="preserve">(69%), </w:t>
      </w:r>
      <w:r w:rsidR="00327951">
        <w:rPr>
          <w:lang w:val="kk-KZ"/>
        </w:rPr>
        <w:t xml:space="preserve">борыштық бағалы қағаздарды капиталдың халықаралық нарықтарында орналастыруды </w:t>
      </w:r>
      <w:r w:rsidR="00704373" w:rsidRPr="00327951">
        <w:rPr>
          <w:lang w:val="kk-KZ"/>
        </w:rPr>
        <w:t>(55%)</w:t>
      </w:r>
      <w:r w:rsidR="00327951">
        <w:rPr>
          <w:lang w:val="kk-KZ"/>
        </w:rPr>
        <w:t xml:space="preserve"> атап өтеді</w:t>
      </w:r>
      <w:r w:rsidR="00704373" w:rsidRPr="00327951">
        <w:rPr>
          <w:lang w:val="kk-KZ"/>
        </w:rPr>
        <w:t>.</w:t>
      </w:r>
      <w:r w:rsidR="006216B4" w:rsidRPr="00327951">
        <w:rPr>
          <w:lang w:val="kk-KZ"/>
        </w:rPr>
        <w:t xml:space="preserve">   </w:t>
      </w:r>
    </w:p>
    <w:p w:rsidR="00B123BC" w:rsidRPr="00327951" w:rsidRDefault="00327951" w:rsidP="00327951">
      <w:pPr>
        <w:ind w:firstLine="708"/>
        <w:jc w:val="both"/>
        <w:rPr>
          <w:lang w:val="kk-KZ"/>
        </w:rPr>
      </w:pPr>
      <w:r>
        <w:rPr>
          <w:lang w:val="kk-KZ"/>
        </w:rPr>
        <w:t xml:space="preserve">2014 жылғы 4-тоқсанда банктер үшін өтімділік тәуекелі неғұрлым маңызды тәуекел </w:t>
      </w:r>
      <w:r w:rsidR="006A0D9B" w:rsidRPr="00327951">
        <w:rPr>
          <w:lang w:val="kk-KZ"/>
        </w:rPr>
        <w:t>(</w:t>
      </w:r>
      <w:r w:rsidR="00167842" w:rsidRPr="00327951">
        <w:rPr>
          <w:lang w:val="kk-KZ"/>
        </w:rPr>
        <w:t>7</w:t>
      </w:r>
      <w:r>
        <w:rPr>
          <w:lang w:val="kk-KZ"/>
        </w:rPr>
        <w:t>-</w:t>
      </w:r>
      <w:r w:rsidRPr="00327951">
        <w:rPr>
          <w:lang w:val="kk-KZ"/>
        </w:rPr>
        <w:t>диаграмма</w:t>
      </w:r>
      <w:r w:rsidR="006A0D9B" w:rsidRPr="00327951">
        <w:rPr>
          <w:lang w:val="kk-KZ"/>
        </w:rPr>
        <w:t>)</w:t>
      </w:r>
      <w:r>
        <w:rPr>
          <w:lang w:val="kk-KZ"/>
        </w:rPr>
        <w:t xml:space="preserve"> болды</w:t>
      </w:r>
      <w:r w:rsidR="008E7E1A" w:rsidRPr="00327951">
        <w:rPr>
          <w:lang w:val="kk-KZ"/>
        </w:rPr>
        <w:t>.</w:t>
      </w:r>
      <w:r>
        <w:rPr>
          <w:lang w:val="kk-KZ"/>
        </w:rPr>
        <w:t xml:space="preserve"> Өтімділік тәуекелі маңыздылығының өсуін респонденттердің жалпы санының </w:t>
      </w:r>
      <w:r w:rsidR="008E7E1A" w:rsidRPr="00327951">
        <w:rPr>
          <w:lang w:val="kk-KZ"/>
        </w:rPr>
        <w:t>35%</w:t>
      </w:r>
      <w:r>
        <w:rPr>
          <w:lang w:val="kk-KZ"/>
        </w:rPr>
        <w:t>-ы</w:t>
      </w:r>
      <w:r w:rsidR="008E7E1A" w:rsidRPr="00327951">
        <w:rPr>
          <w:lang w:val="kk-KZ"/>
        </w:rPr>
        <w:t xml:space="preserve">, </w:t>
      </w:r>
      <w:r>
        <w:rPr>
          <w:lang w:val="kk-KZ"/>
        </w:rPr>
        <w:t xml:space="preserve">кредиттік және валюта тәуекелдерінің маңыздылығын </w:t>
      </w:r>
      <w:r w:rsidR="00B123BC" w:rsidRPr="00327951">
        <w:rPr>
          <w:lang w:val="kk-KZ"/>
        </w:rPr>
        <w:t>респондент</w:t>
      </w:r>
      <w:r>
        <w:rPr>
          <w:lang w:val="kk-KZ"/>
        </w:rPr>
        <w:t xml:space="preserve">тердің </w:t>
      </w:r>
      <w:r w:rsidRPr="00327951">
        <w:rPr>
          <w:lang w:val="kk-KZ"/>
        </w:rPr>
        <w:t>19%</w:t>
      </w:r>
      <w:r>
        <w:rPr>
          <w:lang w:val="kk-KZ"/>
        </w:rPr>
        <w:t>-ы</w:t>
      </w:r>
      <w:r w:rsidR="006A0D9B" w:rsidRPr="00327951">
        <w:rPr>
          <w:lang w:val="kk-KZ"/>
        </w:rPr>
        <w:t>,</w:t>
      </w:r>
      <w:r w:rsidR="00B123BC" w:rsidRPr="00327951">
        <w:rPr>
          <w:lang w:val="kk-KZ"/>
        </w:rPr>
        <w:t xml:space="preserve"> </w:t>
      </w:r>
      <w:r>
        <w:rPr>
          <w:lang w:val="kk-KZ"/>
        </w:rPr>
        <w:t xml:space="preserve">пайыздық тәуекелді банктердің </w:t>
      </w:r>
      <w:r w:rsidR="00B123BC" w:rsidRPr="00327951">
        <w:rPr>
          <w:lang w:val="kk-KZ"/>
        </w:rPr>
        <w:t>11%</w:t>
      </w:r>
      <w:r>
        <w:rPr>
          <w:lang w:val="kk-KZ"/>
        </w:rPr>
        <w:t>-ы атап өтті</w:t>
      </w:r>
      <w:r w:rsidR="00B123BC" w:rsidRPr="00327951">
        <w:rPr>
          <w:lang w:val="kk-KZ"/>
        </w:rPr>
        <w:t>.</w:t>
      </w:r>
    </w:p>
    <w:tbl>
      <w:tblPr>
        <w:tblpPr w:leftFromText="180" w:rightFromText="180" w:vertAnchor="text" w:horzAnchor="margin" w:tblpX="-68" w:tblpY="77"/>
        <w:tblOverlap w:val="never"/>
        <w:tblW w:w="0" w:type="auto"/>
        <w:tblLayout w:type="fixed"/>
        <w:tblLook w:val="04A0" w:firstRow="1" w:lastRow="0" w:firstColumn="1" w:lastColumn="0" w:noHBand="0" w:noVBand="1"/>
      </w:tblPr>
      <w:tblGrid>
        <w:gridCol w:w="9782"/>
      </w:tblGrid>
      <w:tr w:rsidR="00B123BC" w:rsidRPr="003669AA" w:rsidTr="00CC5386">
        <w:trPr>
          <w:trHeight w:val="160"/>
        </w:trPr>
        <w:tc>
          <w:tcPr>
            <w:tcW w:w="9782" w:type="dxa"/>
            <w:shd w:val="clear" w:color="auto" w:fill="auto"/>
          </w:tcPr>
          <w:p w:rsidR="00B123BC" w:rsidRPr="003669AA" w:rsidRDefault="000A1626" w:rsidP="002B131C">
            <w:pPr>
              <w:jc w:val="center"/>
              <w:rPr>
                <w:i/>
                <w:sz w:val="20"/>
                <w:szCs w:val="20"/>
              </w:rPr>
            </w:pPr>
            <w:r>
              <w:rPr>
                <w:b/>
                <w:sz w:val="20"/>
                <w:szCs w:val="20"/>
                <w:lang w:val="kk-KZ"/>
              </w:rPr>
              <w:t>7</w:t>
            </w:r>
            <w:r w:rsidRPr="0037032F">
              <w:rPr>
                <w:b/>
                <w:sz w:val="20"/>
                <w:szCs w:val="20"/>
                <w:lang w:val="kk-KZ"/>
              </w:rPr>
              <w:t>-диаграмма. Банктердің тәуекелдерді қабылдауы</w:t>
            </w:r>
          </w:p>
        </w:tc>
      </w:tr>
      <w:tr w:rsidR="00B123BC" w:rsidRPr="003669AA" w:rsidTr="00CC5386">
        <w:trPr>
          <w:trHeight w:val="2588"/>
        </w:trPr>
        <w:tc>
          <w:tcPr>
            <w:tcW w:w="9782" w:type="dxa"/>
            <w:shd w:val="clear" w:color="auto" w:fill="auto"/>
          </w:tcPr>
          <w:p w:rsidR="00B123BC" w:rsidRPr="003669AA" w:rsidRDefault="00CC5386" w:rsidP="005D2DF7">
            <w:pPr>
              <w:jc w:val="both"/>
              <w:rPr>
                <w:i/>
                <w:sz w:val="20"/>
                <w:szCs w:val="20"/>
              </w:rPr>
            </w:pPr>
            <w:r>
              <w:rPr>
                <w:noProof/>
              </w:rPr>
              <w:drawing>
                <wp:inline distT="0" distB="0" distL="0" distR="0" wp14:anchorId="2F85577D" wp14:editId="297A2D67">
                  <wp:extent cx="6049671" cy="2304288"/>
                  <wp:effectExtent l="0" t="0" r="8255" b="127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B123BC" w:rsidRPr="003669AA" w:rsidTr="00CC5386">
        <w:trPr>
          <w:trHeight w:val="66"/>
        </w:trPr>
        <w:tc>
          <w:tcPr>
            <w:tcW w:w="9782" w:type="dxa"/>
            <w:shd w:val="clear" w:color="auto" w:fill="auto"/>
          </w:tcPr>
          <w:p w:rsidR="00B123BC" w:rsidRPr="003669AA" w:rsidRDefault="00327951" w:rsidP="00327951">
            <w:pPr>
              <w:jc w:val="both"/>
              <w:rPr>
                <w:i/>
                <w:color w:val="000000"/>
                <w:sz w:val="18"/>
                <w:szCs w:val="18"/>
              </w:rPr>
            </w:pPr>
            <w:r>
              <w:rPr>
                <w:i/>
                <w:color w:val="000000"/>
                <w:sz w:val="18"/>
                <w:szCs w:val="18"/>
                <w:lang w:val="kk-KZ"/>
              </w:rPr>
              <w:t>Дерек көзі</w:t>
            </w:r>
            <w:r w:rsidR="00B123BC" w:rsidRPr="003669AA">
              <w:rPr>
                <w:i/>
                <w:color w:val="000000"/>
                <w:sz w:val="18"/>
                <w:szCs w:val="18"/>
              </w:rPr>
              <w:t xml:space="preserve">: </w:t>
            </w:r>
            <w:r>
              <w:rPr>
                <w:i/>
                <w:color w:val="000000"/>
                <w:sz w:val="18"/>
                <w:szCs w:val="18"/>
                <w:lang w:val="kk-KZ"/>
              </w:rPr>
              <w:t>ҚРҰБ</w:t>
            </w:r>
          </w:p>
        </w:tc>
      </w:tr>
    </w:tbl>
    <w:p w:rsidR="00E20F87" w:rsidRPr="00327951" w:rsidRDefault="00E20F87" w:rsidP="00B123BC">
      <w:pPr>
        <w:ind w:left="720"/>
        <w:jc w:val="both"/>
        <w:rPr>
          <w:sz w:val="16"/>
          <w:szCs w:val="16"/>
          <w:lang w:val="kk-KZ"/>
        </w:rPr>
      </w:pPr>
    </w:p>
    <w:sectPr w:rsidR="00E20F87" w:rsidRPr="00327951" w:rsidSect="00065B44">
      <w:footerReference w:type="even" r:id="rId16"/>
      <w:footerReference w:type="defaul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545" w:rsidRDefault="00726545" w:rsidP="00E524F9">
      <w:r>
        <w:separator/>
      </w:r>
    </w:p>
  </w:endnote>
  <w:endnote w:type="continuationSeparator" w:id="0">
    <w:p w:rsidR="00726545" w:rsidRDefault="00726545" w:rsidP="00E5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543" w:rsidRDefault="00732543" w:rsidP="00065B4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32543" w:rsidRDefault="00732543" w:rsidP="00065B4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543" w:rsidRDefault="00732543" w:rsidP="00065B4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ED785D">
      <w:rPr>
        <w:rStyle w:val="a8"/>
        <w:noProof/>
      </w:rPr>
      <w:t>1</w:t>
    </w:r>
    <w:r>
      <w:rPr>
        <w:rStyle w:val="a8"/>
      </w:rPr>
      <w:fldChar w:fldCharType="end"/>
    </w:r>
  </w:p>
  <w:p w:rsidR="00732543" w:rsidRDefault="00732543" w:rsidP="00065B4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545" w:rsidRDefault="00726545" w:rsidP="00E524F9">
      <w:r>
        <w:separator/>
      </w:r>
    </w:p>
  </w:footnote>
  <w:footnote w:type="continuationSeparator" w:id="0">
    <w:p w:rsidR="00726545" w:rsidRDefault="00726545" w:rsidP="00E524F9">
      <w:r>
        <w:continuationSeparator/>
      </w:r>
    </w:p>
  </w:footnote>
  <w:footnote w:id="1">
    <w:p w:rsidR="005A1734" w:rsidRPr="002B131C" w:rsidRDefault="005A1734" w:rsidP="00137D18">
      <w:pPr>
        <w:pStyle w:val="a3"/>
        <w:jc w:val="both"/>
        <w:rPr>
          <w:lang w:val="kk-KZ"/>
        </w:rPr>
      </w:pPr>
      <w:r>
        <w:rPr>
          <w:rStyle w:val="a5"/>
        </w:rPr>
        <w:footnoteRef/>
      </w:r>
      <w:r>
        <w:t xml:space="preserve"> </w:t>
      </w:r>
      <w:r w:rsidR="000A1626" w:rsidRPr="00FA5C40">
        <w:rPr>
          <w:i/>
          <w:sz w:val="16"/>
          <w:szCs w:val="16"/>
          <w:lang w:val="kk-KZ"/>
        </w:rPr>
        <w:t>Осы жерде және одан әрі диаграммалардағы нәтижелер респонденттер жауаптарының таза пайыздық өзгеруінің өзгерісі түрінде берілген, ол қандай да болмасын өлшемнің ұлғаюын/жұмсаруын белгілеген респонденттердің  %-ның және қандай да болмасын өлшемнің төмендеуін/қатаңдауын белгілеген респонденттердің %-ның айырмасы ретінде есептеледі.</w:t>
      </w:r>
      <w:r w:rsidR="000A1626" w:rsidRPr="00FA5C40">
        <w:rPr>
          <w:lang w:val="kk-KZ"/>
        </w:rPr>
        <w:t xml:space="preserve"> </w:t>
      </w:r>
      <w:r w:rsidR="002B131C" w:rsidRPr="00FA5C40">
        <w:rPr>
          <w:b/>
          <w:i/>
          <w:sz w:val="16"/>
          <w:szCs w:val="16"/>
          <w:lang w:val="kk-KZ"/>
        </w:rPr>
        <w:t>0</w:t>
      </w:r>
      <w:r w:rsidR="002B131C">
        <w:rPr>
          <w:b/>
          <w:i/>
          <w:sz w:val="16"/>
          <w:szCs w:val="16"/>
          <w:lang w:val="kk-KZ"/>
        </w:rPr>
        <w:t xml:space="preserve">-ден </w:t>
      </w:r>
      <w:r w:rsidR="002B131C" w:rsidRPr="00FA5C40">
        <w:rPr>
          <w:b/>
          <w:i/>
          <w:sz w:val="16"/>
          <w:szCs w:val="16"/>
          <w:lang w:val="kk-KZ"/>
        </w:rPr>
        <w:t xml:space="preserve">төмен </w:t>
      </w:r>
      <w:r w:rsidR="002B131C">
        <w:rPr>
          <w:b/>
          <w:i/>
          <w:sz w:val="16"/>
          <w:szCs w:val="16"/>
          <w:lang w:val="kk-KZ"/>
        </w:rPr>
        <w:t>м</w:t>
      </w:r>
      <w:r w:rsidR="000A1626" w:rsidRPr="00FA5C40">
        <w:rPr>
          <w:b/>
          <w:i/>
          <w:sz w:val="16"/>
          <w:szCs w:val="16"/>
          <w:lang w:val="kk-KZ"/>
        </w:rPr>
        <w:t>ән қандай да болмасын өлшемнің төмендеуі/қатаңдау</w:t>
      </w:r>
      <w:r w:rsidR="00137D18">
        <w:rPr>
          <w:b/>
          <w:i/>
          <w:sz w:val="16"/>
          <w:szCs w:val="16"/>
          <w:lang w:val="kk-KZ"/>
        </w:rPr>
        <w:t>н</w:t>
      </w:r>
      <w:r w:rsidR="000A1626" w:rsidRPr="00FA5C40">
        <w:rPr>
          <w:b/>
          <w:i/>
          <w:sz w:val="16"/>
          <w:szCs w:val="16"/>
          <w:lang w:val="kk-KZ"/>
        </w:rPr>
        <w:t xml:space="preserve">ы, </w:t>
      </w:r>
      <w:r w:rsidR="00137D18" w:rsidRPr="00FA5C40">
        <w:rPr>
          <w:b/>
          <w:i/>
          <w:sz w:val="16"/>
          <w:szCs w:val="16"/>
          <w:lang w:val="kk-KZ"/>
        </w:rPr>
        <w:t>0</w:t>
      </w:r>
      <w:r w:rsidR="00137D18">
        <w:rPr>
          <w:b/>
          <w:i/>
          <w:sz w:val="16"/>
          <w:szCs w:val="16"/>
          <w:lang w:val="kk-KZ"/>
        </w:rPr>
        <w:t xml:space="preserve">-ден </w:t>
      </w:r>
      <w:r w:rsidR="00137D18" w:rsidRPr="00FA5C40">
        <w:rPr>
          <w:b/>
          <w:i/>
          <w:sz w:val="16"/>
          <w:szCs w:val="16"/>
          <w:lang w:val="kk-KZ"/>
        </w:rPr>
        <w:t xml:space="preserve">жоғары </w:t>
      </w:r>
      <w:r w:rsidR="000A1626" w:rsidRPr="00FA5C40">
        <w:rPr>
          <w:b/>
          <w:i/>
          <w:sz w:val="16"/>
          <w:szCs w:val="16"/>
          <w:lang w:val="kk-KZ"/>
        </w:rPr>
        <w:t>қандай да болмасын өлшемнің жұмсаруы/ұлғаюы.</w:t>
      </w:r>
      <w:r w:rsidR="000A1626" w:rsidRPr="00FA5C40">
        <w:rPr>
          <w:lang w:val="kk-KZ"/>
        </w:rPr>
        <w:t xml:space="preserve"> </w:t>
      </w:r>
      <w:r w:rsidR="000A1626" w:rsidRPr="00FA5C40">
        <w:rPr>
          <w:i/>
          <w:sz w:val="16"/>
          <w:szCs w:val="16"/>
          <w:lang w:val="kk-KZ"/>
        </w:rPr>
        <w:t>Бұл жағдайда диаграммада кредит саясатының өзгеруі берілген.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95684"/>
    <w:multiLevelType w:val="hybridMultilevel"/>
    <w:tmpl w:val="536CCB9A"/>
    <w:lvl w:ilvl="0" w:tplc="30D4A610">
      <w:start w:val="1"/>
      <w:numFmt w:val="decimal"/>
      <w:lvlText w:val="%1."/>
      <w:lvlJc w:val="left"/>
      <w:pPr>
        <w:tabs>
          <w:tab w:val="num" w:pos="1800"/>
        </w:tabs>
        <w:ind w:left="1800" w:hanging="360"/>
      </w:pPr>
      <w:rPr>
        <w:rFonts w:hint="default"/>
        <w:b/>
        <w:sz w:val="24"/>
        <w:szCs w:val="24"/>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51FB4754"/>
    <w:multiLevelType w:val="hybridMultilevel"/>
    <w:tmpl w:val="D2A805DE"/>
    <w:lvl w:ilvl="0" w:tplc="D1EA87BE">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E997925"/>
    <w:multiLevelType w:val="hybridMultilevel"/>
    <w:tmpl w:val="8348029A"/>
    <w:lvl w:ilvl="0" w:tplc="AF189F10">
      <w:start w:val="1"/>
      <w:numFmt w:val="upperRoman"/>
      <w:lvlText w:val="%1."/>
      <w:lvlJc w:val="left"/>
      <w:pPr>
        <w:tabs>
          <w:tab w:val="num" w:pos="1425"/>
        </w:tabs>
        <w:ind w:left="1425" w:hanging="720"/>
      </w:pPr>
      <w:rPr>
        <w:rFonts w:hint="default"/>
      </w:rPr>
    </w:lvl>
    <w:lvl w:ilvl="1" w:tplc="D1EA87BE">
      <w:start w:val="1"/>
      <w:numFmt w:val="decimal"/>
      <w:lvlText w:val="%2."/>
      <w:lvlJc w:val="left"/>
      <w:pPr>
        <w:tabs>
          <w:tab w:val="num" w:pos="1785"/>
        </w:tabs>
        <w:ind w:left="1785" w:hanging="360"/>
      </w:pPr>
      <w:rPr>
        <w:rFonts w:hint="default"/>
        <w:b/>
      </w:rPr>
    </w:lvl>
    <w:lvl w:ilvl="2" w:tplc="0419001B" w:tentative="1">
      <w:start w:val="1"/>
      <w:numFmt w:val="lowerRoman"/>
      <w:lvlText w:val="%3."/>
      <w:lvlJc w:val="right"/>
      <w:pPr>
        <w:tabs>
          <w:tab w:val="num" w:pos="2505"/>
        </w:tabs>
        <w:ind w:left="2505" w:hanging="180"/>
      </w:pPr>
    </w:lvl>
    <w:lvl w:ilvl="3" w:tplc="D1EA87BE">
      <w:start w:val="1"/>
      <w:numFmt w:val="decimal"/>
      <w:lvlText w:val="%4."/>
      <w:lvlJc w:val="left"/>
      <w:pPr>
        <w:tabs>
          <w:tab w:val="num" w:pos="1080"/>
        </w:tabs>
        <w:ind w:left="1080" w:hanging="360"/>
      </w:pPr>
      <w:rPr>
        <w:rFonts w:hint="default"/>
        <w:b/>
      </w:r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F9"/>
    <w:rsid w:val="00000488"/>
    <w:rsid w:val="000008B7"/>
    <w:rsid w:val="00001966"/>
    <w:rsid w:val="000055DB"/>
    <w:rsid w:val="00006CC8"/>
    <w:rsid w:val="00007BBF"/>
    <w:rsid w:val="000139E2"/>
    <w:rsid w:val="000140CD"/>
    <w:rsid w:val="00017CE9"/>
    <w:rsid w:val="00021F93"/>
    <w:rsid w:val="0002260A"/>
    <w:rsid w:val="0002418A"/>
    <w:rsid w:val="000253A0"/>
    <w:rsid w:val="00025726"/>
    <w:rsid w:val="000272D4"/>
    <w:rsid w:val="000307FF"/>
    <w:rsid w:val="00033635"/>
    <w:rsid w:val="00041C61"/>
    <w:rsid w:val="00043129"/>
    <w:rsid w:val="00043819"/>
    <w:rsid w:val="00044DBC"/>
    <w:rsid w:val="0004538E"/>
    <w:rsid w:val="000465E3"/>
    <w:rsid w:val="000501D4"/>
    <w:rsid w:val="000528B7"/>
    <w:rsid w:val="0006098A"/>
    <w:rsid w:val="00060D46"/>
    <w:rsid w:val="000610A5"/>
    <w:rsid w:val="00061C3A"/>
    <w:rsid w:val="00063DC1"/>
    <w:rsid w:val="00065288"/>
    <w:rsid w:val="00065B44"/>
    <w:rsid w:val="00067090"/>
    <w:rsid w:val="00067669"/>
    <w:rsid w:val="00071878"/>
    <w:rsid w:val="00073A6C"/>
    <w:rsid w:val="00075B4D"/>
    <w:rsid w:val="00075ECA"/>
    <w:rsid w:val="00080AB6"/>
    <w:rsid w:val="000817E4"/>
    <w:rsid w:val="00081B9B"/>
    <w:rsid w:val="00082606"/>
    <w:rsid w:val="00084357"/>
    <w:rsid w:val="00085B3F"/>
    <w:rsid w:val="0008640C"/>
    <w:rsid w:val="00092928"/>
    <w:rsid w:val="00092968"/>
    <w:rsid w:val="00095DCF"/>
    <w:rsid w:val="00097529"/>
    <w:rsid w:val="000A07F9"/>
    <w:rsid w:val="000A1626"/>
    <w:rsid w:val="000A69B3"/>
    <w:rsid w:val="000A7070"/>
    <w:rsid w:val="000B062A"/>
    <w:rsid w:val="000B2485"/>
    <w:rsid w:val="000B63E8"/>
    <w:rsid w:val="000C285D"/>
    <w:rsid w:val="000C2F55"/>
    <w:rsid w:val="000C3355"/>
    <w:rsid w:val="000C4098"/>
    <w:rsid w:val="000C6ACB"/>
    <w:rsid w:val="000D10AB"/>
    <w:rsid w:val="000D2CB2"/>
    <w:rsid w:val="000D5430"/>
    <w:rsid w:val="000D5C8D"/>
    <w:rsid w:val="000D5FCE"/>
    <w:rsid w:val="000D6CBE"/>
    <w:rsid w:val="000D7BB4"/>
    <w:rsid w:val="000D7D96"/>
    <w:rsid w:val="000D7E87"/>
    <w:rsid w:val="000E23D6"/>
    <w:rsid w:val="000E2F45"/>
    <w:rsid w:val="000E36B5"/>
    <w:rsid w:val="000E5116"/>
    <w:rsid w:val="000F197C"/>
    <w:rsid w:val="000F25B3"/>
    <w:rsid w:val="000F48F4"/>
    <w:rsid w:val="000F7A90"/>
    <w:rsid w:val="00101E5F"/>
    <w:rsid w:val="00102B8B"/>
    <w:rsid w:val="001051AB"/>
    <w:rsid w:val="001103DB"/>
    <w:rsid w:val="001143FE"/>
    <w:rsid w:val="00114BCF"/>
    <w:rsid w:val="0011649F"/>
    <w:rsid w:val="001164C7"/>
    <w:rsid w:val="0012031B"/>
    <w:rsid w:val="00120373"/>
    <w:rsid w:val="00121D7D"/>
    <w:rsid w:val="0012339E"/>
    <w:rsid w:val="0012542E"/>
    <w:rsid w:val="00125F20"/>
    <w:rsid w:val="001263B8"/>
    <w:rsid w:val="001264F8"/>
    <w:rsid w:val="00127F8C"/>
    <w:rsid w:val="0013347B"/>
    <w:rsid w:val="00134945"/>
    <w:rsid w:val="00134E23"/>
    <w:rsid w:val="00136DE9"/>
    <w:rsid w:val="00137D18"/>
    <w:rsid w:val="00142877"/>
    <w:rsid w:val="00142A17"/>
    <w:rsid w:val="00143157"/>
    <w:rsid w:val="00146E68"/>
    <w:rsid w:val="00151677"/>
    <w:rsid w:val="00151A57"/>
    <w:rsid w:val="001568E2"/>
    <w:rsid w:val="001573FD"/>
    <w:rsid w:val="00163B9F"/>
    <w:rsid w:val="00163F9F"/>
    <w:rsid w:val="00167842"/>
    <w:rsid w:val="001737C8"/>
    <w:rsid w:val="00175EFD"/>
    <w:rsid w:val="00180A82"/>
    <w:rsid w:val="00181393"/>
    <w:rsid w:val="001848D3"/>
    <w:rsid w:val="001851CF"/>
    <w:rsid w:val="0018520A"/>
    <w:rsid w:val="00186324"/>
    <w:rsid w:val="00186345"/>
    <w:rsid w:val="00191688"/>
    <w:rsid w:val="0019220C"/>
    <w:rsid w:val="0019399D"/>
    <w:rsid w:val="00194337"/>
    <w:rsid w:val="00194C82"/>
    <w:rsid w:val="001A1E94"/>
    <w:rsid w:val="001A2543"/>
    <w:rsid w:val="001A2887"/>
    <w:rsid w:val="001A3B24"/>
    <w:rsid w:val="001A5E41"/>
    <w:rsid w:val="001A6170"/>
    <w:rsid w:val="001A6D96"/>
    <w:rsid w:val="001A73E1"/>
    <w:rsid w:val="001B0742"/>
    <w:rsid w:val="001B0DF7"/>
    <w:rsid w:val="001B5EC2"/>
    <w:rsid w:val="001C2F9B"/>
    <w:rsid w:val="001C5CA7"/>
    <w:rsid w:val="001C7C2E"/>
    <w:rsid w:val="001D194C"/>
    <w:rsid w:val="001D2285"/>
    <w:rsid w:val="001D344F"/>
    <w:rsid w:val="001D4A75"/>
    <w:rsid w:val="001D50E9"/>
    <w:rsid w:val="001D6F55"/>
    <w:rsid w:val="001D77DE"/>
    <w:rsid w:val="001D7932"/>
    <w:rsid w:val="001E06FA"/>
    <w:rsid w:val="001E2E22"/>
    <w:rsid w:val="001E41CC"/>
    <w:rsid w:val="001E4AE3"/>
    <w:rsid w:val="001E57ED"/>
    <w:rsid w:val="001E7CDA"/>
    <w:rsid w:val="001F00E0"/>
    <w:rsid w:val="001F1A47"/>
    <w:rsid w:val="001F31FA"/>
    <w:rsid w:val="001F33CD"/>
    <w:rsid w:val="001F384F"/>
    <w:rsid w:val="001F39E5"/>
    <w:rsid w:val="001F556A"/>
    <w:rsid w:val="001F7470"/>
    <w:rsid w:val="0020054C"/>
    <w:rsid w:val="002019D8"/>
    <w:rsid w:val="00205A92"/>
    <w:rsid w:val="002118E9"/>
    <w:rsid w:val="00212401"/>
    <w:rsid w:val="0021309B"/>
    <w:rsid w:val="00214B73"/>
    <w:rsid w:val="00214CD1"/>
    <w:rsid w:val="0021658F"/>
    <w:rsid w:val="00217349"/>
    <w:rsid w:val="002202F6"/>
    <w:rsid w:val="002234AF"/>
    <w:rsid w:val="00226474"/>
    <w:rsid w:val="00230A40"/>
    <w:rsid w:val="00233720"/>
    <w:rsid w:val="00236E6A"/>
    <w:rsid w:val="00237266"/>
    <w:rsid w:val="002372C4"/>
    <w:rsid w:val="00241BC2"/>
    <w:rsid w:val="0024298F"/>
    <w:rsid w:val="002430A5"/>
    <w:rsid w:val="00244645"/>
    <w:rsid w:val="0024523A"/>
    <w:rsid w:val="00250084"/>
    <w:rsid w:val="00254AF4"/>
    <w:rsid w:val="0025632B"/>
    <w:rsid w:val="0025635D"/>
    <w:rsid w:val="002565A9"/>
    <w:rsid w:val="002602C2"/>
    <w:rsid w:val="0027233D"/>
    <w:rsid w:val="0027480E"/>
    <w:rsid w:val="00274EB1"/>
    <w:rsid w:val="002768CF"/>
    <w:rsid w:val="0028046E"/>
    <w:rsid w:val="00280CE4"/>
    <w:rsid w:val="00281295"/>
    <w:rsid w:val="002814C5"/>
    <w:rsid w:val="00281F13"/>
    <w:rsid w:val="00283B29"/>
    <w:rsid w:val="00291222"/>
    <w:rsid w:val="002924AB"/>
    <w:rsid w:val="00292F85"/>
    <w:rsid w:val="002A0DD5"/>
    <w:rsid w:val="002A4AEE"/>
    <w:rsid w:val="002A4B4B"/>
    <w:rsid w:val="002A7050"/>
    <w:rsid w:val="002B131C"/>
    <w:rsid w:val="002B2B19"/>
    <w:rsid w:val="002B3C66"/>
    <w:rsid w:val="002B468C"/>
    <w:rsid w:val="002B540F"/>
    <w:rsid w:val="002B604B"/>
    <w:rsid w:val="002C1A58"/>
    <w:rsid w:val="002C2D0F"/>
    <w:rsid w:val="002C626F"/>
    <w:rsid w:val="002D0854"/>
    <w:rsid w:val="002D2A0C"/>
    <w:rsid w:val="002D2E8A"/>
    <w:rsid w:val="002D5E08"/>
    <w:rsid w:val="002D7657"/>
    <w:rsid w:val="002E14D7"/>
    <w:rsid w:val="002E2960"/>
    <w:rsid w:val="002E3017"/>
    <w:rsid w:val="002E4A49"/>
    <w:rsid w:val="002E5A30"/>
    <w:rsid w:val="002E6FF3"/>
    <w:rsid w:val="002F10FA"/>
    <w:rsid w:val="002F31B8"/>
    <w:rsid w:val="002F3C4A"/>
    <w:rsid w:val="00301C0D"/>
    <w:rsid w:val="0030211C"/>
    <w:rsid w:val="003101CD"/>
    <w:rsid w:val="00310FBB"/>
    <w:rsid w:val="0031191D"/>
    <w:rsid w:val="00312CCE"/>
    <w:rsid w:val="003137D0"/>
    <w:rsid w:val="00313BC4"/>
    <w:rsid w:val="00316E35"/>
    <w:rsid w:val="00320853"/>
    <w:rsid w:val="00324A07"/>
    <w:rsid w:val="00327951"/>
    <w:rsid w:val="003317D0"/>
    <w:rsid w:val="00332505"/>
    <w:rsid w:val="0033409D"/>
    <w:rsid w:val="003340CC"/>
    <w:rsid w:val="00335887"/>
    <w:rsid w:val="00335E1F"/>
    <w:rsid w:val="003424A0"/>
    <w:rsid w:val="00347D3B"/>
    <w:rsid w:val="00350486"/>
    <w:rsid w:val="0035093D"/>
    <w:rsid w:val="003510C9"/>
    <w:rsid w:val="0035371B"/>
    <w:rsid w:val="003543FD"/>
    <w:rsid w:val="0035462D"/>
    <w:rsid w:val="00354AFD"/>
    <w:rsid w:val="00354CF8"/>
    <w:rsid w:val="003627BD"/>
    <w:rsid w:val="00362DA2"/>
    <w:rsid w:val="003732F5"/>
    <w:rsid w:val="003745B4"/>
    <w:rsid w:val="00374B38"/>
    <w:rsid w:val="00377277"/>
    <w:rsid w:val="003819E0"/>
    <w:rsid w:val="003849CE"/>
    <w:rsid w:val="00385411"/>
    <w:rsid w:val="003856AA"/>
    <w:rsid w:val="00387082"/>
    <w:rsid w:val="00390291"/>
    <w:rsid w:val="00395ED1"/>
    <w:rsid w:val="00396FA4"/>
    <w:rsid w:val="003A3059"/>
    <w:rsid w:val="003A3724"/>
    <w:rsid w:val="003A3A3F"/>
    <w:rsid w:val="003A6BD9"/>
    <w:rsid w:val="003B23FC"/>
    <w:rsid w:val="003B2464"/>
    <w:rsid w:val="003B7081"/>
    <w:rsid w:val="003C018D"/>
    <w:rsid w:val="003C01AB"/>
    <w:rsid w:val="003C2471"/>
    <w:rsid w:val="003C6334"/>
    <w:rsid w:val="003C65D0"/>
    <w:rsid w:val="003C73D7"/>
    <w:rsid w:val="003D0816"/>
    <w:rsid w:val="003D46F3"/>
    <w:rsid w:val="003D4D62"/>
    <w:rsid w:val="003E10C4"/>
    <w:rsid w:val="003E17E9"/>
    <w:rsid w:val="003E588F"/>
    <w:rsid w:val="003E636B"/>
    <w:rsid w:val="003E6C42"/>
    <w:rsid w:val="003E7035"/>
    <w:rsid w:val="003E7B8C"/>
    <w:rsid w:val="003F03B0"/>
    <w:rsid w:val="003F061F"/>
    <w:rsid w:val="003F0D4D"/>
    <w:rsid w:val="003F2447"/>
    <w:rsid w:val="003F4812"/>
    <w:rsid w:val="003F6103"/>
    <w:rsid w:val="003F6450"/>
    <w:rsid w:val="003F6EB0"/>
    <w:rsid w:val="003F6FAB"/>
    <w:rsid w:val="00405024"/>
    <w:rsid w:val="00410870"/>
    <w:rsid w:val="00414EBC"/>
    <w:rsid w:val="00416C1B"/>
    <w:rsid w:val="00417394"/>
    <w:rsid w:val="00417792"/>
    <w:rsid w:val="00420AC4"/>
    <w:rsid w:val="004230CF"/>
    <w:rsid w:val="00423B07"/>
    <w:rsid w:val="00423F4B"/>
    <w:rsid w:val="004246E4"/>
    <w:rsid w:val="00425C8D"/>
    <w:rsid w:val="0042636A"/>
    <w:rsid w:val="00432060"/>
    <w:rsid w:val="004343DE"/>
    <w:rsid w:val="00434423"/>
    <w:rsid w:val="00435434"/>
    <w:rsid w:val="00440F7F"/>
    <w:rsid w:val="004414DB"/>
    <w:rsid w:val="00446B5E"/>
    <w:rsid w:val="00446CC4"/>
    <w:rsid w:val="0045024C"/>
    <w:rsid w:val="0045171F"/>
    <w:rsid w:val="004518EE"/>
    <w:rsid w:val="0045514E"/>
    <w:rsid w:val="00456FD0"/>
    <w:rsid w:val="00460455"/>
    <w:rsid w:val="00460D80"/>
    <w:rsid w:val="00462DDF"/>
    <w:rsid w:val="00463710"/>
    <w:rsid w:val="00463C3C"/>
    <w:rsid w:val="004666D1"/>
    <w:rsid w:val="0046771A"/>
    <w:rsid w:val="0047096B"/>
    <w:rsid w:val="00471C08"/>
    <w:rsid w:val="00473904"/>
    <w:rsid w:val="0047486D"/>
    <w:rsid w:val="00474974"/>
    <w:rsid w:val="0047588D"/>
    <w:rsid w:val="00475AC0"/>
    <w:rsid w:val="00475E62"/>
    <w:rsid w:val="004762BD"/>
    <w:rsid w:val="00477622"/>
    <w:rsid w:val="00477B3E"/>
    <w:rsid w:val="004800C2"/>
    <w:rsid w:val="00480C3D"/>
    <w:rsid w:val="004820A5"/>
    <w:rsid w:val="00486CEA"/>
    <w:rsid w:val="004871E3"/>
    <w:rsid w:val="0048751C"/>
    <w:rsid w:val="00487C6D"/>
    <w:rsid w:val="004935A4"/>
    <w:rsid w:val="004967FF"/>
    <w:rsid w:val="004A0B81"/>
    <w:rsid w:val="004A15F2"/>
    <w:rsid w:val="004A30F1"/>
    <w:rsid w:val="004A40DB"/>
    <w:rsid w:val="004A4A94"/>
    <w:rsid w:val="004A68F0"/>
    <w:rsid w:val="004B0B55"/>
    <w:rsid w:val="004B11B0"/>
    <w:rsid w:val="004B120E"/>
    <w:rsid w:val="004B24A1"/>
    <w:rsid w:val="004B262A"/>
    <w:rsid w:val="004B4CD9"/>
    <w:rsid w:val="004B4D33"/>
    <w:rsid w:val="004B7839"/>
    <w:rsid w:val="004C483A"/>
    <w:rsid w:val="004C4D88"/>
    <w:rsid w:val="004C6304"/>
    <w:rsid w:val="004C72BD"/>
    <w:rsid w:val="004D03DA"/>
    <w:rsid w:val="004D5AE5"/>
    <w:rsid w:val="004D6835"/>
    <w:rsid w:val="004D6958"/>
    <w:rsid w:val="004E07CD"/>
    <w:rsid w:val="004E15E1"/>
    <w:rsid w:val="004E34FE"/>
    <w:rsid w:val="004E4B7A"/>
    <w:rsid w:val="004E4BA7"/>
    <w:rsid w:val="004E5A30"/>
    <w:rsid w:val="004E5BFB"/>
    <w:rsid w:val="004E6AC5"/>
    <w:rsid w:val="004F1537"/>
    <w:rsid w:val="004F5904"/>
    <w:rsid w:val="004F5998"/>
    <w:rsid w:val="004F5E3E"/>
    <w:rsid w:val="00510805"/>
    <w:rsid w:val="00510EFB"/>
    <w:rsid w:val="00511744"/>
    <w:rsid w:val="0051288C"/>
    <w:rsid w:val="00512E50"/>
    <w:rsid w:val="00517BF1"/>
    <w:rsid w:val="0052583C"/>
    <w:rsid w:val="00526EC6"/>
    <w:rsid w:val="005276C1"/>
    <w:rsid w:val="00532697"/>
    <w:rsid w:val="005356CF"/>
    <w:rsid w:val="00536696"/>
    <w:rsid w:val="0053703B"/>
    <w:rsid w:val="0053735B"/>
    <w:rsid w:val="0054037E"/>
    <w:rsid w:val="005413E0"/>
    <w:rsid w:val="00541B8F"/>
    <w:rsid w:val="005439C0"/>
    <w:rsid w:val="00543EA2"/>
    <w:rsid w:val="0054605E"/>
    <w:rsid w:val="005533EF"/>
    <w:rsid w:val="0055395B"/>
    <w:rsid w:val="00554C73"/>
    <w:rsid w:val="00557C22"/>
    <w:rsid w:val="005615FC"/>
    <w:rsid w:val="00562F19"/>
    <w:rsid w:val="005710DD"/>
    <w:rsid w:val="00574F3C"/>
    <w:rsid w:val="00574F59"/>
    <w:rsid w:val="00577845"/>
    <w:rsid w:val="00577E0C"/>
    <w:rsid w:val="00582D9C"/>
    <w:rsid w:val="005851D5"/>
    <w:rsid w:val="00591883"/>
    <w:rsid w:val="0059486D"/>
    <w:rsid w:val="005A1734"/>
    <w:rsid w:val="005A2E5D"/>
    <w:rsid w:val="005A5D8A"/>
    <w:rsid w:val="005A6DC8"/>
    <w:rsid w:val="005B5440"/>
    <w:rsid w:val="005B68F0"/>
    <w:rsid w:val="005C01F1"/>
    <w:rsid w:val="005C0CA0"/>
    <w:rsid w:val="005C1C2E"/>
    <w:rsid w:val="005C1F20"/>
    <w:rsid w:val="005C546B"/>
    <w:rsid w:val="005D0345"/>
    <w:rsid w:val="005D1E45"/>
    <w:rsid w:val="005D22C1"/>
    <w:rsid w:val="005D276F"/>
    <w:rsid w:val="005D2DF7"/>
    <w:rsid w:val="005D527F"/>
    <w:rsid w:val="005E0F29"/>
    <w:rsid w:val="005E0FB3"/>
    <w:rsid w:val="005E1C68"/>
    <w:rsid w:val="005E2C86"/>
    <w:rsid w:val="005E2F09"/>
    <w:rsid w:val="005E2FB4"/>
    <w:rsid w:val="005E3394"/>
    <w:rsid w:val="005E3D9E"/>
    <w:rsid w:val="005E4D37"/>
    <w:rsid w:val="005E66F2"/>
    <w:rsid w:val="005F0A11"/>
    <w:rsid w:val="005F2303"/>
    <w:rsid w:val="005F42CE"/>
    <w:rsid w:val="005F444D"/>
    <w:rsid w:val="005F4946"/>
    <w:rsid w:val="005F4CF5"/>
    <w:rsid w:val="005F70C4"/>
    <w:rsid w:val="00600B18"/>
    <w:rsid w:val="006032B1"/>
    <w:rsid w:val="0060743F"/>
    <w:rsid w:val="00607D91"/>
    <w:rsid w:val="00615F94"/>
    <w:rsid w:val="00616FF2"/>
    <w:rsid w:val="00617C0E"/>
    <w:rsid w:val="00617EF0"/>
    <w:rsid w:val="00620C91"/>
    <w:rsid w:val="006216B4"/>
    <w:rsid w:val="00621F87"/>
    <w:rsid w:val="0062235E"/>
    <w:rsid w:val="0062413E"/>
    <w:rsid w:val="00624CF9"/>
    <w:rsid w:val="00627D2E"/>
    <w:rsid w:val="00631C35"/>
    <w:rsid w:val="00631CE0"/>
    <w:rsid w:val="006338EE"/>
    <w:rsid w:val="006401BB"/>
    <w:rsid w:val="00640A53"/>
    <w:rsid w:val="00642E23"/>
    <w:rsid w:val="006455C0"/>
    <w:rsid w:val="0064707C"/>
    <w:rsid w:val="00647956"/>
    <w:rsid w:val="00650853"/>
    <w:rsid w:val="00652F40"/>
    <w:rsid w:val="00653BC8"/>
    <w:rsid w:val="00653C3E"/>
    <w:rsid w:val="00657531"/>
    <w:rsid w:val="00657973"/>
    <w:rsid w:val="006579DB"/>
    <w:rsid w:val="00657ED3"/>
    <w:rsid w:val="00660914"/>
    <w:rsid w:val="00661330"/>
    <w:rsid w:val="00661F49"/>
    <w:rsid w:val="00670AEA"/>
    <w:rsid w:val="00671CD5"/>
    <w:rsid w:val="00674742"/>
    <w:rsid w:val="00681262"/>
    <w:rsid w:val="00682DCD"/>
    <w:rsid w:val="00687011"/>
    <w:rsid w:val="0069364D"/>
    <w:rsid w:val="006943FD"/>
    <w:rsid w:val="00695CA4"/>
    <w:rsid w:val="00696BDC"/>
    <w:rsid w:val="006A0CD5"/>
    <w:rsid w:val="006A0D9B"/>
    <w:rsid w:val="006A2438"/>
    <w:rsid w:val="006A559A"/>
    <w:rsid w:val="006A5FED"/>
    <w:rsid w:val="006A72A2"/>
    <w:rsid w:val="006B125E"/>
    <w:rsid w:val="006B1E21"/>
    <w:rsid w:val="006B4EE8"/>
    <w:rsid w:val="006B5488"/>
    <w:rsid w:val="006B5493"/>
    <w:rsid w:val="006C51CD"/>
    <w:rsid w:val="006C559A"/>
    <w:rsid w:val="006C6477"/>
    <w:rsid w:val="006D07DC"/>
    <w:rsid w:val="006D4BAA"/>
    <w:rsid w:val="006D54A7"/>
    <w:rsid w:val="006D5D29"/>
    <w:rsid w:val="006D6AC3"/>
    <w:rsid w:val="006D7AE9"/>
    <w:rsid w:val="006E0A6A"/>
    <w:rsid w:val="006E4553"/>
    <w:rsid w:val="006E6311"/>
    <w:rsid w:val="006E7D22"/>
    <w:rsid w:val="006F040A"/>
    <w:rsid w:val="006F0613"/>
    <w:rsid w:val="006F3885"/>
    <w:rsid w:val="006F3B8E"/>
    <w:rsid w:val="006F6402"/>
    <w:rsid w:val="006F71B3"/>
    <w:rsid w:val="006F75F0"/>
    <w:rsid w:val="007015CA"/>
    <w:rsid w:val="00703B26"/>
    <w:rsid w:val="00704373"/>
    <w:rsid w:val="007071C9"/>
    <w:rsid w:val="0071534C"/>
    <w:rsid w:val="00716CA6"/>
    <w:rsid w:val="007178F3"/>
    <w:rsid w:val="00717E9B"/>
    <w:rsid w:val="0072030B"/>
    <w:rsid w:val="007225FA"/>
    <w:rsid w:val="0072637F"/>
    <w:rsid w:val="00726545"/>
    <w:rsid w:val="007304CF"/>
    <w:rsid w:val="00732543"/>
    <w:rsid w:val="007325AC"/>
    <w:rsid w:val="00740062"/>
    <w:rsid w:val="00740FA2"/>
    <w:rsid w:val="007422C5"/>
    <w:rsid w:val="00742378"/>
    <w:rsid w:val="00744D75"/>
    <w:rsid w:val="00745CC8"/>
    <w:rsid w:val="0075129D"/>
    <w:rsid w:val="00751FF0"/>
    <w:rsid w:val="00756B2C"/>
    <w:rsid w:val="00760F9B"/>
    <w:rsid w:val="00762030"/>
    <w:rsid w:val="007638B3"/>
    <w:rsid w:val="00766203"/>
    <w:rsid w:val="007744FE"/>
    <w:rsid w:val="007747D5"/>
    <w:rsid w:val="00775952"/>
    <w:rsid w:val="00780B82"/>
    <w:rsid w:val="00780C6F"/>
    <w:rsid w:val="00783A86"/>
    <w:rsid w:val="00784370"/>
    <w:rsid w:val="007853F0"/>
    <w:rsid w:val="00785A33"/>
    <w:rsid w:val="007906D9"/>
    <w:rsid w:val="007A69F0"/>
    <w:rsid w:val="007A73AF"/>
    <w:rsid w:val="007B31F2"/>
    <w:rsid w:val="007C0857"/>
    <w:rsid w:val="007C25BA"/>
    <w:rsid w:val="007C27CD"/>
    <w:rsid w:val="007C3E4D"/>
    <w:rsid w:val="007C6DA8"/>
    <w:rsid w:val="007C77B4"/>
    <w:rsid w:val="007C7B5E"/>
    <w:rsid w:val="007D0741"/>
    <w:rsid w:val="007D19BC"/>
    <w:rsid w:val="007D2399"/>
    <w:rsid w:val="007D321D"/>
    <w:rsid w:val="007D32F8"/>
    <w:rsid w:val="007D349A"/>
    <w:rsid w:val="007D6D06"/>
    <w:rsid w:val="007D7036"/>
    <w:rsid w:val="007D75A6"/>
    <w:rsid w:val="007E1FA5"/>
    <w:rsid w:val="007E2964"/>
    <w:rsid w:val="007E4F71"/>
    <w:rsid w:val="007F0C94"/>
    <w:rsid w:val="007F7A4D"/>
    <w:rsid w:val="007F7C2D"/>
    <w:rsid w:val="008051F6"/>
    <w:rsid w:val="008108BE"/>
    <w:rsid w:val="00821BD0"/>
    <w:rsid w:val="0082321D"/>
    <w:rsid w:val="00824465"/>
    <w:rsid w:val="00824B52"/>
    <w:rsid w:val="00824E78"/>
    <w:rsid w:val="0082669F"/>
    <w:rsid w:val="008275BE"/>
    <w:rsid w:val="00827761"/>
    <w:rsid w:val="00827EC2"/>
    <w:rsid w:val="00830C86"/>
    <w:rsid w:val="00833A56"/>
    <w:rsid w:val="00836A3A"/>
    <w:rsid w:val="00836B3E"/>
    <w:rsid w:val="008372F8"/>
    <w:rsid w:val="008424DD"/>
    <w:rsid w:val="00842B6C"/>
    <w:rsid w:val="00844B54"/>
    <w:rsid w:val="00846ECE"/>
    <w:rsid w:val="00847212"/>
    <w:rsid w:val="008475FF"/>
    <w:rsid w:val="0085446C"/>
    <w:rsid w:val="0086158D"/>
    <w:rsid w:val="00861CF7"/>
    <w:rsid w:val="00862906"/>
    <w:rsid w:val="00862BF5"/>
    <w:rsid w:val="00864C40"/>
    <w:rsid w:val="00865D4F"/>
    <w:rsid w:val="008661BD"/>
    <w:rsid w:val="00872963"/>
    <w:rsid w:val="00872F82"/>
    <w:rsid w:val="008760FD"/>
    <w:rsid w:val="00877DB9"/>
    <w:rsid w:val="008832FD"/>
    <w:rsid w:val="00891463"/>
    <w:rsid w:val="008916ED"/>
    <w:rsid w:val="00891ED2"/>
    <w:rsid w:val="008944B5"/>
    <w:rsid w:val="00897C69"/>
    <w:rsid w:val="008A1876"/>
    <w:rsid w:val="008A1F40"/>
    <w:rsid w:val="008A585E"/>
    <w:rsid w:val="008A6F2B"/>
    <w:rsid w:val="008B0040"/>
    <w:rsid w:val="008B239E"/>
    <w:rsid w:val="008B2454"/>
    <w:rsid w:val="008C0DAE"/>
    <w:rsid w:val="008C3276"/>
    <w:rsid w:val="008C46A4"/>
    <w:rsid w:val="008C5F8E"/>
    <w:rsid w:val="008C6AB4"/>
    <w:rsid w:val="008C6D0F"/>
    <w:rsid w:val="008D16F2"/>
    <w:rsid w:val="008D1B42"/>
    <w:rsid w:val="008D26E1"/>
    <w:rsid w:val="008D2ECF"/>
    <w:rsid w:val="008D4D6A"/>
    <w:rsid w:val="008D5115"/>
    <w:rsid w:val="008E3DB1"/>
    <w:rsid w:val="008E41E9"/>
    <w:rsid w:val="008E7E1A"/>
    <w:rsid w:val="008E7E95"/>
    <w:rsid w:val="008F3D6A"/>
    <w:rsid w:val="008F7292"/>
    <w:rsid w:val="008F7EE8"/>
    <w:rsid w:val="00900F0C"/>
    <w:rsid w:val="009013EF"/>
    <w:rsid w:val="009048FD"/>
    <w:rsid w:val="00904AB5"/>
    <w:rsid w:val="00910ADA"/>
    <w:rsid w:val="00911420"/>
    <w:rsid w:val="00913F45"/>
    <w:rsid w:val="009217BC"/>
    <w:rsid w:val="009244C3"/>
    <w:rsid w:val="00926F11"/>
    <w:rsid w:val="00931085"/>
    <w:rsid w:val="00934B72"/>
    <w:rsid w:val="00936BA9"/>
    <w:rsid w:val="00936F17"/>
    <w:rsid w:val="00940EF3"/>
    <w:rsid w:val="009426EA"/>
    <w:rsid w:val="00947CB4"/>
    <w:rsid w:val="00955DEA"/>
    <w:rsid w:val="00956863"/>
    <w:rsid w:val="0095795A"/>
    <w:rsid w:val="00967B6B"/>
    <w:rsid w:val="00970872"/>
    <w:rsid w:val="00973CB5"/>
    <w:rsid w:val="0098235A"/>
    <w:rsid w:val="00982A73"/>
    <w:rsid w:val="009867D3"/>
    <w:rsid w:val="009871DA"/>
    <w:rsid w:val="00987D3D"/>
    <w:rsid w:val="00990B27"/>
    <w:rsid w:val="0099342A"/>
    <w:rsid w:val="00993E2D"/>
    <w:rsid w:val="00994BB4"/>
    <w:rsid w:val="00995E98"/>
    <w:rsid w:val="00996CCE"/>
    <w:rsid w:val="009972A4"/>
    <w:rsid w:val="00997519"/>
    <w:rsid w:val="009A0CFF"/>
    <w:rsid w:val="009A4CFD"/>
    <w:rsid w:val="009A7238"/>
    <w:rsid w:val="009A7B84"/>
    <w:rsid w:val="009B0DF3"/>
    <w:rsid w:val="009B270C"/>
    <w:rsid w:val="009B3274"/>
    <w:rsid w:val="009B519C"/>
    <w:rsid w:val="009B672E"/>
    <w:rsid w:val="009C2EE7"/>
    <w:rsid w:val="009C3CCE"/>
    <w:rsid w:val="009C4B8E"/>
    <w:rsid w:val="009C5162"/>
    <w:rsid w:val="009C5DB7"/>
    <w:rsid w:val="009D0424"/>
    <w:rsid w:val="009D1E9C"/>
    <w:rsid w:val="009D30C7"/>
    <w:rsid w:val="009D37A1"/>
    <w:rsid w:val="009E01D3"/>
    <w:rsid w:val="009E2D51"/>
    <w:rsid w:val="009E490B"/>
    <w:rsid w:val="009E51B7"/>
    <w:rsid w:val="009E5335"/>
    <w:rsid w:val="009E6349"/>
    <w:rsid w:val="009E6CD4"/>
    <w:rsid w:val="009E7007"/>
    <w:rsid w:val="009E7D3A"/>
    <w:rsid w:val="009F01C2"/>
    <w:rsid w:val="009F2C58"/>
    <w:rsid w:val="009F4B82"/>
    <w:rsid w:val="009F5652"/>
    <w:rsid w:val="009F5DB6"/>
    <w:rsid w:val="009F6A99"/>
    <w:rsid w:val="00A01466"/>
    <w:rsid w:val="00A018E1"/>
    <w:rsid w:val="00A041CA"/>
    <w:rsid w:val="00A1187F"/>
    <w:rsid w:val="00A1679A"/>
    <w:rsid w:val="00A20E32"/>
    <w:rsid w:val="00A234BD"/>
    <w:rsid w:val="00A23AEF"/>
    <w:rsid w:val="00A25590"/>
    <w:rsid w:val="00A32244"/>
    <w:rsid w:val="00A33E14"/>
    <w:rsid w:val="00A35E50"/>
    <w:rsid w:val="00A40CE6"/>
    <w:rsid w:val="00A43D6E"/>
    <w:rsid w:val="00A44E97"/>
    <w:rsid w:val="00A45704"/>
    <w:rsid w:val="00A5008E"/>
    <w:rsid w:val="00A525D9"/>
    <w:rsid w:val="00A54D77"/>
    <w:rsid w:val="00A55D39"/>
    <w:rsid w:val="00A55F4D"/>
    <w:rsid w:val="00A56113"/>
    <w:rsid w:val="00A56B9E"/>
    <w:rsid w:val="00A57E96"/>
    <w:rsid w:val="00A607AF"/>
    <w:rsid w:val="00A625CA"/>
    <w:rsid w:val="00A62AC0"/>
    <w:rsid w:val="00A646A0"/>
    <w:rsid w:val="00A64F85"/>
    <w:rsid w:val="00A6591F"/>
    <w:rsid w:val="00A667D3"/>
    <w:rsid w:val="00A67334"/>
    <w:rsid w:val="00A67726"/>
    <w:rsid w:val="00A70001"/>
    <w:rsid w:val="00A70557"/>
    <w:rsid w:val="00A70D11"/>
    <w:rsid w:val="00A71FA2"/>
    <w:rsid w:val="00A72A75"/>
    <w:rsid w:val="00A7305F"/>
    <w:rsid w:val="00A73F78"/>
    <w:rsid w:val="00A762CF"/>
    <w:rsid w:val="00A83522"/>
    <w:rsid w:val="00A84187"/>
    <w:rsid w:val="00A84E87"/>
    <w:rsid w:val="00A90DE2"/>
    <w:rsid w:val="00A93EC0"/>
    <w:rsid w:val="00A958A8"/>
    <w:rsid w:val="00AA7400"/>
    <w:rsid w:val="00AA78E3"/>
    <w:rsid w:val="00AA7D1D"/>
    <w:rsid w:val="00AB08B2"/>
    <w:rsid w:val="00AB0CFF"/>
    <w:rsid w:val="00AB270E"/>
    <w:rsid w:val="00AB4060"/>
    <w:rsid w:val="00AB5019"/>
    <w:rsid w:val="00AB6328"/>
    <w:rsid w:val="00AC16ED"/>
    <w:rsid w:val="00AC1D0C"/>
    <w:rsid w:val="00AC7AF0"/>
    <w:rsid w:val="00AD132E"/>
    <w:rsid w:val="00AD1E4B"/>
    <w:rsid w:val="00AD20DC"/>
    <w:rsid w:val="00AD54B8"/>
    <w:rsid w:val="00AD54E0"/>
    <w:rsid w:val="00AD7259"/>
    <w:rsid w:val="00AE0DA8"/>
    <w:rsid w:val="00AE5782"/>
    <w:rsid w:val="00AE5C26"/>
    <w:rsid w:val="00AE6E58"/>
    <w:rsid w:val="00AE7320"/>
    <w:rsid w:val="00AF3680"/>
    <w:rsid w:val="00AF3B5B"/>
    <w:rsid w:val="00AF4AB6"/>
    <w:rsid w:val="00AF4D4C"/>
    <w:rsid w:val="00AF5832"/>
    <w:rsid w:val="00AF72B3"/>
    <w:rsid w:val="00AF793C"/>
    <w:rsid w:val="00B01921"/>
    <w:rsid w:val="00B024D4"/>
    <w:rsid w:val="00B045F4"/>
    <w:rsid w:val="00B05C1F"/>
    <w:rsid w:val="00B06A9A"/>
    <w:rsid w:val="00B06F11"/>
    <w:rsid w:val="00B123BC"/>
    <w:rsid w:val="00B13E08"/>
    <w:rsid w:val="00B17068"/>
    <w:rsid w:val="00B17A0F"/>
    <w:rsid w:val="00B204F7"/>
    <w:rsid w:val="00B247C2"/>
    <w:rsid w:val="00B307DF"/>
    <w:rsid w:val="00B30B72"/>
    <w:rsid w:val="00B324FE"/>
    <w:rsid w:val="00B35A32"/>
    <w:rsid w:val="00B41A93"/>
    <w:rsid w:val="00B42280"/>
    <w:rsid w:val="00B434A3"/>
    <w:rsid w:val="00B44EF4"/>
    <w:rsid w:val="00B4502C"/>
    <w:rsid w:val="00B47D1C"/>
    <w:rsid w:val="00B518FB"/>
    <w:rsid w:val="00B551BF"/>
    <w:rsid w:val="00B554E7"/>
    <w:rsid w:val="00B564A6"/>
    <w:rsid w:val="00B56563"/>
    <w:rsid w:val="00B57F55"/>
    <w:rsid w:val="00B60DBF"/>
    <w:rsid w:val="00B6242B"/>
    <w:rsid w:val="00B63210"/>
    <w:rsid w:val="00B648F3"/>
    <w:rsid w:val="00B6510E"/>
    <w:rsid w:val="00B6603A"/>
    <w:rsid w:val="00B66FDE"/>
    <w:rsid w:val="00B67876"/>
    <w:rsid w:val="00B730C4"/>
    <w:rsid w:val="00B73EC8"/>
    <w:rsid w:val="00B74B18"/>
    <w:rsid w:val="00B76DF6"/>
    <w:rsid w:val="00B821D1"/>
    <w:rsid w:val="00B8256B"/>
    <w:rsid w:val="00B8586A"/>
    <w:rsid w:val="00B85A90"/>
    <w:rsid w:val="00B86B6F"/>
    <w:rsid w:val="00B87985"/>
    <w:rsid w:val="00B87D56"/>
    <w:rsid w:val="00B90724"/>
    <w:rsid w:val="00B90E64"/>
    <w:rsid w:val="00B91247"/>
    <w:rsid w:val="00B920B3"/>
    <w:rsid w:val="00B93EBC"/>
    <w:rsid w:val="00B952D1"/>
    <w:rsid w:val="00B95F58"/>
    <w:rsid w:val="00B960C2"/>
    <w:rsid w:val="00BA435F"/>
    <w:rsid w:val="00BA509A"/>
    <w:rsid w:val="00BA5956"/>
    <w:rsid w:val="00BA7DBC"/>
    <w:rsid w:val="00BB1526"/>
    <w:rsid w:val="00BB2ACF"/>
    <w:rsid w:val="00BB37EF"/>
    <w:rsid w:val="00BB590D"/>
    <w:rsid w:val="00BB6408"/>
    <w:rsid w:val="00BB670A"/>
    <w:rsid w:val="00BC2D5D"/>
    <w:rsid w:val="00BD0E62"/>
    <w:rsid w:val="00BD1FA3"/>
    <w:rsid w:val="00BD34A5"/>
    <w:rsid w:val="00BD395D"/>
    <w:rsid w:val="00BE03BA"/>
    <w:rsid w:val="00BE466F"/>
    <w:rsid w:val="00BF033F"/>
    <w:rsid w:val="00BF0421"/>
    <w:rsid w:val="00BF1191"/>
    <w:rsid w:val="00BF201C"/>
    <w:rsid w:val="00BF3116"/>
    <w:rsid w:val="00BF61F9"/>
    <w:rsid w:val="00C00116"/>
    <w:rsid w:val="00C03343"/>
    <w:rsid w:val="00C04A9E"/>
    <w:rsid w:val="00C10D57"/>
    <w:rsid w:val="00C12A63"/>
    <w:rsid w:val="00C13474"/>
    <w:rsid w:val="00C13C4E"/>
    <w:rsid w:val="00C15A4D"/>
    <w:rsid w:val="00C1637D"/>
    <w:rsid w:val="00C23E6B"/>
    <w:rsid w:val="00C2473D"/>
    <w:rsid w:val="00C26231"/>
    <w:rsid w:val="00C27442"/>
    <w:rsid w:val="00C27630"/>
    <w:rsid w:val="00C303E0"/>
    <w:rsid w:val="00C34070"/>
    <w:rsid w:val="00C3472E"/>
    <w:rsid w:val="00C3521F"/>
    <w:rsid w:val="00C400BE"/>
    <w:rsid w:val="00C409CE"/>
    <w:rsid w:val="00C44487"/>
    <w:rsid w:val="00C445CD"/>
    <w:rsid w:val="00C44786"/>
    <w:rsid w:val="00C44C83"/>
    <w:rsid w:val="00C44E44"/>
    <w:rsid w:val="00C463DD"/>
    <w:rsid w:val="00C47A56"/>
    <w:rsid w:val="00C47EAF"/>
    <w:rsid w:val="00C556CD"/>
    <w:rsid w:val="00C56E25"/>
    <w:rsid w:val="00C57C6B"/>
    <w:rsid w:val="00C57DE6"/>
    <w:rsid w:val="00C61254"/>
    <w:rsid w:val="00C618F1"/>
    <w:rsid w:val="00C62474"/>
    <w:rsid w:val="00C63766"/>
    <w:rsid w:val="00C637AC"/>
    <w:rsid w:val="00C6703B"/>
    <w:rsid w:val="00C700BC"/>
    <w:rsid w:val="00C7035C"/>
    <w:rsid w:val="00C728BA"/>
    <w:rsid w:val="00C729F3"/>
    <w:rsid w:val="00C74F4E"/>
    <w:rsid w:val="00C80446"/>
    <w:rsid w:val="00C8216B"/>
    <w:rsid w:val="00C8244C"/>
    <w:rsid w:val="00C83855"/>
    <w:rsid w:val="00C8752C"/>
    <w:rsid w:val="00C901F1"/>
    <w:rsid w:val="00C9044B"/>
    <w:rsid w:val="00C9079E"/>
    <w:rsid w:val="00C9351B"/>
    <w:rsid w:val="00C940F1"/>
    <w:rsid w:val="00C95571"/>
    <w:rsid w:val="00C978E2"/>
    <w:rsid w:val="00CA1BA3"/>
    <w:rsid w:val="00CA382B"/>
    <w:rsid w:val="00CB120D"/>
    <w:rsid w:val="00CB2ECF"/>
    <w:rsid w:val="00CB2FA2"/>
    <w:rsid w:val="00CB3562"/>
    <w:rsid w:val="00CB4854"/>
    <w:rsid w:val="00CB558C"/>
    <w:rsid w:val="00CB6B6A"/>
    <w:rsid w:val="00CB7577"/>
    <w:rsid w:val="00CC5386"/>
    <w:rsid w:val="00CC7DE5"/>
    <w:rsid w:val="00CD1E9F"/>
    <w:rsid w:val="00CD24FD"/>
    <w:rsid w:val="00CD64C2"/>
    <w:rsid w:val="00CE1500"/>
    <w:rsid w:val="00CE2310"/>
    <w:rsid w:val="00CE7297"/>
    <w:rsid w:val="00CF0B3D"/>
    <w:rsid w:val="00CF1D85"/>
    <w:rsid w:val="00CF51B2"/>
    <w:rsid w:val="00D063F9"/>
    <w:rsid w:val="00D0712E"/>
    <w:rsid w:val="00D1001E"/>
    <w:rsid w:val="00D13844"/>
    <w:rsid w:val="00D13C5E"/>
    <w:rsid w:val="00D17CB2"/>
    <w:rsid w:val="00D20C25"/>
    <w:rsid w:val="00D21075"/>
    <w:rsid w:val="00D26803"/>
    <w:rsid w:val="00D31CA6"/>
    <w:rsid w:val="00D3718D"/>
    <w:rsid w:val="00D37F0F"/>
    <w:rsid w:val="00D404EC"/>
    <w:rsid w:val="00D41A85"/>
    <w:rsid w:val="00D436A4"/>
    <w:rsid w:val="00D437F2"/>
    <w:rsid w:val="00D461E8"/>
    <w:rsid w:val="00D463F2"/>
    <w:rsid w:val="00D46EE8"/>
    <w:rsid w:val="00D50723"/>
    <w:rsid w:val="00D50DEA"/>
    <w:rsid w:val="00D521CF"/>
    <w:rsid w:val="00D56987"/>
    <w:rsid w:val="00D57A91"/>
    <w:rsid w:val="00D62C67"/>
    <w:rsid w:val="00D64A09"/>
    <w:rsid w:val="00D7181E"/>
    <w:rsid w:val="00D71E9D"/>
    <w:rsid w:val="00D76C43"/>
    <w:rsid w:val="00D80082"/>
    <w:rsid w:val="00D801E0"/>
    <w:rsid w:val="00D809B4"/>
    <w:rsid w:val="00D814DE"/>
    <w:rsid w:val="00D830EF"/>
    <w:rsid w:val="00D832C0"/>
    <w:rsid w:val="00D83B24"/>
    <w:rsid w:val="00D846F7"/>
    <w:rsid w:val="00D87F67"/>
    <w:rsid w:val="00D90D0E"/>
    <w:rsid w:val="00D92894"/>
    <w:rsid w:val="00D93467"/>
    <w:rsid w:val="00D9638B"/>
    <w:rsid w:val="00D9765A"/>
    <w:rsid w:val="00DA172A"/>
    <w:rsid w:val="00DA1836"/>
    <w:rsid w:val="00DB045A"/>
    <w:rsid w:val="00DB3A93"/>
    <w:rsid w:val="00DB54F1"/>
    <w:rsid w:val="00DB62F5"/>
    <w:rsid w:val="00DB66D8"/>
    <w:rsid w:val="00DC063D"/>
    <w:rsid w:val="00DC14DF"/>
    <w:rsid w:val="00DC14F4"/>
    <w:rsid w:val="00DC4B66"/>
    <w:rsid w:val="00DC4FE9"/>
    <w:rsid w:val="00DD0C74"/>
    <w:rsid w:val="00DD1962"/>
    <w:rsid w:val="00DD269B"/>
    <w:rsid w:val="00DD33DB"/>
    <w:rsid w:val="00DD3876"/>
    <w:rsid w:val="00DD427D"/>
    <w:rsid w:val="00DD4D3C"/>
    <w:rsid w:val="00DD66F7"/>
    <w:rsid w:val="00DD7960"/>
    <w:rsid w:val="00DE0012"/>
    <w:rsid w:val="00DE11F1"/>
    <w:rsid w:val="00DE42B2"/>
    <w:rsid w:val="00DE4997"/>
    <w:rsid w:val="00DE52D3"/>
    <w:rsid w:val="00DE6FFE"/>
    <w:rsid w:val="00DF5602"/>
    <w:rsid w:val="00DF5BD3"/>
    <w:rsid w:val="00DF6937"/>
    <w:rsid w:val="00DF6DDC"/>
    <w:rsid w:val="00E00E56"/>
    <w:rsid w:val="00E0127F"/>
    <w:rsid w:val="00E106AC"/>
    <w:rsid w:val="00E134E4"/>
    <w:rsid w:val="00E14EC2"/>
    <w:rsid w:val="00E20F87"/>
    <w:rsid w:val="00E231A5"/>
    <w:rsid w:val="00E25317"/>
    <w:rsid w:val="00E26E0E"/>
    <w:rsid w:val="00E32FB2"/>
    <w:rsid w:val="00E34D4C"/>
    <w:rsid w:val="00E35824"/>
    <w:rsid w:val="00E36B31"/>
    <w:rsid w:val="00E36E46"/>
    <w:rsid w:val="00E378F8"/>
    <w:rsid w:val="00E37D78"/>
    <w:rsid w:val="00E42CA7"/>
    <w:rsid w:val="00E438EC"/>
    <w:rsid w:val="00E45B37"/>
    <w:rsid w:val="00E45E84"/>
    <w:rsid w:val="00E46200"/>
    <w:rsid w:val="00E46F9F"/>
    <w:rsid w:val="00E504A5"/>
    <w:rsid w:val="00E50C09"/>
    <w:rsid w:val="00E524F9"/>
    <w:rsid w:val="00E5357F"/>
    <w:rsid w:val="00E5405B"/>
    <w:rsid w:val="00E5472C"/>
    <w:rsid w:val="00E55261"/>
    <w:rsid w:val="00E57AE9"/>
    <w:rsid w:val="00E63787"/>
    <w:rsid w:val="00E65446"/>
    <w:rsid w:val="00E672A7"/>
    <w:rsid w:val="00E75E14"/>
    <w:rsid w:val="00E773BA"/>
    <w:rsid w:val="00E776CC"/>
    <w:rsid w:val="00E80611"/>
    <w:rsid w:val="00E83B2D"/>
    <w:rsid w:val="00E90399"/>
    <w:rsid w:val="00E90AE2"/>
    <w:rsid w:val="00E91FC6"/>
    <w:rsid w:val="00E93B87"/>
    <w:rsid w:val="00E94130"/>
    <w:rsid w:val="00EA0861"/>
    <w:rsid w:val="00EA18C8"/>
    <w:rsid w:val="00EA4E94"/>
    <w:rsid w:val="00EA5AF1"/>
    <w:rsid w:val="00EA765C"/>
    <w:rsid w:val="00EB0388"/>
    <w:rsid w:val="00EB0432"/>
    <w:rsid w:val="00EB2002"/>
    <w:rsid w:val="00EB429D"/>
    <w:rsid w:val="00EB4E4D"/>
    <w:rsid w:val="00EB4E68"/>
    <w:rsid w:val="00EC6704"/>
    <w:rsid w:val="00EC6A3D"/>
    <w:rsid w:val="00ED2CC8"/>
    <w:rsid w:val="00ED2D3A"/>
    <w:rsid w:val="00ED3836"/>
    <w:rsid w:val="00ED5822"/>
    <w:rsid w:val="00ED785D"/>
    <w:rsid w:val="00ED7C28"/>
    <w:rsid w:val="00EE05C4"/>
    <w:rsid w:val="00EE0806"/>
    <w:rsid w:val="00EE47FE"/>
    <w:rsid w:val="00EE50D0"/>
    <w:rsid w:val="00EE5DE5"/>
    <w:rsid w:val="00EE6153"/>
    <w:rsid w:val="00EE6452"/>
    <w:rsid w:val="00EE68D0"/>
    <w:rsid w:val="00EF0742"/>
    <w:rsid w:val="00EF4223"/>
    <w:rsid w:val="00EF590E"/>
    <w:rsid w:val="00F00A36"/>
    <w:rsid w:val="00F01AC1"/>
    <w:rsid w:val="00F03727"/>
    <w:rsid w:val="00F03DCF"/>
    <w:rsid w:val="00F073D9"/>
    <w:rsid w:val="00F07579"/>
    <w:rsid w:val="00F1179B"/>
    <w:rsid w:val="00F14B66"/>
    <w:rsid w:val="00F205FF"/>
    <w:rsid w:val="00F21E5A"/>
    <w:rsid w:val="00F23CEE"/>
    <w:rsid w:val="00F2711F"/>
    <w:rsid w:val="00F2740E"/>
    <w:rsid w:val="00F30BE8"/>
    <w:rsid w:val="00F337AD"/>
    <w:rsid w:val="00F339F6"/>
    <w:rsid w:val="00F33B40"/>
    <w:rsid w:val="00F344A7"/>
    <w:rsid w:val="00F35298"/>
    <w:rsid w:val="00F37CC9"/>
    <w:rsid w:val="00F407CD"/>
    <w:rsid w:val="00F40EE8"/>
    <w:rsid w:val="00F42B61"/>
    <w:rsid w:val="00F42CB0"/>
    <w:rsid w:val="00F44245"/>
    <w:rsid w:val="00F449D3"/>
    <w:rsid w:val="00F46B25"/>
    <w:rsid w:val="00F472DD"/>
    <w:rsid w:val="00F52631"/>
    <w:rsid w:val="00F52D35"/>
    <w:rsid w:val="00F52F8B"/>
    <w:rsid w:val="00F535AE"/>
    <w:rsid w:val="00F53B52"/>
    <w:rsid w:val="00F553D4"/>
    <w:rsid w:val="00F569DE"/>
    <w:rsid w:val="00F56CDC"/>
    <w:rsid w:val="00F7021F"/>
    <w:rsid w:val="00F7033A"/>
    <w:rsid w:val="00F7050C"/>
    <w:rsid w:val="00F72BBC"/>
    <w:rsid w:val="00F737FC"/>
    <w:rsid w:val="00F751FE"/>
    <w:rsid w:val="00F77C4D"/>
    <w:rsid w:val="00F8048B"/>
    <w:rsid w:val="00F82935"/>
    <w:rsid w:val="00F83D9D"/>
    <w:rsid w:val="00F8598D"/>
    <w:rsid w:val="00F90573"/>
    <w:rsid w:val="00F90C14"/>
    <w:rsid w:val="00F91FBD"/>
    <w:rsid w:val="00F94A66"/>
    <w:rsid w:val="00F94EEC"/>
    <w:rsid w:val="00FA64B2"/>
    <w:rsid w:val="00FB01DB"/>
    <w:rsid w:val="00FB0AB7"/>
    <w:rsid w:val="00FB200B"/>
    <w:rsid w:val="00FB28BB"/>
    <w:rsid w:val="00FB5C84"/>
    <w:rsid w:val="00FB71AC"/>
    <w:rsid w:val="00FC0C35"/>
    <w:rsid w:val="00FC1AD1"/>
    <w:rsid w:val="00FC3587"/>
    <w:rsid w:val="00FC366C"/>
    <w:rsid w:val="00FC3D0D"/>
    <w:rsid w:val="00FC55A1"/>
    <w:rsid w:val="00FC5CE2"/>
    <w:rsid w:val="00FC6E69"/>
    <w:rsid w:val="00FC7085"/>
    <w:rsid w:val="00FD010D"/>
    <w:rsid w:val="00FD0497"/>
    <w:rsid w:val="00FE0A08"/>
    <w:rsid w:val="00FE0A10"/>
    <w:rsid w:val="00FE1797"/>
    <w:rsid w:val="00FE32CE"/>
    <w:rsid w:val="00FE39F4"/>
    <w:rsid w:val="00FE44F4"/>
    <w:rsid w:val="00FE710B"/>
    <w:rsid w:val="00FF3DFF"/>
    <w:rsid w:val="00FF4B33"/>
    <w:rsid w:val="00FF6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4F9"/>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E524F9"/>
    <w:rPr>
      <w:sz w:val="20"/>
      <w:szCs w:val="20"/>
    </w:rPr>
  </w:style>
  <w:style w:type="character" w:customStyle="1" w:styleId="a4">
    <w:name w:val="Текст сноски Знак"/>
    <w:link w:val="a3"/>
    <w:semiHidden/>
    <w:rsid w:val="00E524F9"/>
    <w:rPr>
      <w:rFonts w:eastAsia="Times New Roman"/>
    </w:rPr>
  </w:style>
  <w:style w:type="character" w:styleId="a5">
    <w:name w:val="footnote reference"/>
    <w:semiHidden/>
    <w:rsid w:val="00E524F9"/>
    <w:rPr>
      <w:vertAlign w:val="superscript"/>
    </w:rPr>
  </w:style>
  <w:style w:type="paragraph" w:styleId="a6">
    <w:name w:val="footer"/>
    <w:basedOn w:val="a"/>
    <w:link w:val="a7"/>
    <w:rsid w:val="00E524F9"/>
    <w:pPr>
      <w:tabs>
        <w:tab w:val="center" w:pos="4677"/>
        <w:tab w:val="right" w:pos="9355"/>
      </w:tabs>
    </w:pPr>
  </w:style>
  <w:style w:type="character" w:customStyle="1" w:styleId="a7">
    <w:name w:val="Нижний колонтитул Знак"/>
    <w:link w:val="a6"/>
    <w:rsid w:val="00E524F9"/>
    <w:rPr>
      <w:rFonts w:eastAsia="Times New Roman"/>
      <w:sz w:val="24"/>
      <w:szCs w:val="24"/>
    </w:rPr>
  </w:style>
  <w:style w:type="character" w:styleId="a8">
    <w:name w:val="page number"/>
    <w:rsid w:val="00E524F9"/>
  </w:style>
  <w:style w:type="table" w:styleId="a9">
    <w:name w:val="Table Grid"/>
    <w:basedOn w:val="a1"/>
    <w:uiPriority w:val="59"/>
    <w:rsid w:val="00E524F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next w:val="a"/>
    <w:link w:val="ab"/>
    <w:qFormat/>
    <w:rsid w:val="00E524F9"/>
    <w:pPr>
      <w:spacing w:before="240" w:after="60"/>
      <w:jc w:val="center"/>
      <w:outlineLvl w:val="0"/>
    </w:pPr>
    <w:rPr>
      <w:rFonts w:ascii="Cambria" w:hAnsi="Cambria"/>
      <w:b/>
      <w:bCs/>
      <w:kern w:val="28"/>
      <w:sz w:val="32"/>
      <w:szCs w:val="32"/>
      <w:lang w:val="x-none" w:eastAsia="x-none"/>
    </w:rPr>
  </w:style>
  <w:style w:type="character" w:customStyle="1" w:styleId="ab">
    <w:name w:val="Название Знак"/>
    <w:link w:val="aa"/>
    <w:rsid w:val="00E524F9"/>
    <w:rPr>
      <w:rFonts w:ascii="Cambria" w:eastAsia="Times New Roman" w:hAnsi="Cambria"/>
      <w:b/>
      <w:bCs/>
      <w:kern w:val="28"/>
      <w:sz w:val="32"/>
      <w:szCs w:val="32"/>
      <w:lang w:val="x-none" w:eastAsia="x-none"/>
    </w:rPr>
  </w:style>
  <w:style w:type="paragraph" w:styleId="ac">
    <w:name w:val="Balloon Text"/>
    <w:basedOn w:val="a"/>
    <w:link w:val="ad"/>
    <w:uiPriority w:val="99"/>
    <w:semiHidden/>
    <w:unhideWhenUsed/>
    <w:rsid w:val="00EE05C4"/>
    <w:rPr>
      <w:rFonts w:ascii="Tahoma" w:hAnsi="Tahoma" w:cs="Tahoma"/>
      <w:sz w:val="16"/>
      <w:szCs w:val="16"/>
    </w:rPr>
  </w:style>
  <w:style w:type="character" w:customStyle="1" w:styleId="ad">
    <w:name w:val="Текст выноски Знак"/>
    <w:link w:val="ac"/>
    <w:uiPriority w:val="99"/>
    <w:semiHidden/>
    <w:rsid w:val="00EE05C4"/>
    <w:rPr>
      <w:rFonts w:ascii="Tahoma" w:eastAsia="Times New Roman" w:hAnsi="Tahoma" w:cs="Tahoma"/>
      <w:sz w:val="16"/>
      <w:szCs w:val="16"/>
    </w:rPr>
  </w:style>
  <w:style w:type="paragraph" w:customStyle="1" w:styleId="ae">
    <w:name w:val="Знак Знак Знак Знак"/>
    <w:basedOn w:val="a"/>
    <w:autoRedefine/>
    <w:rsid w:val="00955DEA"/>
    <w:pPr>
      <w:spacing w:after="160" w:line="240" w:lineRule="exact"/>
    </w:pPr>
    <w:rPr>
      <w:rFonts w:eastAsia="SimSun"/>
      <w:b/>
      <w:sz w:val="28"/>
      <w:lang w:val="en-US" w:eastAsia="en-US"/>
    </w:rPr>
  </w:style>
  <w:style w:type="paragraph" w:customStyle="1" w:styleId="af">
    <w:name w:val="Знак Знак Знак Знак"/>
    <w:basedOn w:val="a"/>
    <w:autoRedefine/>
    <w:rsid w:val="00080AB6"/>
    <w:pPr>
      <w:spacing w:after="160" w:line="240" w:lineRule="exact"/>
    </w:pPr>
    <w:rPr>
      <w:rFonts w:eastAsia="SimSun"/>
      <w:b/>
      <w:sz w:val="28"/>
      <w:lang w:val="en-US" w:eastAsia="en-US"/>
    </w:rPr>
  </w:style>
  <w:style w:type="paragraph" w:customStyle="1" w:styleId="af0">
    <w:name w:val="Знак Знак Знак Знак"/>
    <w:basedOn w:val="a"/>
    <w:autoRedefine/>
    <w:rsid w:val="000D10AB"/>
    <w:pPr>
      <w:spacing w:after="160" w:line="240" w:lineRule="exact"/>
    </w:pPr>
    <w:rPr>
      <w:rFonts w:eastAsia="SimSun"/>
      <w:b/>
      <w:sz w:val="28"/>
      <w:lang w:val="en-US" w:eastAsia="en-US"/>
    </w:rPr>
  </w:style>
  <w:style w:type="character" w:styleId="af1">
    <w:name w:val="annotation reference"/>
    <w:basedOn w:val="a0"/>
    <w:uiPriority w:val="99"/>
    <w:semiHidden/>
    <w:unhideWhenUsed/>
    <w:rsid w:val="004B7839"/>
    <w:rPr>
      <w:sz w:val="16"/>
      <w:szCs w:val="16"/>
    </w:rPr>
  </w:style>
  <w:style w:type="paragraph" w:styleId="af2">
    <w:name w:val="annotation text"/>
    <w:basedOn w:val="a"/>
    <w:link w:val="af3"/>
    <w:uiPriority w:val="99"/>
    <w:semiHidden/>
    <w:unhideWhenUsed/>
    <w:rsid w:val="004B7839"/>
    <w:rPr>
      <w:sz w:val="20"/>
      <w:szCs w:val="20"/>
    </w:rPr>
  </w:style>
  <w:style w:type="character" w:customStyle="1" w:styleId="af3">
    <w:name w:val="Текст примечания Знак"/>
    <w:basedOn w:val="a0"/>
    <w:link w:val="af2"/>
    <w:uiPriority w:val="99"/>
    <w:semiHidden/>
    <w:rsid w:val="004B7839"/>
    <w:rPr>
      <w:rFonts w:eastAsia="Times New Roman"/>
    </w:rPr>
  </w:style>
  <w:style w:type="paragraph" w:styleId="af4">
    <w:name w:val="annotation subject"/>
    <w:basedOn w:val="af2"/>
    <w:next w:val="af2"/>
    <w:link w:val="af5"/>
    <w:uiPriority w:val="99"/>
    <w:semiHidden/>
    <w:unhideWhenUsed/>
    <w:rsid w:val="004B7839"/>
    <w:rPr>
      <w:b/>
      <w:bCs/>
    </w:rPr>
  </w:style>
  <w:style w:type="character" w:customStyle="1" w:styleId="af5">
    <w:name w:val="Тема примечания Знак"/>
    <w:basedOn w:val="af3"/>
    <w:link w:val="af4"/>
    <w:uiPriority w:val="99"/>
    <w:semiHidden/>
    <w:rsid w:val="004B7839"/>
    <w:rPr>
      <w:rFonts w:eastAsia="Times New Roman"/>
      <w:b/>
      <w:bCs/>
    </w:rPr>
  </w:style>
  <w:style w:type="paragraph" w:styleId="af6">
    <w:name w:val="List Paragraph"/>
    <w:basedOn w:val="a"/>
    <w:uiPriority w:val="34"/>
    <w:qFormat/>
    <w:rsid w:val="001F74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4F9"/>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E524F9"/>
    <w:rPr>
      <w:sz w:val="20"/>
      <w:szCs w:val="20"/>
    </w:rPr>
  </w:style>
  <w:style w:type="character" w:customStyle="1" w:styleId="a4">
    <w:name w:val="Текст сноски Знак"/>
    <w:link w:val="a3"/>
    <w:semiHidden/>
    <w:rsid w:val="00E524F9"/>
    <w:rPr>
      <w:rFonts w:eastAsia="Times New Roman"/>
    </w:rPr>
  </w:style>
  <w:style w:type="character" w:styleId="a5">
    <w:name w:val="footnote reference"/>
    <w:semiHidden/>
    <w:rsid w:val="00E524F9"/>
    <w:rPr>
      <w:vertAlign w:val="superscript"/>
    </w:rPr>
  </w:style>
  <w:style w:type="paragraph" w:styleId="a6">
    <w:name w:val="footer"/>
    <w:basedOn w:val="a"/>
    <w:link w:val="a7"/>
    <w:rsid w:val="00E524F9"/>
    <w:pPr>
      <w:tabs>
        <w:tab w:val="center" w:pos="4677"/>
        <w:tab w:val="right" w:pos="9355"/>
      </w:tabs>
    </w:pPr>
  </w:style>
  <w:style w:type="character" w:customStyle="1" w:styleId="a7">
    <w:name w:val="Нижний колонтитул Знак"/>
    <w:link w:val="a6"/>
    <w:rsid w:val="00E524F9"/>
    <w:rPr>
      <w:rFonts w:eastAsia="Times New Roman"/>
      <w:sz w:val="24"/>
      <w:szCs w:val="24"/>
    </w:rPr>
  </w:style>
  <w:style w:type="character" w:styleId="a8">
    <w:name w:val="page number"/>
    <w:rsid w:val="00E524F9"/>
  </w:style>
  <w:style w:type="table" w:styleId="a9">
    <w:name w:val="Table Grid"/>
    <w:basedOn w:val="a1"/>
    <w:uiPriority w:val="59"/>
    <w:rsid w:val="00E524F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next w:val="a"/>
    <w:link w:val="ab"/>
    <w:qFormat/>
    <w:rsid w:val="00E524F9"/>
    <w:pPr>
      <w:spacing w:before="240" w:after="60"/>
      <w:jc w:val="center"/>
      <w:outlineLvl w:val="0"/>
    </w:pPr>
    <w:rPr>
      <w:rFonts w:ascii="Cambria" w:hAnsi="Cambria"/>
      <w:b/>
      <w:bCs/>
      <w:kern w:val="28"/>
      <w:sz w:val="32"/>
      <w:szCs w:val="32"/>
      <w:lang w:val="x-none" w:eastAsia="x-none"/>
    </w:rPr>
  </w:style>
  <w:style w:type="character" w:customStyle="1" w:styleId="ab">
    <w:name w:val="Название Знак"/>
    <w:link w:val="aa"/>
    <w:rsid w:val="00E524F9"/>
    <w:rPr>
      <w:rFonts w:ascii="Cambria" w:eastAsia="Times New Roman" w:hAnsi="Cambria"/>
      <w:b/>
      <w:bCs/>
      <w:kern w:val="28"/>
      <w:sz w:val="32"/>
      <w:szCs w:val="32"/>
      <w:lang w:val="x-none" w:eastAsia="x-none"/>
    </w:rPr>
  </w:style>
  <w:style w:type="paragraph" w:styleId="ac">
    <w:name w:val="Balloon Text"/>
    <w:basedOn w:val="a"/>
    <w:link w:val="ad"/>
    <w:uiPriority w:val="99"/>
    <w:semiHidden/>
    <w:unhideWhenUsed/>
    <w:rsid w:val="00EE05C4"/>
    <w:rPr>
      <w:rFonts w:ascii="Tahoma" w:hAnsi="Tahoma" w:cs="Tahoma"/>
      <w:sz w:val="16"/>
      <w:szCs w:val="16"/>
    </w:rPr>
  </w:style>
  <w:style w:type="character" w:customStyle="1" w:styleId="ad">
    <w:name w:val="Текст выноски Знак"/>
    <w:link w:val="ac"/>
    <w:uiPriority w:val="99"/>
    <w:semiHidden/>
    <w:rsid w:val="00EE05C4"/>
    <w:rPr>
      <w:rFonts w:ascii="Tahoma" w:eastAsia="Times New Roman" w:hAnsi="Tahoma" w:cs="Tahoma"/>
      <w:sz w:val="16"/>
      <w:szCs w:val="16"/>
    </w:rPr>
  </w:style>
  <w:style w:type="paragraph" w:customStyle="1" w:styleId="ae">
    <w:name w:val="Знак Знак Знак Знак"/>
    <w:basedOn w:val="a"/>
    <w:autoRedefine/>
    <w:rsid w:val="00955DEA"/>
    <w:pPr>
      <w:spacing w:after="160" w:line="240" w:lineRule="exact"/>
    </w:pPr>
    <w:rPr>
      <w:rFonts w:eastAsia="SimSun"/>
      <w:b/>
      <w:sz w:val="28"/>
      <w:lang w:val="en-US" w:eastAsia="en-US"/>
    </w:rPr>
  </w:style>
  <w:style w:type="paragraph" w:customStyle="1" w:styleId="af">
    <w:name w:val="Знак Знак Знак Знак"/>
    <w:basedOn w:val="a"/>
    <w:autoRedefine/>
    <w:rsid w:val="00080AB6"/>
    <w:pPr>
      <w:spacing w:after="160" w:line="240" w:lineRule="exact"/>
    </w:pPr>
    <w:rPr>
      <w:rFonts w:eastAsia="SimSun"/>
      <w:b/>
      <w:sz w:val="28"/>
      <w:lang w:val="en-US" w:eastAsia="en-US"/>
    </w:rPr>
  </w:style>
  <w:style w:type="paragraph" w:customStyle="1" w:styleId="af0">
    <w:name w:val="Знак Знак Знак Знак"/>
    <w:basedOn w:val="a"/>
    <w:autoRedefine/>
    <w:rsid w:val="000D10AB"/>
    <w:pPr>
      <w:spacing w:after="160" w:line="240" w:lineRule="exact"/>
    </w:pPr>
    <w:rPr>
      <w:rFonts w:eastAsia="SimSun"/>
      <w:b/>
      <w:sz w:val="28"/>
      <w:lang w:val="en-US" w:eastAsia="en-US"/>
    </w:rPr>
  </w:style>
  <w:style w:type="character" w:styleId="af1">
    <w:name w:val="annotation reference"/>
    <w:basedOn w:val="a0"/>
    <w:uiPriority w:val="99"/>
    <w:semiHidden/>
    <w:unhideWhenUsed/>
    <w:rsid w:val="004B7839"/>
    <w:rPr>
      <w:sz w:val="16"/>
      <w:szCs w:val="16"/>
    </w:rPr>
  </w:style>
  <w:style w:type="paragraph" w:styleId="af2">
    <w:name w:val="annotation text"/>
    <w:basedOn w:val="a"/>
    <w:link w:val="af3"/>
    <w:uiPriority w:val="99"/>
    <w:semiHidden/>
    <w:unhideWhenUsed/>
    <w:rsid w:val="004B7839"/>
    <w:rPr>
      <w:sz w:val="20"/>
      <w:szCs w:val="20"/>
    </w:rPr>
  </w:style>
  <w:style w:type="character" w:customStyle="1" w:styleId="af3">
    <w:name w:val="Текст примечания Знак"/>
    <w:basedOn w:val="a0"/>
    <w:link w:val="af2"/>
    <w:uiPriority w:val="99"/>
    <w:semiHidden/>
    <w:rsid w:val="004B7839"/>
    <w:rPr>
      <w:rFonts w:eastAsia="Times New Roman"/>
    </w:rPr>
  </w:style>
  <w:style w:type="paragraph" w:styleId="af4">
    <w:name w:val="annotation subject"/>
    <w:basedOn w:val="af2"/>
    <w:next w:val="af2"/>
    <w:link w:val="af5"/>
    <w:uiPriority w:val="99"/>
    <w:semiHidden/>
    <w:unhideWhenUsed/>
    <w:rsid w:val="004B7839"/>
    <w:rPr>
      <w:b/>
      <w:bCs/>
    </w:rPr>
  </w:style>
  <w:style w:type="character" w:customStyle="1" w:styleId="af5">
    <w:name w:val="Тема примечания Знак"/>
    <w:basedOn w:val="af3"/>
    <w:link w:val="af4"/>
    <w:uiPriority w:val="99"/>
    <w:semiHidden/>
    <w:rsid w:val="004B7839"/>
    <w:rPr>
      <w:rFonts w:eastAsia="Times New Roman"/>
      <w:b/>
      <w:bCs/>
    </w:rPr>
  </w:style>
  <w:style w:type="paragraph" w:styleId="af6">
    <w:name w:val="List Paragraph"/>
    <w:basedOn w:val="a"/>
    <w:uiPriority w:val="34"/>
    <w:qFormat/>
    <w:rsid w:val="001F7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S_ARMAN_E\Desktop\&#1042;&#1089;&#1077;%20&#1087;&#1086;%20&#1086;&#1073;&#1089;&#1083;&#1077;&#1076;&#1086;&#1074;&#1072;&#1085;&#1080;&#1102;%20&#1073;&#1072;&#1085;&#1082;&#1086;&#1074;\2015\&#1103;&#1085;&#1074;&#1072;&#1088;&#1100;\&#1055;&#1088;&#1086;&#1095;&#1080;&#1077;%20&#1084;&#1072;&#1090;&#1077;&#1088;&#1080;&#1072;&#1083;&#1099;\2.&#1058;&#1072;&#1073;&#1083;&#1080;&#1094;&#1099;%20&#1082;%20&#1072;&#1085;&#1072;&#1083;&#1080;&#1079;&#1091;%20&#1086;&#1073;&#1089;&#1083;&#1077;&#1076;&#1086;&#1074;&#1072;&#1085;&#1080;&#1103;%20&#1041;&#1042;&#1059;_&#1103;&#1085;&#1074;&#1072;&#1088;&#1100;%202015_&#1060;&#1048;&#1053;&#1040;&#1051;_&#1050;&#1040;&#104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S_ARMAN_E\Desktop\&#1042;&#1089;&#1077;%20&#1087;&#1086;%20&#1086;&#1073;&#1089;&#1083;&#1077;&#1076;&#1086;&#1074;&#1072;&#1085;&#1080;&#1102;%20&#1073;&#1072;&#1085;&#1082;&#1086;&#1074;\2015\&#1103;&#1085;&#1074;&#1072;&#1088;&#1100;\&#1055;&#1088;&#1086;&#1095;&#1080;&#1077;%20&#1084;&#1072;&#1090;&#1077;&#1088;&#1080;&#1072;&#1083;&#1099;\2.&#1058;&#1072;&#1073;&#1083;&#1080;&#1094;&#1099;%20&#1082;%20&#1072;&#1085;&#1072;&#1083;&#1080;&#1079;&#1091;%20&#1086;&#1073;&#1089;&#1083;&#1077;&#1076;&#1086;&#1074;&#1072;&#1085;&#1080;&#1103;%20&#1041;&#1042;&#1059;_&#1103;&#1085;&#1074;&#1072;&#1088;&#1100;%202015_&#1060;&#1048;&#1053;&#1040;&#1051;_&#1050;&#1040;&#1047;.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brk\dfs$\DFS_Omarbekov\&#1054;&#1055;&#1056;&#1054;&#1057;&#1053;&#1048;&#1050;+&#1047;&#1040;&#1056;&#1059;&#1041;&#1045;&#1046;&#1053;&#1067;&#1049;%20&#1054;&#1055;&#1067;&#1058;\2015\&#1103;&#1085;&#1074;&#1072;&#1088;&#1100;\2.&#1058;&#1072;&#1073;&#1083;&#1080;&#1094;&#1099;%20&#1082;%20&#1072;&#1085;&#1072;&#1083;&#1080;&#1079;&#1091;%20&#1086;&#1073;&#1089;&#1083;&#1077;&#1076;&#1086;&#1074;&#1072;&#1085;&#1080;&#1103;%20&#1041;&#1042;&#1059;_&#1103;&#1085;&#1074;&#1072;&#1088;&#1100;%202015_&#1060;&#1048;&#1053;&#1040;&#1051;%20(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FS_ARMAN_E\Desktop\&#1042;&#1089;&#1077;%20&#1087;&#1086;%20&#1086;&#1073;&#1089;&#1083;&#1077;&#1076;&#1086;&#1074;&#1072;&#1085;&#1080;&#1102;%20&#1073;&#1072;&#1085;&#1082;&#1086;&#1074;\2015\&#1103;&#1085;&#1074;&#1072;&#1088;&#1100;\&#1055;&#1088;&#1086;&#1095;&#1080;&#1077;%20&#1084;&#1072;&#1090;&#1077;&#1088;&#1080;&#1072;&#1083;&#1099;\2.&#1058;&#1072;&#1073;&#1083;&#1080;&#1094;&#1099;%20&#1082;%20&#1072;&#1085;&#1072;&#1083;&#1080;&#1079;&#1091;%20&#1086;&#1073;&#1089;&#1083;&#1077;&#1076;&#1086;&#1074;&#1072;&#1085;&#1080;&#1103;%20&#1041;&#1042;&#1059;_&#1103;&#1085;&#1074;&#1072;&#1088;&#1100;%202015_&#1060;&#1048;&#1053;&#1040;&#1051;_&#1050;&#1040;&#1047;.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FS_ARMAN_E\Desktop\&#1042;&#1089;&#1077;%20&#1087;&#1086;%20&#1086;&#1073;&#1089;&#1083;&#1077;&#1076;&#1086;&#1074;&#1072;&#1085;&#1080;&#1102;%20&#1073;&#1072;&#1085;&#1082;&#1086;&#1074;\2015\&#1103;&#1085;&#1074;&#1072;&#1088;&#1100;\&#1055;&#1088;&#1086;&#1095;&#1080;&#1077;%20&#1084;&#1072;&#1090;&#1077;&#1088;&#1080;&#1072;&#1083;&#1099;\2.&#1058;&#1072;&#1073;&#1083;&#1080;&#1094;&#1099;%20&#1082;%20&#1072;&#1085;&#1072;&#1083;&#1080;&#1079;&#1091;%20&#1086;&#1073;&#1089;&#1083;&#1077;&#1076;&#1086;&#1074;&#1072;&#1085;&#1080;&#1103;%20&#1041;&#1042;&#1059;_&#1103;&#1085;&#1074;&#1072;&#1088;&#1100;%202015_&#1060;&#1048;&#1053;&#1040;&#1051;_&#1050;&#1040;&#1047;.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FS_ARMAN_E\Desktop\&#1042;&#1089;&#1077;%20&#1087;&#1086;%20&#1086;&#1073;&#1089;&#1083;&#1077;&#1076;&#1086;&#1074;&#1072;&#1085;&#1080;&#1102;%20&#1073;&#1072;&#1085;&#1082;&#1086;&#1074;\2015\&#1103;&#1085;&#1074;&#1072;&#1088;&#1100;\&#1055;&#1088;&#1086;&#1095;&#1080;&#1077;%20&#1084;&#1072;&#1090;&#1077;&#1088;&#1080;&#1072;&#1083;&#1099;\2.&#1058;&#1072;&#1073;&#1083;&#1080;&#1094;&#1099;%20&#1082;%20&#1072;&#1085;&#1072;&#1083;&#1080;&#1079;&#1091;%20&#1086;&#1073;&#1089;&#1083;&#1077;&#1076;&#1086;&#1074;&#1072;&#1085;&#1080;&#1103;%20&#1041;&#1042;&#1059;_&#1103;&#1085;&#1074;&#1072;&#1088;&#1100;%202015_&#1060;&#1048;&#1053;&#1040;&#105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FS_ARMAN_E\Desktop\&#1042;&#1089;&#1077;%20&#1087;&#1086;%20&#1086;&#1073;&#1089;&#1083;&#1077;&#1076;&#1086;&#1074;&#1072;&#1085;&#1080;&#1102;%20&#1073;&#1072;&#1085;&#1082;&#1086;&#1074;\2015\&#1103;&#1085;&#1074;&#1072;&#1088;&#1100;\&#1055;&#1088;&#1086;&#1095;&#1080;&#1077;%20&#1084;&#1072;&#1090;&#1077;&#1088;&#1080;&#1072;&#1083;&#1099;\2.&#1058;&#1072;&#1073;&#1083;&#1080;&#1094;&#1099;%20&#1082;%20&#1072;&#1085;&#1072;&#1083;&#1080;&#1079;&#1091;%20&#1086;&#1073;&#1089;&#1083;&#1077;&#1076;&#1086;&#1074;&#1072;&#1085;&#1080;&#1103;%20&#1041;&#1042;&#1059;_&#1103;&#1085;&#1074;&#1072;&#1088;&#1100;%202015_&#1060;&#1048;&#1053;&#1040;&#1051;_&#1050;&#1040;&#104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7692503910157009E-2"/>
          <c:y val="7.4966532797858101E-2"/>
          <c:w val="0.93355216787159923"/>
          <c:h val="0.47858246634833296"/>
        </c:manualLayout>
      </c:layout>
      <c:barChart>
        <c:barDir val="col"/>
        <c:grouping val="clustered"/>
        <c:varyColors val="0"/>
        <c:ser>
          <c:idx val="2"/>
          <c:order val="2"/>
          <c:tx>
            <c:strRef>
              <c:f>'Ожид-факт_корп (3)'!$A$7</c:f>
              <c:strCache>
                <c:ptCount val="1"/>
                <c:pt idx="0">
                  <c:v>Кредиттік ресурстардың қолжетімділігі (оң жақтағы ось)</c:v>
                </c:pt>
              </c:strCache>
            </c:strRef>
          </c:tx>
          <c:spPr>
            <a:solidFill>
              <a:srgbClr val="7D13AD"/>
            </a:solidFill>
            <a:ln w="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invertIfNegative val="0"/>
          <c:cat>
            <c:multiLvlStrRef>
              <c:f>'Ожид-факт_корп (3)'!$B$3:$BD$4</c:f>
              <c:multiLvlStrCache>
                <c:ptCount val="55"/>
                <c:lvl>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pt idx="12">
                    <c:v>1 тоқ 2015 </c:v>
                  </c:pt>
                  <c:pt idx="14">
                    <c:v>1 тоқ 2012</c:v>
                  </c:pt>
                  <c:pt idx="15">
                    <c:v>2 тоқ 2012 </c:v>
                  </c:pt>
                  <c:pt idx="16">
                    <c:v>3 тоқ 2012 </c:v>
                  </c:pt>
                  <c:pt idx="17">
                    <c:v>4 тоқ 2012 </c:v>
                  </c:pt>
                  <c:pt idx="18">
                    <c:v>1 тоқ 2013 </c:v>
                  </c:pt>
                  <c:pt idx="19">
                    <c:v>2 тоқ 2013 </c:v>
                  </c:pt>
                  <c:pt idx="20">
                    <c:v>3 тоқ 2013 </c:v>
                  </c:pt>
                  <c:pt idx="21">
                    <c:v>4 тоқ 2013 </c:v>
                  </c:pt>
                  <c:pt idx="22">
                    <c:v>1 тоқ 2014 </c:v>
                  </c:pt>
                  <c:pt idx="23">
                    <c:v>2 тоқ 2014 </c:v>
                  </c:pt>
                  <c:pt idx="24">
                    <c:v>3 тоқ 2014</c:v>
                  </c:pt>
                  <c:pt idx="25">
                    <c:v>4 тоқ 2014 </c:v>
                  </c:pt>
                  <c:pt idx="26">
                    <c:v>1 тоқ 2015 </c:v>
                  </c:pt>
                  <c:pt idx="28">
                    <c:v>1 тоқ 2012</c:v>
                  </c:pt>
                  <c:pt idx="29">
                    <c:v>2 тоқ 2012 </c:v>
                  </c:pt>
                  <c:pt idx="30">
                    <c:v>3 тоқ 2012 </c:v>
                  </c:pt>
                  <c:pt idx="31">
                    <c:v>4 тоқ 2012 </c:v>
                  </c:pt>
                  <c:pt idx="32">
                    <c:v>1 тоқ 2013 </c:v>
                  </c:pt>
                  <c:pt idx="33">
                    <c:v>2 тоқ 2013 </c:v>
                  </c:pt>
                  <c:pt idx="34">
                    <c:v>3 тоқ 2013 </c:v>
                  </c:pt>
                  <c:pt idx="35">
                    <c:v>4 тоқ 2013 </c:v>
                  </c:pt>
                  <c:pt idx="36">
                    <c:v>1 тоқ 2014 </c:v>
                  </c:pt>
                  <c:pt idx="37">
                    <c:v>2 тоқ 2014 </c:v>
                  </c:pt>
                  <c:pt idx="38">
                    <c:v>3 тоқ 2014</c:v>
                  </c:pt>
                  <c:pt idx="39">
                    <c:v>4 тоқ 2014 </c:v>
                  </c:pt>
                  <c:pt idx="40">
                    <c:v>1 тоқ 2015 </c:v>
                  </c:pt>
                  <c:pt idx="42">
                    <c:v>1 тоқ 2012</c:v>
                  </c:pt>
                  <c:pt idx="43">
                    <c:v>2 тоқ 2012 </c:v>
                  </c:pt>
                  <c:pt idx="44">
                    <c:v>3 тоқ 2012 </c:v>
                  </c:pt>
                  <c:pt idx="45">
                    <c:v>4 тоқ 2012 </c:v>
                  </c:pt>
                  <c:pt idx="46">
                    <c:v>1 тоқ 2013 </c:v>
                  </c:pt>
                  <c:pt idx="47">
                    <c:v>2 тоқ 2013 </c:v>
                  </c:pt>
                  <c:pt idx="48">
                    <c:v>3 тоқ 2013 </c:v>
                  </c:pt>
                  <c:pt idx="49">
                    <c:v>4 тоқ 2013 </c:v>
                  </c:pt>
                  <c:pt idx="50">
                    <c:v>1 тоқ 2014 </c:v>
                  </c:pt>
                  <c:pt idx="51">
                    <c:v>2 тоқ 2014 </c:v>
                  </c:pt>
                  <c:pt idx="52">
                    <c:v>3 тоқ 2014</c:v>
                  </c:pt>
                  <c:pt idx="53">
                    <c:v>4 тоқ 2014 </c:v>
                  </c:pt>
                  <c:pt idx="54">
                    <c:v>1 тоқ 2015 </c:v>
                  </c:pt>
                </c:lvl>
                <c:lvl>
                  <c:pt idx="0">
                    <c:v>Тұтастай алғанда қаржылық емес ұйымдар</c:v>
                  </c:pt>
                  <c:pt idx="14">
                    <c:v>Ірі бизнес</c:v>
                  </c:pt>
                  <c:pt idx="28">
                    <c:v>Орта бизнес</c:v>
                  </c:pt>
                  <c:pt idx="42">
                    <c:v>Шағын бизнес</c:v>
                  </c:pt>
                </c:lvl>
              </c:multiLvlStrCache>
            </c:multiLvlStrRef>
          </c:cat>
          <c:val>
            <c:numRef>
              <c:f>'Ожид-факт_корп (3)'!$B$7:$BD$7</c:f>
              <c:numCache>
                <c:formatCode>0.00%</c:formatCode>
                <c:ptCount val="55"/>
                <c:pt idx="0">
                  <c:v>0.52941176470588236</c:v>
                </c:pt>
                <c:pt idx="1">
                  <c:v>0.52941176470588236</c:v>
                </c:pt>
                <c:pt idx="2">
                  <c:v>0.441176470588235</c:v>
                </c:pt>
                <c:pt idx="3">
                  <c:v>0.38235294117647056</c:v>
                </c:pt>
                <c:pt idx="4">
                  <c:v>0.44117647058823528</c:v>
                </c:pt>
                <c:pt idx="5">
                  <c:v>0.3235294117647059</c:v>
                </c:pt>
                <c:pt idx="6">
                  <c:v>0.41176470588235292</c:v>
                </c:pt>
                <c:pt idx="7">
                  <c:v>0.23529411764705882</c:v>
                </c:pt>
                <c:pt idx="8">
                  <c:v>0.41176470588235298</c:v>
                </c:pt>
                <c:pt idx="9">
                  <c:v>0.3235294117647059</c:v>
                </c:pt>
                <c:pt idx="10">
                  <c:v>0.29411764705882354</c:v>
                </c:pt>
                <c:pt idx="11">
                  <c:v>0.14705882352941174</c:v>
                </c:pt>
                <c:pt idx="14">
                  <c:v>0.39393939393939398</c:v>
                </c:pt>
                <c:pt idx="15">
                  <c:v>0.5</c:v>
                </c:pt>
                <c:pt idx="16">
                  <c:v>0.30303030303030304</c:v>
                </c:pt>
                <c:pt idx="17">
                  <c:v>0.35294117647058826</c:v>
                </c:pt>
                <c:pt idx="18">
                  <c:v>0.38235294117647056</c:v>
                </c:pt>
                <c:pt idx="19">
                  <c:v>0.20588235294117646</c:v>
                </c:pt>
                <c:pt idx="20">
                  <c:v>0.41176470588235292</c:v>
                </c:pt>
                <c:pt idx="21">
                  <c:v>0.23529411764705882</c:v>
                </c:pt>
                <c:pt idx="22">
                  <c:v>0.3235294117647059</c:v>
                </c:pt>
                <c:pt idx="23">
                  <c:v>0.26470588235294118</c:v>
                </c:pt>
                <c:pt idx="24">
                  <c:v>0.20588235294117646</c:v>
                </c:pt>
                <c:pt idx="25">
                  <c:v>0.11764705882352942</c:v>
                </c:pt>
                <c:pt idx="28">
                  <c:v>0.5161290322580645</c:v>
                </c:pt>
                <c:pt idx="29">
                  <c:v>0.4838709677419355</c:v>
                </c:pt>
                <c:pt idx="30">
                  <c:v>0.46875</c:v>
                </c:pt>
                <c:pt idx="31">
                  <c:v>0.32258064516129031</c:v>
                </c:pt>
                <c:pt idx="32">
                  <c:v>0.45161290322580644</c:v>
                </c:pt>
                <c:pt idx="33">
                  <c:v>0.32258064516129037</c:v>
                </c:pt>
                <c:pt idx="34">
                  <c:v>0.35483870967741937</c:v>
                </c:pt>
                <c:pt idx="35">
                  <c:v>0.25806451612903225</c:v>
                </c:pt>
                <c:pt idx="36">
                  <c:v>0.38709677419354838</c:v>
                </c:pt>
                <c:pt idx="37">
                  <c:v>0.32258064516129031</c:v>
                </c:pt>
                <c:pt idx="38">
                  <c:v>0.32258064516129031</c:v>
                </c:pt>
                <c:pt idx="39">
                  <c:v>3.0303030303030304E-2</c:v>
                </c:pt>
                <c:pt idx="42">
                  <c:v>0.51724137931034486</c:v>
                </c:pt>
                <c:pt idx="43">
                  <c:v>0.5</c:v>
                </c:pt>
                <c:pt idx="44">
                  <c:v>0.39999999999999997</c:v>
                </c:pt>
                <c:pt idx="45">
                  <c:v>0.30000000000000004</c:v>
                </c:pt>
                <c:pt idx="46">
                  <c:v>0.3666666666666667</c:v>
                </c:pt>
                <c:pt idx="47">
                  <c:v>0.3</c:v>
                </c:pt>
                <c:pt idx="48">
                  <c:v>0.3</c:v>
                </c:pt>
                <c:pt idx="49">
                  <c:v>0.3</c:v>
                </c:pt>
                <c:pt idx="50">
                  <c:v>0.3</c:v>
                </c:pt>
                <c:pt idx="51">
                  <c:v>0.2</c:v>
                </c:pt>
                <c:pt idx="52">
                  <c:v>0.36666666666666664</c:v>
                </c:pt>
                <c:pt idx="53">
                  <c:v>0</c:v>
                </c:pt>
              </c:numCache>
            </c:numRef>
          </c:val>
        </c:ser>
        <c:dLbls>
          <c:showLegendKey val="0"/>
          <c:showVal val="0"/>
          <c:showCatName val="0"/>
          <c:showSerName val="0"/>
          <c:showPercent val="0"/>
          <c:showBubbleSize val="0"/>
        </c:dLbls>
        <c:gapWidth val="150"/>
        <c:axId val="173244800"/>
        <c:axId val="173246336"/>
      </c:barChart>
      <c:lineChart>
        <c:grouping val="standard"/>
        <c:varyColors val="0"/>
        <c:ser>
          <c:idx val="0"/>
          <c:order val="0"/>
          <c:tx>
            <c:strRef>
              <c:f>'Ожид-факт_корп (3)'!$A$5</c:f>
              <c:strCache>
                <c:ptCount val="1"/>
                <c:pt idx="0">
                  <c:v>Сұраныс_факт</c:v>
                </c:pt>
              </c:strCache>
            </c:strRef>
          </c:tx>
          <c:spPr>
            <a:ln>
              <a:solidFill>
                <a:srgbClr val="CC2C00"/>
              </a:solidFill>
            </a:ln>
          </c:spPr>
          <c:marker>
            <c:symbol val="none"/>
          </c:marker>
          <c:cat>
            <c:multiLvlStrRef>
              <c:f>'Ожид-факт_корп (3)'!$B$3:$BD$4</c:f>
              <c:multiLvlStrCache>
                <c:ptCount val="55"/>
                <c:lvl>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pt idx="12">
                    <c:v>1 тоқ 2015 </c:v>
                  </c:pt>
                  <c:pt idx="14">
                    <c:v>1 тоқ 2012</c:v>
                  </c:pt>
                  <c:pt idx="15">
                    <c:v>2 тоқ 2012 </c:v>
                  </c:pt>
                  <c:pt idx="16">
                    <c:v>3 тоқ 2012 </c:v>
                  </c:pt>
                  <c:pt idx="17">
                    <c:v>4 тоқ 2012 </c:v>
                  </c:pt>
                  <c:pt idx="18">
                    <c:v>1 тоқ 2013 </c:v>
                  </c:pt>
                  <c:pt idx="19">
                    <c:v>2 тоқ 2013 </c:v>
                  </c:pt>
                  <c:pt idx="20">
                    <c:v>3 тоқ 2013 </c:v>
                  </c:pt>
                  <c:pt idx="21">
                    <c:v>4 тоқ 2013 </c:v>
                  </c:pt>
                  <c:pt idx="22">
                    <c:v>1 тоқ 2014 </c:v>
                  </c:pt>
                  <c:pt idx="23">
                    <c:v>2 тоқ 2014 </c:v>
                  </c:pt>
                  <c:pt idx="24">
                    <c:v>3 тоқ 2014</c:v>
                  </c:pt>
                  <c:pt idx="25">
                    <c:v>4 тоқ 2014 </c:v>
                  </c:pt>
                  <c:pt idx="26">
                    <c:v>1 тоқ 2015 </c:v>
                  </c:pt>
                  <c:pt idx="28">
                    <c:v>1 тоқ 2012</c:v>
                  </c:pt>
                  <c:pt idx="29">
                    <c:v>2 тоқ 2012 </c:v>
                  </c:pt>
                  <c:pt idx="30">
                    <c:v>3 тоқ 2012 </c:v>
                  </c:pt>
                  <c:pt idx="31">
                    <c:v>4 тоқ 2012 </c:v>
                  </c:pt>
                  <c:pt idx="32">
                    <c:v>1 тоқ 2013 </c:v>
                  </c:pt>
                  <c:pt idx="33">
                    <c:v>2 тоқ 2013 </c:v>
                  </c:pt>
                  <c:pt idx="34">
                    <c:v>3 тоқ 2013 </c:v>
                  </c:pt>
                  <c:pt idx="35">
                    <c:v>4 тоқ 2013 </c:v>
                  </c:pt>
                  <c:pt idx="36">
                    <c:v>1 тоқ 2014 </c:v>
                  </c:pt>
                  <c:pt idx="37">
                    <c:v>2 тоқ 2014 </c:v>
                  </c:pt>
                  <c:pt idx="38">
                    <c:v>3 тоқ 2014</c:v>
                  </c:pt>
                  <c:pt idx="39">
                    <c:v>4 тоқ 2014 </c:v>
                  </c:pt>
                  <c:pt idx="40">
                    <c:v>1 тоқ 2015 </c:v>
                  </c:pt>
                  <c:pt idx="42">
                    <c:v>1 тоқ 2012</c:v>
                  </c:pt>
                  <c:pt idx="43">
                    <c:v>2 тоқ 2012 </c:v>
                  </c:pt>
                  <c:pt idx="44">
                    <c:v>3 тоқ 2012 </c:v>
                  </c:pt>
                  <c:pt idx="45">
                    <c:v>4 тоқ 2012 </c:v>
                  </c:pt>
                  <c:pt idx="46">
                    <c:v>1 тоқ 2013 </c:v>
                  </c:pt>
                  <c:pt idx="47">
                    <c:v>2 тоқ 2013 </c:v>
                  </c:pt>
                  <c:pt idx="48">
                    <c:v>3 тоқ 2013 </c:v>
                  </c:pt>
                  <c:pt idx="49">
                    <c:v>4 тоқ 2013 </c:v>
                  </c:pt>
                  <c:pt idx="50">
                    <c:v>1 тоқ 2014 </c:v>
                  </c:pt>
                  <c:pt idx="51">
                    <c:v>2 тоқ 2014 </c:v>
                  </c:pt>
                  <c:pt idx="52">
                    <c:v>3 тоқ 2014</c:v>
                  </c:pt>
                  <c:pt idx="53">
                    <c:v>4 тоқ 2014 </c:v>
                  </c:pt>
                  <c:pt idx="54">
                    <c:v>1 тоқ 2015 </c:v>
                  </c:pt>
                </c:lvl>
                <c:lvl>
                  <c:pt idx="0">
                    <c:v>Тұтастай алғанда қаржылық емес ұйымдар</c:v>
                  </c:pt>
                  <c:pt idx="14">
                    <c:v>Ірі бизнес</c:v>
                  </c:pt>
                  <c:pt idx="28">
                    <c:v>Орта бизнес</c:v>
                  </c:pt>
                  <c:pt idx="42">
                    <c:v>Шағын бизнес</c:v>
                  </c:pt>
                </c:lvl>
              </c:multiLvlStrCache>
            </c:multiLvlStrRef>
          </c:cat>
          <c:val>
            <c:numRef>
              <c:f>'Ожид-факт_корп (3)'!$B$5:$BD$5</c:f>
              <c:numCache>
                <c:formatCode>0.00%</c:formatCode>
                <c:ptCount val="55"/>
                <c:pt idx="0">
                  <c:v>0.52941176470588236</c:v>
                </c:pt>
                <c:pt idx="1">
                  <c:v>0.52941176470588236</c:v>
                </c:pt>
                <c:pt idx="2">
                  <c:v>0.52941176470588236</c:v>
                </c:pt>
                <c:pt idx="3">
                  <c:v>0.3529411764705882</c:v>
                </c:pt>
                <c:pt idx="4">
                  <c:v>0.5</c:v>
                </c:pt>
                <c:pt idx="5">
                  <c:v>0.58823529411764708</c:v>
                </c:pt>
                <c:pt idx="6">
                  <c:v>0.55882352941176472</c:v>
                </c:pt>
                <c:pt idx="7">
                  <c:v>0.41176470588235292</c:v>
                </c:pt>
                <c:pt idx="8">
                  <c:v>0.23529411764705882</c:v>
                </c:pt>
                <c:pt idx="9">
                  <c:v>0.35294117647058826</c:v>
                </c:pt>
                <c:pt idx="10">
                  <c:v>0.36363636363636365</c:v>
                </c:pt>
                <c:pt idx="11">
                  <c:v>0.31428571428571428</c:v>
                </c:pt>
                <c:pt idx="14">
                  <c:v>0.48484848484848486</c:v>
                </c:pt>
                <c:pt idx="15">
                  <c:v>0.48484848484848497</c:v>
                </c:pt>
                <c:pt idx="16">
                  <c:v>0.39393939393939392</c:v>
                </c:pt>
                <c:pt idx="17">
                  <c:v>0.24242424242424243</c:v>
                </c:pt>
                <c:pt idx="18">
                  <c:v>0.5</c:v>
                </c:pt>
                <c:pt idx="19">
                  <c:v>0.44117647058823528</c:v>
                </c:pt>
                <c:pt idx="20">
                  <c:v>0.55882352941176472</c:v>
                </c:pt>
                <c:pt idx="21">
                  <c:v>0.41176470588235292</c:v>
                </c:pt>
                <c:pt idx="22">
                  <c:v>0.23529411764705882</c:v>
                </c:pt>
                <c:pt idx="23">
                  <c:v>0.26470588235294118</c:v>
                </c:pt>
                <c:pt idx="24">
                  <c:v>0.39393939393939392</c:v>
                </c:pt>
                <c:pt idx="25">
                  <c:v>0.2121212121212121</c:v>
                </c:pt>
                <c:pt idx="28">
                  <c:v>0.4838709677419355</c:v>
                </c:pt>
                <c:pt idx="29">
                  <c:v>0.54838709677419351</c:v>
                </c:pt>
                <c:pt idx="30">
                  <c:v>0.5161290322580645</c:v>
                </c:pt>
                <c:pt idx="31">
                  <c:v>0.25806451612903225</c:v>
                </c:pt>
                <c:pt idx="32">
                  <c:v>0.5161290322580645</c:v>
                </c:pt>
                <c:pt idx="33">
                  <c:v>0.54838709677419351</c:v>
                </c:pt>
                <c:pt idx="34">
                  <c:v>0.4838709677419355</c:v>
                </c:pt>
                <c:pt idx="35">
                  <c:v>0.32258064516129037</c:v>
                </c:pt>
                <c:pt idx="36">
                  <c:v>0.22580645161290322</c:v>
                </c:pt>
                <c:pt idx="37">
                  <c:v>0.35483870967741937</c:v>
                </c:pt>
                <c:pt idx="38">
                  <c:v>0.39393939393939392</c:v>
                </c:pt>
                <c:pt idx="39">
                  <c:v>0.3235294117647059</c:v>
                </c:pt>
                <c:pt idx="42">
                  <c:v>0.4</c:v>
                </c:pt>
                <c:pt idx="43">
                  <c:v>0.33333333333333337</c:v>
                </c:pt>
                <c:pt idx="44">
                  <c:v>0.3</c:v>
                </c:pt>
                <c:pt idx="45">
                  <c:v>0.33333333333333337</c:v>
                </c:pt>
                <c:pt idx="46">
                  <c:v>0.3666666666666667</c:v>
                </c:pt>
                <c:pt idx="47">
                  <c:v>0.53333333333333333</c:v>
                </c:pt>
                <c:pt idx="48">
                  <c:v>0.46666666666666667</c:v>
                </c:pt>
                <c:pt idx="49">
                  <c:v>0.19999999999999998</c:v>
                </c:pt>
                <c:pt idx="50">
                  <c:v>0.12903225806451613</c:v>
                </c:pt>
                <c:pt idx="51">
                  <c:v>0.32258064516129037</c:v>
                </c:pt>
                <c:pt idx="52">
                  <c:v>0.36363636363636365</c:v>
                </c:pt>
                <c:pt idx="53">
                  <c:v>0.29411764705882354</c:v>
                </c:pt>
              </c:numCache>
            </c:numRef>
          </c:val>
          <c:smooth val="0"/>
        </c:ser>
        <c:ser>
          <c:idx val="1"/>
          <c:order val="1"/>
          <c:tx>
            <c:strRef>
              <c:f>'Ожид-факт_корп (3)'!$A$6</c:f>
              <c:strCache>
                <c:ptCount val="1"/>
                <c:pt idx="0">
                  <c:v>Сұраныс_күту</c:v>
                </c:pt>
              </c:strCache>
            </c:strRef>
          </c:tx>
          <c:spPr>
            <a:ln>
              <a:solidFill>
                <a:srgbClr val="00CC00"/>
              </a:solidFill>
            </a:ln>
          </c:spPr>
          <c:marker>
            <c:symbol val="none"/>
          </c:marker>
          <c:cat>
            <c:multiLvlStrRef>
              <c:f>'Ожид-факт_корп (3)'!$B$3:$BD$4</c:f>
              <c:multiLvlStrCache>
                <c:ptCount val="55"/>
                <c:lvl>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pt idx="12">
                    <c:v>1 тоқ 2015 </c:v>
                  </c:pt>
                  <c:pt idx="14">
                    <c:v>1 тоқ 2012</c:v>
                  </c:pt>
                  <c:pt idx="15">
                    <c:v>2 тоқ 2012 </c:v>
                  </c:pt>
                  <c:pt idx="16">
                    <c:v>3 тоқ 2012 </c:v>
                  </c:pt>
                  <c:pt idx="17">
                    <c:v>4 тоқ 2012 </c:v>
                  </c:pt>
                  <c:pt idx="18">
                    <c:v>1 тоқ 2013 </c:v>
                  </c:pt>
                  <c:pt idx="19">
                    <c:v>2 тоқ 2013 </c:v>
                  </c:pt>
                  <c:pt idx="20">
                    <c:v>3 тоқ 2013 </c:v>
                  </c:pt>
                  <c:pt idx="21">
                    <c:v>4 тоқ 2013 </c:v>
                  </c:pt>
                  <c:pt idx="22">
                    <c:v>1 тоқ 2014 </c:v>
                  </c:pt>
                  <c:pt idx="23">
                    <c:v>2 тоқ 2014 </c:v>
                  </c:pt>
                  <c:pt idx="24">
                    <c:v>3 тоқ 2014</c:v>
                  </c:pt>
                  <c:pt idx="25">
                    <c:v>4 тоқ 2014 </c:v>
                  </c:pt>
                  <c:pt idx="26">
                    <c:v>1 тоқ 2015 </c:v>
                  </c:pt>
                  <c:pt idx="28">
                    <c:v>1 тоқ 2012</c:v>
                  </c:pt>
                  <c:pt idx="29">
                    <c:v>2 тоқ 2012 </c:v>
                  </c:pt>
                  <c:pt idx="30">
                    <c:v>3 тоқ 2012 </c:v>
                  </c:pt>
                  <c:pt idx="31">
                    <c:v>4 тоқ 2012 </c:v>
                  </c:pt>
                  <c:pt idx="32">
                    <c:v>1 тоқ 2013 </c:v>
                  </c:pt>
                  <c:pt idx="33">
                    <c:v>2 тоқ 2013 </c:v>
                  </c:pt>
                  <c:pt idx="34">
                    <c:v>3 тоқ 2013 </c:v>
                  </c:pt>
                  <c:pt idx="35">
                    <c:v>4 тоқ 2013 </c:v>
                  </c:pt>
                  <c:pt idx="36">
                    <c:v>1 тоқ 2014 </c:v>
                  </c:pt>
                  <c:pt idx="37">
                    <c:v>2 тоқ 2014 </c:v>
                  </c:pt>
                  <c:pt idx="38">
                    <c:v>3 тоқ 2014</c:v>
                  </c:pt>
                  <c:pt idx="39">
                    <c:v>4 тоқ 2014 </c:v>
                  </c:pt>
                  <c:pt idx="40">
                    <c:v>1 тоқ 2015 </c:v>
                  </c:pt>
                  <c:pt idx="42">
                    <c:v>1 тоқ 2012</c:v>
                  </c:pt>
                  <c:pt idx="43">
                    <c:v>2 тоқ 2012 </c:v>
                  </c:pt>
                  <c:pt idx="44">
                    <c:v>3 тоқ 2012 </c:v>
                  </c:pt>
                  <c:pt idx="45">
                    <c:v>4 тоқ 2012 </c:v>
                  </c:pt>
                  <c:pt idx="46">
                    <c:v>1 тоқ 2013 </c:v>
                  </c:pt>
                  <c:pt idx="47">
                    <c:v>2 тоқ 2013 </c:v>
                  </c:pt>
                  <c:pt idx="48">
                    <c:v>3 тоқ 2013 </c:v>
                  </c:pt>
                  <c:pt idx="49">
                    <c:v>4 тоқ 2013 </c:v>
                  </c:pt>
                  <c:pt idx="50">
                    <c:v>1 тоқ 2014 </c:v>
                  </c:pt>
                  <c:pt idx="51">
                    <c:v>2 тоқ 2014 </c:v>
                  </c:pt>
                  <c:pt idx="52">
                    <c:v>3 тоқ 2014</c:v>
                  </c:pt>
                  <c:pt idx="53">
                    <c:v>4 тоқ 2014 </c:v>
                  </c:pt>
                  <c:pt idx="54">
                    <c:v>1 тоқ 2015 </c:v>
                  </c:pt>
                </c:lvl>
                <c:lvl>
                  <c:pt idx="0">
                    <c:v>Тұтастай алғанда қаржылық емес ұйымдар</c:v>
                  </c:pt>
                  <c:pt idx="14">
                    <c:v>Ірі бизнес</c:v>
                  </c:pt>
                  <c:pt idx="28">
                    <c:v>Орта бизнес</c:v>
                  </c:pt>
                  <c:pt idx="42">
                    <c:v>Шағын бизнес</c:v>
                  </c:pt>
                </c:lvl>
              </c:multiLvlStrCache>
            </c:multiLvlStrRef>
          </c:cat>
          <c:val>
            <c:numRef>
              <c:f>'Ожид-факт_корп (3)'!$B$6:$BD$6</c:f>
              <c:numCache>
                <c:formatCode>0.00%</c:formatCode>
                <c:ptCount val="55"/>
                <c:pt idx="0">
                  <c:v>0.58823529411764708</c:v>
                </c:pt>
                <c:pt idx="1">
                  <c:v>0.58823529411764708</c:v>
                </c:pt>
                <c:pt idx="2">
                  <c:v>0.55882352941176472</c:v>
                </c:pt>
                <c:pt idx="3">
                  <c:v>0.47058823529411764</c:v>
                </c:pt>
                <c:pt idx="4">
                  <c:v>0.3529411764705882</c:v>
                </c:pt>
                <c:pt idx="5">
                  <c:v>0.5</c:v>
                </c:pt>
                <c:pt idx="6">
                  <c:v>0.55882352941176472</c:v>
                </c:pt>
                <c:pt idx="7">
                  <c:v>0.44117647058823528</c:v>
                </c:pt>
                <c:pt idx="8">
                  <c:v>0.23529411764705882</c:v>
                </c:pt>
                <c:pt idx="9">
                  <c:v>0.3235294117647059</c:v>
                </c:pt>
                <c:pt idx="10">
                  <c:v>0.14705882352941177</c:v>
                </c:pt>
                <c:pt idx="11">
                  <c:v>0.23529411764705882</c:v>
                </c:pt>
                <c:pt idx="12">
                  <c:v>0.23529411764705882</c:v>
                </c:pt>
                <c:pt idx="14">
                  <c:v>0.48484848484848486</c:v>
                </c:pt>
                <c:pt idx="15">
                  <c:v>0.51515151515151514</c:v>
                </c:pt>
                <c:pt idx="16">
                  <c:v>0.38235294117647056</c:v>
                </c:pt>
                <c:pt idx="17">
                  <c:v>0.35294117647058826</c:v>
                </c:pt>
                <c:pt idx="18">
                  <c:v>0.3235294117647059</c:v>
                </c:pt>
                <c:pt idx="19">
                  <c:v>0.38235294117647056</c:v>
                </c:pt>
                <c:pt idx="20">
                  <c:v>0.41176470588235292</c:v>
                </c:pt>
                <c:pt idx="21">
                  <c:v>0.41176470588235292</c:v>
                </c:pt>
                <c:pt idx="22">
                  <c:v>0.26470588235294118</c:v>
                </c:pt>
                <c:pt idx="23">
                  <c:v>0.38235294117647056</c:v>
                </c:pt>
                <c:pt idx="24">
                  <c:v>0.23529411764705882</c:v>
                </c:pt>
                <c:pt idx="25">
                  <c:v>0.26470588235294118</c:v>
                </c:pt>
                <c:pt idx="26">
                  <c:v>0.21212121212121213</c:v>
                </c:pt>
                <c:pt idx="28">
                  <c:v>0.61290322580645162</c:v>
                </c:pt>
                <c:pt idx="29">
                  <c:v>0.61290322580645162</c:v>
                </c:pt>
                <c:pt idx="30">
                  <c:v>0.5161290322580645</c:v>
                </c:pt>
                <c:pt idx="31">
                  <c:v>0.4838709677419355</c:v>
                </c:pt>
                <c:pt idx="32">
                  <c:v>0.41935483870967744</c:v>
                </c:pt>
                <c:pt idx="33">
                  <c:v>0.5161290322580645</c:v>
                </c:pt>
                <c:pt idx="34">
                  <c:v>0.5161290322580645</c:v>
                </c:pt>
                <c:pt idx="35">
                  <c:v>0.375</c:v>
                </c:pt>
                <c:pt idx="36">
                  <c:v>0.21875</c:v>
                </c:pt>
                <c:pt idx="37">
                  <c:v>0.375</c:v>
                </c:pt>
                <c:pt idx="38">
                  <c:v>0.1875</c:v>
                </c:pt>
                <c:pt idx="39">
                  <c:v>0.25806451612903225</c:v>
                </c:pt>
                <c:pt idx="40">
                  <c:v>0.1875</c:v>
                </c:pt>
                <c:pt idx="42">
                  <c:v>0.53333333333333333</c:v>
                </c:pt>
                <c:pt idx="43">
                  <c:v>0.55172413793103448</c:v>
                </c:pt>
                <c:pt idx="44">
                  <c:v>0.55172413793103448</c:v>
                </c:pt>
                <c:pt idx="45">
                  <c:v>0.5</c:v>
                </c:pt>
                <c:pt idx="46">
                  <c:v>0.3666666666666667</c:v>
                </c:pt>
                <c:pt idx="47">
                  <c:v>0.5</c:v>
                </c:pt>
                <c:pt idx="48">
                  <c:v>0.53333333333333333</c:v>
                </c:pt>
                <c:pt idx="49">
                  <c:v>0.36666666666666664</c:v>
                </c:pt>
                <c:pt idx="50">
                  <c:v>0.16129032258064516</c:v>
                </c:pt>
                <c:pt idx="51">
                  <c:v>0.29032258064516125</c:v>
                </c:pt>
                <c:pt idx="52">
                  <c:v>0.19354838709677419</c:v>
                </c:pt>
                <c:pt idx="53">
                  <c:v>0.23333333333333334</c:v>
                </c:pt>
                <c:pt idx="54">
                  <c:v>0.12903225806451613</c:v>
                </c:pt>
              </c:numCache>
            </c:numRef>
          </c:val>
          <c:smooth val="0"/>
        </c:ser>
        <c:dLbls>
          <c:showLegendKey val="0"/>
          <c:showVal val="0"/>
          <c:showCatName val="0"/>
          <c:showSerName val="0"/>
          <c:showPercent val="0"/>
          <c:showBubbleSize val="0"/>
        </c:dLbls>
        <c:marker val="1"/>
        <c:smooth val="0"/>
        <c:axId val="173244800"/>
        <c:axId val="173246336"/>
      </c:lineChart>
      <c:catAx>
        <c:axId val="173244800"/>
        <c:scaling>
          <c:orientation val="minMax"/>
        </c:scaling>
        <c:delete val="0"/>
        <c:axPos val="b"/>
        <c:numFmt formatCode="General" sourceLinked="1"/>
        <c:majorTickMark val="out"/>
        <c:minorTickMark val="none"/>
        <c:tickLblPos val="nextTo"/>
        <c:txPr>
          <a:bodyPr rot="-5400000" vert="horz"/>
          <a:lstStyle/>
          <a:p>
            <a:pPr>
              <a:defRPr sz="750"/>
            </a:pPr>
            <a:endParaRPr lang="ru-RU"/>
          </a:p>
        </c:txPr>
        <c:crossAx val="173246336"/>
        <c:crosses val="autoZero"/>
        <c:auto val="1"/>
        <c:lblAlgn val="ctr"/>
        <c:lblOffset val="100"/>
        <c:tickLblSkip val="1"/>
        <c:noMultiLvlLbl val="0"/>
      </c:catAx>
      <c:valAx>
        <c:axId val="173246336"/>
        <c:scaling>
          <c:orientation val="minMax"/>
        </c:scaling>
        <c:delete val="0"/>
        <c:axPos val="l"/>
        <c:majorGridlines>
          <c:spPr>
            <a:ln>
              <a:prstDash val="dash"/>
            </a:ln>
          </c:spPr>
        </c:majorGridlines>
        <c:numFmt formatCode="0%" sourceLinked="0"/>
        <c:majorTickMark val="out"/>
        <c:minorTickMark val="none"/>
        <c:tickLblPos val="nextTo"/>
        <c:txPr>
          <a:bodyPr/>
          <a:lstStyle/>
          <a:p>
            <a:pPr>
              <a:defRPr sz="800"/>
            </a:pPr>
            <a:endParaRPr lang="ru-RU"/>
          </a:p>
        </c:txPr>
        <c:crossAx val="173244800"/>
        <c:crosses val="autoZero"/>
        <c:crossBetween val="between"/>
      </c:valAx>
    </c:plotArea>
    <c:legend>
      <c:legendPos val="b"/>
      <c:overlay val="0"/>
      <c:txPr>
        <a:bodyPr/>
        <a:lstStyle/>
        <a:p>
          <a:pPr>
            <a:defRPr sz="800"/>
          </a:pPr>
          <a:endParaRPr lang="ru-RU"/>
        </a:p>
      </c:txPr>
    </c:legend>
    <c:plotVisOnly val="1"/>
    <c:dispBlanksAs val="gap"/>
    <c:showDLblsOverMax val="0"/>
  </c:chart>
  <c:spPr>
    <a:ln>
      <a:noFill/>
    </a:ln>
  </c:spPr>
  <c:txPr>
    <a:bodyPr/>
    <a:lstStyle/>
    <a:p>
      <a:pPr>
        <a:defRPr sz="90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7270622673507E-2"/>
          <c:y val="5.0925925925925923E-2"/>
          <c:w val="0.9255823182960039"/>
          <c:h val="0.48807086614173228"/>
        </c:manualLayout>
      </c:layout>
      <c:lineChart>
        <c:grouping val="standard"/>
        <c:varyColors val="0"/>
        <c:ser>
          <c:idx val="0"/>
          <c:order val="0"/>
          <c:tx>
            <c:strRef>
              <c:f>'Ожид-факт_корп (3)'!$A$28</c:f>
              <c:strCache>
                <c:ptCount val="1"/>
                <c:pt idx="0">
                  <c:v>Факт</c:v>
                </c:pt>
              </c:strCache>
            </c:strRef>
          </c:tx>
          <c:spPr>
            <a:ln>
              <a:solidFill>
                <a:schemeClr val="accent1"/>
              </a:solidFill>
            </a:ln>
          </c:spPr>
          <c:marker>
            <c:symbol val="none"/>
          </c:marker>
          <c:cat>
            <c:multiLvlStrRef>
              <c:f>'Ожид-факт_корп (3)'!$B$26:$BD$27</c:f>
              <c:multiLvlStrCache>
                <c:ptCount val="55"/>
                <c:lvl>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pt idx="12">
                    <c:v>1 тоқ 2015 </c:v>
                  </c:pt>
                  <c:pt idx="14">
                    <c:v>1 тоқ 2012</c:v>
                  </c:pt>
                  <c:pt idx="15">
                    <c:v>2 тоқ 2012 </c:v>
                  </c:pt>
                  <c:pt idx="16">
                    <c:v>3 тоқ 2012 </c:v>
                  </c:pt>
                  <c:pt idx="17">
                    <c:v>4 тоқ 2012 </c:v>
                  </c:pt>
                  <c:pt idx="18">
                    <c:v>1 тоқ 2013 </c:v>
                  </c:pt>
                  <c:pt idx="19">
                    <c:v>2 тоқ 2013 </c:v>
                  </c:pt>
                  <c:pt idx="20">
                    <c:v>3 тоқ 2013 </c:v>
                  </c:pt>
                  <c:pt idx="21">
                    <c:v>4 тоқ 2013 </c:v>
                  </c:pt>
                  <c:pt idx="22">
                    <c:v>1 тоқ 2014 </c:v>
                  </c:pt>
                  <c:pt idx="23">
                    <c:v>2 тоқ 2014 </c:v>
                  </c:pt>
                  <c:pt idx="24">
                    <c:v>3 тоқ 2014</c:v>
                  </c:pt>
                  <c:pt idx="25">
                    <c:v>4 тоқ 2014 </c:v>
                  </c:pt>
                  <c:pt idx="26">
                    <c:v>1 тоқ 2015 </c:v>
                  </c:pt>
                  <c:pt idx="28">
                    <c:v>1 тоқ 2012</c:v>
                  </c:pt>
                  <c:pt idx="29">
                    <c:v>2 тоқ 2012 </c:v>
                  </c:pt>
                  <c:pt idx="30">
                    <c:v>3 тоқ 2012 </c:v>
                  </c:pt>
                  <c:pt idx="31">
                    <c:v>4 тоқ 2012 </c:v>
                  </c:pt>
                  <c:pt idx="32">
                    <c:v>1 тоқ 2013 </c:v>
                  </c:pt>
                  <c:pt idx="33">
                    <c:v>2 тоқ 2013 </c:v>
                  </c:pt>
                  <c:pt idx="34">
                    <c:v>3 тоқ 2013 </c:v>
                  </c:pt>
                  <c:pt idx="35">
                    <c:v>4 тоқ 2013 </c:v>
                  </c:pt>
                  <c:pt idx="36">
                    <c:v>1 тоқ 2014 </c:v>
                  </c:pt>
                  <c:pt idx="37">
                    <c:v>2 тоқ 2014 </c:v>
                  </c:pt>
                  <c:pt idx="38">
                    <c:v>3 тоқ 2014</c:v>
                  </c:pt>
                  <c:pt idx="39">
                    <c:v>4 тоқ 2014 </c:v>
                  </c:pt>
                  <c:pt idx="40">
                    <c:v>1 тоқ 2015 </c:v>
                  </c:pt>
                  <c:pt idx="42">
                    <c:v>1 тоқ 2012</c:v>
                  </c:pt>
                  <c:pt idx="43">
                    <c:v>2 тоқ 2012 </c:v>
                  </c:pt>
                  <c:pt idx="44">
                    <c:v>3 тоқ 2012 </c:v>
                  </c:pt>
                  <c:pt idx="45">
                    <c:v>4 тоқ 2012 </c:v>
                  </c:pt>
                  <c:pt idx="46">
                    <c:v>1 тоқ 2013 </c:v>
                  </c:pt>
                  <c:pt idx="47">
                    <c:v>2 тоқ 2013 </c:v>
                  </c:pt>
                  <c:pt idx="48">
                    <c:v>3 тоқ 2013 </c:v>
                  </c:pt>
                  <c:pt idx="49">
                    <c:v>4 тоқ 2013 </c:v>
                  </c:pt>
                  <c:pt idx="50">
                    <c:v>1 тоқ 2014 </c:v>
                  </c:pt>
                  <c:pt idx="51">
                    <c:v>2 тоқ 2014 </c:v>
                  </c:pt>
                  <c:pt idx="52">
                    <c:v>3 тоқ 2014</c:v>
                  </c:pt>
                  <c:pt idx="53">
                    <c:v>4 тоқ 2014 </c:v>
                  </c:pt>
                  <c:pt idx="54">
                    <c:v>1 тоқ 2015 </c:v>
                  </c:pt>
                </c:lvl>
                <c:lvl>
                  <c:pt idx="0">
                    <c:v>Тұтастай алғанда қаржылық емес ұйымдар</c:v>
                  </c:pt>
                  <c:pt idx="14">
                    <c:v>Ірі бизнес</c:v>
                  </c:pt>
                  <c:pt idx="28">
                    <c:v>Орта бизнес</c:v>
                  </c:pt>
                  <c:pt idx="42">
                    <c:v>Шағын бизнес</c:v>
                  </c:pt>
                </c:lvl>
              </c:multiLvlStrCache>
            </c:multiLvlStrRef>
          </c:cat>
          <c:val>
            <c:numRef>
              <c:f>'Ожид-факт_корп (3)'!$B$28:$BD$28</c:f>
              <c:numCache>
                <c:formatCode>0.00%</c:formatCode>
                <c:ptCount val="55"/>
                <c:pt idx="0">
                  <c:v>5.8823529411764712E-2</c:v>
                </c:pt>
                <c:pt idx="1">
                  <c:v>5.8823529411764705E-2</c:v>
                </c:pt>
                <c:pt idx="2">
                  <c:v>-5.8823529411764712E-2</c:v>
                </c:pt>
                <c:pt idx="3">
                  <c:v>-2.9411764705882353E-2</c:v>
                </c:pt>
                <c:pt idx="4">
                  <c:v>-2.9411764705882353E-2</c:v>
                </c:pt>
                <c:pt idx="5">
                  <c:v>2.9411764705882353E-2</c:v>
                </c:pt>
                <c:pt idx="6">
                  <c:v>8.8235294117647065E-2</c:v>
                </c:pt>
                <c:pt idx="7">
                  <c:v>-5.8823529411764712E-2</c:v>
                </c:pt>
                <c:pt idx="8">
                  <c:v>-2.9411764705882346E-2</c:v>
                </c:pt>
                <c:pt idx="9">
                  <c:v>-2.9411764705882359E-2</c:v>
                </c:pt>
                <c:pt idx="10">
                  <c:v>0</c:v>
                </c:pt>
                <c:pt idx="11">
                  <c:v>0</c:v>
                </c:pt>
                <c:pt idx="14">
                  <c:v>6.0606060606060608E-2</c:v>
                </c:pt>
                <c:pt idx="15">
                  <c:v>6.0606060606060608E-2</c:v>
                </c:pt>
                <c:pt idx="16">
                  <c:v>-2.9411764705882353E-2</c:v>
                </c:pt>
                <c:pt idx="17">
                  <c:v>-5.8823529411764705E-2</c:v>
                </c:pt>
                <c:pt idx="18">
                  <c:v>-5.8823529411764705E-2</c:v>
                </c:pt>
                <c:pt idx="19">
                  <c:v>0</c:v>
                </c:pt>
                <c:pt idx="20">
                  <c:v>5.8823529411764705E-2</c:v>
                </c:pt>
                <c:pt idx="21">
                  <c:v>0</c:v>
                </c:pt>
                <c:pt idx="22">
                  <c:v>0</c:v>
                </c:pt>
                <c:pt idx="23">
                  <c:v>0</c:v>
                </c:pt>
                <c:pt idx="24">
                  <c:v>0</c:v>
                </c:pt>
                <c:pt idx="25">
                  <c:v>0</c:v>
                </c:pt>
                <c:pt idx="28">
                  <c:v>6.4516129032258063E-2</c:v>
                </c:pt>
                <c:pt idx="29">
                  <c:v>9.6774193548387094E-2</c:v>
                </c:pt>
                <c:pt idx="30">
                  <c:v>-3.2258064516129031E-2</c:v>
                </c:pt>
                <c:pt idx="31">
                  <c:v>0</c:v>
                </c:pt>
                <c:pt idx="32">
                  <c:v>-3.2258064516129031E-2</c:v>
                </c:pt>
                <c:pt idx="33">
                  <c:v>3.2258064516129031E-2</c:v>
                </c:pt>
                <c:pt idx="34">
                  <c:v>9.375E-2</c:v>
                </c:pt>
                <c:pt idx="35">
                  <c:v>-6.25E-2</c:v>
                </c:pt>
                <c:pt idx="36">
                  <c:v>-6.25E-2</c:v>
                </c:pt>
                <c:pt idx="37">
                  <c:v>-9.375E-2</c:v>
                </c:pt>
                <c:pt idx="38">
                  <c:v>3.2258064516129031E-2</c:v>
                </c:pt>
                <c:pt idx="39">
                  <c:v>-0.125</c:v>
                </c:pt>
                <c:pt idx="42">
                  <c:v>0</c:v>
                </c:pt>
                <c:pt idx="43">
                  <c:v>6.6666666666666666E-2</c:v>
                </c:pt>
                <c:pt idx="44">
                  <c:v>-6.666666666666668E-2</c:v>
                </c:pt>
                <c:pt idx="45">
                  <c:v>3.3333333333333333E-2</c:v>
                </c:pt>
                <c:pt idx="46">
                  <c:v>0</c:v>
                </c:pt>
                <c:pt idx="47">
                  <c:v>-3.3333333333333333E-2</c:v>
                </c:pt>
                <c:pt idx="48">
                  <c:v>6.666666666666668E-2</c:v>
                </c:pt>
                <c:pt idx="49">
                  <c:v>-3.333333333333334E-2</c:v>
                </c:pt>
                <c:pt idx="50">
                  <c:v>-3.3333333333333326E-2</c:v>
                </c:pt>
                <c:pt idx="51">
                  <c:v>0</c:v>
                </c:pt>
                <c:pt idx="52">
                  <c:v>3.2258064516129031E-2</c:v>
                </c:pt>
                <c:pt idx="53">
                  <c:v>-0.12903225806451613</c:v>
                </c:pt>
              </c:numCache>
            </c:numRef>
          </c:val>
          <c:smooth val="0"/>
        </c:ser>
        <c:ser>
          <c:idx val="1"/>
          <c:order val="1"/>
          <c:tx>
            <c:strRef>
              <c:f>'Ожид-факт_корп (3)'!$A$29</c:f>
              <c:strCache>
                <c:ptCount val="1"/>
                <c:pt idx="0">
                  <c:v>Күту</c:v>
                </c:pt>
              </c:strCache>
            </c:strRef>
          </c:tx>
          <c:spPr>
            <a:ln>
              <a:solidFill>
                <a:schemeClr val="accent2"/>
              </a:solidFill>
            </a:ln>
          </c:spPr>
          <c:marker>
            <c:symbol val="none"/>
          </c:marker>
          <c:cat>
            <c:multiLvlStrRef>
              <c:f>'Ожид-факт_корп (3)'!$B$26:$BD$27</c:f>
              <c:multiLvlStrCache>
                <c:ptCount val="55"/>
                <c:lvl>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pt idx="12">
                    <c:v>1 тоқ 2015 </c:v>
                  </c:pt>
                  <c:pt idx="14">
                    <c:v>1 тоқ 2012</c:v>
                  </c:pt>
                  <c:pt idx="15">
                    <c:v>2 тоқ 2012 </c:v>
                  </c:pt>
                  <c:pt idx="16">
                    <c:v>3 тоқ 2012 </c:v>
                  </c:pt>
                  <c:pt idx="17">
                    <c:v>4 тоқ 2012 </c:v>
                  </c:pt>
                  <c:pt idx="18">
                    <c:v>1 тоқ 2013 </c:v>
                  </c:pt>
                  <c:pt idx="19">
                    <c:v>2 тоқ 2013 </c:v>
                  </c:pt>
                  <c:pt idx="20">
                    <c:v>3 тоқ 2013 </c:v>
                  </c:pt>
                  <c:pt idx="21">
                    <c:v>4 тоқ 2013 </c:v>
                  </c:pt>
                  <c:pt idx="22">
                    <c:v>1 тоқ 2014 </c:v>
                  </c:pt>
                  <c:pt idx="23">
                    <c:v>2 тоқ 2014 </c:v>
                  </c:pt>
                  <c:pt idx="24">
                    <c:v>3 тоқ 2014</c:v>
                  </c:pt>
                  <c:pt idx="25">
                    <c:v>4 тоқ 2014 </c:v>
                  </c:pt>
                  <c:pt idx="26">
                    <c:v>1 тоқ 2015 </c:v>
                  </c:pt>
                  <c:pt idx="28">
                    <c:v>1 тоқ 2012</c:v>
                  </c:pt>
                  <c:pt idx="29">
                    <c:v>2 тоқ 2012 </c:v>
                  </c:pt>
                  <c:pt idx="30">
                    <c:v>3 тоқ 2012 </c:v>
                  </c:pt>
                  <c:pt idx="31">
                    <c:v>4 тоқ 2012 </c:v>
                  </c:pt>
                  <c:pt idx="32">
                    <c:v>1 тоқ 2013 </c:v>
                  </c:pt>
                  <c:pt idx="33">
                    <c:v>2 тоқ 2013 </c:v>
                  </c:pt>
                  <c:pt idx="34">
                    <c:v>3 тоқ 2013 </c:v>
                  </c:pt>
                  <c:pt idx="35">
                    <c:v>4 тоқ 2013 </c:v>
                  </c:pt>
                  <c:pt idx="36">
                    <c:v>1 тоқ 2014 </c:v>
                  </c:pt>
                  <c:pt idx="37">
                    <c:v>2 тоқ 2014 </c:v>
                  </c:pt>
                  <c:pt idx="38">
                    <c:v>3 тоқ 2014</c:v>
                  </c:pt>
                  <c:pt idx="39">
                    <c:v>4 тоқ 2014 </c:v>
                  </c:pt>
                  <c:pt idx="40">
                    <c:v>1 тоқ 2015 </c:v>
                  </c:pt>
                  <c:pt idx="42">
                    <c:v>1 тоқ 2012</c:v>
                  </c:pt>
                  <c:pt idx="43">
                    <c:v>2 тоқ 2012 </c:v>
                  </c:pt>
                  <c:pt idx="44">
                    <c:v>3 тоқ 2012 </c:v>
                  </c:pt>
                  <c:pt idx="45">
                    <c:v>4 тоқ 2012 </c:v>
                  </c:pt>
                  <c:pt idx="46">
                    <c:v>1 тоқ 2013 </c:v>
                  </c:pt>
                  <c:pt idx="47">
                    <c:v>2 тоқ 2013 </c:v>
                  </c:pt>
                  <c:pt idx="48">
                    <c:v>3 тоқ 2013 </c:v>
                  </c:pt>
                  <c:pt idx="49">
                    <c:v>4 тоқ 2013 </c:v>
                  </c:pt>
                  <c:pt idx="50">
                    <c:v>1 тоқ 2014 </c:v>
                  </c:pt>
                  <c:pt idx="51">
                    <c:v>2 тоқ 2014 </c:v>
                  </c:pt>
                  <c:pt idx="52">
                    <c:v>3 тоқ 2014</c:v>
                  </c:pt>
                  <c:pt idx="53">
                    <c:v>4 тоқ 2014 </c:v>
                  </c:pt>
                  <c:pt idx="54">
                    <c:v>1 тоқ 2015 </c:v>
                  </c:pt>
                </c:lvl>
                <c:lvl>
                  <c:pt idx="0">
                    <c:v>Тұтастай алғанда қаржылық емес ұйымдар</c:v>
                  </c:pt>
                  <c:pt idx="14">
                    <c:v>Ірі бизнес</c:v>
                  </c:pt>
                  <c:pt idx="28">
                    <c:v>Орта бизнес</c:v>
                  </c:pt>
                  <c:pt idx="42">
                    <c:v>Шағын бизнес</c:v>
                  </c:pt>
                </c:lvl>
              </c:multiLvlStrCache>
            </c:multiLvlStrRef>
          </c:cat>
          <c:val>
            <c:numRef>
              <c:f>'Ожид-факт_корп (3)'!$B$29:$BD$29</c:f>
              <c:numCache>
                <c:formatCode>0.00%</c:formatCode>
                <c:ptCount val="55"/>
                <c:pt idx="0">
                  <c:v>3.0303030303030304E-2</c:v>
                </c:pt>
                <c:pt idx="1">
                  <c:v>-2.9411764705882353E-2</c:v>
                </c:pt>
                <c:pt idx="2">
                  <c:v>8.8235294117647051E-2</c:v>
                </c:pt>
                <c:pt idx="3">
                  <c:v>0</c:v>
                </c:pt>
                <c:pt idx="4">
                  <c:v>-2.9411764705882353E-2</c:v>
                </c:pt>
                <c:pt idx="5">
                  <c:v>-2.9411764705882353E-2</c:v>
                </c:pt>
                <c:pt idx="6">
                  <c:v>8.8235294117647065E-2</c:v>
                </c:pt>
                <c:pt idx="7">
                  <c:v>-0.11764705882352941</c:v>
                </c:pt>
                <c:pt idx="8">
                  <c:v>-2.9411764705882359E-2</c:v>
                </c:pt>
                <c:pt idx="9">
                  <c:v>-2.9411764705882353E-2</c:v>
                </c:pt>
                <c:pt idx="10">
                  <c:v>0</c:v>
                </c:pt>
                <c:pt idx="11">
                  <c:v>5.8823529411764705E-2</c:v>
                </c:pt>
                <c:pt idx="12">
                  <c:v>-0.1764705882352941</c:v>
                </c:pt>
                <c:pt idx="14">
                  <c:v>5.8823529411764705E-2</c:v>
                </c:pt>
                <c:pt idx="15">
                  <c:v>-5.8823529411764705E-2</c:v>
                </c:pt>
                <c:pt idx="16">
                  <c:v>5.8823529411764712E-2</c:v>
                </c:pt>
                <c:pt idx="17">
                  <c:v>5.8823529411764705E-2</c:v>
                </c:pt>
                <c:pt idx="18">
                  <c:v>-2.9411764705882353E-2</c:v>
                </c:pt>
                <c:pt idx="19">
                  <c:v>-2.9411764705882353E-2</c:v>
                </c:pt>
                <c:pt idx="20">
                  <c:v>5.8823529411764705E-2</c:v>
                </c:pt>
                <c:pt idx="21">
                  <c:v>0</c:v>
                </c:pt>
                <c:pt idx="22">
                  <c:v>-5.8823529411764712E-2</c:v>
                </c:pt>
                <c:pt idx="23">
                  <c:v>-2.9411764705882353E-2</c:v>
                </c:pt>
                <c:pt idx="24">
                  <c:v>0</c:v>
                </c:pt>
                <c:pt idx="25">
                  <c:v>2.9411764705882353E-2</c:v>
                </c:pt>
                <c:pt idx="26">
                  <c:v>-0.20588235294117646</c:v>
                </c:pt>
                <c:pt idx="28">
                  <c:v>0</c:v>
                </c:pt>
                <c:pt idx="29">
                  <c:v>0</c:v>
                </c:pt>
                <c:pt idx="30">
                  <c:v>9.6774193548387094E-2</c:v>
                </c:pt>
                <c:pt idx="31">
                  <c:v>0</c:v>
                </c:pt>
                <c:pt idx="32">
                  <c:v>-3.2258064516129031E-2</c:v>
                </c:pt>
                <c:pt idx="33">
                  <c:v>-3.2258064516129031E-2</c:v>
                </c:pt>
                <c:pt idx="34">
                  <c:v>9.6774193548387094E-2</c:v>
                </c:pt>
                <c:pt idx="35">
                  <c:v>-6.25E-2</c:v>
                </c:pt>
                <c:pt idx="36">
                  <c:v>-3.125E-2</c:v>
                </c:pt>
                <c:pt idx="37">
                  <c:v>-3.125E-2</c:v>
                </c:pt>
                <c:pt idx="38">
                  <c:v>0</c:v>
                </c:pt>
                <c:pt idx="39">
                  <c:v>3.2258064516129031E-2</c:v>
                </c:pt>
                <c:pt idx="40">
                  <c:v>-0.28125</c:v>
                </c:pt>
                <c:pt idx="42">
                  <c:v>-6.6666666666666666E-2</c:v>
                </c:pt>
                <c:pt idx="43">
                  <c:v>0</c:v>
                </c:pt>
                <c:pt idx="44">
                  <c:v>0.1</c:v>
                </c:pt>
                <c:pt idx="45">
                  <c:v>3.3333333333333333E-2</c:v>
                </c:pt>
                <c:pt idx="46">
                  <c:v>3.3333333333333333E-2</c:v>
                </c:pt>
                <c:pt idx="47">
                  <c:v>-3.3333333333333333E-2</c:v>
                </c:pt>
                <c:pt idx="48">
                  <c:v>6.666666666666668E-2</c:v>
                </c:pt>
                <c:pt idx="49">
                  <c:v>-6.666666666666668E-2</c:v>
                </c:pt>
                <c:pt idx="50">
                  <c:v>-3.333333333333334E-2</c:v>
                </c:pt>
                <c:pt idx="51">
                  <c:v>-3.3333333333333333E-2</c:v>
                </c:pt>
                <c:pt idx="52">
                  <c:v>6.6666666666666666E-2</c:v>
                </c:pt>
                <c:pt idx="53">
                  <c:v>0</c:v>
                </c:pt>
                <c:pt idx="54">
                  <c:v>-0.29032258064516125</c:v>
                </c:pt>
              </c:numCache>
            </c:numRef>
          </c:val>
          <c:smooth val="0"/>
        </c:ser>
        <c:dLbls>
          <c:showLegendKey val="0"/>
          <c:showVal val="0"/>
          <c:showCatName val="0"/>
          <c:showSerName val="0"/>
          <c:showPercent val="0"/>
          <c:showBubbleSize val="0"/>
        </c:dLbls>
        <c:marker val="1"/>
        <c:smooth val="0"/>
        <c:axId val="173262720"/>
        <c:axId val="173264256"/>
      </c:lineChart>
      <c:catAx>
        <c:axId val="173262720"/>
        <c:scaling>
          <c:orientation val="minMax"/>
        </c:scaling>
        <c:delete val="0"/>
        <c:axPos val="b"/>
        <c:numFmt formatCode="General" sourceLinked="1"/>
        <c:majorTickMark val="out"/>
        <c:minorTickMark val="none"/>
        <c:tickLblPos val="low"/>
        <c:txPr>
          <a:bodyPr rot="-5400000" vert="horz"/>
          <a:lstStyle/>
          <a:p>
            <a:pPr>
              <a:defRPr sz="800" b="0" i="0" u="none" strike="noStrike" baseline="0">
                <a:solidFill>
                  <a:srgbClr val="000000"/>
                </a:solidFill>
                <a:latin typeface="Times New Roman"/>
                <a:ea typeface="Times New Roman"/>
                <a:cs typeface="Times New Roman"/>
              </a:defRPr>
            </a:pPr>
            <a:endParaRPr lang="ru-RU"/>
          </a:p>
        </c:txPr>
        <c:crossAx val="173264256"/>
        <c:crosses val="autoZero"/>
        <c:auto val="1"/>
        <c:lblAlgn val="ctr"/>
        <c:lblOffset val="100"/>
        <c:tickLblSkip val="1"/>
        <c:noMultiLvlLbl val="0"/>
      </c:catAx>
      <c:valAx>
        <c:axId val="173264256"/>
        <c:scaling>
          <c:orientation val="minMax"/>
          <c:max val="0.15000000000000002"/>
        </c:scaling>
        <c:delete val="0"/>
        <c:axPos val="l"/>
        <c:majorGridlines>
          <c:spPr>
            <a:ln>
              <a:prstDash val="dash"/>
            </a:ln>
          </c:spPr>
        </c:majorGridlines>
        <c:numFmt formatCode="0%" sourceLinked="0"/>
        <c:majorTickMark val="out"/>
        <c:minorTickMark val="none"/>
        <c:tickLblPos val="nextTo"/>
        <c:txPr>
          <a:bodyPr rot="0" vert="horz"/>
          <a:lstStyle/>
          <a:p>
            <a:pPr>
              <a:defRPr sz="900" b="0" i="0" u="none" strike="noStrike" baseline="0">
                <a:solidFill>
                  <a:srgbClr val="000000"/>
                </a:solidFill>
                <a:latin typeface="Times New Roman"/>
                <a:ea typeface="Times New Roman"/>
                <a:cs typeface="Times New Roman"/>
              </a:defRPr>
            </a:pPr>
            <a:endParaRPr lang="ru-RU"/>
          </a:p>
        </c:txPr>
        <c:crossAx val="173262720"/>
        <c:crosses val="autoZero"/>
        <c:crossBetween val="between"/>
        <c:majorUnit val="5.000000000000001E-2"/>
      </c:valAx>
    </c:plotArea>
    <c:legend>
      <c:legendPos val="b"/>
      <c:layout>
        <c:manualLayout>
          <c:xMode val="edge"/>
          <c:yMode val="edge"/>
          <c:x val="0.34132238099867146"/>
          <c:y val="0.91974765654293211"/>
          <c:w val="0.25122452286056834"/>
          <c:h val="7.530333708286463E-2"/>
        </c:manualLayout>
      </c:layout>
      <c:overlay val="0"/>
      <c:txPr>
        <a:bodyPr/>
        <a:lstStyle/>
        <a:p>
          <a:pPr>
            <a:defRPr sz="8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ln>
      <a:noFill/>
    </a:ln>
  </c:spPr>
  <c:txPr>
    <a:bodyPr/>
    <a:lstStyle/>
    <a:p>
      <a:pPr>
        <a:defRPr sz="8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353820475900144E-2"/>
          <c:y val="5.5133544454015561E-2"/>
          <c:w val="0.91082062656833529"/>
          <c:h val="0.71952264290369494"/>
        </c:manualLayout>
      </c:layout>
      <c:barChart>
        <c:barDir val="col"/>
        <c:grouping val="clustered"/>
        <c:varyColors val="0"/>
        <c:ser>
          <c:idx val="0"/>
          <c:order val="0"/>
          <c:tx>
            <c:strRef>
              <c:f>'Ожид-факт_корп (3)'!$A$52</c:f>
              <c:strCache>
                <c:ptCount val="1"/>
                <c:pt idx="0">
                  <c:v>Теңгемен қысқамерзімді қарыздар</c:v>
                </c:pt>
              </c:strCache>
            </c:strRef>
          </c:tx>
          <c:invertIfNegative val="0"/>
          <c:cat>
            <c:strRef>
              <c:f>'Ожид-факт_корп (3)'!$B$51:$M$51</c:f>
              <c:strCache>
                <c:ptCount val="12"/>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strCache>
            </c:strRef>
          </c:cat>
          <c:val>
            <c:numRef>
              <c:f>'Ожид-факт_корп (3)'!$B$52:$M$52</c:f>
              <c:numCache>
                <c:formatCode>0.00%</c:formatCode>
                <c:ptCount val="12"/>
                <c:pt idx="0">
                  <c:v>0.38235294117647056</c:v>
                </c:pt>
                <c:pt idx="1">
                  <c:v>0.26470588235294118</c:v>
                </c:pt>
                <c:pt idx="2">
                  <c:v>0.41176470588235292</c:v>
                </c:pt>
                <c:pt idx="3">
                  <c:v>0.20588235294117649</c:v>
                </c:pt>
                <c:pt idx="4">
                  <c:v>0.38235294117647056</c:v>
                </c:pt>
                <c:pt idx="5">
                  <c:v>0.26470588235294118</c:v>
                </c:pt>
                <c:pt idx="6">
                  <c:v>0.26470588235294118</c:v>
                </c:pt>
                <c:pt idx="7">
                  <c:v>0.23529411764705882</c:v>
                </c:pt>
                <c:pt idx="8">
                  <c:v>0.17647058823529413</c:v>
                </c:pt>
                <c:pt idx="9">
                  <c:v>0.1764705882352941</c:v>
                </c:pt>
                <c:pt idx="10">
                  <c:v>0.23529411764705882</c:v>
                </c:pt>
                <c:pt idx="11">
                  <c:v>0.17142857142857146</c:v>
                </c:pt>
              </c:numCache>
            </c:numRef>
          </c:val>
        </c:ser>
        <c:ser>
          <c:idx val="2"/>
          <c:order val="2"/>
          <c:tx>
            <c:strRef>
              <c:f>'Ожид-факт_корп (3)'!$A$54</c:f>
              <c:strCache>
                <c:ptCount val="1"/>
                <c:pt idx="0">
                  <c:v>Теңгемен ұзақмерзімді қарыздар</c:v>
                </c:pt>
              </c:strCache>
            </c:strRef>
          </c:tx>
          <c:invertIfNegative val="0"/>
          <c:cat>
            <c:strRef>
              <c:f>'Ожид-факт_корп (3)'!$B$51:$M$51</c:f>
              <c:strCache>
                <c:ptCount val="12"/>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strCache>
            </c:strRef>
          </c:cat>
          <c:val>
            <c:numRef>
              <c:f>'Ожид-факт_корп (3)'!$B$54:$M$54</c:f>
              <c:numCache>
                <c:formatCode>0.00%</c:formatCode>
                <c:ptCount val="12"/>
                <c:pt idx="0">
                  <c:v>0.29411764705882354</c:v>
                </c:pt>
                <c:pt idx="1">
                  <c:v>0.41176470588235292</c:v>
                </c:pt>
                <c:pt idx="2">
                  <c:v>0.41176470588235292</c:v>
                </c:pt>
                <c:pt idx="3">
                  <c:v>0.3235294117647059</c:v>
                </c:pt>
                <c:pt idx="4">
                  <c:v>0.3235294117647059</c:v>
                </c:pt>
                <c:pt idx="5">
                  <c:v>0.26470588235294118</c:v>
                </c:pt>
                <c:pt idx="6">
                  <c:v>0.29411764705882354</c:v>
                </c:pt>
                <c:pt idx="7">
                  <c:v>0.26470588235294118</c:v>
                </c:pt>
                <c:pt idx="8">
                  <c:v>0.23529411764705882</c:v>
                </c:pt>
                <c:pt idx="9">
                  <c:v>0.3235294117647059</c:v>
                </c:pt>
                <c:pt idx="10">
                  <c:v>0.3235294117647059</c:v>
                </c:pt>
                <c:pt idx="11">
                  <c:v>0.2</c:v>
                </c:pt>
              </c:numCache>
            </c:numRef>
          </c:val>
        </c:ser>
        <c:dLbls>
          <c:showLegendKey val="0"/>
          <c:showVal val="0"/>
          <c:showCatName val="0"/>
          <c:showSerName val="0"/>
          <c:showPercent val="0"/>
          <c:showBubbleSize val="0"/>
        </c:dLbls>
        <c:gapWidth val="150"/>
        <c:axId val="173331968"/>
        <c:axId val="173333504"/>
      </c:barChart>
      <c:lineChart>
        <c:grouping val="standard"/>
        <c:varyColors val="0"/>
        <c:ser>
          <c:idx val="1"/>
          <c:order val="1"/>
          <c:tx>
            <c:strRef>
              <c:f>'Ожид-факт_корп (3)'!$A$53</c:f>
              <c:strCache>
                <c:ptCount val="1"/>
                <c:pt idx="0">
                  <c:v>Шетел валютасындағы қысқамерзімді қарыздар</c:v>
                </c:pt>
              </c:strCache>
            </c:strRef>
          </c:tx>
          <c:cat>
            <c:strRef>
              <c:f>'Ожид-факт_корп (3)'!$B$51:$M$51</c:f>
              <c:strCache>
                <c:ptCount val="12"/>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strCache>
            </c:strRef>
          </c:cat>
          <c:val>
            <c:numRef>
              <c:f>'Ожид-факт_корп (3)'!$B$53:$M$53</c:f>
              <c:numCache>
                <c:formatCode>0.00%</c:formatCode>
                <c:ptCount val="12"/>
                <c:pt idx="0">
                  <c:v>9.6774193548387094E-2</c:v>
                </c:pt>
                <c:pt idx="1">
                  <c:v>6.4516129032258063E-2</c:v>
                </c:pt>
                <c:pt idx="2">
                  <c:v>0.12903225806451613</c:v>
                </c:pt>
                <c:pt idx="3">
                  <c:v>9.9999999999999992E-2</c:v>
                </c:pt>
                <c:pt idx="4">
                  <c:v>0.16129032258064516</c:v>
                </c:pt>
                <c:pt idx="5">
                  <c:v>9.6774193548387094E-2</c:v>
                </c:pt>
                <c:pt idx="6">
                  <c:v>0.15625</c:v>
                </c:pt>
                <c:pt idx="7">
                  <c:v>-9.0909090909090912E-2</c:v>
                </c:pt>
                <c:pt idx="8">
                  <c:v>3.0303030303030304E-2</c:v>
                </c:pt>
                <c:pt idx="9">
                  <c:v>3.0303030303030304E-2</c:v>
                </c:pt>
                <c:pt idx="10">
                  <c:v>0</c:v>
                </c:pt>
                <c:pt idx="11">
                  <c:v>0</c:v>
                </c:pt>
              </c:numCache>
            </c:numRef>
          </c:val>
          <c:smooth val="0"/>
        </c:ser>
        <c:ser>
          <c:idx val="3"/>
          <c:order val="3"/>
          <c:tx>
            <c:strRef>
              <c:f>'Ожид-факт_корп (3)'!$A$55</c:f>
              <c:strCache>
                <c:ptCount val="1"/>
                <c:pt idx="0">
                  <c:v>Шетел валютасындағы ұзақмерзімді қарыздар</c:v>
                </c:pt>
              </c:strCache>
            </c:strRef>
          </c:tx>
          <c:marker>
            <c:symbol val="circle"/>
            <c:size val="4"/>
          </c:marker>
          <c:cat>
            <c:strRef>
              <c:f>'Ожид-факт_корп (3)'!$B$51:$M$51</c:f>
              <c:strCache>
                <c:ptCount val="12"/>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strCache>
            </c:strRef>
          </c:cat>
          <c:val>
            <c:numRef>
              <c:f>'Ожид-факт_корп (3)'!$B$55:$M$55</c:f>
              <c:numCache>
                <c:formatCode>0.00%</c:formatCode>
                <c:ptCount val="12"/>
                <c:pt idx="0">
                  <c:v>0.12903225806451613</c:v>
                </c:pt>
                <c:pt idx="1">
                  <c:v>3.2258064516129031E-2</c:v>
                </c:pt>
                <c:pt idx="2">
                  <c:v>9.6774193548387094E-2</c:v>
                </c:pt>
                <c:pt idx="3">
                  <c:v>0.13333333333333336</c:v>
                </c:pt>
                <c:pt idx="4">
                  <c:v>0.12903225806451613</c:v>
                </c:pt>
                <c:pt idx="5">
                  <c:v>3.2258064516129031E-2</c:v>
                </c:pt>
                <c:pt idx="6">
                  <c:v>0.12903225806451613</c:v>
                </c:pt>
                <c:pt idx="7">
                  <c:v>3.125E-2</c:v>
                </c:pt>
                <c:pt idx="8">
                  <c:v>9.375E-2</c:v>
                </c:pt>
                <c:pt idx="9">
                  <c:v>6.25E-2</c:v>
                </c:pt>
                <c:pt idx="10">
                  <c:v>0</c:v>
                </c:pt>
                <c:pt idx="11">
                  <c:v>-3.125E-2</c:v>
                </c:pt>
              </c:numCache>
            </c:numRef>
          </c:val>
          <c:smooth val="0"/>
        </c:ser>
        <c:dLbls>
          <c:showLegendKey val="0"/>
          <c:showVal val="0"/>
          <c:showCatName val="0"/>
          <c:showSerName val="0"/>
          <c:showPercent val="0"/>
          <c:showBubbleSize val="0"/>
        </c:dLbls>
        <c:marker val="1"/>
        <c:smooth val="0"/>
        <c:axId val="173331968"/>
        <c:axId val="173333504"/>
      </c:lineChart>
      <c:catAx>
        <c:axId val="173331968"/>
        <c:scaling>
          <c:orientation val="minMax"/>
        </c:scaling>
        <c:delete val="0"/>
        <c:axPos val="b"/>
        <c:numFmt formatCode="General" sourceLinked="1"/>
        <c:majorTickMark val="out"/>
        <c:minorTickMark val="none"/>
        <c:tickLblPos val="low"/>
        <c:txPr>
          <a:bodyPr rot="0" vert="horz"/>
          <a:lstStyle/>
          <a:p>
            <a:pPr>
              <a:defRPr/>
            </a:pPr>
            <a:endParaRPr lang="ru-RU"/>
          </a:p>
        </c:txPr>
        <c:crossAx val="173333504"/>
        <c:crosses val="autoZero"/>
        <c:auto val="1"/>
        <c:lblAlgn val="ctr"/>
        <c:lblOffset val="100"/>
        <c:noMultiLvlLbl val="0"/>
      </c:catAx>
      <c:valAx>
        <c:axId val="173333504"/>
        <c:scaling>
          <c:orientation val="minMax"/>
        </c:scaling>
        <c:delete val="0"/>
        <c:axPos val="l"/>
        <c:majorGridlines>
          <c:spPr>
            <a:ln w="0" cap="rnd">
              <a:prstDash val="sysDot"/>
            </a:ln>
          </c:spPr>
        </c:majorGridlines>
        <c:numFmt formatCode="0%" sourceLinked="0"/>
        <c:majorTickMark val="out"/>
        <c:minorTickMark val="none"/>
        <c:tickLblPos val="nextTo"/>
        <c:txPr>
          <a:bodyPr rot="0" vert="horz"/>
          <a:lstStyle/>
          <a:p>
            <a:pPr>
              <a:defRPr/>
            </a:pPr>
            <a:endParaRPr lang="ru-RU"/>
          </a:p>
        </c:txPr>
        <c:crossAx val="173331968"/>
        <c:crosses val="autoZero"/>
        <c:crossBetween val="between"/>
      </c:valAx>
    </c:plotArea>
    <c:legend>
      <c:legendPos val="b"/>
      <c:layout>
        <c:manualLayout>
          <c:xMode val="edge"/>
          <c:yMode val="edge"/>
          <c:x val="6.4487520878072052E-2"/>
          <c:y val="0.89581481397919815"/>
          <c:w val="0.90626256263421623"/>
          <c:h val="7.6312223149756719E-2"/>
        </c:manualLayout>
      </c:layout>
      <c:overlay val="0"/>
    </c:legend>
    <c:plotVisOnly val="1"/>
    <c:dispBlanksAs val="gap"/>
    <c:showDLblsOverMax val="0"/>
  </c:chart>
  <c:spPr>
    <a:ln>
      <a:noFill/>
    </a:ln>
  </c:spPr>
  <c:txPr>
    <a:bodyPr/>
    <a:lstStyle/>
    <a:p>
      <a:pPr>
        <a:defRPr sz="9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669839800314057E-2"/>
          <c:y val="6.3675832127351659E-2"/>
          <c:w val="0.92690901799128866"/>
          <c:h val="0.4430425882375344"/>
        </c:manualLayout>
      </c:layout>
      <c:barChart>
        <c:barDir val="col"/>
        <c:grouping val="clustered"/>
        <c:varyColors val="0"/>
        <c:ser>
          <c:idx val="2"/>
          <c:order val="2"/>
          <c:tx>
            <c:strRef>
              <c:f>'Ожид-факт_физ (3)'!$A$8</c:f>
              <c:strCache>
                <c:ptCount val="1"/>
                <c:pt idx="0">
                  <c:v>Банктердің ұсынысы (қалауы)</c:v>
                </c:pt>
              </c:strCache>
            </c:strRef>
          </c:tx>
          <c:spPr>
            <a:gradFill flip="none" rotWithShape="1">
              <a:gsLst>
                <a:gs pos="44994">
                  <a:srgbClr val="A0B9E5"/>
                </a:gs>
                <a:gs pos="55425">
                  <a:srgbClr val="A6BDE7"/>
                </a:gs>
                <a:gs pos="49000">
                  <a:schemeClr val="accent1">
                    <a:tint val="66000"/>
                    <a:satMod val="160000"/>
                  </a:schemeClr>
                </a:gs>
                <a:gs pos="73000">
                  <a:srgbClr val="B0C5E9"/>
                </a:gs>
                <a:gs pos="83000">
                  <a:schemeClr val="accent1">
                    <a:tint val="44500"/>
                    <a:satMod val="160000"/>
                  </a:schemeClr>
                </a:gs>
                <a:gs pos="100000">
                  <a:schemeClr val="accent1">
                    <a:tint val="23500"/>
                    <a:satMod val="160000"/>
                  </a:schemeClr>
                </a:gs>
              </a:gsLst>
              <a:lin ang="18900000" scaled="1"/>
              <a:tileRect/>
            </a:gradFill>
            <a:ln w="15875"/>
          </c:spPr>
          <c:invertIfNegative val="0"/>
          <c:cat>
            <c:multiLvlStrRef>
              <c:f>'Ожид-факт_физ (3)'!$B$4:$AB$5</c:f>
              <c:multiLvlStrCache>
                <c:ptCount val="27"/>
                <c:lvl>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pt idx="12">
                    <c:v>1 тоқ 2015 </c:v>
                  </c:pt>
                  <c:pt idx="14">
                    <c:v>1 тоқ 2012</c:v>
                  </c:pt>
                  <c:pt idx="15">
                    <c:v>2 тоқ 2012 </c:v>
                  </c:pt>
                  <c:pt idx="16">
                    <c:v>3 тоқ 2012 </c:v>
                  </c:pt>
                  <c:pt idx="17">
                    <c:v>4 тоқ 2012 </c:v>
                  </c:pt>
                  <c:pt idx="18">
                    <c:v>1 тоқ 2013 </c:v>
                  </c:pt>
                  <c:pt idx="19">
                    <c:v>2 тоқ 2013 </c:v>
                  </c:pt>
                  <c:pt idx="20">
                    <c:v>3 тоқ 2013 </c:v>
                  </c:pt>
                  <c:pt idx="21">
                    <c:v>4 тоқ 2013 </c:v>
                  </c:pt>
                  <c:pt idx="22">
                    <c:v>1 тоқ 2014 </c:v>
                  </c:pt>
                  <c:pt idx="23">
                    <c:v>2 тоқ 2014 </c:v>
                  </c:pt>
                  <c:pt idx="24">
                    <c:v>3 тоқ 2014</c:v>
                  </c:pt>
                  <c:pt idx="25">
                    <c:v>4 тоқ 2014 </c:v>
                  </c:pt>
                  <c:pt idx="26">
                    <c:v>1 тоқ 2015 </c:v>
                  </c:pt>
                </c:lvl>
                <c:lvl>
                  <c:pt idx="0">
                    <c:v>Ипотекалық кредиттеу</c:v>
                  </c:pt>
                  <c:pt idx="14">
                    <c:v>Тұтынушылық кредиттеу</c:v>
                  </c:pt>
                </c:lvl>
              </c:multiLvlStrCache>
            </c:multiLvlStrRef>
          </c:cat>
          <c:val>
            <c:numRef>
              <c:f>'Ожид-факт_физ (3)'!$B$8:$AB$8</c:f>
              <c:numCache>
                <c:formatCode>0.00%</c:formatCode>
                <c:ptCount val="27"/>
                <c:pt idx="0">
                  <c:v>0.4</c:v>
                </c:pt>
                <c:pt idx="1">
                  <c:v>0.36666666666666664</c:v>
                </c:pt>
                <c:pt idx="2">
                  <c:v>0.41379310344827586</c:v>
                </c:pt>
                <c:pt idx="3">
                  <c:v>0.31034482758620691</c:v>
                </c:pt>
                <c:pt idx="4">
                  <c:v>0.33333333333333331</c:v>
                </c:pt>
                <c:pt idx="5">
                  <c:v>0.33333333333333331</c:v>
                </c:pt>
                <c:pt idx="6">
                  <c:v>0.16666666666666666</c:v>
                </c:pt>
                <c:pt idx="7">
                  <c:v>0.2</c:v>
                </c:pt>
                <c:pt idx="8">
                  <c:v>0.17241379310344829</c:v>
                </c:pt>
                <c:pt idx="9">
                  <c:v>3.4482758620689655E-2</c:v>
                </c:pt>
                <c:pt idx="10">
                  <c:v>0.24137931034482757</c:v>
                </c:pt>
                <c:pt idx="11">
                  <c:v>3.4482758620689655E-2</c:v>
                </c:pt>
                <c:pt idx="14">
                  <c:v>0.60606060606060619</c:v>
                </c:pt>
                <c:pt idx="15">
                  <c:v>0.51515151515151514</c:v>
                </c:pt>
                <c:pt idx="16">
                  <c:v>0.59375</c:v>
                </c:pt>
                <c:pt idx="17">
                  <c:v>0.59375</c:v>
                </c:pt>
                <c:pt idx="18">
                  <c:v>0.53125</c:v>
                </c:pt>
                <c:pt idx="19">
                  <c:v>0.53125</c:v>
                </c:pt>
                <c:pt idx="20">
                  <c:v>0.40625</c:v>
                </c:pt>
                <c:pt idx="21">
                  <c:v>0.34375</c:v>
                </c:pt>
                <c:pt idx="22">
                  <c:v>0.15625</c:v>
                </c:pt>
                <c:pt idx="23">
                  <c:v>3.0303030303030304E-2</c:v>
                </c:pt>
                <c:pt idx="24">
                  <c:v>0.21875</c:v>
                </c:pt>
                <c:pt idx="25">
                  <c:v>0.12121212121212122</c:v>
                </c:pt>
              </c:numCache>
            </c:numRef>
          </c:val>
        </c:ser>
        <c:dLbls>
          <c:showLegendKey val="0"/>
          <c:showVal val="0"/>
          <c:showCatName val="0"/>
          <c:showSerName val="0"/>
          <c:showPercent val="0"/>
          <c:showBubbleSize val="0"/>
        </c:dLbls>
        <c:gapWidth val="150"/>
        <c:axId val="173337984"/>
        <c:axId val="173378176"/>
      </c:barChart>
      <c:lineChart>
        <c:grouping val="standard"/>
        <c:varyColors val="0"/>
        <c:ser>
          <c:idx val="0"/>
          <c:order val="0"/>
          <c:tx>
            <c:strRef>
              <c:f>'Ожид-факт_физ (3)'!$A$6</c:f>
              <c:strCache>
                <c:ptCount val="1"/>
                <c:pt idx="0">
                  <c:v>Сұраныс_факт</c:v>
                </c:pt>
              </c:strCache>
            </c:strRef>
          </c:tx>
          <c:spPr>
            <a:ln w="31750"/>
          </c:spPr>
          <c:marker>
            <c:symbol val="none"/>
          </c:marker>
          <c:cat>
            <c:multiLvlStrRef>
              <c:f>'Ожид-факт_физ (3)'!$B$4:$AB$5</c:f>
              <c:multiLvlStrCache>
                <c:ptCount val="27"/>
                <c:lvl>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pt idx="12">
                    <c:v>1 тоқ 2015 </c:v>
                  </c:pt>
                  <c:pt idx="14">
                    <c:v>1 тоқ 2012</c:v>
                  </c:pt>
                  <c:pt idx="15">
                    <c:v>2 тоқ 2012 </c:v>
                  </c:pt>
                  <c:pt idx="16">
                    <c:v>3 тоқ 2012 </c:v>
                  </c:pt>
                  <c:pt idx="17">
                    <c:v>4 тоқ 2012 </c:v>
                  </c:pt>
                  <c:pt idx="18">
                    <c:v>1 тоқ 2013 </c:v>
                  </c:pt>
                  <c:pt idx="19">
                    <c:v>2 тоқ 2013 </c:v>
                  </c:pt>
                  <c:pt idx="20">
                    <c:v>3 тоқ 2013 </c:v>
                  </c:pt>
                  <c:pt idx="21">
                    <c:v>4 тоқ 2013 </c:v>
                  </c:pt>
                  <c:pt idx="22">
                    <c:v>1 тоқ 2014 </c:v>
                  </c:pt>
                  <c:pt idx="23">
                    <c:v>2 тоқ 2014 </c:v>
                  </c:pt>
                  <c:pt idx="24">
                    <c:v>3 тоқ 2014</c:v>
                  </c:pt>
                  <c:pt idx="25">
                    <c:v>4 тоқ 2014 </c:v>
                  </c:pt>
                  <c:pt idx="26">
                    <c:v>1 тоқ 2015 </c:v>
                  </c:pt>
                </c:lvl>
                <c:lvl>
                  <c:pt idx="0">
                    <c:v>Ипотекалық кредиттеу</c:v>
                  </c:pt>
                  <c:pt idx="14">
                    <c:v>Тұтынушылық кредиттеу</c:v>
                  </c:pt>
                </c:lvl>
              </c:multiLvlStrCache>
            </c:multiLvlStrRef>
          </c:cat>
          <c:val>
            <c:numRef>
              <c:f>'Ожид-факт_физ (3)'!$B$6:$AB$6</c:f>
              <c:numCache>
                <c:formatCode>0.00%</c:formatCode>
                <c:ptCount val="27"/>
                <c:pt idx="0">
                  <c:v>0.16666666666666666</c:v>
                </c:pt>
                <c:pt idx="1">
                  <c:v>0.43333333333333335</c:v>
                </c:pt>
                <c:pt idx="2">
                  <c:v>0.20689655172413796</c:v>
                </c:pt>
                <c:pt idx="3">
                  <c:v>0.34482758620689657</c:v>
                </c:pt>
                <c:pt idx="4">
                  <c:v>0.1</c:v>
                </c:pt>
                <c:pt idx="5">
                  <c:v>0.33333333333333331</c:v>
                </c:pt>
                <c:pt idx="6">
                  <c:v>0.19999999999999998</c:v>
                </c:pt>
                <c:pt idx="7">
                  <c:v>0.33333333333333337</c:v>
                </c:pt>
                <c:pt idx="8">
                  <c:v>-0.13793103448275859</c:v>
                </c:pt>
                <c:pt idx="9">
                  <c:v>0.24137931034482762</c:v>
                </c:pt>
                <c:pt idx="10">
                  <c:v>0.2413793103448276</c:v>
                </c:pt>
                <c:pt idx="11">
                  <c:v>0.20689655172413796</c:v>
                </c:pt>
                <c:pt idx="14">
                  <c:v>0.27272727272727271</c:v>
                </c:pt>
                <c:pt idx="15">
                  <c:v>0.63636363636363646</c:v>
                </c:pt>
                <c:pt idx="16">
                  <c:v>0.59375</c:v>
                </c:pt>
                <c:pt idx="17">
                  <c:v>0.6875</c:v>
                </c:pt>
                <c:pt idx="18">
                  <c:v>0.34375</c:v>
                </c:pt>
                <c:pt idx="19">
                  <c:v>0.53125</c:v>
                </c:pt>
                <c:pt idx="20">
                  <c:v>0.40625</c:v>
                </c:pt>
                <c:pt idx="21">
                  <c:v>0.34375</c:v>
                </c:pt>
                <c:pt idx="22">
                  <c:v>-0.1875</c:v>
                </c:pt>
                <c:pt idx="23">
                  <c:v>0.12121212121212119</c:v>
                </c:pt>
                <c:pt idx="24">
                  <c:v>6.060606060606058E-2</c:v>
                </c:pt>
                <c:pt idx="25">
                  <c:v>0.1818181818181818</c:v>
                </c:pt>
              </c:numCache>
            </c:numRef>
          </c:val>
          <c:smooth val="0"/>
        </c:ser>
        <c:ser>
          <c:idx val="1"/>
          <c:order val="1"/>
          <c:tx>
            <c:strRef>
              <c:f>'Ожид-факт_физ (3)'!$A$7</c:f>
              <c:strCache>
                <c:ptCount val="1"/>
                <c:pt idx="0">
                  <c:v>Сұраныс_күту</c:v>
                </c:pt>
              </c:strCache>
            </c:strRef>
          </c:tx>
          <c:spPr>
            <a:ln w="31750"/>
          </c:spPr>
          <c:marker>
            <c:symbol val="none"/>
          </c:marker>
          <c:cat>
            <c:multiLvlStrRef>
              <c:f>'Ожид-факт_физ (3)'!$B$4:$AB$5</c:f>
              <c:multiLvlStrCache>
                <c:ptCount val="27"/>
                <c:lvl>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pt idx="12">
                    <c:v>1 тоқ 2015 </c:v>
                  </c:pt>
                  <c:pt idx="14">
                    <c:v>1 тоқ 2012</c:v>
                  </c:pt>
                  <c:pt idx="15">
                    <c:v>2 тоқ 2012 </c:v>
                  </c:pt>
                  <c:pt idx="16">
                    <c:v>3 тоқ 2012 </c:v>
                  </c:pt>
                  <c:pt idx="17">
                    <c:v>4 тоқ 2012 </c:v>
                  </c:pt>
                  <c:pt idx="18">
                    <c:v>1 тоқ 2013 </c:v>
                  </c:pt>
                  <c:pt idx="19">
                    <c:v>2 тоқ 2013 </c:v>
                  </c:pt>
                  <c:pt idx="20">
                    <c:v>3 тоқ 2013 </c:v>
                  </c:pt>
                  <c:pt idx="21">
                    <c:v>4 тоқ 2013 </c:v>
                  </c:pt>
                  <c:pt idx="22">
                    <c:v>1 тоқ 2014 </c:v>
                  </c:pt>
                  <c:pt idx="23">
                    <c:v>2 тоқ 2014 </c:v>
                  </c:pt>
                  <c:pt idx="24">
                    <c:v>3 тоқ 2014</c:v>
                  </c:pt>
                  <c:pt idx="25">
                    <c:v>4 тоқ 2014 </c:v>
                  </c:pt>
                  <c:pt idx="26">
                    <c:v>1 тоқ 2015 </c:v>
                  </c:pt>
                </c:lvl>
                <c:lvl>
                  <c:pt idx="0">
                    <c:v>Ипотекалық кредиттеу</c:v>
                  </c:pt>
                  <c:pt idx="14">
                    <c:v>Тұтынушылық кредиттеу</c:v>
                  </c:pt>
                </c:lvl>
              </c:multiLvlStrCache>
            </c:multiLvlStrRef>
          </c:cat>
          <c:val>
            <c:numRef>
              <c:f>'Ожид-факт_физ (3)'!$B$7:$AB$7</c:f>
              <c:numCache>
                <c:formatCode>0.00%</c:formatCode>
                <c:ptCount val="27"/>
                <c:pt idx="0">
                  <c:v>0.3</c:v>
                </c:pt>
                <c:pt idx="1">
                  <c:v>0.4</c:v>
                </c:pt>
                <c:pt idx="2">
                  <c:v>0.3666666666666667</c:v>
                </c:pt>
                <c:pt idx="3">
                  <c:v>0.37931034482758619</c:v>
                </c:pt>
                <c:pt idx="4">
                  <c:v>0.20689655172413796</c:v>
                </c:pt>
                <c:pt idx="5">
                  <c:v>0.43333333333333335</c:v>
                </c:pt>
                <c:pt idx="6">
                  <c:v>0.4</c:v>
                </c:pt>
                <c:pt idx="7">
                  <c:v>0.16666666666666666</c:v>
                </c:pt>
                <c:pt idx="8">
                  <c:v>0.3666666666666667</c:v>
                </c:pt>
                <c:pt idx="9">
                  <c:v>0.34482758620689652</c:v>
                </c:pt>
                <c:pt idx="10">
                  <c:v>0.17241379310344829</c:v>
                </c:pt>
                <c:pt idx="11">
                  <c:v>-6.8965517241379309E-2</c:v>
                </c:pt>
                <c:pt idx="12">
                  <c:v>3.4482758620689655E-2</c:v>
                </c:pt>
                <c:pt idx="14">
                  <c:v>0.39393939393939392</c:v>
                </c:pt>
                <c:pt idx="15">
                  <c:v>0.66666666666666674</c:v>
                </c:pt>
                <c:pt idx="16">
                  <c:v>0.60606060606060597</c:v>
                </c:pt>
                <c:pt idx="17">
                  <c:v>0.59375</c:v>
                </c:pt>
                <c:pt idx="18">
                  <c:v>0.46875</c:v>
                </c:pt>
                <c:pt idx="19">
                  <c:v>0.6875</c:v>
                </c:pt>
                <c:pt idx="20">
                  <c:v>0.5625</c:v>
                </c:pt>
                <c:pt idx="21">
                  <c:v>0.4375</c:v>
                </c:pt>
                <c:pt idx="22">
                  <c:v>0.4375</c:v>
                </c:pt>
                <c:pt idx="23">
                  <c:v>0.21875</c:v>
                </c:pt>
                <c:pt idx="24">
                  <c:v>0.24242424242424243</c:v>
                </c:pt>
                <c:pt idx="25">
                  <c:v>-9.0909090909090912E-2</c:v>
                </c:pt>
                <c:pt idx="26">
                  <c:v>-0.12121212121212122</c:v>
                </c:pt>
              </c:numCache>
            </c:numRef>
          </c:val>
          <c:smooth val="0"/>
        </c:ser>
        <c:dLbls>
          <c:showLegendKey val="0"/>
          <c:showVal val="0"/>
          <c:showCatName val="0"/>
          <c:showSerName val="0"/>
          <c:showPercent val="0"/>
          <c:showBubbleSize val="0"/>
        </c:dLbls>
        <c:marker val="1"/>
        <c:smooth val="0"/>
        <c:axId val="173337984"/>
        <c:axId val="173378176"/>
      </c:lineChart>
      <c:catAx>
        <c:axId val="173337984"/>
        <c:scaling>
          <c:orientation val="minMax"/>
        </c:scaling>
        <c:delete val="0"/>
        <c:axPos val="b"/>
        <c:numFmt formatCode="General" sourceLinked="1"/>
        <c:majorTickMark val="out"/>
        <c:minorTickMark val="none"/>
        <c:tickLblPos val="low"/>
        <c:crossAx val="173378176"/>
        <c:crosses val="autoZero"/>
        <c:auto val="1"/>
        <c:lblAlgn val="ctr"/>
        <c:lblOffset val="100"/>
        <c:noMultiLvlLbl val="0"/>
      </c:catAx>
      <c:valAx>
        <c:axId val="173378176"/>
        <c:scaling>
          <c:orientation val="minMax"/>
          <c:max val="0.9"/>
        </c:scaling>
        <c:delete val="0"/>
        <c:axPos val="l"/>
        <c:majorGridlines>
          <c:spPr>
            <a:ln>
              <a:prstDash val="dash"/>
            </a:ln>
          </c:spPr>
        </c:majorGridlines>
        <c:numFmt formatCode="0%" sourceLinked="0"/>
        <c:majorTickMark val="out"/>
        <c:minorTickMark val="none"/>
        <c:tickLblPos val="nextTo"/>
        <c:crossAx val="173337984"/>
        <c:crosses val="autoZero"/>
        <c:crossBetween val="between"/>
      </c:valAx>
    </c:plotArea>
    <c:legend>
      <c:legendPos val="b"/>
      <c:layout>
        <c:manualLayout>
          <c:xMode val="edge"/>
          <c:yMode val="edge"/>
          <c:x val="0.12189188598749769"/>
          <c:y val="0.87095543662024455"/>
          <c:w val="0.69285795874802214"/>
          <c:h val="7.5685823969512733E-2"/>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49768977729485E-2"/>
          <c:y val="7.1475908673272803E-2"/>
          <c:w val="0.89990974287002956"/>
          <c:h val="0.41438106822013104"/>
        </c:manualLayout>
      </c:layout>
      <c:lineChart>
        <c:grouping val="standard"/>
        <c:varyColors val="0"/>
        <c:ser>
          <c:idx val="0"/>
          <c:order val="0"/>
          <c:tx>
            <c:strRef>
              <c:f>'Ожид-факт_физ (3)'!$A$31</c:f>
              <c:strCache>
                <c:ptCount val="1"/>
                <c:pt idx="0">
                  <c:v>Факт</c:v>
                </c:pt>
              </c:strCache>
            </c:strRef>
          </c:tx>
          <c:spPr>
            <a:ln w="31750">
              <a:solidFill>
                <a:schemeClr val="accent1"/>
              </a:solidFill>
            </a:ln>
          </c:spPr>
          <c:marker>
            <c:symbol val="none"/>
          </c:marker>
          <c:cat>
            <c:multiLvlStrRef>
              <c:f>'Ожид-факт_физ (3)'!$B$29:$AB$30</c:f>
              <c:multiLvlStrCache>
                <c:ptCount val="27"/>
                <c:lvl>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pt idx="12">
                    <c:v>1 тоқ 2015 </c:v>
                  </c:pt>
                  <c:pt idx="14">
                    <c:v>1 тоқ 2012</c:v>
                  </c:pt>
                  <c:pt idx="15">
                    <c:v>2 тоқ 2012 </c:v>
                  </c:pt>
                  <c:pt idx="16">
                    <c:v>3 тоқ 2012 </c:v>
                  </c:pt>
                  <c:pt idx="17">
                    <c:v>4 тоқ 2012 </c:v>
                  </c:pt>
                  <c:pt idx="18">
                    <c:v>1 тоқ 2013 </c:v>
                  </c:pt>
                  <c:pt idx="19">
                    <c:v>2 тоқ 2013 </c:v>
                  </c:pt>
                  <c:pt idx="20">
                    <c:v>3 тоқ 2013 </c:v>
                  </c:pt>
                  <c:pt idx="21">
                    <c:v>4 тоқ 2013 </c:v>
                  </c:pt>
                  <c:pt idx="22">
                    <c:v>1 тоқ 2014 </c:v>
                  </c:pt>
                  <c:pt idx="23">
                    <c:v>2 тоқ 2014 </c:v>
                  </c:pt>
                  <c:pt idx="24">
                    <c:v>3 тоқ 2014</c:v>
                  </c:pt>
                  <c:pt idx="25">
                    <c:v>4 тоқ 2014 </c:v>
                  </c:pt>
                  <c:pt idx="26">
                    <c:v>1 тоқ 2015 </c:v>
                  </c:pt>
                </c:lvl>
                <c:lvl>
                  <c:pt idx="0">
                    <c:v>Ипотекалық кредиттеу</c:v>
                  </c:pt>
                  <c:pt idx="14">
                    <c:v>Тұтынушылық кредиттеу</c:v>
                  </c:pt>
                </c:lvl>
              </c:multiLvlStrCache>
            </c:multiLvlStrRef>
          </c:cat>
          <c:val>
            <c:numRef>
              <c:f>'Ожид-факт_физ (3)'!$B$31:$AB$31</c:f>
              <c:numCache>
                <c:formatCode>0.00%</c:formatCode>
                <c:ptCount val="27"/>
                <c:pt idx="0">
                  <c:v>0</c:v>
                </c:pt>
                <c:pt idx="1">
                  <c:v>0.13333333333333333</c:v>
                </c:pt>
                <c:pt idx="2">
                  <c:v>0.10344827586206898</c:v>
                </c:pt>
                <c:pt idx="3">
                  <c:v>0</c:v>
                </c:pt>
                <c:pt idx="4">
                  <c:v>0.13333333333333333</c:v>
                </c:pt>
                <c:pt idx="5">
                  <c:v>-3.333333333333334E-2</c:v>
                </c:pt>
                <c:pt idx="6">
                  <c:v>-6.666666666666668E-2</c:v>
                </c:pt>
                <c:pt idx="7">
                  <c:v>0</c:v>
                </c:pt>
                <c:pt idx="8">
                  <c:v>-3.4482758620689655E-2</c:v>
                </c:pt>
                <c:pt idx="9">
                  <c:v>0</c:v>
                </c:pt>
                <c:pt idx="10">
                  <c:v>3.5714285714285712E-2</c:v>
                </c:pt>
                <c:pt idx="11">
                  <c:v>-7.1428571428571425E-2</c:v>
                </c:pt>
                <c:pt idx="14">
                  <c:v>0.21212121212121213</c:v>
                </c:pt>
                <c:pt idx="15">
                  <c:v>0.21212121212121213</c:v>
                </c:pt>
                <c:pt idx="16">
                  <c:v>0.15625</c:v>
                </c:pt>
                <c:pt idx="17">
                  <c:v>0.25</c:v>
                </c:pt>
                <c:pt idx="18">
                  <c:v>0.15625</c:v>
                </c:pt>
                <c:pt idx="19">
                  <c:v>9.375E-2</c:v>
                </c:pt>
                <c:pt idx="20">
                  <c:v>-6.25E-2</c:v>
                </c:pt>
                <c:pt idx="21">
                  <c:v>-3.125E-2</c:v>
                </c:pt>
                <c:pt idx="22">
                  <c:v>-0.21875</c:v>
                </c:pt>
                <c:pt idx="23">
                  <c:v>-3.0303030303030304E-2</c:v>
                </c:pt>
                <c:pt idx="24">
                  <c:v>3.2258064516129031E-2</c:v>
                </c:pt>
                <c:pt idx="25">
                  <c:v>-0.22580645161290322</c:v>
                </c:pt>
              </c:numCache>
            </c:numRef>
          </c:val>
          <c:smooth val="0"/>
        </c:ser>
        <c:ser>
          <c:idx val="1"/>
          <c:order val="1"/>
          <c:tx>
            <c:strRef>
              <c:f>'Ожид-факт_физ (3)'!$A$32</c:f>
              <c:strCache>
                <c:ptCount val="1"/>
                <c:pt idx="0">
                  <c:v>күту</c:v>
                </c:pt>
              </c:strCache>
            </c:strRef>
          </c:tx>
          <c:spPr>
            <a:ln w="31750">
              <a:solidFill>
                <a:schemeClr val="accent2"/>
              </a:solidFill>
            </a:ln>
          </c:spPr>
          <c:marker>
            <c:symbol val="none"/>
          </c:marker>
          <c:cat>
            <c:multiLvlStrRef>
              <c:f>'Ожид-факт_физ (3)'!$B$29:$AB$30</c:f>
              <c:multiLvlStrCache>
                <c:ptCount val="27"/>
                <c:lvl>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pt idx="12">
                    <c:v>1 тоқ 2015 </c:v>
                  </c:pt>
                  <c:pt idx="14">
                    <c:v>1 тоқ 2012</c:v>
                  </c:pt>
                  <c:pt idx="15">
                    <c:v>2 тоқ 2012 </c:v>
                  </c:pt>
                  <c:pt idx="16">
                    <c:v>3 тоқ 2012 </c:v>
                  </c:pt>
                  <c:pt idx="17">
                    <c:v>4 тоқ 2012 </c:v>
                  </c:pt>
                  <c:pt idx="18">
                    <c:v>1 тоқ 2013 </c:v>
                  </c:pt>
                  <c:pt idx="19">
                    <c:v>2 тоқ 2013 </c:v>
                  </c:pt>
                  <c:pt idx="20">
                    <c:v>3 тоқ 2013 </c:v>
                  </c:pt>
                  <c:pt idx="21">
                    <c:v>4 тоқ 2013 </c:v>
                  </c:pt>
                  <c:pt idx="22">
                    <c:v>1 тоқ 2014 </c:v>
                  </c:pt>
                  <c:pt idx="23">
                    <c:v>2 тоқ 2014 </c:v>
                  </c:pt>
                  <c:pt idx="24">
                    <c:v>3 тоқ 2014</c:v>
                  </c:pt>
                  <c:pt idx="25">
                    <c:v>4 тоқ 2014 </c:v>
                  </c:pt>
                  <c:pt idx="26">
                    <c:v>1 тоқ 2015 </c:v>
                  </c:pt>
                </c:lvl>
                <c:lvl>
                  <c:pt idx="0">
                    <c:v>Ипотекалық кредиттеу</c:v>
                  </c:pt>
                  <c:pt idx="14">
                    <c:v>Тұтынушылық кредиттеу</c:v>
                  </c:pt>
                </c:lvl>
              </c:multiLvlStrCache>
            </c:multiLvlStrRef>
          </c:cat>
          <c:val>
            <c:numRef>
              <c:f>'Ожид-факт_физ (3)'!$B$32:$AB$32</c:f>
              <c:numCache>
                <c:formatCode>0.00%</c:formatCode>
                <c:ptCount val="27"/>
                <c:pt idx="0">
                  <c:v>6.666666666666668E-2</c:v>
                </c:pt>
                <c:pt idx="1">
                  <c:v>0.2</c:v>
                </c:pt>
                <c:pt idx="2">
                  <c:v>0.13333333333333336</c:v>
                </c:pt>
                <c:pt idx="3">
                  <c:v>0.10344827586206896</c:v>
                </c:pt>
                <c:pt idx="4">
                  <c:v>0.13793103448275862</c:v>
                </c:pt>
                <c:pt idx="5">
                  <c:v>6.666666666666668E-2</c:v>
                </c:pt>
                <c:pt idx="6">
                  <c:v>6.666666666666668E-2</c:v>
                </c:pt>
                <c:pt idx="7">
                  <c:v>0</c:v>
                </c:pt>
                <c:pt idx="8">
                  <c:v>0.1</c:v>
                </c:pt>
                <c:pt idx="9">
                  <c:v>0</c:v>
                </c:pt>
                <c:pt idx="10">
                  <c:v>0</c:v>
                </c:pt>
                <c:pt idx="11">
                  <c:v>0</c:v>
                </c:pt>
                <c:pt idx="12">
                  <c:v>-0.1785714285714286</c:v>
                </c:pt>
                <c:pt idx="14">
                  <c:v>0.15151515151515152</c:v>
                </c:pt>
                <c:pt idx="15">
                  <c:v>0.18181818181818182</c:v>
                </c:pt>
                <c:pt idx="16">
                  <c:v>0.39393939393939392</c:v>
                </c:pt>
                <c:pt idx="17">
                  <c:v>0.3125</c:v>
                </c:pt>
                <c:pt idx="18">
                  <c:v>0.15625</c:v>
                </c:pt>
                <c:pt idx="19">
                  <c:v>9.375E-2</c:v>
                </c:pt>
                <c:pt idx="20">
                  <c:v>0</c:v>
                </c:pt>
                <c:pt idx="21">
                  <c:v>0</c:v>
                </c:pt>
                <c:pt idx="22">
                  <c:v>6.25E-2</c:v>
                </c:pt>
                <c:pt idx="23">
                  <c:v>3.125E-2</c:v>
                </c:pt>
                <c:pt idx="24">
                  <c:v>3.0303030303030304E-2</c:v>
                </c:pt>
                <c:pt idx="25">
                  <c:v>-3.0303030303030304E-2</c:v>
                </c:pt>
                <c:pt idx="26">
                  <c:v>-0.12121212121212122</c:v>
                </c:pt>
              </c:numCache>
            </c:numRef>
          </c:val>
          <c:smooth val="0"/>
        </c:ser>
        <c:dLbls>
          <c:showLegendKey val="0"/>
          <c:showVal val="0"/>
          <c:showCatName val="0"/>
          <c:showSerName val="0"/>
          <c:showPercent val="0"/>
          <c:showBubbleSize val="0"/>
        </c:dLbls>
        <c:marker val="1"/>
        <c:smooth val="0"/>
        <c:axId val="173480960"/>
        <c:axId val="173511424"/>
      </c:lineChart>
      <c:catAx>
        <c:axId val="173480960"/>
        <c:scaling>
          <c:orientation val="minMax"/>
        </c:scaling>
        <c:delete val="0"/>
        <c:axPos val="b"/>
        <c:numFmt formatCode="General" sourceLinked="1"/>
        <c:majorTickMark val="out"/>
        <c:minorTickMark val="none"/>
        <c:tickLblPos val="low"/>
        <c:crossAx val="173511424"/>
        <c:crosses val="autoZero"/>
        <c:auto val="1"/>
        <c:lblAlgn val="ctr"/>
        <c:lblOffset val="100"/>
        <c:noMultiLvlLbl val="0"/>
      </c:catAx>
      <c:valAx>
        <c:axId val="173511424"/>
        <c:scaling>
          <c:orientation val="minMax"/>
        </c:scaling>
        <c:delete val="0"/>
        <c:axPos val="l"/>
        <c:majorGridlines>
          <c:spPr>
            <a:ln>
              <a:prstDash val="dash"/>
            </a:ln>
          </c:spPr>
        </c:majorGridlines>
        <c:numFmt formatCode="0%" sourceLinked="0"/>
        <c:majorTickMark val="out"/>
        <c:minorTickMark val="none"/>
        <c:tickLblPos val="nextTo"/>
        <c:crossAx val="173480960"/>
        <c:crosses val="autoZero"/>
        <c:crossBetween val="between"/>
      </c:valAx>
    </c:plotArea>
    <c:legend>
      <c:legendPos val="b"/>
      <c:layout>
        <c:manualLayout>
          <c:xMode val="edge"/>
          <c:yMode val="edge"/>
          <c:x val="0.36525880210919581"/>
          <c:y val="0.81569783856699185"/>
          <c:w val="0.23712306231991276"/>
          <c:h val="0.13857305685394905"/>
        </c:manualLayout>
      </c:layout>
      <c:overlay val="0"/>
    </c:legend>
    <c:plotVisOnly val="1"/>
    <c:dispBlanksAs val="gap"/>
    <c:showDLblsOverMax val="0"/>
  </c:chart>
  <c:spPr>
    <a:ln>
      <a:noFill/>
    </a:ln>
  </c:spPr>
  <c:txPr>
    <a:bodyPr/>
    <a:lstStyle/>
    <a:p>
      <a:pPr>
        <a:defRPr sz="900">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1665304132063E-2"/>
          <c:y val="5.0925925925925923E-2"/>
          <c:w val="0.93053919079787162"/>
          <c:h val="0.54828294611321737"/>
        </c:manualLayout>
      </c:layout>
      <c:lineChart>
        <c:grouping val="standard"/>
        <c:varyColors val="0"/>
        <c:ser>
          <c:idx val="0"/>
          <c:order val="0"/>
          <c:spPr>
            <a:ln>
              <a:solidFill>
                <a:srgbClr val="6666FF"/>
              </a:solidFill>
            </a:ln>
          </c:spPr>
          <c:marker>
            <c:symbol val="none"/>
          </c:marker>
          <c:cat>
            <c:multiLvlStrRef>
              <c:f>'Ожид-факт СП'!$C$4:$AQ$5</c:f>
              <c:multiLvlStrCache>
                <c:ptCount val="41"/>
                <c:lvl>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pt idx="12">
                    <c:v>1 тоқ 2015 </c:v>
                  </c:pt>
                  <c:pt idx="14">
                    <c:v>1 тоқ 2012</c:v>
                  </c:pt>
                  <c:pt idx="15">
                    <c:v>2 тоқ 2012 </c:v>
                  </c:pt>
                  <c:pt idx="16">
                    <c:v>3 тоқ 2012 </c:v>
                  </c:pt>
                  <c:pt idx="17">
                    <c:v>4 тоқ 2012 </c:v>
                  </c:pt>
                  <c:pt idx="18">
                    <c:v>1 тоқ 2013 </c:v>
                  </c:pt>
                  <c:pt idx="19">
                    <c:v>2 тоқ 2013 </c:v>
                  </c:pt>
                  <c:pt idx="20">
                    <c:v>3 тоқ 2013 </c:v>
                  </c:pt>
                  <c:pt idx="21">
                    <c:v>4 тоқ 2013 </c:v>
                  </c:pt>
                  <c:pt idx="22">
                    <c:v>1 тоқ 2014 </c:v>
                  </c:pt>
                  <c:pt idx="23">
                    <c:v>2 тоқ 2014 </c:v>
                  </c:pt>
                  <c:pt idx="24">
                    <c:v>3 тоқ 2014</c:v>
                  </c:pt>
                  <c:pt idx="25">
                    <c:v>4 тоқ 2014 </c:v>
                  </c:pt>
                  <c:pt idx="26">
                    <c:v>1 тоқ 2015 </c:v>
                  </c:pt>
                  <c:pt idx="28">
                    <c:v>1 тоқ 2012</c:v>
                  </c:pt>
                  <c:pt idx="29">
                    <c:v>2 тоқ 2012 </c:v>
                  </c:pt>
                  <c:pt idx="30">
                    <c:v>3 тоқ 2012 </c:v>
                  </c:pt>
                  <c:pt idx="31">
                    <c:v>4 тоқ 2012 </c:v>
                  </c:pt>
                  <c:pt idx="32">
                    <c:v>1 тоқ 2013 </c:v>
                  </c:pt>
                  <c:pt idx="33">
                    <c:v>2 тоқ 2013 </c:v>
                  </c:pt>
                  <c:pt idx="34">
                    <c:v>3 тоқ 2013 </c:v>
                  </c:pt>
                  <c:pt idx="35">
                    <c:v>4 тоқ 2013 </c:v>
                  </c:pt>
                  <c:pt idx="36">
                    <c:v>1 тоқ 2014 </c:v>
                  </c:pt>
                  <c:pt idx="37">
                    <c:v>2 тоқ 2014 </c:v>
                  </c:pt>
                  <c:pt idx="38">
                    <c:v>3 тоқ 2014</c:v>
                  </c:pt>
                  <c:pt idx="39">
                    <c:v>4 тоқ 2014 </c:v>
                  </c:pt>
                  <c:pt idx="40">
                    <c:v>1 тоқ 2015 </c:v>
                  </c:pt>
                </c:lvl>
                <c:lvl>
                  <c:pt idx="0">
                    <c:v>Несие портфелі, барлығы</c:v>
                  </c:pt>
                  <c:pt idx="14">
                    <c:v>Корпоративтік сектор</c:v>
                  </c:pt>
                  <c:pt idx="28">
                    <c:v>Жеке тұлғалар</c:v>
                  </c:pt>
                </c:lvl>
              </c:multiLvlStrCache>
            </c:multiLvlStrRef>
          </c:cat>
          <c:val>
            <c:numRef>
              <c:f>'Ожид-факт СП'!$C$6:$AQ$6</c:f>
              <c:numCache>
                <c:formatCode>0.00%</c:formatCode>
                <c:ptCount val="41"/>
                <c:pt idx="0">
                  <c:v>0.1891891891891892</c:v>
                </c:pt>
                <c:pt idx="1">
                  <c:v>0.16216216216216217</c:v>
                </c:pt>
                <c:pt idx="2">
                  <c:v>5.4054054054054057E-2</c:v>
                </c:pt>
                <c:pt idx="3">
                  <c:v>2.7027027027027029E-2</c:v>
                </c:pt>
                <c:pt idx="4">
                  <c:v>0.1891891891891892</c:v>
                </c:pt>
                <c:pt idx="5">
                  <c:v>0.13513513513513514</c:v>
                </c:pt>
                <c:pt idx="6">
                  <c:v>0.13513513513513514</c:v>
                </c:pt>
                <c:pt idx="7">
                  <c:v>0</c:v>
                </c:pt>
                <c:pt idx="8">
                  <c:v>0.10810810810810811</c:v>
                </c:pt>
                <c:pt idx="9">
                  <c:v>0.1891891891891892</c:v>
                </c:pt>
                <c:pt idx="10">
                  <c:v>0.21621621621621623</c:v>
                </c:pt>
                <c:pt idx="11">
                  <c:v>0.35135135135135137</c:v>
                </c:pt>
                <c:pt idx="12">
                  <c:v>0</c:v>
                </c:pt>
                <c:pt idx="14">
                  <c:v>0.20588235294117646</c:v>
                </c:pt>
                <c:pt idx="15">
                  <c:v>0.1764705882352941</c:v>
                </c:pt>
                <c:pt idx="16">
                  <c:v>0.20588235294117646</c:v>
                </c:pt>
                <c:pt idx="17">
                  <c:v>2.9411764705882346E-2</c:v>
                </c:pt>
                <c:pt idx="18">
                  <c:v>0.23529411764705882</c:v>
                </c:pt>
                <c:pt idx="19">
                  <c:v>0.11764705882352942</c:v>
                </c:pt>
                <c:pt idx="20">
                  <c:v>0.1764705882352941</c:v>
                </c:pt>
                <c:pt idx="21">
                  <c:v>2.9411764705882359E-2</c:v>
                </c:pt>
                <c:pt idx="22">
                  <c:v>0.17647058823529413</c:v>
                </c:pt>
                <c:pt idx="23">
                  <c:v>0.23529411764705882</c:v>
                </c:pt>
                <c:pt idx="24">
                  <c:v>0.20588235294117646</c:v>
                </c:pt>
                <c:pt idx="25">
                  <c:v>0.29411764705882354</c:v>
                </c:pt>
                <c:pt idx="26">
                  <c:v>5.8823529411764719E-2</c:v>
                </c:pt>
                <c:pt idx="28">
                  <c:v>0.1764705882352941</c:v>
                </c:pt>
                <c:pt idx="29">
                  <c:v>-2.9411764705882346E-2</c:v>
                </c:pt>
                <c:pt idx="30">
                  <c:v>2.9411764705882359E-2</c:v>
                </c:pt>
                <c:pt idx="31">
                  <c:v>0.12121212121212122</c:v>
                </c:pt>
                <c:pt idx="32">
                  <c:v>0.12121212121212122</c:v>
                </c:pt>
                <c:pt idx="33">
                  <c:v>9.0909090909090912E-2</c:v>
                </c:pt>
                <c:pt idx="34">
                  <c:v>0.11764705882352941</c:v>
                </c:pt>
                <c:pt idx="35">
                  <c:v>8.8235294117647051E-2</c:v>
                </c:pt>
                <c:pt idx="36">
                  <c:v>8.8235294117647065E-2</c:v>
                </c:pt>
                <c:pt idx="37">
                  <c:v>8.8235294117647051E-2</c:v>
                </c:pt>
                <c:pt idx="38">
                  <c:v>0.1176470588235294</c:v>
                </c:pt>
                <c:pt idx="39">
                  <c:v>0.29411764705882354</c:v>
                </c:pt>
                <c:pt idx="40">
                  <c:v>0</c:v>
                </c:pt>
              </c:numCache>
            </c:numRef>
          </c:val>
          <c:smooth val="0"/>
        </c:ser>
        <c:dLbls>
          <c:showLegendKey val="0"/>
          <c:showVal val="0"/>
          <c:showCatName val="0"/>
          <c:showSerName val="0"/>
          <c:showPercent val="0"/>
          <c:showBubbleSize val="0"/>
        </c:dLbls>
        <c:marker val="1"/>
        <c:smooth val="0"/>
        <c:axId val="173527808"/>
        <c:axId val="173529344"/>
      </c:lineChart>
      <c:catAx>
        <c:axId val="173527808"/>
        <c:scaling>
          <c:orientation val="minMax"/>
        </c:scaling>
        <c:delete val="0"/>
        <c:axPos val="b"/>
        <c:numFmt formatCode="General" sourceLinked="1"/>
        <c:majorTickMark val="out"/>
        <c:minorTickMark val="none"/>
        <c:tickLblPos val="low"/>
        <c:txPr>
          <a:bodyPr rot="-5400000" vert="horz"/>
          <a:lstStyle/>
          <a:p>
            <a:pPr>
              <a:defRPr sz="800" b="0" i="0" u="none" strike="noStrike" baseline="0">
                <a:solidFill>
                  <a:srgbClr val="000000"/>
                </a:solidFill>
                <a:latin typeface="Times New Roman"/>
                <a:ea typeface="Times New Roman"/>
                <a:cs typeface="Times New Roman"/>
              </a:defRPr>
            </a:pPr>
            <a:endParaRPr lang="ru-RU"/>
          </a:p>
        </c:txPr>
        <c:crossAx val="173529344"/>
        <c:crosses val="autoZero"/>
        <c:auto val="1"/>
        <c:lblAlgn val="ctr"/>
        <c:lblOffset val="100"/>
        <c:noMultiLvlLbl val="0"/>
      </c:catAx>
      <c:valAx>
        <c:axId val="173529344"/>
        <c:scaling>
          <c:orientation val="minMax"/>
        </c:scaling>
        <c:delete val="0"/>
        <c:axPos val="l"/>
        <c:majorGridlines>
          <c:spPr>
            <a:ln>
              <a:prstDash val="dash"/>
            </a:ln>
          </c:spPr>
        </c:majorGridlines>
        <c:numFmt formatCode="0%" sourceLinked="0"/>
        <c:majorTickMark val="out"/>
        <c:minorTickMark val="none"/>
        <c:tickLblPos val="nextTo"/>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73527808"/>
        <c:crosses val="autoZero"/>
        <c:crossBetween val="between"/>
      </c:valAx>
    </c:plotArea>
    <c:plotVisOnly val="1"/>
    <c:dispBlanksAs val="gap"/>
    <c:showDLblsOverMax val="0"/>
  </c:chart>
  <c:spPr>
    <a:ln>
      <a:noFill/>
    </a:ln>
  </c:spPr>
  <c:txPr>
    <a:bodyPr/>
    <a:lstStyle/>
    <a:p>
      <a:pPr>
        <a:defRPr sz="9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5.9461367762759731E-2"/>
          <c:y val="5.1400554097404488E-2"/>
          <c:w val="0.93114671718951658"/>
          <c:h val="0.60025947705903859"/>
        </c:manualLayout>
      </c:layout>
      <c:barChart>
        <c:barDir val="col"/>
        <c:grouping val="clustered"/>
        <c:varyColors val="0"/>
        <c:ser>
          <c:idx val="0"/>
          <c:order val="0"/>
          <c:tx>
            <c:strRef>
              <c:f>'Ожид-факт КР'!$B$6</c:f>
              <c:strCache>
                <c:ptCount val="1"/>
                <c:pt idx="0">
                  <c:v>Кредиттік тәуекел (нақты)</c:v>
                </c:pt>
              </c:strCache>
            </c:strRef>
          </c:tx>
          <c:spPr>
            <a:pattFill prst="pct90">
              <a:fgClr>
                <a:srgbClr val="3333FF"/>
              </a:fgClr>
              <a:bgClr>
                <a:schemeClr val="bg1"/>
              </a:bgClr>
            </a:pattFill>
          </c:spPr>
          <c:invertIfNegative val="0"/>
          <c:cat>
            <c:strRef>
              <c:f>'Ожид-факт КР'!$C$5:$N$5</c:f>
              <c:strCache>
                <c:ptCount val="12"/>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strCache>
            </c:strRef>
          </c:cat>
          <c:val>
            <c:numRef>
              <c:f>'Ожид-факт КР'!$C$6:$N$6</c:f>
              <c:numCache>
                <c:formatCode>0.00%</c:formatCode>
                <c:ptCount val="12"/>
                <c:pt idx="0">
                  <c:v>0.1891891891891892</c:v>
                </c:pt>
                <c:pt idx="1">
                  <c:v>0.21621621621621623</c:v>
                </c:pt>
                <c:pt idx="2">
                  <c:v>0.29729729729729731</c:v>
                </c:pt>
                <c:pt idx="3">
                  <c:v>0.27027027027027029</c:v>
                </c:pt>
                <c:pt idx="4">
                  <c:v>0.29729729729729731</c:v>
                </c:pt>
                <c:pt idx="5">
                  <c:v>0.21621621621621623</c:v>
                </c:pt>
                <c:pt idx="6">
                  <c:v>0.21621621621621623</c:v>
                </c:pt>
                <c:pt idx="7">
                  <c:v>0.29729729729729731</c:v>
                </c:pt>
                <c:pt idx="8">
                  <c:v>0.35135135135135137</c:v>
                </c:pt>
                <c:pt idx="9">
                  <c:v>0.24324324324324326</c:v>
                </c:pt>
                <c:pt idx="10">
                  <c:v>0.21621621621621623</c:v>
                </c:pt>
                <c:pt idx="11">
                  <c:v>0.1891891891891892</c:v>
                </c:pt>
              </c:numCache>
            </c:numRef>
          </c:val>
        </c:ser>
        <c:ser>
          <c:idx val="1"/>
          <c:order val="1"/>
          <c:tx>
            <c:strRef>
              <c:f>'Ожид-факт КР'!$B$7</c:f>
              <c:strCache>
                <c:ptCount val="1"/>
                <c:pt idx="0">
                  <c:v>Пайыз тәуекелі (нақты)</c:v>
                </c:pt>
              </c:strCache>
            </c:strRef>
          </c:tx>
          <c:spPr>
            <a:pattFill prst="pct90">
              <a:fgClr>
                <a:srgbClr val="D432AA"/>
              </a:fgClr>
              <a:bgClr>
                <a:schemeClr val="bg1"/>
              </a:bgClr>
            </a:pattFill>
          </c:spPr>
          <c:invertIfNegative val="0"/>
          <c:cat>
            <c:strRef>
              <c:f>'Ожид-факт КР'!$C$5:$N$5</c:f>
              <c:strCache>
                <c:ptCount val="12"/>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strCache>
            </c:strRef>
          </c:cat>
          <c:val>
            <c:numRef>
              <c:f>'Ожид-факт КР'!$C$7:$N$7</c:f>
              <c:numCache>
                <c:formatCode>0.00%</c:formatCode>
                <c:ptCount val="12"/>
                <c:pt idx="0">
                  <c:v>5.4054054054054057E-2</c:v>
                </c:pt>
                <c:pt idx="1">
                  <c:v>8.1081081081081086E-2</c:v>
                </c:pt>
                <c:pt idx="2">
                  <c:v>8.1081081081081086E-2</c:v>
                </c:pt>
                <c:pt idx="3">
                  <c:v>8.1081081081081086E-2</c:v>
                </c:pt>
                <c:pt idx="4">
                  <c:v>0.13513513513513514</c:v>
                </c:pt>
                <c:pt idx="5">
                  <c:v>0.10810810810810811</c:v>
                </c:pt>
                <c:pt idx="6">
                  <c:v>0.10810810810810811</c:v>
                </c:pt>
                <c:pt idx="7">
                  <c:v>0.13513513513513514</c:v>
                </c:pt>
                <c:pt idx="8">
                  <c:v>0.16216216216216217</c:v>
                </c:pt>
                <c:pt idx="9">
                  <c:v>8.1081081081081086E-2</c:v>
                </c:pt>
                <c:pt idx="10">
                  <c:v>0.13513513513513514</c:v>
                </c:pt>
                <c:pt idx="11">
                  <c:v>0.10810810810810811</c:v>
                </c:pt>
              </c:numCache>
            </c:numRef>
          </c:val>
        </c:ser>
        <c:ser>
          <c:idx val="2"/>
          <c:order val="2"/>
          <c:tx>
            <c:strRef>
              <c:f>'Ожид-факт КР'!$B$8</c:f>
              <c:strCache>
                <c:ptCount val="1"/>
                <c:pt idx="0">
                  <c:v>Валюта тәуекелі (нақты)</c:v>
                </c:pt>
              </c:strCache>
            </c:strRef>
          </c:tx>
          <c:spPr>
            <a:pattFill prst="pct90">
              <a:fgClr>
                <a:srgbClr val="9147F3"/>
              </a:fgClr>
              <a:bgClr>
                <a:schemeClr val="bg1"/>
              </a:bgClr>
            </a:pattFill>
          </c:spPr>
          <c:invertIfNegative val="0"/>
          <c:cat>
            <c:strRef>
              <c:f>'Ожид-факт КР'!$C$5:$N$5</c:f>
              <c:strCache>
                <c:ptCount val="12"/>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strCache>
            </c:strRef>
          </c:cat>
          <c:val>
            <c:numRef>
              <c:f>'Ожид-факт КР'!$C$8:$N$8</c:f>
              <c:numCache>
                <c:formatCode>0.00%</c:formatCode>
                <c:ptCount val="12"/>
                <c:pt idx="0">
                  <c:v>8.1081081081081086E-2</c:v>
                </c:pt>
                <c:pt idx="1">
                  <c:v>0.13513513513513514</c:v>
                </c:pt>
                <c:pt idx="2">
                  <c:v>0.1891891891891892</c:v>
                </c:pt>
                <c:pt idx="3">
                  <c:v>0.13513513513513514</c:v>
                </c:pt>
                <c:pt idx="4">
                  <c:v>0.10810810810810811</c:v>
                </c:pt>
                <c:pt idx="5">
                  <c:v>8.1081081081081086E-2</c:v>
                </c:pt>
                <c:pt idx="6">
                  <c:v>0.10810810810810811</c:v>
                </c:pt>
                <c:pt idx="7">
                  <c:v>0.16216216216216217</c:v>
                </c:pt>
                <c:pt idx="8">
                  <c:v>0.32432432432432434</c:v>
                </c:pt>
                <c:pt idx="9">
                  <c:v>0.10810810810810811</c:v>
                </c:pt>
                <c:pt idx="10">
                  <c:v>5.4054054054054057E-2</c:v>
                </c:pt>
                <c:pt idx="11">
                  <c:v>0.1891891891891892</c:v>
                </c:pt>
              </c:numCache>
            </c:numRef>
          </c:val>
        </c:ser>
        <c:ser>
          <c:idx val="3"/>
          <c:order val="3"/>
          <c:tx>
            <c:strRef>
              <c:f>'Ожид-факт КР'!$B$9</c:f>
              <c:strCache>
                <c:ptCount val="1"/>
                <c:pt idx="0">
                  <c:v>Өтімділік тәуекелі (нақты)</c:v>
                </c:pt>
              </c:strCache>
            </c:strRef>
          </c:tx>
          <c:spPr>
            <a:pattFill prst="pct90">
              <a:fgClr>
                <a:srgbClr val="43D98A"/>
              </a:fgClr>
              <a:bgClr>
                <a:schemeClr val="bg1"/>
              </a:bgClr>
            </a:pattFill>
          </c:spPr>
          <c:invertIfNegative val="0"/>
          <c:cat>
            <c:strRef>
              <c:f>'Ожид-факт КР'!$C$5:$N$5</c:f>
              <c:strCache>
                <c:ptCount val="12"/>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strCache>
            </c:strRef>
          </c:cat>
          <c:val>
            <c:numRef>
              <c:f>'Ожид-факт КР'!$C$9:$N$9</c:f>
              <c:numCache>
                <c:formatCode>0.00%</c:formatCode>
                <c:ptCount val="12"/>
                <c:pt idx="0">
                  <c:v>0.10810810810810811</c:v>
                </c:pt>
                <c:pt idx="1">
                  <c:v>8.1081081081081086E-2</c:v>
                </c:pt>
                <c:pt idx="2">
                  <c:v>8.1081081081081086E-2</c:v>
                </c:pt>
                <c:pt idx="3">
                  <c:v>0.13513513513513514</c:v>
                </c:pt>
                <c:pt idx="4">
                  <c:v>0.13513513513513514</c:v>
                </c:pt>
                <c:pt idx="5">
                  <c:v>8.1081081081081086E-2</c:v>
                </c:pt>
                <c:pt idx="6">
                  <c:v>0.21621621621621623</c:v>
                </c:pt>
                <c:pt idx="7">
                  <c:v>0.1891891891891892</c:v>
                </c:pt>
                <c:pt idx="8">
                  <c:v>0.24324324324324326</c:v>
                </c:pt>
                <c:pt idx="9">
                  <c:v>0.1891891891891892</c:v>
                </c:pt>
                <c:pt idx="10">
                  <c:v>0.16216216216216217</c:v>
                </c:pt>
                <c:pt idx="11">
                  <c:v>0.35135135135135137</c:v>
                </c:pt>
              </c:numCache>
            </c:numRef>
          </c:val>
        </c:ser>
        <c:ser>
          <c:idx val="4"/>
          <c:order val="4"/>
          <c:tx>
            <c:strRef>
              <c:f>'Ожид-факт КР'!$B$10</c:f>
              <c:strCache>
                <c:ptCount val="1"/>
                <c:pt idx="0">
                  <c:v>Операция тәуекелі (нақты)</c:v>
                </c:pt>
              </c:strCache>
            </c:strRef>
          </c:tx>
          <c:spPr>
            <a:solidFill>
              <a:srgbClr val="006600"/>
            </a:solidFill>
          </c:spPr>
          <c:invertIfNegative val="0"/>
          <c:cat>
            <c:strRef>
              <c:f>'Ожид-факт КР'!$C$5:$N$5</c:f>
              <c:strCache>
                <c:ptCount val="12"/>
                <c:pt idx="0">
                  <c:v>1 тоқ 2012</c:v>
                </c:pt>
                <c:pt idx="1">
                  <c:v>2 тоқ 2012 </c:v>
                </c:pt>
                <c:pt idx="2">
                  <c:v>3 тоқ 2012 </c:v>
                </c:pt>
                <c:pt idx="3">
                  <c:v>4 тоқ 2012 </c:v>
                </c:pt>
                <c:pt idx="4">
                  <c:v>1 тоқ 2013 </c:v>
                </c:pt>
                <c:pt idx="5">
                  <c:v>2 тоқ 2013 </c:v>
                </c:pt>
                <c:pt idx="6">
                  <c:v>3 тоқ 2013 </c:v>
                </c:pt>
                <c:pt idx="7">
                  <c:v>4 тоқ 2013 </c:v>
                </c:pt>
                <c:pt idx="8">
                  <c:v>1 тоқ 2014 </c:v>
                </c:pt>
                <c:pt idx="9">
                  <c:v>2 тоқ 2014 </c:v>
                </c:pt>
                <c:pt idx="10">
                  <c:v>3 тоқ 2014</c:v>
                </c:pt>
                <c:pt idx="11">
                  <c:v>4 тоқ 2014 </c:v>
                </c:pt>
              </c:strCache>
            </c:strRef>
          </c:cat>
          <c:val>
            <c:numRef>
              <c:f>'Ожид-факт КР'!$C$10:$N$10</c:f>
              <c:numCache>
                <c:formatCode>0.00%</c:formatCode>
                <c:ptCount val="12"/>
                <c:pt idx="0">
                  <c:v>5.4054054054054057E-2</c:v>
                </c:pt>
                <c:pt idx="1">
                  <c:v>5.4054054054054057E-2</c:v>
                </c:pt>
                <c:pt idx="2">
                  <c:v>0.10810810810810811</c:v>
                </c:pt>
                <c:pt idx="3">
                  <c:v>0.13513513513513514</c:v>
                </c:pt>
                <c:pt idx="4">
                  <c:v>2.7027027027027029E-2</c:v>
                </c:pt>
                <c:pt idx="5">
                  <c:v>0</c:v>
                </c:pt>
                <c:pt idx="6">
                  <c:v>5.4054054054054057E-2</c:v>
                </c:pt>
                <c:pt idx="7">
                  <c:v>5.4054054054054057E-2</c:v>
                </c:pt>
                <c:pt idx="8">
                  <c:v>5.4054054054054057E-2</c:v>
                </c:pt>
                <c:pt idx="9">
                  <c:v>5.4054054054054057E-2</c:v>
                </c:pt>
                <c:pt idx="10">
                  <c:v>2.7027027027027029E-2</c:v>
                </c:pt>
                <c:pt idx="11">
                  <c:v>5.4054054054054057E-2</c:v>
                </c:pt>
              </c:numCache>
            </c:numRef>
          </c:val>
        </c:ser>
        <c:dLbls>
          <c:showLegendKey val="0"/>
          <c:showVal val="0"/>
          <c:showCatName val="0"/>
          <c:showSerName val="0"/>
          <c:showPercent val="0"/>
          <c:showBubbleSize val="0"/>
        </c:dLbls>
        <c:gapWidth val="130"/>
        <c:axId val="173617920"/>
        <c:axId val="173619456"/>
      </c:barChart>
      <c:catAx>
        <c:axId val="173617920"/>
        <c:scaling>
          <c:orientation val="minMax"/>
        </c:scaling>
        <c:delete val="0"/>
        <c:axPos val="b"/>
        <c:numFmt formatCode="General" sourceLinked="1"/>
        <c:majorTickMark val="out"/>
        <c:minorTickMark val="none"/>
        <c:tickLblPos val="low"/>
        <c:txPr>
          <a:bodyPr rot="0" vert="horz"/>
          <a:lstStyle/>
          <a:p>
            <a:pPr>
              <a:defRPr/>
            </a:pPr>
            <a:endParaRPr lang="ru-RU"/>
          </a:p>
        </c:txPr>
        <c:crossAx val="173619456"/>
        <c:crosses val="autoZero"/>
        <c:auto val="0"/>
        <c:lblAlgn val="ctr"/>
        <c:lblOffset val="100"/>
        <c:noMultiLvlLbl val="0"/>
      </c:catAx>
      <c:valAx>
        <c:axId val="173619456"/>
        <c:scaling>
          <c:orientation val="minMax"/>
          <c:max val="0.4"/>
        </c:scaling>
        <c:delete val="0"/>
        <c:axPos val="l"/>
        <c:majorGridlines>
          <c:spPr>
            <a:ln>
              <a:prstDash val="dash"/>
            </a:ln>
          </c:spPr>
        </c:majorGridlines>
        <c:numFmt formatCode="0%" sourceLinked="0"/>
        <c:majorTickMark val="out"/>
        <c:minorTickMark val="none"/>
        <c:tickLblPos val="nextTo"/>
        <c:txPr>
          <a:bodyPr rot="0" vert="horz"/>
          <a:lstStyle/>
          <a:p>
            <a:pPr>
              <a:defRPr/>
            </a:pPr>
            <a:endParaRPr lang="ru-RU"/>
          </a:p>
        </c:txPr>
        <c:crossAx val="173617920"/>
        <c:crosses val="autoZero"/>
        <c:crossBetween val="between"/>
        <c:majorUnit val="5.000000000000001E-2"/>
      </c:valAx>
    </c:plotArea>
    <c:legend>
      <c:legendPos val="b"/>
      <c:layout>
        <c:manualLayout>
          <c:xMode val="edge"/>
          <c:yMode val="edge"/>
          <c:x val="5.058435058046587E-2"/>
          <c:y val="0.83559587146201308"/>
          <c:w val="0.91608042353339614"/>
          <c:h val="0.10820316379371497"/>
        </c:manualLayout>
      </c:layout>
      <c:overlay val="0"/>
    </c:legend>
    <c:plotVisOnly val="1"/>
    <c:dispBlanksAs val="gap"/>
    <c:showDLblsOverMax val="0"/>
  </c:chart>
  <c:spPr>
    <a:ln>
      <a:noFill/>
    </a:ln>
  </c:spPr>
  <c:txPr>
    <a:bodyPr/>
    <a:lstStyle/>
    <a:p>
      <a:pPr>
        <a:defRPr sz="9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13E90-FC98-4236-8D2B-B072AB963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5</Pages>
  <Words>1574</Words>
  <Characters>8975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Омарбеков Арман</dc:creator>
  <cp:lastModifiedBy>Омарбеков Арман</cp:lastModifiedBy>
  <cp:revision>14</cp:revision>
  <cp:lastPrinted>2015-03-05T08:14:00Z</cp:lastPrinted>
  <dcterms:created xsi:type="dcterms:W3CDTF">2015-04-06T11:46:00Z</dcterms:created>
  <dcterms:modified xsi:type="dcterms:W3CDTF">2015-04-07T09:53:00Z</dcterms:modified>
</cp:coreProperties>
</file>