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03" w:rsidRDefault="008E7603" w:rsidP="00E524F9">
      <w:pPr>
        <w:pStyle w:val="aa"/>
        <w:spacing w:before="0" w:after="0"/>
        <w:rPr>
          <w:rFonts w:ascii="Times New Roman" w:hAnsi="Times New Roman"/>
          <w:sz w:val="24"/>
          <w:szCs w:val="24"/>
          <w:lang w:val="en-US"/>
        </w:rPr>
      </w:pPr>
      <w:r w:rsidRPr="00862F2E">
        <w:rPr>
          <w:rFonts w:ascii="Times New Roman" w:hAnsi="Times New Roman"/>
          <w:sz w:val="24"/>
          <w:szCs w:val="24"/>
          <w:lang w:val="kk-KZ"/>
        </w:rPr>
        <w:t xml:space="preserve">«Кредит нарығының жағдайы және өлшемдерінің болжамы» екінші деңгейдегі банктерге зерттеу жүргізу, 2015 жылғы </w:t>
      </w:r>
      <w:r>
        <w:rPr>
          <w:rFonts w:ascii="Times New Roman" w:hAnsi="Times New Roman"/>
          <w:sz w:val="24"/>
          <w:szCs w:val="24"/>
          <w:lang w:val="kk-KZ"/>
        </w:rPr>
        <w:t>қазан</w:t>
      </w:r>
    </w:p>
    <w:p w:rsidR="003C7EDF" w:rsidRPr="003C7EDF" w:rsidRDefault="003C7EDF" w:rsidP="003C7EDF">
      <w:pPr>
        <w:rPr>
          <w:lang w:val="en-US" w:eastAsia="x-none"/>
        </w:rPr>
      </w:pPr>
      <w:bookmarkStart w:id="0" w:name="_GoBack"/>
      <w:bookmarkEnd w:id="0"/>
    </w:p>
    <w:p w:rsidR="00796D0B" w:rsidRDefault="00F0330C" w:rsidP="00796D0B">
      <w:pPr>
        <w:ind w:firstLine="708"/>
        <w:jc w:val="both"/>
        <w:rPr>
          <w:lang w:val="kk-KZ"/>
        </w:rPr>
      </w:pPr>
      <w:r>
        <w:rPr>
          <w:lang w:val="kk-KZ"/>
        </w:rPr>
        <w:t xml:space="preserve">2015 жылғы 3-тоқсанда  алдыңғы  кезеңмен салыстырғанда  сұраныс  пен ұсыныстың  өсу </w:t>
      </w:r>
      <w:r w:rsidR="00A90451">
        <w:rPr>
          <w:lang w:val="kk-KZ"/>
        </w:rPr>
        <w:t xml:space="preserve">үрдісінің  баяулауы  байқалды.  </w:t>
      </w:r>
      <w:r w:rsidR="00796D0B">
        <w:rPr>
          <w:lang w:val="kk-KZ"/>
        </w:rPr>
        <w:t>Корпоративтік сектор үшін кредиттердің  қолжетімділігі  басым түрде ірі бизнесте төмендеуін жалғастырды</w:t>
      </w:r>
      <w:r w:rsidR="006D076F" w:rsidRPr="006D076F">
        <w:rPr>
          <w:lang w:val="kk-KZ"/>
        </w:rPr>
        <w:t xml:space="preserve"> </w:t>
      </w:r>
      <w:r w:rsidR="006D076F">
        <w:rPr>
          <w:lang w:val="kk-KZ"/>
        </w:rPr>
        <w:t>және</w:t>
      </w:r>
      <w:r w:rsidR="00796D0B">
        <w:rPr>
          <w:lang w:val="kk-KZ"/>
        </w:rPr>
        <w:t xml:space="preserve"> </w:t>
      </w:r>
      <w:r w:rsidR="00AB7669">
        <w:rPr>
          <w:lang w:val="kk-KZ"/>
        </w:rPr>
        <w:t xml:space="preserve">сақталып отырған экономикалық айқын еместік  кредиттер ұсынуды және олардың </w:t>
      </w:r>
      <w:r w:rsidR="00B2625C">
        <w:rPr>
          <w:lang w:val="kk-KZ"/>
        </w:rPr>
        <w:t>қарыз алушылар үшін қолжетімділігі</w:t>
      </w:r>
      <w:r w:rsidR="00CD19E6">
        <w:rPr>
          <w:lang w:val="kk-KZ"/>
        </w:rPr>
        <w:t xml:space="preserve">н шектейді. </w:t>
      </w:r>
      <w:r w:rsidR="00B2625C">
        <w:rPr>
          <w:lang w:val="kk-KZ"/>
        </w:rPr>
        <w:t xml:space="preserve"> </w:t>
      </w:r>
    </w:p>
    <w:p w:rsidR="00E07E5F" w:rsidRPr="00A14C41" w:rsidRDefault="004C6BC2" w:rsidP="0010285F">
      <w:pPr>
        <w:ind w:firstLine="708"/>
        <w:jc w:val="both"/>
        <w:rPr>
          <w:lang w:val="kk-KZ"/>
        </w:rPr>
      </w:pPr>
      <w:r>
        <w:rPr>
          <w:lang w:val="kk-KZ"/>
        </w:rPr>
        <w:t xml:space="preserve">Тұтынушылық кредиттеудің банктер үшін кредиттеудің басым түрі болып  отырғандығына  қарамастан, </w:t>
      </w:r>
      <w:r w:rsidR="00073856">
        <w:rPr>
          <w:lang w:val="kk-KZ"/>
        </w:rPr>
        <w:t xml:space="preserve"> кредиттеу  талаптарын, оның ішінде  кепілсіз, сол сияқты  кепіл  қарыздары  бойынша пайыздық  мөлшерлемелерді арттыру жолымен елеулі  қатаңдату байқалып отыр, ал  ипотекалық кредиттер бойынша пайыздық  мөлшерлемелердің  төмендеуі  байқалды. Жылдың  соңына  дейін бөлшек  сегментте кейбір ірі және  орта  банктер  барлық  кредиттік өнімдер бойынша пайыздық мөлшерлемелерді</w:t>
      </w:r>
      <w:r w:rsidR="00A14C41">
        <w:rPr>
          <w:lang w:val="kk-KZ"/>
        </w:rPr>
        <w:t xml:space="preserve"> өсіруге ниет білдіріп  отырғандығын  атап  өткен жөн. </w:t>
      </w:r>
      <w:r w:rsidR="00735D58" w:rsidRPr="00A14C41">
        <w:rPr>
          <w:lang w:val="kk-KZ"/>
        </w:rPr>
        <w:t xml:space="preserve">  </w:t>
      </w:r>
    </w:p>
    <w:p w:rsidR="00975C95" w:rsidRDefault="00A14C41" w:rsidP="00A171C5">
      <w:pPr>
        <w:autoSpaceDE w:val="0"/>
        <w:autoSpaceDN w:val="0"/>
        <w:adjustRightInd w:val="0"/>
        <w:ind w:firstLine="708"/>
        <w:jc w:val="both"/>
        <w:rPr>
          <w:rFonts w:eastAsia="Calibri"/>
          <w:color w:val="000000"/>
          <w:lang w:val="kk-KZ"/>
        </w:rPr>
      </w:pPr>
      <w:r>
        <w:rPr>
          <w:rFonts w:eastAsia="Calibri"/>
          <w:color w:val="000000"/>
          <w:lang w:val="kk-KZ"/>
        </w:rPr>
        <w:t>Банктердің  бағалауы  бойынша,  сыртқы  және  ішкі  нарықтардағы жоғары  шиеленіс жағдайында жекелеген  қарыз  алушылардың  қаржылық  жай-күйінің нашарлауы, сондай-ақ мерзімін кейінге қалдырудың өсуі күтіліп отыр, бұл</w:t>
      </w:r>
      <w:r w:rsidR="00975C95">
        <w:rPr>
          <w:rFonts w:eastAsia="Calibri"/>
          <w:color w:val="000000"/>
          <w:lang w:val="kk-KZ"/>
        </w:rPr>
        <w:t xml:space="preserve"> банктердің несие  портфелінің  сапасына  қысым көрсетеді</w:t>
      </w:r>
      <w:r w:rsidR="00C86258" w:rsidRPr="00975C95">
        <w:rPr>
          <w:rFonts w:eastAsia="Calibri"/>
          <w:color w:val="000000"/>
          <w:lang w:val="kk-KZ"/>
        </w:rPr>
        <w:t>.</w:t>
      </w:r>
      <w:r w:rsidR="000A7C85" w:rsidRPr="00975C95">
        <w:rPr>
          <w:rFonts w:eastAsia="Calibri"/>
          <w:color w:val="000000"/>
          <w:lang w:val="kk-KZ"/>
        </w:rPr>
        <w:t xml:space="preserve"> </w:t>
      </w:r>
      <w:r w:rsidR="00975C95">
        <w:rPr>
          <w:rFonts w:eastAsia="Calibri"/>
          <w:color w:val="000000"/>
          <w:lang w:val="kk-KZ"/>
        </w:rPr>
        <w:t xml:space="preserve"> Оған қоса, банктер несие  портфелі  сапасын</w:t>
      </w:r>
      <w:r w:rsidR="00E74C6A">
        <w:rPr>
          <w:rFonts w:eastAsia="Calibri"/>
          <w:color w:val="000000"/>
          <w:lang w:val="kk-KZ"/>
        </w:rPr>
        <w:t xml:space="preserve">ың </w:t>
      </w:r>
      <w:r w:rsidR="00234A24">
        <w:rPr>
          <w:rFonts w:eastAsia="Calibri"/>
          <w:color w:val="000000"/>
          <w:lang w:val="kk-KZ"/>
        </w:rPr>
        <w:t xml:space="preserve"> жақсаруын  проблемалық  кредиттерді баланстан тыс есепке шығару </w:t>
      </w:r>
      <w:r w:rsidR="00B46737">
        <w:rPr>
          <w:rFonts w:eastAsia="Calibri"/>
          <w:color w:val="000000"/>
          <w:lang w:val="kk-KZ"/>
        </w:rPr>
        <w:t>процесінің жылдамдатылуымен  байланыстырып  қоймай, сондай-ақ кредиттеуді ынталандыруға бағытталған мемлекеттік бағдарламалар  жұмысының кеңеюімен де  байланысты</w:t>
      </w:r>
      <w:r w:rsidR="00462424">
        <w:rPr>
          <w:rFonts w:eastAsia="Calibri"/>
          <w:color w:val="000000"/>
          <w:lang w:val="kk-KZ"/>
        </w:rPr>
        <w:t>рады</w:t>
      </w:r>
      <w:r w:rsidR="00B46737">
        <w:rPr>
          <w:rFonts w:eastAsia="Calibri"/>
          <w:color w:val="000000"/>
          <w:lang w:val="kk-KZ"/>
        </w:rPr>
        <w:t xml:space="preserve">. </w:t>
      </w:r>
    </w:p>
    <w:p w:rsidR="00A171C5" w:rsidRPr="0013393D" w:rsidRDefault="00A171C5" w:rsidP="0010285F">
      <w:pPr>
        <w:ind w:firstLine="708"/>
        <w:jc w:val="both"/>
        <w:rPr>
          <w:lang w:val="kk-KZ"/>
        </w:rPr>
      </w:pPr>
    </w:p>
    <w:p w:rsidR="000F530D" w:rsidRPr="00862F2E" w:rsidRDefault="000F530D" w:rsidP="000F530D">
      <w:pPr>
        <w:ind w:firstLine="708"/>
        <w:jc w:val="both"/>
        <w:rPr>
          <w:b/>
          <w:lang w:val="kk-KZ"/>
        </w:rPr>
      </w:pPr>
      <w:r w:rsidRPr="00862F2E">
        <w:rPr>
          <w:b/>
          <w:lang w:val="kk-KZ"/>
        </w:rPr>
        <w:t>Корпоративтік секторды кредиттеу нарығы</w:t>
      </w:r>
    </w:p>
    <w:p w:rsidR="000F530D" w:rsidRDefault="000F530D" w:rsidP="00BA7344">
      <w:pPr>
        <w:autoSpaceDE w:val="0"/>
        <w:autoSpaceDN w:val="0"/>
        <w:adjustRightInd w:val="0"/>
        <w:ind w:firstLine="708"/>
        <w:jc w:val="both"/>
        <w:rPr>
          <w:b/>
          <w:lang w:val="kk-KZ"/>
        </w:rPr>
      </w:pPr>
    </w:p>
    <w:p w:rsidR="008319C3" w:rsidRPr="009002AA" w:rsidRDefault="00462424" w:rsidP="009002AA">
      <w:pPr>
        <w:ind w:firstLine="708"/>
        <w:jc w:val="both"/>
        <w:rPr>
          <w:b/>
          <w:lang w:val="kk-KZ"/>
        </w:rPr>
      </w:pPr>
      <w:r>
        <w:rPr>
          <w:b/>
          <w:lang w:val="kk-KZ"/>
        </w:rPr>
        <w:t>Банктердің бағалауы  бойынша, теңге өтімділігінің жетіспеуімен байланысты  сақталып  отырған  ахуал, банктер</w:t>
      </w:r>
      <w:r w:rsidR="006D076F">
        <w:rPr>
          <w:b/>
          <w:lang w:val="kk-KZ"/>
        </w:rPr>
        <w:t xml:space="preserve"> </w:t>
      </w:r>
      <w:r>
        <w:rPr>
          <w:b/>
          <w:lang w:val="kk-KZ"/>
        </w:rPr>
        <w:t>талаптарын қатаңдат</w:t>
      </w:r>
      <w:r w:rsidR="006D076F">
        <w:rPr>
          <w:b/>
          <w:lang w:val="kk-KZ"/>
        </w:rPr>
        <w:t>ы</w:t>
      </w:r>
      <w:r>
        <w:rPr>
          <w:b/>
          <w:lang w:val="kk-KZ"/>
        </w:rPr>
        <w:t xml:space="preserve">. </w:t>
      </w:r>
      <w:r w:rsidR="009002AA">
        <w:rPr>
          <w:b/>
          <w:lang w:val="kk-KZ"/>
        </w:rPr>
        <w:t>Жылдың соңына дейін банктердің кредит саясатының жұмсаруы күтіліп отырған жоқ, кредиттік ресурстарға сұраныстың төмен деңгейі сақталады</w:t>
      </w:r>
      <w:r w:rsidR="004E5A6D" w:rsidRPr="009002AA">
        <w:rPr>
          <w:b/>
          <w:lang w:val="kk-KZ"/>
        </w:rPr>
        <w:t xml:space="preserve"> (</w:t>
      </w:r>
      <w:r w:rsidR="009002AA">
        <w:rPr>
          <w:b/>
          <w:lang w:val="kk-KZ"/>
        </w:rPr>
        <w:t>2-</w:t>
      </w:r>
      <w:r w:rsidR="004E5A6D" w:rsidRPr="009002AA">
        <w:rPr>
          <w:b/>
          <w:lang w:val="kk-KZ"/>
        </w:rPr>
        <w:t>диаграмма)</w:t>
      </w:r>
      <w:r w:rsidR="00B16633" w:rsidRPr="009002AA">
        <w:rPr>
          <w:b/>
          <w:lang w:val="kk-KZ"/>
        </w:rPr>
        <w:t>.</w:t>
      </w:r>
    </w:p>
    <w:tbl>
      <w:tblPr>
        <w:tblpPr w:leftFromText="180" w:rightFromText="180" w:vertAnchor="text" w:horzAnchor="margin" w:tblpX="108" w:tblpY="265"/>
        <w:tblOverlap w:val="never"/>
        <w:tblW w:w="9606" w:type="dxa"/>
        <w:tblLayout w:type="fixed"/>
        <w:tblLook w:val="04A0" w:firstRow="1" w:lastRow="0" w:firstColumn="1" w:lastColumn="0" w:noHBand="0" w:noVBand="1"/>
      </w:tblPr>
      <w:tblGrid>
        <w:gridCol w:w="9606"/>
      </w:tblGrid>
      <w:tr w:rsidR="006A392D" w:rsidRPr="000C7998" w:rsidTr="00B32CE0">
        <w:tc>
          <w:tcPr>
            <w:tcW w:w="9606" w:type="dxa"/>
            <w:shd w:val="clear" w:color="auto" w:fill="auto"/>
          </w:tcPr>
          <w:p w:rsidR="006A392D" w:rsidRPr="0013393D" w:rsidRDefault="000F530D" w:rsidP="006A392D">
            <w:pPr>
              <w:jc w:val="center"/>
              <w:rPr>
                <w:sz w:val="20"/>
                <w:szCs w:val="20"/>
                <w:lang w:val="kk-KZ"/>
              </w:rPr>
            </w:pPr>
            <w:r w:rsidRPr="00862F2E">
              <w:rPr>
                <w:b/>
                <w:lang w:val="kk-KZ"/>
              </w:rPr>
              <w:t>1-диаграмма. Кредиттеу субъектілері бойынша кредит саясатының өзгеруі</w:t>
            </w:r>
          </w:p>
        </w:tc>
      </w:tr>
      <w:tr w:rsidR="006A392D" w:rsidRPr="000C7998" w:rsidTr="00AE05C2">
        <w:trPr>
          <w:trHeight w:val="3824"/>
        </w:trPr>
        <w:tc>
          <w:tcPr>
            <w:tcW w:w="9606" w:type="dxa"/>
            <w:shd w:val="clear" w:color="auto" w:fill="auto"/>
          </w:tcPr>
          <w:p w:rsidR="006A392D" w:rsidRPr="000C7998" w:rsidRDefault="00AE05C2" w:rsidP="006A392D">
            <w:pPr>
              <w:jc w:val="center"/>
              <w:rPr>
                <w:sz w:val="22"/>
                <w:szCs w:val="22"/>
                <w:lang w:val="kk-KZ"/>
              </w:rPr>
            </w:pPr>
            <w:r>
              <w:rPr>
                <w:noProof/>
              </w:rPr>
              <w:drawing>
                <wp:inline distT="0" distB="0" distL="0" distR="0" wp14:anchorId="794BE824" wp14:editId="70159C7E">
                  <wp:extent cx="6071616" cy="2670048"/>
                  <wp:effectExtent l="0" t="0" r="571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6A392D" w:rsidRPr="00DC4625" w:rsidTr="00B32CE0">
        <w:trPr>
          <w:trHeight w:val="133"/>
        </w:trPr>
        <w:tc>
          <w:tcPr>
            <w:tcW w:w="9606" w:type="dxa"/>
            <w:shd w:val="clear" w:color="auto" w:fill="auto"/>
          </w:tcPr>
          <w:p w:rsidR="006A392D" w:rsidRPr="00691B1F" w:rsidRDefault="000F530D" w:rsidP="000F530D">
            <w:pPr>
              <w:jc w:val="both"/>
              <w:rPr>
                <w:i/>
                <w:color w:val="000000"/>
                <w:sz w:val="16"/>
                <w:szCs w:val="16"/>
              </w:rPr>
            </w:pPr>
            <w:r>
              <w:rPr>
                <w:i/>
                <w:color w:val="000000"/>
                <w:sz w:val="16"/>
                <w:szCs w:val="16"/>
                <w:lang w:val="kk-KZ"/>
              </w:rPr>
              <w:t>Дереккөзі</w:t>
            </w:r>
            <w:r w:rsidR="006A392D" w:rsidRPr="00DC4625">
              <w:rPr>
                <w:i/>
                <w:color w:val="000000"/>
                <w:sz w:val="16"/>
                <w:szCs w:val="16"/>
              </w:rPr>
              <w:t xml:space="preserve">: </w:t>
            </w:r>
            <w:r>
              <w:rPr>
                <w:i/>
                <w:color w:val="000000"/>
                <w:sz w:val="16"/>
                <w:szCs w:val="16"/>
                <w:lang w:val="kk-KZ"/>
              </w:rPr>
              <w:t>ҚРҰБ</w:t>
            </w:r>
          </w:p>
        </w:tc>
      </w:tr>
    </w:tbl>
    <w:p w:rsidR="000F530D" w:rsidRDefault="000F530D" w:rsidP="008277B4">
      <w:pPr>
        <w:ind w:firstLine="709"/>
        <w:jc w:val="both"/>
        <w:rPr>
          <w:lang w:val="kk-KZ"/>
        </w:rPr>
      </w:pPr>
      <w:bookmarkStart w:id="1" w:name="OLE_LINK3"/>
      <w:bookmarkStart w:id="2" w:name="OLE_LINK4"/>
    </w:p>
    <w:p w:rsidR="00E772F5" w:rsidRDefault="00035C6B" w:rsidP="008277B4">
      <w:pPr>
        <w:ind w:firstLine="709"/>
        <w:jc w:val="both"/>
        <w:rPr>
          <w:lang w:val="kk-KZ"/>
        </w:rPr>
      </w:pPr>
      <w:r>
        <w:rPr>
          <w:lang w:val="kk-KZ"/>
        </w:rPr>
        <w:t xml:space="preserve">2015 жылғы 3-тоқсанда, </w:t>
      </w:r>
      <w:r w:rsidR="00822D18">
        <w:rPr>
          <w:lang w:val="kk-KZ"/>
        </w:rPr>
        <w:t xml:space="preserve">көптеген </w:t>
      </w:r>
      <w:r w:rsidR="00062604">
        <w:rPr>
          <w:lang w:val="kk-KZ"/>
        </w:rPr>
        <w:t>банктердің кредит саясатының айтарлықтай  өзгер</w:t>
      </w:r>
      <w:r w:rsidR="00822D18">
        <w:rPr>
          <w:lang w:val="kk-KZ"/>
        </w:rPr>
        <w:t>ме</w:t>
      </w:r>
      <w:r w:rsidR="003A10AB">
        <w:rPr>
          <w:lang w:val="kk-KZ"/>
        </w:rPr>
        <w:t>уіне</w:t>
      </w:r>
      <w:r w:rsidR="00062604">
        <w:rPr>
          <w:lang w:val="kk-KZ"/>
        </w:rPr>
        <w:t xml:space="preserve"> қарамастан</w:t>
      </w:r>
      <w:r w:rsidR="00822D18">
        <w:rPr>
          <w:lang w:val="kk-KZ"/>
        </w:rPr>
        <w:t xml:space="preserve">, </w:t>
      </w:r>
      <w:r w:rsidR="00062604">
        <w:rPr>
          <w:lang w:val="kk-KZ"/>
        </w:rPr>
        <w:t xml:space="preserve"> </w:t>
      </w:r>
      <w:r w:rsidR="00822D18">
        <w:rPr>
          <w:lang w:val="kk-KZ"/>
        </w:rPr>
        <w:t>жекелеген  банктер  бизнеске қатысты  оны  қатаңдатуды  жалғастырды</w:t>
      </w:r>
      <w:r w:rsidRPr="00862F2E">
        <w:rPr>
          <w:lang w:val="kk-KZ"/>
        </w:rPr>
        <w:t xml:space="preserve"> (1-диаграмма)</w:t>
      </w:r>
      <w:r w:rsidRPr="00862F2E">
        <w:rPr>
          <w:rStyle w:val="a5"/>
        </w:rPr>
        <w:footnoteReference w:id="1"/>
      </w:r>
      <w:r w:rsidRPr="00862F2E">
        <w:rPr>
          <w:lang w:val="kk-KZ"/>
        </w:rPr>
        <w:t>.</w:t>
      </w:r>
      <w:r w:rsidR="00711E22">
        <w:rPr>
          <w:lang w:val="kk-KZ"/>
        </w:rPr>
        <w:t xml:space="preserve"> </w:t>
      </w:r>
      <w:r w:rsidR="00822D18">
        <w:rPr>
          <w:lang w:val="kk-KZ"/>
        </w:rPr>
        <w:t xml:space="preserve">Банктердің  бағалауы  бойынша, </w:t>
      </w:r>
      <w:r w:rsidR="009A6208" w:rsidRPr="00822D18">
        <w:rPr>
          <w:lang w:val="kk-KZ"/>
        </w:rPr>
        <w:t>респондент</w:t>
      </w:r>
      <w:r w:rsidR="00822D18">
        <w:rPr>
          <w:lang w:val="kk-KZ"/>
        </w:rPr>
        <w:t xml:space="preserve">тердің  </w:t>
      </w:r>
      <w:r w:rsidR="00822D18" w:rsidRPr="00822D18">
        <w:rPr>
          <w:lang w:val="kk-KZ"/>
        </w:rPr>
        <w:t>75%</w:t>
      </w:r>
      <w:r w:rsidR="00822D18">
        <w:rPr>
          <w:lang w:val="kk-KZ"/>
        </w:rPr>
        <w:t xml:space="preserve">-ы </w:t>
      </w:r>
      <w:r w:rsidR="00822D18">
        <w:rPr>
          <w:lang w:val="kk-KZ"/>
        </w:rPr>
        <w:lastRenderedPageBreak/>
        <w:t>кредит саясатын бұрынғы қатаң режимде сақтады, ал</w:t>
      </w:r>
      <w:r w:rsidR="00AB546E" w:rsidRPr="00822D18">
        <w:rPr>
          <w:lang w:val="kk-KZ"/>
        </w:rPr>
        <w:t xml:space="preserve"> </w:t>
      </w:r>
      <w:r w:rsidR="00822D18">
        <w:rPr>
          <w:lang w:val="kk-KZ"/>
        </w:rPr>
        <w:t xml:space="preserve">банктердің </w:t>
      </w:r>
      <w:r w:rsidR="00AB546E" w:rsidRPr="00822D18">
        <w:rPr>
          <w:lang w:val="kk-KZ"/>
        </w:rPr>
        <w:t>25%</w:t>
      </w:r>
      <w:r w:rsidR="00822D18">
        <w:rPr>
          <w:lang w:val="kk-KZ"/>
        </w:rPr>
        <w:t xml:space="preserve">-ы саясатты  қатаңдатуды </w:t>
      </w:r>
      <w:r w:rsidR="003A10AB">
        <w:rPr>
          <w:lang w:val="kk-KZ"/>
        </w:rPr>
        <w:t>қалады</w:t>
      </w:r>
      <w:r w:rsidR="00822D18">
        <w:rPr>
          <w:lang w:val="kk-KZ"/>
        </w:rPr>
        <w:t xml:space="preserve">. </w:t>
      </w:r>
    </w:p>
    <w:tbl>
      <w:tblPr>
        <w:tblpPr w:leftFromText="180" w:rightFromText="180" w:vertAnchor="text" w:horzAnchor="margin" w:tblpX="108" w:tblpY="189"/>
        <w:tblOverlap w:val="never"/>
        <w:tblW w:w="0" w:type="auto"/>
        <w:tblLayout w:type="fixed"/>
        <w:tblLook w:val="04A0" w:firstRow="1" w:lastRow="0" w:firstColumn="1" w:lastColumn="0" w:noHBand="0" w:noVBand="1"/>
      </w:tblPr>
      <w:tblGrid>
        <w:gridCol w:w="9606"/>
      </w:tblGrid>
      <w:tr w:rsidR="002350A3" w:rsidRPr="000C7998" w:rsidTr="00AE05C2">
        <w:trPr>
          <w:trHeight w:val="70"/>
        </w:trPr>
        <w:tc>
          <w:tcPr>
            <w:tcW w:w="9606" w:type="dxa"/>
            <w:shd w:val="clear" w:color="auto" w:fill="auto"/>
            <w:vAlign w:val="center"/>
          </w:tcPr>
          <w:p w:rsidR="002350A3" w:rsidRPr="00862F2E" w:rsidRDefault="002350A3" w:rsidP="003C7EDF">
            <w:pPr>
              <w:jc w:val="center"/>
              <w:rPr>
                <w:b/>
                <w:lang w:val="kk-KZ"/>
              </w:rPr>
            </w:pPr>
            <w:r w:rsidRPr="00862F2E">
              <w:rPr>
                <w:b/>
                <w:lang w:val="kk-KZ"/>
              </w:rPr>
              <w:t>2-диаграмма. Кредиттік ресурстарға сұраныс пен ұсыныстың өзгеруі, респонденттердің %-ы (корпоративтік сектор)</w:t>
            </w:r>
          </w:p>
        </w:tc>
      </w:tr>
      <w:tr w:rsidR="002350A3" w:rsidRPr="000C7998" w:rsidTr="00AE05C2">
        <w:trPr>
          <w:trHeight w:val="3198"/>
        </w:trPr>
        <w:tc>
          <w:tcPr>
            <w:tcW w:w="9606" w:type="dxa"/>
            <w:shd w:val="clear" w:color="auto" w:fill="auto"/>
            <w:vAlign w:val="center"/>
          </w:tcPr>
          <w:p w:rsidR="002350A3" w:rsidRPr="000C7998" w:rsidRDefault="00AE05C2" w:rsidP="003C7EDF">
            <w:pPr>
              <w:rPr>
                <w:lang w:val="kk-KZ"/>
              </w:rPr>
            </w:pPr>
            <w:r>
              <w:rPr>
                <w:noProof/>
              </w:rPr>
              <w:drawing>
                <wp:inline distT="0" distB="0" distL="0" distR="0" wp14:anchorId="7DF45098" wp14:editId="20C4D912">
                  <wp:extent cx="6064300" cy="2392071"/>
                  <wp:effectExtent l="0" t="0" r="0" b="825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2350A3" w:rsidRPr="00862F2E" w:rsidTr="00AE05C2">
        <w:trPr>
          <w:trHeight w:val="263"/>
        </w:trPr>
        <w:tc>
          <w:tcPr>
            <w:tcW w:w="9606" w:type="dxa"/>
            <w:shd w:val="clear" w:color="auto" w:fill="auto"/>
            <w:vAlign w:val="center"/>
          </w:tcPr>
          <w:p w:rsidR="002350A3" w:rsidRPr="00AE05C2" w:rsidRDefault="002350A3" w:rsidP="003C7EDF">
            <w:pPr>
              <w:autoSpaceDE w:val="0"/>
              <w:autoSpaceDN w:val="0"/>
              <w:adjustRightInd w:val="0"/>
              <w:jc w:val="both"/>
              <w:rPr>
                <w:i/>
                <w:color w:val="000000"/>
                <w:sz w:val="20"/>
                <w:szCs w:val="20"/>
              </w:rPr>
            </w:pPr>
            <w:r w:rsidRPr="00AE05C2">
              <w:rPr>
                <w:i/>
                <w:color w:val="000000"/>
                <w:sz w:val="20"/>
                <w:szCs w:val="20"/>
                <w:lang w:val="kk-KZ"/>
              </w:rPr>
              <w:t>Ескерту</w:t>
            </w:r>
            <w:r w:rsidRPr="00AE05C2">
              <w:rPr>
                <w:i/>
                <w:color w:val="000000"/>
                <w:sz w:val="20"/>
                <w:szCs w:val="20"/>
              </w:rPr>
              <w:t xml:space="preserve">: </w:t>
            </w:r>
            <w:r w:rsidRPr="00AE05C2">
              <w:rPr>
                <w:i/>
                <w:color w:val="000000"/>
                <w:sz w:val="20"/>
                <w:szCs w:val="20"/>
                <w:lang w:val="kk-KZ"/>
              </w:rPr>
              <w:t xml:space="preserve">Кредиттік  ресурстарға қолжетімділік кредит алуға өтініш  білдірген, бірақ оларды алмаған кәсіпорындар үлесі ретінде </w:t>
            </w:r>
            <w:r w:rsidRPr="00AE05C2">
              <w:rPr>
                <w:i/>
                <w:color w:val="000000"/>
                <w:sz w:val="20"/>
                <w:szCs w:val="20"/>
              </w:rPr>
              <w:t>%-</w:t>
            </w:r>
            <w:r w:rsidRPr="00AE05C2">
              <w:rPr>
                <w:i/>
                <w:color w:val="000000"/>
                <w:sz w:val="20"/>
                <w:szCs w:val="20"/>
                <w:lang w:val="kk-KZ"/>
              </w:rPr>
              <w:t>бен есептелген</w:t>
            </w:r>
            <w:r w:rsidRPr="00AE05C2">
              <w:rPr>
                <w:i/>
                <w:color w:val="000000"/>
                <w:sz w:val="20"/>
                <w:szCs w:val="20"/>
              </w:rPr>
              <w:t>. «0»</w:t>
            </w:r>
            <w:r w:rsidRPr="00AE05C2">
              <w:rPr>
                <w:i/>
                <w:color w:val="000000"/>
                <w:sz w:val="20"/>
                <w:szCs w:val="20"/>
                <w:lang w:val="kk-KZ"/>
              </w:rPr>
              <w:t xml:space="preserve">-ден төмен мән кредиттердің  кәсіпорындар үшін қолжетімділігінің </w:t>
            </w:r>
            <w:proofErr w:type="gramStart"/>
            <w:r w:rsidRPr="00AE05C2">
              <w:rPr>
                <w:i/>
                <w:color w:val="000000"/>
                <w:sz w:val="20"/>
                <w:szCs w:val="20"/>
                <w:lang w:val="kk-KZ"/>
              </w:rPr>
              <w:t>арт</w:t>
            </w:r>
            <w:proofErr w:type="gramEnd"/>
            <w:r w:rsidRPr="00AE05C2">
              <w:rPr>
                <w:i/>
                <w:color w:val="000000"/>
                <w:sz w:val="20"/>
                <w:szCs w:val="20"/>
                <w:lang w:val="kk-KZ"/>
              </w:rPr>
              <w:t xml:space="preserve">қанын, тиісінше </w:t>
            </w:r>
            <w:r w:rsidRPr="00AE05C2">
              <w:rPr>
                <w:i/>
                <w:color w:val="000000"/>
                <w:sz w:val="20"/>
                <w:szCs w:val="20"/>
              </w:rPr>
              <w:t>«0»</w:t>
            </w:r>
            <w:r w:rsidRPr="00AE05C2">
              <w:rPr>
                <w:i/>
                <w:color w:val="000000"/>
                <w:sz w:val="20"/>
                <w:szCs w:val="20"/>
                <w:lang w:val="kk-KZ"/>
              </w:rPr>
              <w:t>-ден жоғары мән қолжетімділіктің  төмендегенін білдіреді</w:t>
            </w:r>
            <w:r w:rsidRPr="00AE05C2">
              <w:rPr>
                <w:i/>
                <w:color w:val="000000"/>
                <w:sz w:val="20"/>
                <w:szCs w:val="20"/>
              </w:rPr>
              <w:t>.</w:t>
            </w:r>
          </w:p>
          <w:p w:rsidR="002350A3" w:rsidRPr="00862F2E" w:rsidRDefault="002350A3" w:rsidP="003C7EDF">
            <w:pPr>
              <w:autoSpaceDE w:val="0"/>
              <w:autoSpaceDN w:val="0"/>
              <w:adjustRightInd w:val="0"/>
              <w:rPr>
                <w:i/>
                <w:color w:val="000000"/>
              </w:rPr>
            </w:pPr>
            <w:r w:rsidRPr="00AE05C2">
              <w:rPr>
                <w:i/>
                <w:color w:val="000000"/>
                <w:sz w:val="20"/>
                <w:szCs w:val="20"/>
                <w:lang w:val="kk-KZ"/>
              </w:rPr>
              <w:t>Дереккөзі</w:t>
            </w:r>
            <w:r w:rsidRPr="00AE05C2">
              <w:rPr>
                <w:i/>
                <w:color w:val="000000"/>
                <w:sz w:val="20"/>
                <w:szCs w:val="20"/>
              </w:rPr>
              <w:t xml:space="preserve">: </w:t>
            </w:r>
            <w:r w:rsidRPr="00AE05C2">
              <w:rPr>
                <w:i/>
                <w:color w:val="000000"/>
                <w:sz w:val="20"/>
                <w:szCs w:val="20"/>
                <w:lang w:val="kk-KZ"/>
              </w:rPr>
              <w:t>ҚРҰБ</w:t>
            </w:r>
          </w:p>
        </w:tc>
      </w:tr>
    </w:tbl>
    <w:p w:rsidR="002350A3" w:rsidRPr="002350A3" w:rsidRDefault="002350A3" w:rsidP="002350A3">
      <w:pPr>
        <w:ind w:firstLine="709"/>
        <w:jc w:val="both"/>
        <w:rPr>
          <w:lang w:val="kk-KZ"/>
        </w:rPr>
      </w:pPr>
      <w:r>
        <w:rPr>
          <w:lang w:val="kk-KZ"/>
        </w:rPr>
        <w:t xml:space="preserve">Тұтастай алғанда </w:t>
      </w:r>
      <w:r w:rsidRPr="002350A3">
        <w:rPr>
          <w:lang w:val="kk-KZ"/>
        </w:rPr>
        <w:t>консерватив</w:t>
      </w:r>
      <w:r>
        <w:rPr>
          <w:lang w:val="kk-KZ"/>
        </w:rPr>
        <w:t xml:space="preserve">тік </w:t>
      </w:r>
      <w:r w:rsidRPr="002350A3">
        <w:rPr>
          <w:lang w:val="kk-KZ"/>
        </w:rPr>
        <w:t>кредит</w:t>
      </w:r>
      <w:r>
        <w:rPr>
          <w:lang w:val="kk-KZ"/>
        </w:rPr>
        <w:t xml:space="preserve"> саясаты және банктер тарапынан ұсыныстардың өсуінің баяулауы, банктердің пікірінше, қорландырудың шектеулі болуымен және құнының жоғары болуымен, сондай-ақ кейбір қарыз алушылардың 2015 жылдың соңында ақы төлеу мерзімін өткізуінің өсу болжамымен байланысты болды. 2015 жылғы 4-тоқсанда бизнес субъектілеріне қатысты кредит саясаты 3-тоқсанмен салыстырғанда азырақ қатаңдайды деп күтіледі:</w:t>
      </w:r>
      <w:r w:rsidRPr="002350A3">
        <w:rPr>
          <w:lang w:val="kk-KZ"/>
        </w:rPr>
        <w:t xml:space="preserve"> </w:t>
      </w:r>
      <w:r>
        <w:rPr>
          <w:lang w:val="kk-KZ"/>
        </w:rPr>
        <w:t xml:space="preserve">банктердің </w:t>
      </w:r>
      <w:r w:rsidRPr="002350A3">
        <w:rPr>
          <w:lang w:val="kk-KZ"/>
        </w:rPr>
        <w:t>84%</w:t>
      </w:r>
      <w:r>
        <w:rPr>
          <w:lang w:val="kk-KZ"/>
        </w:rPr>
        <w:t>-ы</w:t>
      </w:r>
      <w:r w:rsidRPr="002350A3">
        <w:rPr>
          <w:lang w:val="kk-KZ"/>
        </w:rPr>
        <w:t xml:space="preserve"> </w:t>
      </w:r>
      <w:r>
        <w:rPr>
          <w:lang w:val="kk-KZ"/>
        </w:rPr>
        <w:t>оны өзгертпей сақтауды жоспарлайды</w:t>
      </w:r>
      <w:r w:rsidRPr="002350A3">
        <w:rPr>
          <w:lang w:val="kk-KZ"/>
        </w:rPr>
        <w:t xml:space="preserve">, </w:t>
      </w:r>
      <w:r>
        <w:rPr>
          <w:lang w:val="kk-KZ"/>
        </w:rPr>
        <w:t xml:space="preserve">респонденттердің </w:t>
      </w:r>
      <w:r w:rsidRPr="002350A3">
        <w:rPr>
          <w:lang w:val="kk-KZ"/>
        </w:rPr>
        <w:t>13%</w:t>
      </w:r>
      <w:r>
        <w:rPr>
          <w:lang w:val="kk-KZ"/>
        </w:rPr>
        <w:t>-ы</w:t>
      </w:r>
      <w:r w:rsidRPr="002350A3">
        <w:rPr>
          <w:lang w:val="kk-KZ"/>
        </w:rPr>
        <w:t xml:space="preserve"> </w:t>
      </w:r>
      <w:r>
        <w:rPr>
          <w:lang w:val="kk-KZ"/>
        </w:rPr>
        <w:t xml:space="preserve"> қатаңдатуды және банктердің бар болғаны </w:t>
      </w:r>
      <w:r w:rsidRPr="002350A3">
        <w:rPr>
          <w:lang w:val="kk-KZ"/>
        </w:rPr>
        <w:t>3%</w:t>
      </w:r>
      <w:r>
        <w:rPr>
          <w:lang w:val="kk-KZ"/>
        </w:rPr>
        <w:t>-ы көбіне ірі бизнеске қатысты жұмсартуды жоспарлайды</w:t>
      </w:r>
      <w:r w:rsidRPr="002350A3">
        <w:rPr>
          <w:lang w:val="kk-KZ"/>
        </w:rPr>
        <w:t xml:space="preserve"> (1</w:t>
      </w:r>
      <w:r>
        <w:rPr>
          <w:lang w:val="kk-KZ"/>
        </w:rPr>
        <w:t>-</w:t>
      </w:r>
      <w:r w:rsidRPr="002350A3">
        <w:rPr>
          <w:lang w:val="kk-KZ"/>
        </w:rPr>
        <w:t>диаграмма).</w:t>
      </w:r>
    </w:p>
    <w:p w:rsidR="002350A3" w:rsidRPr="003C7EDF" w:rsidRDefault="002350A3" w:rsidP="002350A3">
      <w:pPr>
        <w:ind w:firstLine="708"/>
        <w:jc w:val="both"/>
        <w:rPr>
          <w:color w:val="000000"/>
          <w:lang w:val="kk-KZ" w:eastAsia="en-US"/>
        </w:rPr>
      </w:pPr>
      <w:r>
        <w:rPr>
          <w:lang w:val="kk-KZ"/>
        </w:rPr>
        <w:t>Б</w:t>
      </w:r>
      <w:r w:rsidRPr="00512567">
        <w:rPr>
          <w:lang w:val="kk-KZ"/>
        </w:rPr>
        <w:t>анк</w:t>
      </w:r>
      <w:r>
        <w:rPr>
          <w:lang w:val="kk-KZ"/>
        </w:rPr>
        <w:t>тердің бағалауынша</w:t>
      </w:r>
      <w:r w:rsidRPr="00512567">
        <w:rPr>
          <w:lang w:val="kk-KZ"/>
        </w:rPr>
        <w:t>,</w:t>
      </w:r>
      <w:r>
        <w:rPr>
          <w:lang w:val="kk-KZ"/>
        </w:rPr>
        <w:t xml:space="preserve"> теңгенің 2015 жылғы тамыздағы валюталық бағамының түзетілуіне, сондай-ақ банк секторындағы өтімділік тәуекелінің өсуіне байланысты 2015 жылғы 2-тоқсандағы зерттеу барысында атап өтілген қаржылық емес ұйымдар тарапынан сұраныстың өсу болжамы 3-тоқсанда орындалмады </w:t>
      </w:r>
      <w:r w:rsidRPr="002350A3">
        <w:rPr>
          <w:color w:val="000000"/>
          <w:lang w:val="kk-KZ" w:eastAsia="en-US"/>
        </w:rPr>
        <w:t>(2</w:t>
      </w:r>
      <w:r>
        <w:rPr>
          <w:color w:val="000000"/>
          <w:lang w:val="kk-KZ" w:eastAsia="en-US"/>
        </w:rPr>
        <w:t>-</w:t>
      </w:r>
      <w:r w:rsidRPr="002350A3">
        <w:rPr>
          <w:color w:val="000000"/>
          <w:lang w:val="kk-KZ" w:eastAsia="en-US"/>
        </w:rPr>
        <w:t xml:space="preserve">диаграмма). </w:t>
      </w:r>
    </w:p>
    <w:tbl>
      <w:tblPr>
        <w:tblpPr w:leftFromText="180" w:rightFromText="180" w:vertAnchor="text" w:horzAnchor="margin" w:tblpX="108" w:tblpY="238"/>
        <w:tblOverlap w:val="never"/>
        <w:tblW w:w="9606" w:type="dxa"/>
        <w:tblLayout w:type="fixed"/>
        <w:tblLook w:val="04A0" w:firstRow="1" w:lastRow="0" w:firstColumn="1" w:lastColumn="0" w:noHBand="0" w:noVBand="1"/>
      </w:tblPr>
      <w:tblGrid>
        <w:gridCol w:w="9606"/>
      </w:tblGrid>
      <w:tr w:rsidR="002350A3" w:rsidRPr="000C7998" w:rsidTr="00AE05C2">
        <w:tc>
          <w:tcPr>
            <w:tcW w:w="9606" w:type="dxa"/>
            <w:shd w:val="clear" w:color="auto" w:fill="auto"/>
          </w:tcPr>
          <w:p w:rsidR="002350A3" w:rsidRPr="00512567" w:rsidRDefault="002350A3" w:rsidP="00E11B5E">
            <w:pPr>
              <w:jc w:val="center"/>
              <w:rPr>
                <w:sz w:val="20"/>
                <w:szCs w:val="20"/>
                <w:lang w:val="kk-KZ"/>
              </w:rPr>
            </w:pPr>
            <w:r>
              <w:rPr>
                <w:b/>
                <w:sz w:val="20"/>
                <w:szCs w:val="20"/>
                <w:lang w:val="kk-KZ"/>
              </w:rPr>
              <w:t>3-д</w:t>
            </w:r>
            <w:r w:rsidRPr="00512567">
              <w:rPr>
                <w:b/>
                <w:sz w:val="20"/>
                <w:szCs w:val="20"/>
                <w:lang w:val="kk-KZ"/>
              </w:rPr>
              <w:t xml:space="preserve">иаграмма. </w:t>
            </w:r>
            <w:r>
              <w:rPr>
                <w:b/>
                <w:sz w:val="20"/>
                <w:szCs w:val="20"/>
                <w:lang w:val="kk-KZ"/>
              </w:rPr>
              <w:t>К</w:t>
            </w:r>
            <w:r w:rsidRPr="00512567">
              <w:rPr>
                <w:b/>
                <w:sz w:val="20"/>
                <w:szCs w:val="20"/>
                <w:lang w:val="kk-KZ"/>
              </w:rPr>
              <w:t>редит</w:t>
            </w:r>
            <w:r>
              <w:rPr>
                <w:b/>
                <w:sz w:val="20"/>
                <w:szCs w:val="20"/>
                <w:lang w:val="kk-KZ"/>
              </w:rPr>
              <w:t>теу мақсаттары бойынша қаржыландырудың өзгеруі</w:t>
            </w:r>
          </w:p>
        </w:tc>
      </w:tr>
      <w:tr w:rsidR="002350A3" w:rsidRPr="00DC4625" w:rsidTr="00AE05C2">
        <w:trPr>
          <w:trHeight w:val="3150"/>
        </w:trPr>
        <w:tc>
          <w:tcPr>
            <w:tcW w:w="9606" w:type="dxa"/>
            <w:shd w:val="clear" w:color="auto" w:fill="auto"/>
          </w:tcPr>
          <w:p w:rsidR="002350A3" w:rsidRPr="000C4098" w:rsidRDefault="00AE05C2" w:rsidP="00E11B5E">
            <w:pPr>
              <w:jc w:val="center"/>
              <w:rPr>
                <w:sz w:val="22"/>
                <w:szCs w:val="22"/>
              </w:rPr>
            </w:pPr>
            <w:r>
              <w:rPr>
                <w:noProof/>
              </w:rPr>
              <w:drawing>
                <wp:inline distT="0" distB="0" distL="0" distR="0" wp14:anchorId="028101EA" wp14:editId="2A3332B8">
                  <wp:extent cx="6013094" cy="2560320"/>
                  <wp:effectExtent l="0" t="0" r="698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350A3" w:rsidRPr="00DC4625" w:rsidTr="00AE05C2">
        <w:trPr>
          <w:trHeight w:val="133"/>
        </w:trPr>
        <w:tc>
          <w:tcPr>
            <w:tcW w:w="9606" w:type="dxa"/>
            <w:shd w:val="clear" w:color="auto" w:fill="auto"/>
          </w:tcPr>
          <w:p w:rsidR="002350A3" w:rsidRPr="00691B1F" w:rsidRDefault="002350A3" w:rsidP="00E11B5E">
            <w:pPr>
              <w:jc w:val="both"/>
              <w:rPr>
                <w:i/>
                <w:color w:val="000000"/>
                <w:sz w:val="16"/>
                <w:szCs w:val="16"/>
              </w:rPr>
            </w:pPr>
            <w:proofErr w:type="spellStart"/>
            <w:r>
              <w:rPr>
                <w:i/>
                <w:color w:val="000000"/>
                <w:sz w:val="16"/>
                <w:szCs w:val="16"/>
              </w:rPr>
              <w:t>Дерек</w:t>
            </w:r>
            <w:proofErr w:type="spellEnd"/>
            <w:r>
              <w:rPr>
                <w:i/>
                <w:color w:val="000000"/>
                <w:sz w:val="16"/>
                <w:szCs w:val="16"/>
              </w:rPr>
              <w:t xml:space="preserve"> </w:t>
            </w:r>
            <w:proofErr w:type="spellStart"/>
            <w:r>
              <w:rPr>
                <w:i/>
                <w:color w:val="000000"/>
                <w:sz w:val="16"/>
                <w:szCs w:val="16"/>
              </w:rPr>
              <w:t>көзі</w:t>
            </w:r>
            <w:proofErr w:type="spellEnd"/>
            <w:r w:rsidRPr="00DC4625">
              <w:rPr>
                <w:i/>
                <w:color w:val="000000"/>
                <w:sz w:val="16"/>
                <w:szCs w:val="16"/>
              </w:rPr>
              <w:t xml:space="preserve">: </w:t>
            </w:r>
            <w:r>
              <w:rPr>
                <w:i/>
                <w:color w:val="000000"/>
                <w:sz w:val="16"/>
                <w:szCs w:val="16"/>
              </w:rPr>
              <w:t>Қ</w:t>
            </w:r>
            <w:proofErr w:type="gramStart"/>
            <w:r>
              <w:rPr>
                <w:i/>
                <w:color w:val="000000"/>
                <w:sz w:val="16"/>
                <w:szCs w:val="16"/>
              </w:rPr>
              <w:t>Р</w:t>
            </w:r>
            <w:proofErr w:type="gramEnd"/>
            <w:r>
              <w:rPr>
                <w:i/>
                <w:color w:val="000000"/>
                <w:sz w:val="16"/>
                <w:szCs w:val="16"/>
              </w:rPr>
              <w:t>ҰБ</w:t>
            </w:r>
          </w:p>
        </w:tc>
      </w:tr>
    </w:tbl>
    <w:p w:rsidR="002350A3" w:rsidRPr="003C7EDF" w:rsidRDefault="002350A3" w:rsidP="002350A3">
      <w:pPr>
        <w:ind w:firstLine="708"/>
        <w:jc w:val="both"/>
        <w:rPr>
          <w:lang w:val="kk-KZ"/>
        </w:rPr>
      </w:pPr>
      <w:r>
        <w:rPr>
          <w:color w:val="000000"/>
          <w:lang w:val="kk-KZ" w:eastAsia="en-US"/>
        </w:rPr>
        <w:lastRenderedPageBreak/>
        <w:t>Бұл ретте</w:t>
      </w:r>
      <w:r w:rsidRPr="002350A3">
        <w:rPr>
          <w:color w:val="000000"/>
          <w:lang w:val="kk-KZ" w:eastAsia="en-US"/>
        </w:rPr>
        <w:t xml:space="preserve">, </w:t>
      </w:r>
      <w:r>
        <w:rPr>
          <w:color w:val="000000"/>
          <w:lang w:val="kk-KZ" w:eastAsia="en-US"/>
        </w:rPr>
        <w:t>бұрынғысынша</w:t>
      </w:r>
      <w:r w:rsidRPr="002350A3">
        <w:rPr>
          <w:color w:val="000000"/>
          <w:lang w:val="kk-KZ" w:eastAsia="en-US"/>
        </w:rPr>
        <w:t xml:space="preserve">, </w:t>
      </w:r>
      <w:r>
        <w:rPr>
          <w:color w:val="000000"/>
          <w:lang w:val="kk-KZ" w:eastAsia="en-US"/>
        </w:rPr>
        <w:t xml:space="preserve">сауда және көрсетілетін қызметтер секторындағы кәсіпорындар тарапынан айналым қаражатына деген сұраныс сақталды, бұл ретте компаниялар тарапынан негізгі құрал-жабдықтарды қаржыландыру үшін, сондай-ақ мерзімінің ұзақ және құнының жоғары болуына байланысты коммерциялық жылжымайтын мүлікті сатып алуға арналған кредиттерге деген сұраныс айтарлықтай төмендеді </w:t>
      </w:r>
      <w:r w:rsidRPr="002350A3">
        <w:rPr>
          <w:lang w:val="kk-KZ"/>
        </w:rPr>
        <w:t>(3</w:t>
      </w:r>
      <w:r>
        <w:rPr>
          <w:lang w:val="kk-KZ"/>
        </w:rPr>
        <w:t>-</w:t>
      </w:r>
      <w:r w:rsidRPr="002350A3">
        <w:rPr>
          <w:lang w:val="kk-KZ"/>
        </w:rPr>
        <w:t>диаграмма).</w:t>
      </w:r>
    </w:p>
    <w:tbl>
      <w:tblPr>
        <w:tblpPr w:leftFromText="180" w:rightFromText="180" w:vertAnchor="text" w:horzAnchor="margin" w:tblpX="108" w:tblpY="197"/>
        <w:tblOverlap w:val="never"/>
        <w:tblW w:w="9606" w:type="dxa"/>
        <w:tblLayout w:type="fixed"/>
        <w:tblLook w:val="04A0" w:firstRow="1" w:lastRow="0" w:firstColumn="1" w:lastColumn="0" w:noHBand="0" w:noVBand="1"/>
      </w:tblPr>
      <w:tblGrid>
        <w:gridCol w:w="9606"/>
      </w:tblGrid>
      <w:tr w:rsidR="002350A3" w:rsidRPr="002D0975" w:rsidTr="00480792">
        <w:tc>
          <w:tcPr>
            <w:tcW w:w="9606" w:type="dxa"/>
            <w:shd w:val="clear" w:color="auto" w:fill="auto"/>
          </w:tcPr>
          <w:p w:rsidR="002350A3" w:rsidRDefault="002350A3" w:rsidP="0091298D">
            <w:pPr>
              <w:jc w:val="center"/>
              <w:rPr>
                <w:b/>
                <w:sz w:val="20"/>
                <w:szCs w:val="20"/>
                <w:lang w:val="kk-KZ"/>
              </w:rPr>
            </w:pPr>
            <w:r>
              <w:rPr>
                <w:b/>
                <w:sz w:val="20"/>
                <w:szCs w:val="20"/>
                <w:lang w:val="kk-KZ"/>
              </w:rPr>
              <w:t>4-д</w:t>
            </w:r>
            <w:proofErr w:type="spellStart"/>
            <w:r w:rsidRPr="00DC4625">
              <w:rPr>
                <w:b/>
                <w:sz w:val="20"/>
                <w:szCs w:val="20"/>
              </w:rPr>
              <w:t>иаграмма</w:t>
            </w:r>
            <w:proofErr w:type="spellEnd"/>
            <w:r w:rsidRPr="00DC4625">
              <w:rPr>
                <w:b/>
                <w:sz w:val="20"/>
                <w:szCs w:val="20"/>
              </w:rPr>
              <w:t xml:space="preserve">. </w:t>
            </w:r>
            <w:r>
              <w:rPr>
                <w:b/>
                <w:sz w:val="20"/>
                <w:szCs w:val="20"/>
                <w:lang w:val="kk-KZ"/>
              </w:rPr>
              <w:t xml:space="preserve"> Бизнес </w:t>
            </w:r>
            <w:r w:rsidRPr="002D0975">
              <w:rPr>
                <w:b/>
                <w:sz w:val="20"/>
                <w:szCs w:val="20"/>
                <w:lang w:val="kk-KZ"/>
              </w:rPr>
              <w:t>субъект</w:t>
            </w:r>
            <w:r>
              <w:rPr>
                <w:b/>
                <w:sz w:val="20"/>
                <w:szCs w:val="20"/>
                <w:lang w:val="kk-KZ"/>
              </w:rPr>
              <w:t>ілері үшін к</w:t>
            </w:r>
            <w:r w:rsidRPr="002D0975">
              <w:rPr>
                <w:b/>
                <w:sz w:val="20"/>
                <w:szCs w:val="20"/>
                <w:lang w:val="kk-KZ"/>
              </w:rPr>
              <w:t>редит</w:t>
            </w:r>
            <w:r>
              <w:rPr>
                <w:b/>
                <w:sz w:val="20"/>
                <w:szCs w:val="20"/>
                <w:lang w:val="kk-KZ"/>
              </w:rPr>
              <w:t xml:space="preserve">тік ресурстарға арналған </w:t>
            </w:r>
          </w:p>
          <w:p w:rsidR="002350A3" w:rsidRPr="003C7EDF" w:rsidRDefault="002350A3" w:rsidP="0091298D">
            <w:pPr>
              <w:jc w:val="center"/>
              <w:rPr>
                <w:sz w:val="20"/>
                <w:szCs w:val="20"/>
                <w:lang w:val="en-US"/>
              </w:rPr>
            </w:pPr>
            <w:r>
              <w:rPr>
                <w:b/>
                <w:sz w:val="20"/>
                <w:szCs w:val="20"/>
                <w:lang w:val="kk-KZ"/>
              </w:rPr>
              <w:t xml:space="preserve">сыйақы мөлшерлемелерінің өзгеруі </w:t>
            </w:r>
          </w:p>
        </w:tc>
      </w:tr>
      <w:tr w:rsidR="002350A3" w:rsidRPr="00DC4625" w:rsidTr="00480792">
        <w:trPr>
          <w:trHeight w:val="2724"/>
        </w:trPr>
        <w:tc>
          <w:tcPr>
            <w:tcW w:w="9606" w:type="dxa"/>
            <w:shd w:val="clear" w:color="auto" w:fill="auto"/>
          </w:tcPr>
          <w:p w:rsidR="002350A3" w:rsidRPr="000C4098" w:rsidRDefault="0091298D" w:rsidP="0091298D">
            <w:pPr>
              <w:jc w:val="center"/>
              <w:rPr>
                <w:sz w:val="22"/>
                <w:szCs w:val="22"/>
              </w:rPr>
            </w:pPr>
            <w:r>
              <w:rPr>
                <w:noProof/>
              </w:rPr>
              <w:drawing>
                <wp:inline distT="0" distB="0" distL="0" distR="0" wp14:anchorId="327ABFDF" wp14:editId="2A1F9F3C">
                  <wp:extent cx="5888736" cy="2150669"/>
                  <wp:effectExtent l="0" t="0" r="0" b="25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2350A3" w:rsidRPr="00DC4625" w:rsidTr="00480792">
        <w:trPr>
          <w:trHeight w:val="133"/>
        </w:trPr>
        <w:tc>
          <w:tcPr>
            <w:tcW w:w="9606" w:type="dxa"/>
            <w:shd w:val="clear" w:color="auto" w:fill="auto"/>
          </w:tcPr>
          <w:p w:rsidR="002350A3" w:rsidRPr="00691B1F" w:rsidRDefault="002350A3" w:rsidP="0091298D">
            <w:pPr>
              <w:jc w:val="both"/>
              <w:rPr>
                <w:i/>
                <w:color w:val="000000"/>
                <w:sz w:val="16"/>
                <w:szCs w:val="16"/>
              </w:rPr>
            </w:pPr>
            <w:proofErr w:type="spellStart"/>
            <w:r>
              <w:rPr>
                <w:i/>
                <w:color w:val="000000"/>
                <w:sz w:val="16"/>
                <w:szCs w:val="16"/>
              </w:rPr>
              <w:t>Дерек</w:t>
            </w:r>
            <w:proofErr w:type="spellEnd"/>
            <w:r>
              <w:rPr>
                <w:i/>
                <w:color w:val="000000"/>
                <w:sz w:val="16"/>
                <w:szCs w:val="16"/>
              </w:rPr>
              <w:t xml:space="preserve"> </w:t>
            </w:r>
            <w:proofErr w:type="spellStart"/>
            <w:r>
              <w:rPr>
                <w:i/>
                <w:color w:val="000000"/>
                <w:sz w:val="16"/>
                <w:szCs w:val="16"/>
              </w:rPr>
              <w:t>көзі</w:t>
            </w:r>
            <w:proofErr w:type="spellEnd"/>
            <w:r w:rsidRPr="00DC4625">
              <w:rPr>
                <w:i/>
                <w:color w:val="000000"/>
                <w:sz w:val="16"/>
                <w:szCs w:val="16"/>
              </w:rPr>
              <w:t xml:space="preserve">: </w:t>
            </w:r>
            <w:r>
              <w:rPr>
                <w:i/>
                <w:color w:val="000000"/>
                <w:sz w:val="16"/>
                <w:szCs w:val="16"/>
              </w:rPr>
              <w:t>Қ</w:t>
            </w:r>
            <w:proofErr w:type="gramStart"/>
            <w:r>
              <w:rPr>
                <w:i/>
                <w:color w:val="000000"/>
                <w:sz w:val="16"/>
                <w:szCs w:val="16"/>
              </w:rPr>
              <w:t>Р</w:t>
            </w:r>
            <w:proofErr w:type="gramEnd"/>
            <w:r>
              <w:rPr>
                <w:i/>
                <w:color w:val="000000"/>
                <w:sz w:val="16"/>
                <w:szCs w:val="16"/>
              </w:rPr>
              <w:t>ҰБ</w:t>
            </w:r>
          </w:p>
        </w:tc>
      </w:tr>
    </w:tbl>
    <w:p w:rsidR="002350A3" w:rsidRPr="00D40896" w:rsidRDefault="002350A3" w:rsidP="002350A3">
      <w:pPr>
        <w:ind w:firstLine="708"/>
        <w:jc w:val="both"/>
        <w:rPr>
          <w:lang w:val="kk-KZ"/>
        </w:rPr>
      </w:pPr>
      <w:r>
        <w:rPr>
          <w:lang w:val="kk-KZ"/>
        </w:rPr>
        <w:t>2015 жылдың 3-тоқсанымен салыстырғанда 4-тоқсанда банктердің аз бөлігі кредиттерге деген сұраныстың өсуін болжайды</w:t>
      </w:r>
      <w:r w:rsidRPr="00D40896">
        <w:rPr>
          <w:lang w:val="kk-KZ"/>
        </w:rPr>
        <w:t xml:space="preserve">: </w:t>
      </w:r>
      <w:r>
        <w:rPr>
          <w:lang w:val="kk-KZ"/>
        </w:rPr>
        <w:t xml:space="preserve">респонденттердің шамамен </w:t>
      </w:r>
      <w:r w:rsidRPr="00D40896">
        <w:rPr>
          <w:lang w:val="kk-KZ"/>
        </w:rPr>
        <w:t>72%</w:t>
      </w:r>
      <w:r>
        <w:rPr>
          <w:lang w:val="kk-KZ"/>
        </w:rPr>
        <w:t>-ы сұраныс бұрынғы деңгейде қалады деп болжайды</w:t>
      </w:r>
      <w:r w:rsidRPr="00D40896">
        <w:rPr>
          <w:lang w:val="kk-KZ"/>
        </w:rPr>
        <w:t xml:space="preserve">, </w:t>
      </w:r>
      <w:r>
        <w:rPr>
          <w:lang w:val="kk-KZ"/>
        </w:rPr>
        <w:t xml:space="preserve">банктердің </w:t>
      </w:r>
      <w:r w:rsidRPr="00D40896">
        <w:rPr>
          <w:lang w:val="kk-KZ"/>
        </w:rPr>
        <w:t>19%</w:t>
      </w:r>
      <w:r>
        <w:rPr>
          <w:lang w:val="kk-KZ"/>
        </w:rPr>
        <w:t xml:space="preserve">-ы </w:t>
      </w:r>
      <w:r w:rsidRPr="00D40896">
        <w:rPr>
          <w:lang w:val="kk-KZ"/>
        </w:rPr>
        <w:t xml:space="preserve"> </w:t>
      </w:r>
      <w:r>
        <w:rPr>
          <w:lang w:val="kk-KZ"/>
        </w:rPr>
        <w:t xml:space="preserve">аздап өсуін күтеді  және банктердің </w:t>
      </w:r>
      <w:r w:rsidRPr="00D40896">
        <w:rPr>
          <w:lang w:val="kk-KZ"/>
        </w:rPr>
        <w:t>9%</w:t>
      </w:r>
      <w:r>
        <w:rPr>
          <w:lang w:val="kk-KZ"/>
        </w:rPr>
        <w:t>-ы</w:t>
      </w:r>
      <w:r w:rsidRPr="00D40896">
        <w:rPr>
          <w:lang w:val="kk-KZ"/>
        </w:rPr>
        <w:t xml:space="preserve"> </w:t>
      </w:r>
      <w:r>
        <w:rPr>
          <w:lang w:val="kk-KZ"/>
        </w:rPr>
        <w:t xml:space="preserve">сұраныстың төмендеуін болжайды </w:t>
      </w:r>
      <w:r w:rsidRPr="00D40896">
        <w:rPr>
          <w:lang w:val="kk-KZ"/>
        </w:rPr>
        <w:t>(2</w:t>
      </w:r>
      <w:r>
        <w:rPr>
          <w:lang w:val="kk-KZ"/>
        </w:rPr>
        <w:t>-</w:t>
      </w:r>
      <w:r w:rsidRPr="00D40896">
        <w:rPr>
          <w:lang w:val="kk-KZ"/>
        </w:rPr>
        <w:t xml:space="preserve">диаграмма). </w:t>
      </w:r>
    </w:p>
    <w:p w:rsidR="002350A3" w:rsidRPr="002350A3" w:rsidRDefault="002350A3" w:rsidP="002350A3">
      <w:pPr>
        <w:ind w:firstLine="708"/>
        <w:jc w:val="both"/>
        <w:rPr>
          <w:lang w:val="kk-KZ"/>
        </w:rPr>
      </w:pPr>
      <w:r>
        <w:rPr>
          <w:lang w:val="kk-KZ"/>
        </w:rPr>
        <w:t>Банктердің пікірінше</w:t>
      </w:r>
      <w:r w:rsidRPr="002350A3">
        <w:rPr>
          <w:lang w:val="en-US"/>
        </w:rPr>
        <w:t xml:space="preserve">, </w:t>
      </w:r>
      <w:r>
        <w:rPr>
          <w:lang w:val="kk-KZ"/>
        </w:rPr>
        <w:t xml:space="preserve">орта және ұзақ мерзімді қорландыру көздерінің тапшы болуы және экономиканың дамуындағы белгісіздік жылдың соңына дейін қаржылық емес ұйымдарды кредиттеуге әсер ететін негізгі факторлар болып қалуда. Бұл кредиттер бойынша пайыздық мөлшерлемелердің өсуі жолымен кредиттеудің шектелуіне әкеп соғады, бұл корпоративтік сектор тарапынан кредиттік ресурстарға деген қазіргі сұранысты толық көлемде қанағаттандыруға мүмкіндік бермейді. </w:t>
      </w:r>
    </w:p>
    <w:p w:rsidR="002350A3" w:rsidRDefault="002350A3" w:rsidP="002350A3">
      <w:pPr>
        <w:ind w:firstLine="708"/>
        <w:jc w:val="both"/>
        <w:rPr>
          <w:b/>
          <w:lang w:val="kk-KZ"/>
        </w:rPr>
      </w:pPr>
    </w:p>
    <w:p w:rsidR="002350A3" w:rsidRPr="002350A3" w:rsidRDefault="002350A3" w:rsidP="002350A3">
      <w:pPr>
        <w:ind w:firstLine="708"/>
        <w:jc w:val="both"/>
        <w:rPr>
          <w:b/>
          <w:lang w:val="kk-KZ"/>
        </w:rPr>
      </w:pPr>
      <w:r w:rsidRPr="002350A3">
        <w:rPr>
          <w:b/>
          <w:lang w:val="kk-KZ"/>
        </w:rPr>
        <w:t xml:space="preserve">II. </w:t>
      </w:r>
      <w:r>
        <w:rPr>
          <w:b/>
          <w:lang w:val="kk-KZ"/>
        </w:rPr>
        <w:t xml:space="preserve">Жеке тұлғаларды кредиттеу нарығы </w:t>
      </w:r>
    </w:p>
    <w:p w:rsidR="002350A3" w:rsidRPr="002350A3" w:rsidRDefault="002350A3" w:rsidP="002350A3">
      <w:pPr>
        <w:ind w:firstLine="708"/>
        <w:jc w:val="both"/>
        <w:rPr>
          <w:b/>
          <w:lang w:val="kk-KZ"/>
        </w:rPr>
      </w:pPr>
    </w:p>
    <w:p w:rsidR="002350A3" w:rsidRPr="002350A3" w:rsidRDefault="002350A3" w:rsidP="002350A3">
      <w:pPr>
        <w:ind w:firstLine="708"/>
        <w:jc w:val="both"/>
        <w:rPr>
          <w:b/>
          <w:lang w:val="kk-KZ"/>
        </w:rPr>
      </w:pPr>
      <w:r>
        <w:rPr>
          <w:b/>
          <w:lang w:val="kk-KZ"/>
        </w:rPr>
        <w:t xml:space="preserve">2015 жылғы 3-тоқсанның қорытындысы бойынша банк секторындағы ұлғайған тәуекелдер банктердің бөлшек секторды кредиттеуге деген ниетінің күрт төмендеуіне әкеп соқты. Нәтижесінде жекелеген банктер кредит саясатын қатаңдатты, ал банктердің негізгі бөлігі кредит саясатының қолданыстағы қатаң өлшемдерін сақтап қалды. Кредит саясатын қатаңдатудың 3-тоқсанның соңында болғанын ескерсек, қарыз алушылар тарапынан кредиттерге деген сұраныстың баяулауын банктер 2015 жылғы 4-тоқсаннның ортасында ғана күтіп отыр </w:t>
      </w:r>
      <w:r w:rsidRPr="002350A3">
        <w:rPr>
          <w:b/>
          <w:lang w:val="kk-KZ"/>
        </w:rPr>
        <w:t>(6</w:t>
      </w:r>
      <w:r>
        <w:rPr>
          <w:b/>
          <w:lang w:val="kk-KZ"/>
        </w:rPr>
        <w:t>-</w:t>
      </w:r>
      <w:r w:rsidRPr="002350A3">
        <w:rPr>
          <w:b/>
          <w:lang w:val="kk-KZ"/>
        </w:rPr>
        <w:t>диаграмма).</w:t>
      </w:r>
    </w:p>
    <w:p w:rsidR="00D40896" w:rsidRPr="002350A3" w:rsidRDefault="002350A3" w:rsidP="002350A3">
      <w:pPr>
        <w:ind w:firstLine="709"/>
        <w:jc w:val="both"/>
        <w:rPr>
          <w:lang w:val="kk-KZ"/>
        </w:rPr>
      </w:pPr>
      <w:r>
        <w:rPr>
          <w:lang w:val="kk-KZ"/>
        </w:rPr>
        <w:t xml:space="preserve">Тұтастай алғанда бөлшек кредиттеуге қатысты кредит саясаты 2015 жылғы 3-тоқсанда көптеген банктерде </w:t>
      </w:r>
      <w:r w:rsidRPr="002350A3">
        <w:rPr>
          <w:lang w:val="kk-KZ"/>
        </w:rPr>
        <w:t>(70%</w:t>
      </w:r>
      <w:r>
        <w:rPr>
          <w:lang w:val="kk-KZ"/>
        </w:rPr>
        <w:t>-дан астам</w:t>
      </w:r>
      <w:r w:rsidRPr="002350A3">
        <w:rPr>
          <w:lang w:val="kk-KZ"/>
        </w:rPr>
        <w:t>)</w:t>
      </w:r>
      <w:r>
        <w:rPr>
          <w:lang w:val="kk-KZ"/>
        </w:rPr>
        <w:t xml:space="preserve"> бұрынғы қатаң деңгейде қалды, бұл ретте</w:t>
      </w:r>
      <w:r w:rsidRPr="002350A3">
        <w:rPr>
          <w:lang w:val="kk-KZ"/>
        </w:rPr>
        <w:t xml:space="preserve">, </w:t>
      </w:r>
      <w:r>
        <w:rPr>
          <w:lang w:val="kk-KZ"/>
        </w:rPr>
        <w:t>кейбір банктердің бағалауынша</w:t>
      </w:r>
      <w:r w:rsidRPr="002350A3">
        <w:rPr>
          <w:lang w:val="kk-KZ"/>
        </w:rPr>
        <w:t xml:space="preserve">, </w:t>
      </w:r>
      <w:r>
        <w:rPr>
          <w:lang w:val="kk-KZ"/>
        </w:rPr>
        <w:t xml:space="preserve">кредит саясатын қатаңдату көбіне тұтынушылық кредиттеуге әсер етті </w:t>
      </w:r>
      <w:r w:rsidRPr="002350A3">
        <w:rPr>
          <w:lang w:val="kk-KZ"/>
        </w:rPr>
        <w:t>(5</w:t>
      </w:r>
      <w:r>
        <w:rPr>
          <w:lang w:val="kk-KZ"/>
        </w:rPr>
        <w:t>-</w:t>
      </w:r>
      <w:r w:rsidRPr="002350A3">
        <w:rPr>
          <w:lang w:val="kk-KZ"/>
        </w:rPr>
        <w:t xml:space="preserve">диаграмма). </w:t>
      </w:r>
    </w:p>
    <w:tbl>
      <w:tblPr>
        <w:tblStyle w:val="a9"/>
        <w:tblpPr w:leftFromText="180" w:rightFromText="180" w:vertAnchor="text" w:horzAnchor="margin" w:tblpX="108" w:tblpY="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2350A3" w:rsidTr="00F7229D">
        <w:tc>
          <w:tcPr>
            <w:tcW w:w="9606" w:type="dxa"/>
          </w:tcPr>
          <w:p w:rsidR="002350A3" w:rsidRDefault="002350A3" w:rsidP="00E11B5E">
            <w:pPr>
              <w:jc w:val="center"/>
            </w:pPr>
            <w:r>
              <w:rPr>
                <w:b/>
                <w:sz w:val="20"/>
                <w:szCs w:val="20"/>
              </w:rPr>
              <w:t>5</w:t>
            </w:r>
            <w:r>
              <w:rPr>
                <w:b/>
                <w:sz w:val="20"/>
                <w:szCs w:val="20"/>
                <w:lang w:val="kk-KZ"/>
              </w:rPr>
              <w:t>-д</w:t>
            </w:r>
            <w:proofErr w:type="spellStart"/>
            <w:r w:rsidRPr="00DE52D3">
              <w:rPr>
                <w:b/>
                <w:sz w:val="20"/>
                <w:szCs w:val="20"/>
              </w:rPr>
              <w:t>иаграмма</w:t>
            </w:r>
            <w:proofErr w:type="spellEnd"/>
            <w:r w:rsidRPr="00DE52D3">
              <w:rPr>
                <w:b/>
                <w:sz w:val="20"/>
                <w:szCs w:val="20"/>
              </w:rPr>
              <w:t xml:space="preserve">. </w:t>
            </w:r>
            <w:r>
              <w:rPr>
                <w:b/>
                <w:sz w:val="20"/>
                <w:szCs w:val="20"/>
                <w:lang w:val="kk-KZ"/>
              </w:rPr>
              <w:t xml:space="preserve">Банктердің кредит саясатының өзгеруі </w:t>
            </w:r>
          </w:p>
        </w:tc>
      </w:tr>
      <w:tr w:rsidR="002350A3" w:rsidTr="00F7229D">
        <w:tc>
          <w:tcPr>
            <w:tcW w:w="9606" w:type="dxa"/>
          </w:tcPr>
          <w:p w:rsidR="004A70A1" w:rsidRDefault="006D0CB2" w:rsidP="00E11B5E">
            <w:pPr>
              <w:jc w:val="both"/>
            </w:pPr>
            <w:r>
              <w:rPr>
                <w:noProof/>
              </w:rPr>
              <w:lastRenderedPageBreak/>
              <w:drawing>
                <wp:inline distT="0" distB="0" distL="0" distR="0" wp14:anchorId="40F47145" wp14:editId="7CAA3296">
                  <wp:extent cx="5991148" cy="2340864"/>
                  <wp:effectExtent l="0" t="0" r="0" b="25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350A3" w:rsidTr="00F7229D">
        <w:tc>
          <w:tcPr>
            <w:tcW w:w="9606" w:type="dxa"/>
          </w:tcPr>
          <w:p w:rsidR="002350A3" w:rsidRPr="004A70A1" w:rsidRDefault="002350A3" w:rsidP="00E11B5E">
            <w:pPr>
              <w:jc w:val="both"/>
              <w:rPr>
                <w:i/>
                <w:sz w:val="18"/>
                <w:szCs w:val="18"/>
                <w:lang w:val="kk-KZ"/>
              </w:rPr>
            </w:pPr>
            <w:r>
              <w:rPr>
                <w:i/>
                <w:sz w:val="18"/>
                <w:szCs w:val="18"/>
                <w:lang w:val="kk-KZ"/>
              </w:rPr>
              <w:t>Дерек көзі</w:t>
            </w:r>
            <w:r w:rsidRPr="00DE52D3">
              <w:rPr>
                <w:i/>
                <w:sz w:val="18"/>
                <w:szCs w:val="18"/>
              </w:rPr>
              <w:t xml:space="preserve">: </w:t>
            </w:r>
            <w:r>
              <w:rPr>
                <w:i/>
                <w:sz w:val="18"/>
                <w:szCs w:val="18"/>
                <w:lang w:val="kk-KZ"/>
              </w:rPr>
              <w:t>ҚРҰБ</w:t>
            </w:r>
          </w:p>
        </w:tc>
      </w:tr>
    </w:tbl>
    <w:p w:rsidR="00596785" w:rsidRPr="008B680B" w:rsidRDefault="004A70A1" w:rsidP="00596785">
      <w:pPr>
        <w:ind w:firstLine="709"/>
        <w:jc w:val="both"/>
        <w:rPr>
          <w:lang w:val="kk-KZ"/>
        </w:rPr>
      </w:pPr>
      <w:r>
        <w:rPr>
          <w:lang w:val="kk-KZ"/>
        </w:rPr>
        <w:t xml:space="preserve"> </w:t>
      </w:r>
      <w:r w:rsidR="00596785">
        <w:rPr>
          <w:lang w:val="kk-KZ"/>
        </w:rPr>
        <w:t xml:space="preserve">Кепілсіз кредиттердің жоғары кірістілігіне қарамастан, пікіртерім жүргізілген банктердің көпшілігі осы өнімдер бойынша комиссиялардың пайыздық мөлшерлемелерін </w:t>
      </w:r>
      <w:r w:rsidR="00596785">
        <w:rPr>
          <w:lang w:val="kk-KZ"/>
        </w:rPr>
        <w:br/>
        <w:t>(7-диаграмма), кепілсіз кредиттер бойынша да, автокредитер бойынша (9-диаграмма) да скорингті елеулі  қатаңдата отырып ұлғайтуға мәжбүр екендіктерін мәлімдеді. Кредит бойынша төлемдердің ай сайынғы кіріске ара қатынасы, кепілмен қамтамасыз етілген кредиттерді өтеу сияқты өлшемдерді қосымша қатаңдатылды. Бұл факторлар кредиттерге қол жетімділікті төмендетуге және банктердің 2015 жылғы 4-тоқсанда сұраныс деңгейінің төмендеуі бойынша банктердің теріс болжамдарына әсер етті (</w:t>
      </w:r>
      <w:r w:rsidR="00596785" w:rsidRPr="00180D33">
        <w:rPr>
          <w:lang w:val="kk-KZ"/>
        </w:rPr>
        <w:t>6-диаграмма).</w:t>
      </w:r>
      <w:r w:rsidR="00596785" w:rsidRPr="000728EE">
        <w:rPr>
          <w:lang w:val="kk-KZ"/>
        </w:rPr>
        <w:t xml:space="preserve"> </w:t>
      </w:r>
    </w:p>
    <w:tbl>
      <w:tblPr>
        <w:tblpPr w:leftFromText="180" w:rightFromText="180" w:vertAnchor="text" w:horzAnchor="margin" w:tblpY="199"/>
        <w:tblW w:w="9606" w:type="dxa"/>
        <w:tblLayout w:type="fixed"/>
        <w:tblLook w:val="04A0" w:firstRow="1" w:lastRow="0" w:firstColumn="1" w:lastColumn="0" w:noHBand="0" w:noVBand="1"/>
      </w:tblPr>
      <w:tblGrid>
        <w:gridCol w:w="9606"/>
      </w:tblGrid>
      <w:tr w:rsidR="00596785" w:rsidTr="00E11B5E">
        <w:tc>
          <w:tcPr>
            <w:tcW w:w="9606" w:type="dxa"/>
            <w:shd w:val="clear" w:color="auto" w:fill="auto"/>
          </w:tcPr>
          <w:tbl>
            <w:tblPr>
              <w:tblpPr w:leftFromText="180" w:rightFromText="180" w:vertAnchor="text" w:horzAnchor="margin" w:tblpX="127" w:tblpY="-148"/>
              <w:tblOverlap w:val="never"/>
              <w:tblW w:w="9374" w:type="dxa"/>
              <w:tblLayout w:type="fixed"/>
              <w:tblLook w:val="04A0" w:firstRow="1" w:lastRow="0" w:firstColumn="1" w:lastColumn="0" w:noHBand="0" w:noVBand="1"/>
            </w:tblPr>
            <w:tblGrid>
              <w:gridCol w:w="9374"/>
            </w:tblGrid>
            <w:tr w:rsidR="002864DC" w:rsidRPr="00DE52D3" w:rsidTr="002864DC">
              <w:trPr>
                <w:trHeight w:val="229"/>
              </w:trPr>
              <w:tc>
                <w:tcPr>
                  <w:tcW w:w="9374" w:type="dxa"/>
                  <w:shd w:val="clear" w:color="auto" w:fill="auto"/>
                </w:tcPr>
                <w:p w:rsidR="002864DC" w:rsidRPr="00DE52D3" w:rsidRDefault="002864DC" w:rsidP="002864DC">
                  <w:pPr>
                    <w:jc w:val="center"/>
                    <w:rPr>
                      <w:b/>
                      <w:sz w:val="20"/>
                      <w:szCs w:val="20"/>
                    </w:rPr>
                  </w:pPr>
                  <w:r>
                    <w:rPr>
                      <w:b/>
                      <w:sz w:val="20"/>
                      <w:szCs w:val="20"/>
                    </w:rPr>
                    <w:t>6</w:t>
                  </w:r>
                  <w:r w:rsidRPr="000B1E74">
                    <w:rPr>
                      <w:b/>
                      <w:sz w:val="20"/>
                      <w:szCs w:val="20"/>
                    </w:rPr>
                    <w:t>-</w:t>
                  </w:r>
                  <w:r>
                    <w:rPr>
                      <w:b/>
                      <w:sz w:val="20"/>
                      <w:szCs w:val="20"/>
                      <w:lang w:val="kk-KZ"/>
                    </w:rPr>
                    <w:t>д</w:t>
                  </w:r>
                  <w:proofErr w:type="spellStart"/>
                  <w:r w:rsidRPr="00DE52D3">
                    <w:rPr>
                      <w:b/>
                      <w:sz w:val="20"/>
                      <w:szCs w:val="20"/>
                    </w:rPr>
                    <w:t>иаграмма</w:t>
                  </w:r>
                  <w:proofErr w:type="spellEnd"/>
                  <w:r w:rsidRPr="00DE52D3">
                    <w:rPr>
                      <w:b/>
                      <w:sz w:val="20"/>
                      <w:szCs w:val="20"/>
                    </w:rPr>
                    <w:t xml:space="preserve">. </w:t>
                  </w:r>
                  <w:r>
                    <w:rPr>
                      <w:b/>
                      <w:sz w:val="20"/>
                      <w:szCs w:val="20"/>
                      <w:lang w:val="kk-KZ"/>
                    </w:rPr>
                    <w:t xml:space="preserve"> К</w:t>
                  </w:r>
                  <w:proofErr w:type="spellStart"/>
                  <w:r>
                    <w:rPr>
                      <w:b/>
                      <w:sz w:val="18"/>
                      <w:szCs w:val="18"/>
                    </w:rPr>
                    <w:t>редит</w:t>
                  </w:r>
                  <w:proofErr w:type="spellEnd"/>
                  <w:r>
                    <w:rPr>
                      <w:b/>
                      <w:sz w:val="18"/>
                      <w:szCs w:val="18"/>
                      <w:lang w:val="kk-KZ"/>
                    </w:rPr>
                    <w:t>терге сұраныс пен ұсыныстың өзгеруі</w:t>
                  </w:r>
                </w:p>
              </w:tc>
            </w:tr>
            <w:tr w:rsidR="002864DC" w:rsidTr="002864DC">
              <w:trPr>
                <w:trHeight w:val="3908"/>
              </w:trPr>
              <w:tc>
                <w:tcPr>
                  <w:tcW w:w="9374" w:type="dxa"/>
                  <w:shd w:val="clear" w:color="auto" w:fill="auto"/>
                </w:tcPr>
                <w:p w:rsidR="002864DC" w:rsidRDefault="002864DC" w:rsidP="002864DC">
                  <w:pPr>
                    <w:jc w:val="both"/>
                  </w:pPr>
                  <w:r>
                    <w:rPr>
                      <w:noProof/>
                    </w:rPr>
                    <w:drawing>
                      <wp:inline distT="0" distB="0" distL="0" distR="0" wp14:anchorId="421CC07C" wp14:editId="64111CD4">
                        <wp:extent cx="5830215" cy="2487168"/>
                        <wp:effectExtent l="0" t="0" r="0" b="889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864DC" w:rsidTr="002864DC">
              <w:trPr>
                <w:trHeight w:val="482"/>
              </w:trPr>
              <w:tc>
                <w:tcPr>
                  <w:tcW w:w="9374" w:type="dxa"/>
                  <w:shd w:val="clear" w:color="auto" w:fill="auto"/>
                </w:tcPr>
                <w:p w:rsidR="002864DC" w:rsidRDefault="002864DC" w:rsidP="002864DC">
                  <w:pPr>
                    <w:jc w:val="both"/>
                    <w:rPr>
                      <w:i/>
                      <w:sz w:val="18"/>
                      <w:szCs w:val="18"/>
                      <w:lang w:val="kk-KZ"/>
                    </w:rPr>
                  </w:pPr>
                  <w:r>
                    <w:rPr>
                      <w:i/>
                      <w:sz w:val="18"/>
                      <w:szCs w:val="18"/>
                      <w:lang w:val="kk-KZ"/>
                    </w:rPr>
                    <w:t>Дереккөзі:</w:t>
                  </w:r>
                  <w:r w:rsidRPr="00DE52D3">
                    <w:rPr>
                      <w:i/>
                      <w:sz w:val="18"/>
                      <w:szCs w:val="18"/>
                    </w:rPr>
                    <w:t xml:space="preserve"> </w:t>
                  </w:r>
                  <w:r>
                    <w:rPr>
                      <w:i/>
                      <w:sz w:val="18"/>
                      <w:szCs w:val="18"/>
                      <w:lang w:val="kk-KZ"/>
                    </w:rPr>
                    <w:t>ҚРҰБ</w:t>
                  </w:r>
                </w:p>
                <w:p w:rsidR="002864DC" w:rsidRDefault="002864DC" w:rsidP="002864DC">
                  <w:pPr>
                    <w:jc w:val="both"/>
                  </w:pPr>
                </w:p>
              </w:tc>
            </w:tr>
          </w:tbl>
          <w:p w:rsidR="00596785" w:rsidRPr="008B680B" w:rsidRDefault="00596785" w:rsidP="00E11B5E">
            <w:pPr>
              <w:jc w:val="center"/>
              <w:rPr>
                <w:b/>
                <w:sz w:val="20"/>
                <w:szCs w:val="20"/>
                <w:lang w:val="kk-KZ"/>
              </w:rPr>
            </w:pPr>
          </w:p>
        </w:tc>
      </w:tr>
    </w:tbl>
    <w:p w:rsidR="00596785" w:rsidRDefault="00596785" w:rsidP="00596785">
      <w:pPr>
        <w:ind w:firstLine="709"/>
        <w:jc w:val="both"/>
        <w:rPr>
          <w:lang w:val="kk-KZ"/>
        </w:rPr>
      </w:pPr>
      <w:r>
        <w:rPr>
          <w:lang w:val="kk-KZ"/>
        </w:rPr>
        <w:t xml:space="preserve">Банктердің бағасы бойынша, қарыз алушылардың төлемге қабілеттілігінің нашарлауы, ақша нарығындағы өтімділіктің </w:t>
      </w:r>
      <w:r w:rsidRPr="008F73B3">
        <w:rPr>
          <w:lang w:val="kk-KZ"/>
        </w:rPr>
        <w:t>өте тапшы болуы,</w:t>
      </w:r>
      <w:r>
        <w:rPr>
          <w:lang w:val="kk-KZ"/>
        </w:rPr>
        <w:t xml:space="preserve"> экономикалық ахуалдың белгісіздігі банктердің бөлшек кредиттеу бойынша кредиттік саясатын қатаңдатуға әсер еткен негізгі факторлар болып табылады</w:t>
      </w:r>
      <w:r w:rsidRPr="003669AA">
        <w:t>.</w:t>
      </w: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Default="00054C18" w:rsidP="00596785">
      <w:pPr>
        <w:ind w:firstLine="709"/>
        <w:jc w:val="both"/>
        <w:rPr>
          <w:lang w:val="kk-KZ"/>
        </w:rPr>
      </w:pPr>
    </w:p>
    <w:p w:rsidR="00054C18" w:rsidRPr="00054C18" w:rsidRDefault="00054C18" w:rsidP="00596785">
      <w:pPr>
        <w:ind w:firstLine="709"/>
        <w:jc w:val="both"/>
        <w:rPr>
          <w:lang w:val="kk-KZ"/>
        </w:rPr>
      </w:pPr>
    </w:p>
    <w:tbl>
      <w:tblPr>
        <w:tblpPr w:leftFromText="180" w:rightFromText="180" w:vertAnchor="text" w:horzAnchor="margin" w:tblpX="108" w:tblpY="138"/>
        <w:tblW w:w="0" w:type="auto"/>
        <w:tblLayout w:type="fixed"/>
        <w:tblLook w:val="04A0" w:firstRow="1" w:lastRow="0" w:firstColumn="1" w:lastColumn="0" w:noHBand="0" w:noVBand="1"/>
      </w:tblPr>
      <w:tblGrid>
        <w:gridCol w:w="9639"/>
      </w:tblGrid>
      <w:tr w:rsidR="00596785" w:rsidTr="007838C5">
        <w:tc>
          <w:tcPr>
            <w:tcW w:w="9639" w:type="dxa"/>
            <w:shd w:val="clear" w:color="auto" w:fill="auto"/>
          </w:tcPr>
          <w:p w:rsidR="00596785" w:rsidRPr="00FF652A" w:rsidRDefault="00596785" w:rsidP="00E11B5E">
            <w:pPr>
              <w:jc w:val="center"/>
              <w:rPr>
                <w:b/>
                <w:sz w:val="20"/>
                <w:szCs w:val="20"/>
              </w:rPr>
            </w:pPr>
            <w:r>
              <w:rPr>
                <w:b/>
                <w:sz w:val="20"/>
                <w:szCs w:val="20"/>
              </w:rPr>
              <w:lastRenderedPageBreak/>
              <w:t>7</w:t>
            </w:r>
            <w:r>
              <w:rPr>
                <w:b/>
                <w:sz w:val="20"/>
                <w:szCs w:val="20"/>
                <w:lang w:val="kk-KZ"/>
              </w:rPr>
              <w:t>-</w:t>
            </w:r>
            <w:r w:rsidRPr="00FF652A">
              <w:rPr>
                <w:b/>
                <w:sz w:val="20"/>
                <w:szCs w:val="20"/>
              </w:rPr>
              <w:t xml:space="preserve"> </w:t>
            </w:r>
            <w:r>
              <w:rPr>
                <w:b/>
                <w:sz w:val="20"/>
                <w:szCs w:val="20"/>
                <w:lang w:val="kk-KZ"/>
              </w:rPr>
              <w:t>д</w:t>
            </w:r>
            <w:proofErr w:type="spellStart"/>
            <w:r w:rsidRPr="00FF652A">
              <w:rPr>
                <w:b/>
                <w:sz w:val="20"/>
                <w:szCs w:val="20"/>
              </w:rPr>
              <w:t>иаграмма</w:t>
            </w:r>
            <w:proofErr w:type="spellEnd"/>
            <w:r w:rsidRPr="00FF652A">
              <w:rPr>
                <w:b/>
                <w:sz w:val="20"/>
                <w:szCs w:val="20"/>
              </w:rPr>
              <w:t xml:space="preserve">. </w:t>
            </w:r>
            <w:r>
              <w:rPr>
                <w:b/>
                <w:sz w:val="18"/>
                <w:szCs w:val="18"/>
                <w:lang w:val="kk-KZ"/>
              </w:rPr>
              <w:t xml:space="preserve"> Кредиттер бойынша сыйақы мөлшерлемесінің өзгеруі</w:t>
            </w:r>
          </w:p>
        </w:tc>
      </w:tr>
      <w:tr w:rsidR="00596785" w:rsidTr="007838C5">
        <w:tc>
          <w:tcPr>
            <w:tcW w:w="9639" w:type="dxa"/>
            <w:shd w:val="clear" w:color="auto" w:fill="auto"/>
          </w:tcPr>
          <w:p w:rsidR="00596785" w:rsidRDefault="00F7229D" w:rsidP="00E11B5E">
            <w:pPr>
              <w:jc w:val="both"/>
            </w:pPr>
            <w:r>
              <w:rPr>
                <w:noProof/>
              </w:rPr>
              <w:drawing>
                <wp:inline distT="0" distB="0" distL="0" distR="0" wp14:anchorId="4BC5DB1A" wp14:editId="00734A78">
                  <wp:extent cx="6027724" cy="2640787"/>
                  <wp:effectExtent l="0" t="0" r="0" b="762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96785" w:rsidTr="007838C5">
        <w:tc>
          <w:tcPr>
            <w:tcW w:w="9639" w:type="dxa"/>
            <w:shd w:val="clear" w:color="auto" w:fill="auto"/>
          </w:tcPr>
          <w:p w:rsidR="00596785" w:rsidRPr="00F7229D" w:rsidRDefault="00596785" w:rsidP="00E11B5E">
            <w:pPr>
              <w:jc w:val="both"/>
              <w:rPr>
                <w:i/>
                <w:sz w:val="18"/>
                <w:szCs w:val="18"/>
                <w:lang w:val="kk-KZ"/>
              </w:rPr>
            </w:pPr>
            <w:proofErr w:type="spellStart"/>
            <w:r>
              <w:rPr>
                <w:i/>
                <w:sz w:val="18"/>
                <w:szCs w:val="18"/>
              </w:rPr>
              <w:t>Дереккөзі</w:t>
            </w:r>
            <w:proofErr w:type="spellEnd"/>
            <w:r>
              <w:rPr>
                <w:i/>
                <w:sz w:val="18"/>
                <w:szCs w:val="18"/>
              </w:rPr>
              <w:t>: Қ</w:t>
            </w:r>
            <w:proofErr w:type="gramStart"/>
            <w:r>
              <w:rPr>
                <w:i/>
                <w:sz w:val="18"/>
                <w:szCs w:val="18"/>
              </w:rPr>
              <w:t>Р</w:t>
            </w:r>
            <w:proofErr w:type="gramEnd"/>
            <w:r>
              <w:rPr>
                <w:i/>
                <w:sz w:val="18"/>
                <w:szCs w:val="18"/>
              </w:rPr>
              <w:t>ҰБ</w:t>
            </w:r>
          </w:p>
        </w:tc>
      </w:tr>
    </w:tbl>
    <w:p w:rsidR="00596785" w:rsidRDefault="00596785" w:rsidP="00596785">
      <w:pPr>
        <w:ind w:firstLine="708"/>
        <w:jc w:val="both"/>
      </w:pPr>
      <w:r>
        <w:rPr>
          <w:lang w:val="kk-KZ"/>
        </w:rPr>
        <w:t>Банктердің бағасы бойынша</w:t>
      </w:r>
      <w:r>
        <w:t>,</w:t>
      </w:r>
      <w:r w:rsidRPr="00E76871">
        <w:t xml:space="preserve"> </w:t>
      </w:r>
      <w:r>
        <w:rPr>
          <w:lang w:val="kk-KZ"/>
        </w:rPr>
        <w:t xml:space="preserve">сыртқы және ішкі нарықтардағы жоғары шиеленісу талаптарында бұрыннан бар қарыз </w:t>
      </w:r>
      <w:r w:rsidRPr="008F73B3">
        <w:rPr>
          <w:lang w:val="kk-KZ"/>
        </w:rPr>
        <w:t>алушылардың қаржылық жағдайының</w:t>
      </w:r>
      <w:r>
        <w:rPr>
          <w:lang w:val="kk-KZ"/>
        </w:rPr>
        <w:t xml:space="preserve"> нашарлауы күтілуде, тиісінше банктердің жауаптары мынадай түрде бөлінді </w:t>
      </w:r>
      <w:r w:rsidRPr="005C1EE7">
        <w:t>(</w:t>
      </w:r>
      <w:r>
        <w:t>8</w:t>
      </w:r>
      <w:r>
        <w:rPr>
          <w:lang w:val="kk-KZ"/>
        </w:rPr>
        <w:t>-</w:t>
      </w:r>
      <w:r w:rsidRPr="006046BA">
        <w:t xml:space="preserve"> </w:t>
      </w:r>
      <w:r>
        <w:t>диаграмма</w:t>
      </w:r>
      <w:r w:rsidRPr="005C1EE7">
        <w:t>)</w:t>
      </w:r>
      <w:r>
        <w:t xml:space="preserve">: </w:t>
      </w:r>
    </w:p>
    <w:p w:rsidR="00596785" w:rsidRDefault="00596785" w:rsidP="00596785">
      <w:pPr>
        <w:numPr>
          <w:ilvl w:val="0"/>
          <w:numId w:val="4"/>
        </w:numPr>
        <w:tabs>
          <w:tab w:val="clear" w:pos="2137"/>
          <w:tab w:val="num" w:pos="900"/>
        </w:tabs>
        <w:ind w:left="900" w:hanging="180"/>
        <w:jc w:val="both"/>
        <w:rPr>
          <w:b/>
        </w:rPr>
      </w:pPr>
      <w:r>
        <w:t>респондент</w:t>
      </w:r>
      <w:r>
        <w:rPr>
          <w:lang w:val="kk-KZ"/>
        </w:rPr>
        <w:t xml:space="preserve">тердің </w:t>
      </w:r>
      <w:r>
        <w:t>48%</w:t>
      </w:r>
      <w:r>
        <w:rPr>
          <w:lang w:val="kk-KZ"/>
        </w:rPr>
        <w:t xml:space="preserve">-ы қарыз алушылар қаржылық жағдайдың аз ғана нашарлағанын байқайды </w:t>
      </w:r>
      <w:proofErr w:type="gramStart"/>
      <w:r>
        <w:rPr>
          <w:lang w:val="kk-KZ"/>
        </w:rPr>
        <w:t>деп</w:t>
      </w:r>
      <w:proofErr w:type="gramEnd"/>
      <w:r>
        <w:rPr>
          <w:lang w:val="kk-KZ"/>
        </w:rPr>
        <w:t xml:space="preserve"> есептеуге бейім </w:t>
      </w:r>
      <w:r>
        <w:t xml:space="preserve">(22% - </w:t>
      </w:r>
      <w:r>
        <w:rPr>
          <w:lang w:val="kk-KZ"/>
        </w:rPr>
        <w:t>алдыңғы тоқсанда</w:t>
      </w:r>
      <w:r>
        <w:t>)</w:t>
      </w:r>
      <w:r w:rsidRPr="003763B0">
        <w:t>;</w:t>
      </w:r>
      <w:r>
        <w:rPr>
          <w:b/>
        </w:rPr>
        <w:t xml:space="preserve"> </w:t>
      </w:r>
    </w:p>
    <w:p w:rsidR="00596785" w:rsidRDefault="00596785" w:rsidP="00596785">
      <w:pPr>
        <w:numPr>
          <w:ilvl w:val="0"/>
          <w:numId w:val="4"/>
        </w:numPr>
        <w:tabs>
          <w:tab w:val="clear" w:pos="2137"/>
          <w:tab w:val="num" w:pos="900"/>
        </w:tabs>
        <w:ind w:left="900" w:hanging="180"/>
        <w:jc w:val="both"/>
      </w:pPr>
      <w:r>
        <w:t>респондент</w:t>
      </w:r>
      <w:r>
        <w:rPr>
          <w:lang w:val="kk-KZ"/>
        </w:rPr>
        <w:t xml:space="preserve">тердің </w:t>
      </w:r>
      <w:r>
        <w:t>52%</w:t>
      </w:r>
      <w:r>
        <w:rPr>
          <w:lang w:val="kk-KZ"/>
        </w:rPr>
        <w:t>-ы төлемдер бойынша мерзі</w:t>
      </w:r>
      <w:proofErr w:type="gramStart"/>
      <w:r>
        <w:rPr>
          <w:lang w:val="kk-KZ"/>
        </w:rPr>
        <w:t>м</w:t>
      </w:r>
      <w:proofErr w:type="gramEnd"/>
      <w:r>
        <w:rPr>
          <w:lang w:val="kk-KZ"/>
        </w:rPr>
        <w:t xml:space="preserve">інің өтуінің ұлғаюын күтеді </w:t>
      </w:r>
      <w:r>
        <w:t xml:space="preserve">(32% - </w:t>
      </w:r>
      <w:proofErr w:type="spellStart"/>
      <w:r>
        <w:t>алдыңғы</w:t>
      </w:r>
      <w:proofErr w:type="spellEnd"/>
      <w:r>
        <w:t xml:space="preserve"> </w:t>
      </w:r>
      <w:proofErr w:type="spellStart"/>
      <w:r>
        <w:t>тоқсанда</w:t>
      </w:r>
      <w:proofErr w:type="spellEnd"/>
      <w:r>
        <w:t>);</w:t>
      </w:r>
      <w:r w:rsidRPr="003763B0">
        <w:t xml:space="preserve"> </w:t>
      </w:r>
    </w:p>
    <w:p w:rsidR="00596785" w:rsidRDefault="00596785" w:rsidP="00596785">
      <w:pPr>
        <w:numPr>
          <w:ilvl w:val="0"/>
          <w:numId w:val="4"/>
        </w:numPr>
        <w:tabs>
          <w:tab w:val="clear" w:pos="2137"/>
          <w:tab w:val="num" w:pos="900"/>
        </w:tabs>
        <w:ind w:left="900" w:hanging="180"/>
        <w:jc w:val="both"/>
      </w:pPr>
      <w:r>
        <w:t>респондент</w:t>
      </w:r>
      <w:r>
        <w:rPr>
          <w:lang w:val="kk-KZ"/>
        </w:rPr>
        <w:t xml:space="preserve">тердің </w:t>
      </w:r>
      <w:r>
        <w:t>29%</w:t>
      </w:r>
      <w:r>
        <w:rPr>
          <w:lang w:val="kk-KZ"/>
        </w:rPr>
        <w:t>-ы қамтамасыз ету сапасының бұдан ә</w:t>
      </w:r>
      <w:proofErr w:type="gramStart"/>
      <w:r>
        <w:rPr>
          <w:lang w:val="kk-KZ"/>
        </w:rPr>
        <w:t>р</w:t>
      </w:r>
      <w:proofErr w:type="gramEnd"/>
      <w:r>
        <w:rPr>
          <w:lang w:val="kk-KZ"/>
        </w:rPr>
        <w:t xml:space="preserve">і нашарлауын күтеді </w:t>
      </w:r>
      <w:r>
        <w:t xml:space="preserve">(14% - </w:t>
      </w:r>
      <w:proofErr w:type="spellStart"/>
      <w:r>
        <w:t>алдыңғы</w:t>
      </w:r>
      <w:proofErr w:type="spellEnd"/>
      <w:r>
        <w:t xml:space="preserve"> </w:t>
      </w:r>
      <w:proofErr w:type="spellStart"/>
      <w:r>
        <w:t>тоқсанда</w:t>
      </w:r>
      <w:proofErr w:type="spellEnd"/>
      <w:r>
        <w:t>);</w:t>
      </w:r>
    </w:p>
    <w:p w:rsidR="00596785" w:rsidRDefault="00596785" w:rsidP="00596785">
      <w:pPr>
        <w:numPr>
          <w:ilvl w:val="0"/>
          <w:numId w:val="4"/>
        </w:numPr>
        <w:tabs>
          <w:tab w:val="clear" w:pos="2137"/>
          <w:tab w:val="num" w:pos="900"/>
        </w:tabs>
        <w:ind w:left="900" w:hanging="180"/>
        <w:jc w:val="both"/>
      </w:pPr>
      <w:r>
        <w:t>респондент</w:t>
      </w:r>
      <w:r>
        <w:rPr>
          <w:lang w:val="kk-KZ"/>
        </w:rPr>
        <w:t xml:space="preserve">тердің </w:t>
      </w:r>
      <w:r>
        <w:t>48%</w:t>
      </w:r>
      <w:r>
        <w:rPr>
          <w:lang w:val="kk-KZ"/>
        </w:rPr>
        <w:t>-ы қарыздардың мерзі</w:t>
      </w:r>
      <w:proofErr w:type="gramStart"/>
      <w:r>
        <w:rPr>
          <w:lang w:val="kk-KZ"/>
        </w:rPr>
        <w:t>м</w:t>
      </w:r>
      <w:proofErr w:type="gramEnd"/>
      <w:r>
        <w:rPr>
          <w:lang w:val="kk-KZ"/>
        </w:rPr>
        <w:t xml:space="preserve">ін ұзартудың өсуін күтеді  </w:t>
      </w:r>
      <w:r>
        <w:t xml:space="preserve"> (26% - </w:t>
      </w:r>
      <w:proofErr w:type="spellStart"/>
      <w:r>
        <w:t>алдыңғы</w:t>
      </w:r>
      <w:proofErr w:type="spellEnd"/>
      <w:r>
        <w:t xml:space="preserve"> </w:t>
      </w:r>
      <w:proofErr w:type="spellStart"/>
      <w:r>
        <w:t>тоқсанда</w:t>
      </w:r>
      <w:proofErr w:type="spellEnd"/>
      <w:r>
        <w:t>);</w:t>
      </w:r>
    </w:p>
    <w:p w:rsidR="00596785" w:rsidRDefault="00596785" w:rsidP="00596785">
      <w:pPr>
        <w:numPr>
          <w:ilvl w:val="0"/>
          <w:numId w:val="4"/>
        </w:numPr>
        <w:tabs>
          <w:tab w:val="clear" w:pos="2137"/>
          <w:tab w:val="num" w:pos="900"/>
        </w:tabs>
        <w:ind w:left="900" w:hanging="180"/>
        <w:jc w:val="both"/>
      </w:pPr>
      <w:r>
        <w:t>респондент</w:t>
      </w:r>
      <w:r>
        <w:rPr>
          <w:lang w:val="kk-KZ"/>
        </w:rPr>
        <w:t xml:space="preserve">тердің </w:t>
      </w:r>
      <w:r>
        <w:t>39%</w:t>
      </w:r>
      <w:r>
        <w:rPr>
          <w:lang w:val="kk-KZ"/>
        </w:rPr>
        <w:t>-ы</w:t>
      </w:r>
      <w:r>
        <w:t xml:space="preserve"> дефолт (</w:t>
      </w:r>
      <w:r>
        <w:rPr>
          <w:lang w:val="en-US"/>
        </w:rPr>
        <w:t>Default</w:t>
      </w:r>
      <w:r w:rsidRPr="003763B0">
        <w:t xml:space="preserve"> </w:t>
      </w:r>
      <w:r>
        <w:rPr>
          <w:lang w:val="en-US"/>
        </w:rPr>
        <w:t>Ratio</w:t>
      </w:r>
      <w:r>
        <w:t>)</w:t>
      </w:r>
      <w:r>
        <w:rPr>
          <w:lang w:val="kk-KZ"/>
        </w:rPr>
        <w:t xml:space="preserve"> </w:t>
      </w:r>
      <w:r>
        <w:t>коэффициент</w:t>
      </w:r>
      <w:r>
        <w:rPr>
          <w:lang w:val="kk-KZ"/>
        </w:rPr>
        <w:t xml:space="preserve">інің өсуін күтеді </w:t>
      </w:r>
      <w:r>
        <w:t xml:space="preserve">(22% - </w:t>
      </w:r>
      <w:proofErr w:type="spellStart"/>
      <w:r>
        <w:t>алдыңғы</w:t>
      </w:r>
      <w:proofErr w:type="spellEnd"/>
      <w:r>
        <w:t xml:space="preserve"> </w:t>
      </w:r>
      <w:proofErr w:type="spellStart"/>
      <w:r>
        <w:t>тоқсанда</w:t>
      </w:r>
      <w:proofErr w:type="spellEnd"/>
      <w:r>
        <w:t>).</w:t>
      </w:r>
    </w:p>
    <w:p w:rsidR="00596785" w:rsidRDefault="00596785" w:rsidP="00596785">
      <w:pPr>
        <w:ind w:firstLine="708"/>
        <w:jc w:val="both"/>
      </w:pPr>
      <w:r>
        <w:rPr>
          <w:lang w:val="kk-KZ"/>
        </w:rPr>
        <w:t xml:space="preserve">Нашарлауды күту көбінесе мыналарға байланысты: </w:t>
      </w:r>
      <w:r>
        <w:t xml:space="preserve">а) </w:t>
      </w:r>
      <w:r>
        <w:rPr>
          <w:lang w:val="kk-KZ"/>
        </w:rPr>
        <w:t>қарыз алушылардың кірістері төмендеуде</w:t>
      </w:r>
      <w:r>
        <w:t xml:space="preserve">; б) </w:t>
      </w:r>
      <w:r>
        <w:rPr>
          <w:lang w:val="kk-KZ"/>
        </w:rPr>
        <w:t>жаңа қарыздар беру қажетті деңгейде қарқынды емес</w:t>
      </w:r>
      <w:r>
        <w:t xml:space="preserve">. </w:t>
      </w:r>
      <w:r>
        <w:rPr>
          <w:lang w:val="kk-KZ"/>
        </w:rPr>
        <w:t xml:space="preserve">Осылайша </w:t>
      </w:r>
      <w:r>
        <w:t>4-</w:t>
      </w:r>
      <w:r>
        <w:rPr>
          <w:lang w:val="kk-KZ"/>
        </w:rPr>
        <w:t>тоқсанда бөлшек сектор бойынша кредиттік портфель сапасының төмендеуі болжануда</w:t>
      </w:r>
      <w:r>
        <w:t>.</w:t>
      </w:r>
    </w:p>
    <w:tbl>
      <w:tblPr>
        <w:tblpPr w:leftFromText="180" w:rightFromText="180" w:vertAnchor="text" w:horzAnchor="margin" w:tblpX="108" w:tblpY="152"/>
        <w:tblW w:w="0" w:type="auto"/>
        <w:tblLayout w:type="fixed"/>
        <w:tblLook w:val="04A0" w:firstRow="1" w:lastRow="0" w:firstColumn="1" w:lastColumn="0" w:noHBand="0" w:noVBand="1"/>
      </w:tblPr>
      <w:tblGrid>
        <w:gridCol w:w="9606"/>
      </w:tblGrid>
      <w:tr w:rsidR="00596785" w:rsidTr="00F7229D">
        <w:tc>
          <w:tcPr>
            <w:tcW w:w="9606" w:type="dxa"/>
            <w:shd w:val="clear" w:color="auto" w:fill="auto"/>
          </w:tcPr>
          <w:p w:rsidR="00596785" w:rsidRPr="00FF652A" w:rsidRDefault="00596785" w:rsidP="00E11B5E">
            <w:pPr>
              <w:jc w:val="center"/>
              <w:rPr>
                <w:b/>
                <w:sz w:val="20"/>
                <w:szCs w:val="20"/>
              </w:rPr>
            </w:pPr>
            <w:r>
              <w:rPr>
                <w:b/>
                <w:sz w:val="20"/>
                <w:szCs w:val="20"/>
              </w:rPr>
              <w:t>8</w:t>
            </w:r>
            <w:r>
              <w:rPr>
                <w:b/>
                <w:sz w:val="20"/>
                <w:szCs w:val="20"/>
                <w:lang w:val="kk-KZ"/>
              </w:rPr>
              <w:t>-</w:t>
            </w:r>
            <w:r w:rsidRPr="00FF652A">
              <w:rPr>
                <w:b/>
                <w:sz w:val="20"/>
                <w:szCs w:val="20"/>
              </w:rPr>
              <w:t xml:space="preserve"> </w:t>
            </w:r>
            <w:r>
              <w:rPr>
                <w:b/>
                <w:sz w:val="20"/>
                <w:szCs w:val="20"/>
                <w:lang w:val="kk-KZ"/>
              </w:rPr>
              <w:t>д</w:t>
            </w:r>
            <w:proofErr w:type="spellStart"/>
            <w:r w:rsidRPr="00FF652A">
              <w:rPr>
                <w:b/>
                <w:sz w:val="20"/>
                <w:szCs w:val="20"/>
              </w:rPr>
              <w:t>иаграмма</w:t>
            </w:r>
            <w:proofErr w:type="spellEnd"/>
            <w:proofErr w:type="gramStart"/>
            <w:r w:rsidRPr="00FF652A">
              <w:rPr>
                <w:b/>
                <w:sz w:val="20"/>
                <w:szCs w:val="20"/>
              </w:rPr>
              <w:t>.</w:t>
            </w:r>
            <w:proofErr w:type="gramEnd"/>
            <w:r w:rsidRPr="00FF652A">
              <w:rPr>
                <w:b/>
                <w:sz w:val="20"/>
                <w:szCs w:val="20"/>
              </w:rPr>
              <w:t xml:space="preserve"> </w:t>
            </w:r>
            <w:r>
              <w:rPr>
                <w:b/>
                <w:sz w:val="20"/>
                <w:szCs w:val="20"/>
                <w:lang w:val="kk-KZ"/>
              </w:rPr>
              <w:t>Қ</w:t>
            </w:r>
            <w:proofErr w:type="gramStart"/>
            <w:r>
              <w:rPr>
                <w:b/>
                <w:sz w:val="20"/>
                <w:szCs w:val="20"/>
                <w:lang w:val="kk-KZ"/>
              </w:rPr>
              <w:t>а</w:t>
            </w:r>
            <w:proofErr w:type="gramEnd"/>
            <w:r>
              <w:rPr>
                <w:b/>
                <w:sz w:val="20"/>
                <w:szCs w:val="20"/>
                <w:lang w:val="kk-KZ"/>
              </w:rPr>
              <w:t xml:space="preserve">рыз алушылардың бұрыннан бар тәуекелдерінің өзгеруі </w:t>
            </w:r>
          </w:p>
        </w:tc>
      </w:tr>
      <w:tr w:rsidR="00596785" w:rsidTr="00F7229D">
        <w:tc>
          <w:tcPr>
            <w:tcW w:w="9606" w:type="dxa"/>
            <w:shd w:val="clear" w:color="auto" w:fill="auto"/>
          </w:tcPr>
          <w:p w:rsidR="00596785" w:rsidRDefault="00F7229D" w:rsidP="00E11B5E">
            <w:pPr>
              <w:jc w:val="both"/>
            </w:pPr>
            <w:r>
              <w:rPr>
                <w:noProof/>
              </w:rPr>
              <w:drawing>
                <wp:inline distT="0" distB="0" distL="0" distR="0" wp14:anchorId="0DF111D4" wp14:editId="7445B094">
                  <wp:extent cx="5932627" cy="276514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596785" w:rsidTr="00F7229D">
        <w:tc>
          <w:tcPr>
            <w:tcW w:w="9606" w:type="dxa"/>
            <w:shd w:val="clear" w:color="auto" w:fill="auto"/>
          </w:tcPr>
          <w:p w:rsidR="00596785" w:rsidRPr="00F7229D" w:rsidRDefault="00596785" w:rsidP="00E11B5E">
            <w:pPr>
              <w:jc w:val="both"/>
              <w:rPr>
                <w:i/>
                <w:sz w:val="18"/>
                <w:szCs w:val="18"/>
                <w:lang w:val="kk-KZ"/>
              </w:rPr>
            </w:pPr>
            <w:proofErr w:type="spellStart"/>
            <w:r>
              <w:rPr>
                <w:i/>
                <w:sz w:val="18"/>
                <w:szCs w:val="18"/>
              </w:rPr>
              <w:t>Дереккөзі</w:t>
            </w:r>
            <w:proofErr w:type="spellEnd"/>
            <w:r>
              <w:rPr>
                <w:i/>
                <w:sz w:val="18"/>
                <w:szCs w:val="18"/>
              </w:rPr>
              <w:t>: Қ</w:t>
            </w:r>
            <w:proofErr w:type="gramStart"/>
            <w:r>
              <w:rPr>
                <w:i/>
                <w:sz w:val="18"/>
                <w:szCs w:val="18"/>
              </w:rPr>
              <w:t>Р</w:t>
            </w:r>
            <w:proofErr w:type="gramEnd"/>
            <w:r>
              <w:rPr>
                <w:i/>
                <w:sz w:val="18"/>
                <w:szCs w:val="18"/>
              </w:rPr>
              <w:t>ҰБ</w:t>
            </w:r>
          </w:p>
        </w:tc>
      </w:tr>
    </w:tbl>
    <w:p w:rsidR="00596785" w:rsidRDefault="00596785" w:rsidP="00596785">
      <w:pPr>
        <w:ind w:firstLine="708"/>
        <w:jc w:val="both"/>
      </w:pPr>
      <w:r>
        <w:rPr>
          <w:lang w:val="kk-KZ"/>
        </w:rPr>
        <w:t xml:space="preserve">Несие </w:t>
      </w:r>
      <w:proofErr w:type="spellStart"/>
      <w:r>
        <w:t>портфел</w:t>
      </w:r>
      <w:proofErr w:type="spellEnd"/>
      <w:r>
        <w:rPr>
          <w:lang w:val="kk-KZ"/>
        </w:rPr>
        <w:t xml:space="preserve">інің сапалы өсуі мақсатында және тиісінше кредиттік тәуекелдердің ықтимал өсуін ұстап тұру үшін жекелеген банктер 2015 жылғы 4-тоқсанда кредиттеудің </w:t>
      </w:r>
      <w:r>
        <w:rPr>
          <w:lang w:val="kk-KZ"/>
        </w:rPr>
        <w:lastRenderedPageBreak/>
        <w:t>барлық өнімдері бойынша кредиттік саясатты, әсіресе ипотека бойынша қатаңдатуды жалғастыруды жоспарлап отыр</w:t>
      </w:r>
      <w:r>
        <w:t xml:space="preserve">. </w:t>
      </w:r>
      <w:r>
        <w:rPr>
          <w:lang w:val="kk-KZ"/>
        </w:rPr>
        <w:t>Сонымен</w:t>
      </w:r>
      <w:r>
        <w:t xml:space="preserve">, </w:t>
      </w:r>
      <w:r>
        <w:rPr>
          <w:lang w:val="kk-KZ"/>
        </w:rPr>
        <w:t xml:space="preserve">банктердің </w:t>
      </w:r>
      <w:r>
        <w:t>23%</w:t>
      </w:r>
      <w:r>
        <w:rPr>
          <w:lang w:val="kk-KZ"/>
        </w:rPr>
        <w:t xml:space="preserve">-ы ипотека бойынша, сондай-ақ </w:t>
      </w:r>
      <w:r>
        <w:t>респондент</w:t>
      </w:r>
      <w:r>
        <w:rPr>
          <w:lang w:val="kk-KZ"/>
        </w:rPr>
        <w:t xml:space="preserve">тердің </w:t>
      </w:r>
      <w:r>
        <w:t>13%</w:t>
      </w:r>
      <w:r>
        <w:rPr>
          <w:lang w:val="kk-KZ"/>
        </w:rPr>
        <w:t xml:space="preserve">-ы </w:t>
      </w:r>
      <w:r>
        <w:t xml:space="preserve">– </w:t>
      </w:r>
      <w:r>
        <w:rPr>
          <w:lang w:val="kk-KZ"/>
        </w:rPr>
        <w:t xml:space="preserve">тұтынушылық </w:t>
      </w:r>
      <w:r>
        <w:t>кредит</w:t>
      </w:r>
      <w:r>
        <w:rPr>
          <w:lang w:val="kk-KZ"/>
        </w:rPr>
        <w:t>тер бойынша кредиттік саясатты қатаңдатуды күтуде, банктердің басым бөлігі кредиттеудің бұрыннан бар параметрлерін сақтауды жоспарлап отыр</w:t>
      </w:r>
      <w:r>
        <w:t xml:space="preserve">. </w:t>
      </w:r>
    </w:p>
    <w:p w:rsidR="00596785" w:rsidRDefault="00596785" w:rsidP="00596785">
      <w:pPr>
        <w:ind w:firstLine="708"/>
        <w:jc w:val="both"/>
        <w:rPr>
          <w:lang w:val="kk-KZ"/>
        </w:rPr>
      </w:pPr>
      <w:r>
        <w:rPr>
          <w:lang w:val="kk-KZ"/>
        </w:rPr>
        <w:t>Б</w:t>
      </w:r>
      <w:proofErr w:type="spellStart"/>
      <w:r w:rsidRPr="00BA4AB6">
        <w:t>анк</w:t>
      </w:r>
      <w:proofErr w:type="spellEnd"/>
      <w:r>
        <w:rPr>
          <w:lang w:val="kk-KZ"/>
        </w:rPr>
        <w:t xml:space="preserve">тердің пікірінше бөлшек кредиттердің маусымдық жандануы </w:t>
      </w:r>
      <w:r w:rsidRPr="00BA4AB6">
        <w:t>4-</w:t>
      </w:r>
      <w:r>
        <w:rPr>
          <w:lang w:val="kk-KZ"/>
        </w:rPr>
        <w:t xml:space="preserve">тоқсанға тиесілі болғанына қарамастан, </w:t>
      </w:r>
      <w:r w:rsidRPr="00BA4AB6">
        <w:t>банк</w:t>
      </w:r>
      <w:r>
        <w:rPr>
          <w:lang w:val="kk-KZ"/>
        </w:rPr>
        <w:t xml:space="preserve">тер өтімділіктің және валюталық </w:t>
      </w:r>
      <w:r w:rsidRPr="008F73B3">
        <w:rPr>
          <w:lang w:val="kk-KZ"/>
        </w:rPr>
        <w:t>тәуекелдің өте тапшы болуы</w:t>
      </w:r>
      <w:r>
        <w:rPr>
          <w:lang w:val="kk-KZ"/>
        </w:rPr>
        <w:t xml:space="preserve"> талаптарында кредиттер бойынша, әсіресе кепілсіз және автокредит бойынша пайыздық мөлшерлемелерді артыруға мәжбүр </w:t>
      </w:r>
      <w:r w:rsidRPr="00BA4AB6">
        <w:t>(7</w:t>
      </w:r>
      <w:r>
        <w:rPr>
          <w:lang w:val="kk-KZ"/>
        </w:rPr>
        <w:t>-</w:t>
      </w:r>
      <w:r w:rsidRPr="001171FF">
        <w:t xml:space="preserve"> </w:t>
      </w:r>
      <w:r w:rsidRPr="00BA4AB6">
        <w:t xml:space="preserve">диаграмма). </w:t>
      </w:r>
      <w:r>
        <w:rPr>
          <w:lang w:val="kk-KZ"/>
        </w:rPr>
        <w:t>Нәтижесінде клиенттер тарапынан, кепілсіз кредиттерді қоспағанда, олардың ең аз қолданылуына қарай барлық кредиттік өнімдерге сұранысты төмендету күтілуде.</w:t>
      </w:r>
      <w:r>
        <w:t xml:space="preserve">         </w:t>
      </w:r>
    </w:p>
    <w:p w:rsidR="007838C5" w:rsidRPr="007838C5" w:rsidRDefault="007838C5" w:rsidP="00596785">
      <w:pPr>
        <w:ind w:firstLine="708"/>
        <w:jc w:val="both"/>
        <w:rPr>
          <w:lang w:val="kk-KZ"/>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6"/>
      </w:tblGrid>
      <w:tr w:rsidR="00596785" w:rsidTr="007838C5">
        <w:tc>
          <w:tcPr>
            <w:tcW w:w="9639" w:type="dxa"/>
          </w:tcPr>
          <w:p w:rsidR="00596785" w:rsidRDefault="00596785" w:rsidP="00E11B5E">
            <w:pPr>
              <w:jc w:val="center"/>
            </w:pPr>
            <w:r>
              <w:rPr>
                <w:b/>
                <w:sz w:val="20"/>
                <w:szCs w:val="20"/>
              </w:rPr>
              <w:t>9</w:t>
            </w:r>
            <w:r>
              <w:rPr>
                <w:b/>
                <w:sz w:val="20"/>
                <w:szCs w:val="20"/>
                <w:lang w:val="kk-KZ"/>
              </w:rPr>
              <w:t>-</w:t>
            </w:r>
            <w:r w:rsidRPr="00DE52D3">
              <w:rPr>
                <w:b/>
                <w:sz w:val="20"/>
                <w:szCs w:val="20"/>
              </w:rPr>
              <w:t xml:space="preserve"> </w:t>
            </w:r>
            <w:r>
              <w:rPr>
                <w:b/>
                <w:sz w:val="20"/>
                <w:szCs w:val="20"/>
                <w:lang w:val="kk-KZ"/>
              </w:rPr>
              <w:t>д</w:t>
            </w:r>
            <w:proofErr w:type="spellStart"/>
            <w:r w:rsidRPr="00DE52D3">
              <w:rPr>
                <w:b/>
                <w:sz w:val="20"/>
                <w:szCs w:val="20"/>
              </w:rPr>
              <w:t>иаграмма</w:t>
            </w:r>
            <w:proofErr w:type="spellEnd"/>
            <w:r w:rsidRPr="00DE52D3">
              <w:rPr>
                <w:b/>
                <w:sz w:val="20"/>
                <w:szCs w:val="20"/>
              </w:rPr>
              <w:t>.</w:t>
            </w:r>
            <w:r>
              <w:rPr>
                <w:b/>
                <w:sz w:val="20"/>
                <w:szCs w:val="20"/>
              </w:rPr>
              <w:t xml:space="preserve"> </w:t>
            </w:r>
            <w:r>
              <w:rPr>
                <w:b/>
                <w:sz w:val="18"/>
                <w:szCs w:val="18"/>
                <w:lang w:val="kk-KZ"/>
              </w:rPr>
              <w:t>К</w:t>
            </w:r>
            <w:proofErr w:type="spellStart"/>
            <w:r w:rsidRPr="003C3053">
              <w:rPr>
                <w:b/>
                <w:sz w:val="18"/>
                <w:szCs w:val="18"/>
              </w:rPr>
              <w:t>редит</w:t>
            </w:r>
            <w:proofErr w:type="spellEnd"/>
            <w:r>
              <w:rPr>
                <w:b/>
                <w:sz w:val="18"/>
                <w:szCs w:val="18"/>
                <w:lang w:val="kk-KZ"/>
              </w:rPr>
              <w:t xml:space="preserve">тер бойынша </w:t>
            </w:r>
            <w:r w:rsidRPr="003C3053">
              <w:rPr>
                <w:b/>
                <w:sz w:val="18"/>
                <w:szCs w:val="18"/>
              </w:rPr>
              <w:t>скоринг</w:t>
            </w:r>
            <w:r>
              <w:rPr>
                <w:b/>
                <w:sz w:val="18"/>
                <w:szCs w:val="18"/>
                <w:lang w:val="kk-KZ"/>
              </w:rPr>
              <w:t>ті өзгерту</w:t>
            </w:r>
          </w:p>
        </w:tc>
      </w:tr>
      <w:tr w:rsidR="00596785" w:rsidTr="007838C5">
        <w:tc>
          <w:tcPr>
            <w:tcW w:w="9639" w:type="dxa"/>
          </w:tcPr>
          <w:p w:rsidR="00596785" w:rsidRDefault="00F7229D" w:rsidP="00E11B5E">
            <w:pPr>
              <w:jc w:val="both"/>
            </w:pPr>
            <w:r>
              <w:rPr>
                <w:noProof/>
              </w:rPr>
              <w:drawing>
                <wp:inline distT="0" distB="0" distL="0" distR="0" wp14:anchorId="500F64C6" wp14:editId="7999CD54">
                  <wp:extent cx="6035040" cy="2114092"/>
                  <wp:effectExtent l="0" t="0" r="3810" b="6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596785" w:rsidTr="007838C5">
        <w:tc>
          <w:tcPr>
            <w:tcW w:w="9639" w:type="dxa"/>
          </w:tcPr>
          <w:p w:rsidR="00596785" w:rsidRDefault="00596785" w:rsidP="00E11B5E">
            <w:pPr>
              <w:jc w:val="both"/>
            </w:pPr>
            <w:proofErr w:type="spellStart"/>
            <w:r>
              <w:rPr>
                <w:i/>
                <w:sz w:val="18"/>
                <w:szCs w:val="18"/>
              </w:rPr>
              <w:t>Дереккөзі</w:t>
            </w:r>
            <w:proofErr w:type="spellEnd"/>
            <w:r>
              <w:rPr>
                <w:i/>
                <w:sz w:val="18"/>
                <w:szCs w:val="18"/>
              </w:rPr>
              <w:t>: Қ</w:t>
            </w:r>
            <w:proofErr w:type="gramStart"/>
            <w:r>
              <w:rPr>
                <w:i/>
                <w:sz w:val="18"/>
                <w:szCs w:val="18"/>
              </w:rPr>
              <w:t>Р</w:t>
            </w:r>
            <w:proofErr w:type="gramEnd"/>
            <w:r>
              <w:rPr>
                <w:i/>
                <w:sz w:val="18"/>
                <w:szCs w:val="18"/>
              </w:rPr>
              <w:t>ҰБ</w:t>
            </w:r>
          </w:p>
        </w:tc>
      </w:tr>
    </w:tbl>
    <w:p w:rsidR="00596785" w:rsidRDefault="00596785" w:rsidP="00596785">
      <w:pPr>
        <w:ind w:firstLine="708"/>
        <w:jc w:val="both"/>
        <w:rPr>
          <w:lang w:val="kk-KZ"/>
        </w:rPr>
      </w:pPr>
    </w:p>
    <w:p w:rsidR="0013393D" w:rsidRPr="006D076F" w:rsidRDefault="0013393D" w:rsidP="0013393D">
      <w:pPr>
        <w:ind w:left="720"/>
        <w:jc w:val="both"/>
        <w:rPr>
          <w:b/>
          <w:lang w:val="en-US"/>
        </w:rPr>
      </w:pPr>
      <w:r w:rsidRPr="003669AA">
        <w:rPr>
          <w:b/>
          <w:lang w:val="en-US"/>
        </w:rPr>
        <w:t>III</w:t>
      </w:r>
      <w:r w:rsidRPr="006D076F">
        <w:rPr>
          <w:b/>
          <w:lang w:val="en-US"/>
        </w:rPr>
        <w:t xml:space="preserve">. </w:t>
      </w:r>
      <w:r>
        <w:rPr>
          <w:b/>
          <w:lang w:val="kk-KZ"/>
        </w:rPr>
        <w:t>Тәуекелдер картасы</w:t>
      </w:r>
    </w:p>
    <w:p w:rsidR="0013393D" w:rsidRPr="006D076F" w:rsidRDefault="0013393D" w:rsidP="0013393D">
      <w:pPr>
        <w:ind w:left="720"/>
        <w:jc w:val="both"/>
        <w:rPr>
          <w:b/>
          <w:lang w:val="en-US"/>
        </w:rPr>
      </w:pPr>
    </w:p>
    <w:p w:rsidR="0013393D" w:rsidRDefault="0013393D" w:rsidP="0013393D">
      <w:pPr>
        <w:tabs>
          <w:tab w:val="left" w:pos="2146"/>
        </w:tabs>
        <w:ind w:firstLine="708"/>
        <w:jc w:val="both"/>
        <w:rPr>
          <w:b/>
          <w:lang w:val="kk-KZ"/>
        </w:rPr>
      </w:pPr>
      <w:r>
        <w:rPr>
          <w:b/>
          <w:lang w:val="kk-KZ"/>
        </w:rPr>
        <w:t>2015 жылғы 3-тоқса</w:t>
      </w:r>
      <w:r w:rsidR="006D076F">
        <w:rPr>
          <w:b/>
          <w:lang w:val="kk-KZ"/>
        </w:rPr>
        <w:t xml:space="preserve">нда тәуекелдердің өсуі байқалды. </w:t>
      </w:r>
      <w:r>
        <w:rPr>
          <w:b/>
          <w:lang w:val="kk-KZ"/>
        </w:rPr>
        <w:t>Теңгемен өтімділіктің тапшылығы және несие портфелінің сапасы да банк секторы үшін өзекті проблема болып қалуда. Несие портфелі сапасының нашарлауы негізінен жеке тұлғалардың портфелі бойынша күтіледі (10-диаграмма). Осыған байланысты банктер жыл соңына дейін проблемалық кредиттерді есептен шығару бойынша операцияларды белсенді жүргізуді жоспарлап отыр (11-диаграмма).</w:t>
      </w:r>
    </w:p>
    <w:p w:rsidR="0013393D" w:rsidRPr="00847693" w:rsidRDefault="0013393D" w:rsidP="0013393D">
      <w:pPr>
        <w:tabs>
          <w:tab w:val="left" w:pos="2146"/>
        </w:tabs>
        <w:ind w:firstLine="708"/>
        <w:jc w:val="both"/>
        <w:rPr>
          <w:b/>
          <w:lang w:val="kk-KZ"/>
        </w:rPr>
      </w:pPr>
    </w:p>
    <w:tbl>
      <w:tblPr>
        <w:tblpPr w:leftFromText="180" w:rightFromText="180" w:vertAnchor="text" w:horzAnchor="margin" w:tblpX="108" w:tblpY="76"/>
        <w:tblW w:w="9639" w:type="dxa"/>
        <w:tblLayout w:type="fixed"/>
        <w:tblLook w:val="00A0" w:firstRow="1" w:lastRow="0" w:firstColumn="1" w:lastColumn="0" w:noHBand="0" w:noVBand="0"/>
      </w:tblPr>
      <w:tblGrid>
        <w:gridCol w:w="9639"/>
      </w:tblGrid>
      <w:tr w:rsidR="0013393D" w:rsidRPr="000C7998" w:rsidTr="007838C5">
        <w:tc>
          <w:tcPr>
            <w:tcW w:w="9639" w:type="dxa"/>
          </w:tcPr>
          <w:p w:rsidR="0013393D" w:rsidRPr="00847693" w:rsidRDefault="0013393D" w:rsidP="007838C5">
            <w:pPr>
              <w:jc w:val="center"/>
              <w:rPr>
                <w:b/>
                <w:lang w:val="kk-KZ"/>
              </w:rPr>
            </w:pPr>
            <w:r>
              <w:rPr>
                <w:b/>
                <w:lang w:val="kk-KZ"/>
              </w:rPr>
              <w:t>10</w:t>
            </w:r>
            <w:r w:rsidRPr="006D6244">
              <w:rPr>
                <w:b/>
                <w:lang w:val="kk-KZ"/>
              </w:rPr>
              <w:t>-диаграмма.  Банктердің несие портфелі сапасының өзгеруін күту</w:t>
            </w:r>
          </w:p>
        </w:tc>
      </w:tr>
      <w:tr w:rsidR="0013393D" w:rsidRPr="000C7998" w:rsidTr="007838C5">
        <w:tc>
          <w:tcPr>
            <w:tcW w:w="9639" w:type="dxa"/>
          </w:tcPr>
          <w:p w:rsidR="0013393D" w:rsidRPr="000C7998" w:rsidRDefault="007838C5" w:rsidP="007838C5">
            <w:pPr>
              <w:jc w:val="both"/>
              <w:rPr>
                <w:b/>
                <w:lang w:val="kk-KZ"/>
              </w:rPr>
            </w:pPr>
            <w:r>
              <w:rPr>
                <w:noProof/>
              </w:rPr>
              <w:drawing>
                <wp:inline distT="0" distB="0" distL="0" distR="0" wp14:anchorId="38F2261F" wp14:editId="3CAD4888">
                  <wp:extent cx="6035040" cy="2077517"/>
                  <wp:effectExtent l="0" t="0" r="381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13393D" w:rsidTr="007838C5">
        <w:tc>
          <w:tcPr>
            <w:tcW w:w="9639" w:type="dxa"/>
          </w:tcPr>
          <w:p w:rsidR="0013393D" w:rsidRPr="00E80D57" w:rsidRDefault="0013393D" w:rsidP="007838C5">
            <w:pPr>
              <w:jc w:val="both"/>
              <w:rPr>
                <w:i/>
                <w:color w:val="000000"/>
                <w:sz w:val="18"/>
                <w:szCs w:val="18"/>
                <w:lang w:val="kk-KZ"/>
              </w:rPr>
            </w:pPr>
            <w:r>
              <w:rPr>
                <w:i/>
                <w:color w:val="000000"/>
                <w:sz w:val="18"/>
                <w:szCs w:val="18"/>
                <w:lang w:val="kk-KZ"/>
              </w:rPr>
              <w:t>Дерек көзі</w:t>
            </w:r>
            <w:r w:rsidRPr="003669AA">
              <w:rPr>
                <w:i/>
                <w:color w:val="000000"/>
                <w:sz w:val="18"/>
                <w:szCs w:val="18"/>
              </w:rPr>
              <w:t xml:space="preserve">: </w:t>
            </w:r>
            <w:r>
              <w:rPr>
                <w:i/>
                <w:color w:val="000000"/>
                <w:sz w:val="18"/>
                <w:szCs w:val="18"/>
                <w:lang w:val="kk-KZ"/>
              </w:rPr>
              <w:t>ҚРҰБ</w:t>
            </w:r>
          </w:p>
        </w:tc>
      </w:tr>
    </w:tbl>
    <w:p w:rsidR="0013393D" w:rsidRDefault="0013393D" w:rsidP="0013393D">
      <w:pPr>
        <w:autoSpaceDE w:val="0"/>
        <w:autoSpaceDN w:val="0"/>
        <w:adjustRightInd w:val="0"/>
        <w:ind w:firstLine="709"/>
        <w:jc w:val="both"/>
      </w:pPr>
    </w:p>
    <w:p w:rsidR="0013393D" w:rsidRDefault="0013393D" w:rsidP="0013393D">
      <w:pPr>
        <w:autoSpaceDE w:val="0"/>
        <w:autoSpaceDN w:val="0"/>
        <w:adjustRightInd w:val="0"/>
        <w:ind w:firstLine="709"/>
        <w:jc w:val="both"/>
        <w:rPr>
          <w:lang w:val="kk-KZ"/>
        </w:rPr>
      </w:pPr>
      <w:r>
        <w:rPr>
          <w:lang w:val="kk-KZ"/>
        </w:rPr>
        <w:t xml:space="preserve">Мәселен, 2015 жылғы 4-тоқсанда банктердің </w:t>
      </w:r>
      <w:r>
        <w:t>44</w:t>
      </w:r>
      <w:r w:rsidRPr="006738A0">
        <w:t>%</w:t>
      </w:r>
      <w:r>
        <w:rPr>
          <w:lang w:val="kk-KZ"/>
        </w:rPr>
        <w:t xml:space="preserve">-ы несие портфелінің сапасы өзгеріссіз қалады, банктердің </w:t>
      </w:r>
      <w:r w:rsidRPr="006738A0">
        <w:t xml:space="preserve"> </w:t>
      </w:r>
      <w:r>
        <w:t>38</w:t>
      </w:r>
      <w:r w:rsidRPr="006738A0">
        <w:t>%</w:t>
      </w:r>
      <w:r>
        <w:rPr>
          <w:lang w:val="kk-KZ"/>
        </w:rPr>
        <w:t xml:space="preserve">-ы нашарлауды күтеді деп болжайды, бұл ретте банктердің небәрі </w:t>
      </w:r>
      <w:r w:rsidRPr="006738A0">
        <w:t xml:space="preserve"> </w:t>
      </w:r>
      <w:r>
        <w:t>18%</w:t>
      </w:r>
      <w:r>
        <w:rPr>
          <w:lang w:val="kk-KZ"/>
        </w:rPr>
        <w:t>-ы портфель сапасының жақсаруын жоспарлайды (10-диаграмма).</w:t>
      </w:r>
    </w:p>
    <w:p w:rsidR="0013393D" w:rsidRDefault="0013393D" w:rsidP="0013393D">
      <w:pPr>
        <w:autoSpaceDE w:val="0"/>
        <w:autoSpaceDN w:val="0"/>
        <w:adjustRightInd w:val="0"/>
        <w:ind w:firstLine="709"/>
        <w:jc w:val="both"/>
        <w:rPr>
          <w:lang w:val="kk-KZ"/>
        </w:rPr>
      </w:pPr>
      <w:r>
        <w:rPr>
          <w:lang w:val="kk-KZ"/>
        </w:rPr>
        <w:lastRenderedPageBreak/>
        <w:t>Банктердің пікірінше, баланстарды тазартуды ынталандыру жөніндегі реттеуші шаралар банктерді жыл соңына дейін проблемалық кредиттерді баланстан тыс есептен шығару бойынша операцияларды белсенді жүргізуге мәжбүрлейтін болады (11-диаграмма).</w:t>
      </w:r>
    </w:p>
    <w:p w:rsidR="0013393D" w:rsidRDefault="0013393D" w:rsidP="0013393D">
      <w:pPr>
        <w:autoSpaceDE w:val="0"/>
        <w:autoSpaceDN w:val="0"/>
        <w:adjustRightInd w:val="0"/>
        <w:ind w:firstLine="709"/>
        <w:jc w:val="both"/>
        <w:rPr>
          <w:lang w:val="kk-KZ"/>
        </w:rPr>
      </w:pPr>
      <w:r>
        <w:rPr>
          <w:lang w:val="kk-KZ"/>
        </w:rPr>
        <w:t>2015 жылдың басынан бастап банктер өздерінің несие портфельдеріндегі жұмыс істемейтін қарыздардың деңгейін төмендету бойынша жұмысты белсенді түрде жүргізді. Банктер ұсынған ақпаратқа сәйкес, проблемалық берешекті төмендетудің барынша жиі қолданылатын құралдары бұдан әрі шағым-талап жұмысын жүргізу мақсатында оны баланстан тыс шоттарға есептен шығару рәсімдері, қарыздарды қайта құрылымдауды жүзеге асыру (оның ішінде қарыздар бойынша мерзімінің өтуін болдыраму мақсатында алдын ала құрылымдау өткізу), реттеуші ұсынған салық жеңілдіктерінің шеңберінде кешіру рәсімдері болды. Бұдан басқа, банктер проблемалық берешекті коллекторлық агенттіктерге және проблемалық активтерді басқару жөніндегі еншілес ұйымдарға (САБҰ) беруге жүгінді.</w:t>
      </w:r>
    </w:p>
    <w:p w:rsidR="0013393D" w:rsidRPr="00902943" w:rsidRDefault="0013393D" w:rsidP="0013393D">
      <w:pPr>
        <w:autoSpaceDE w:val="0"/>
        <w:autoSpaceDN w:val="0"/>
        <w:adjustRightInd w:val="0"/>
        <w:ind w:firstLine="709"/>
        <w:jc w:val="both"/>
        <w:rPr>
          <w:lang w:val="kk-KZ"/>
        </w:rPr>
      </w:pPr>
      <w:r>
        <w:rPr>
          <w:lang w:val="kk-KZ"/>
        </w:rPr>
        <w:t xml:space="preserve">Тұтастай алғанда, банктер кредиттік тәуекелдің өсуін болдырмау үшін сапалы қарыз алушыларды іріктеуге баса көңіл бөлуді жоспарлап отыр, бұл мақұлданған кредиттік өтінімдердің деңгейін төмендетуге әсер етеді (12-диаграмма). </w:t>
      </w:r>
    </w:p>
    <w:tbl>
      <w:tblPr>
        <w:tblpPr w:leftFromText="180" w:rightFromText="180" w:vertAnchor="text" w:horzAnchor="margin" w:tblpX="108" w:tblpY="251"/>
        <w:tblW w:w="9606" w:type="dxa"/>
        <w:tblLayout w:type="fixed"/>
        <w:tblLook w:val="00A0" w:firstRow="1" w:lastRow="0" w:firstColumn="1" w:lastColumn="0" w:noHBand="0" w:noVBand="0"/>
      </w:tblPr>
      <w:tblGrid>
        <w:gridCol w:w="9606"/>
      </w:tblGrid>
      <w:tr w:rsidR="0013393D" w:rsidTr="00840E2F">
        <w:tc>
          <w:tcPr>
            <w:tcW w:w="9606" w:type="dxa"/>
          </w:tcPr>
          <w:p w:rsidR="0013393D" w:rsidRPr="001D77DE" w:rsidRDefault="0013393D" w:rsidP="00BB6C1C">
            <w:pPr>
              <w:jc w:val="center"/>
              <w:rPr>
                <w:b/>
              </w:rPr>
            </w:pPr>
            <w:r>
              <w:rPr>
                <w:b/>
                <w:sz w:val="20"/>
                <w:szCs w:val="20"/>
                <w:lang w:val="kk-KZ"/>
              </w:rPr>
              <w:t>11-д</w:t>
            </w:r>
            <w:proofErr w:type="spellStart"/>
            <w:r w:rsidRPr="001D77DE">
              <w:rPr>
                <w:b/>
                <w:sz w:val="20"/>
                <w:szCs w:val="20"/>
              </w:rPr>
              <w:t>иаграмма</w:t>
            </w:r>
            <w:proofErr w:type="spellEnd"/>
            <w:r w:rsidRPr="001D77DE">
              <w:rPr>
                <w:b/>
                <w:sz w:val="20"/>
                <w:szCs w:val="20"/>
              </w:rPr>
              <w:t xml:space="preserve">. </w:t>
            </w:r>
            <w:r>
              <w:rPr>
                <w:b/>
                <w:sz w:val="20"/>
                <w:szCs w:val="20"/>
                <w:lang w:val="kk-KZ"/>
              </w:rPr>
              <w:t xml:space="preserve">Проблемалық кредиттерді баланстан тыс есептен шығару операцияларының өзгеруі </w:t>
            </w:r>
          </w:p>
        </w:tc>
      </w:tr>
      <w:tr w:rsidR="0013393D" w:rsidTr="00840E2F">
        <w:tc>
          <w:tcPr>
            <w:tcW w:w="9606" w:type="dxa"/>
          </w:tcPr>
          <w:p w:rsidR="0013393D" w:rsidRPr="001D77DE" w:rsidRDefault="00BB6C1C" w:rsidP="00BB6C1C">
            <w:pPr>
              <w:jc w:val="both"/>
              <w:rPr>
                <w:b/>
              </w:rPr>
            </w:pPr>
            <w:r>
              <w:rPr>
                <w:noProof/>
              </w:rPr>
              <w:drawing>
                <wp:inline distT="0" distB="0" distL="0" distR="0" wp14:anchorId="6AFFDFF1" wp14:editId="753F1E6D">
                  <wp:extent cx="5857875" cy="2409825"/>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13393D" w:rsidTr="00840E2F">
        <w:tc>
          <w:tcPr>
            <w:tcW w:w="9606" w:type="dxa"/>
          </w:tcPr>
          <w:p w:rsidR="0013393D" w:rsidRPr="00BB6C1C" w:rsidRDefault="0013393D" w:rsidP="00BB6C1C">
            <w:pPr>
              <w:jc w:val="both"/>
              <w:rPr>
                <w:i/>
                <w:color w:val="000000"/>
                <w:sz w:val="18"/>
                <w:szCs w:val="18"/>
                <w:lang w:val="kk-KZ"/>
              </w:rPr>
            </w:pPr>
            <w:r>
              <w:rPr>
                <w:i/>
                <w:color w:val="000000"/>
                <w:sz w:val="18"/>
                <w:szCs w:val="18"/>
                <w:lang w:val="kk-KZ"/>
              </w:rPr>
              <w:t>Дерек көзі</w:t>
            </w:r>
            <w:r w:rsidRPr="003669AA">
              <w:rPr>
                <w:i/>
                <w:color w:val="000000"/>
                <w:sz w:val="18"/>
                <w:szCs w:val="18"/>
              </w:rPr>
              <w:t xml:space="preserve">: </w:t>
            </w:r>
            <w:r>
              <w:rPr>
                <w:i/>
                <w:color w:val="000000"/>
                <w:sz w:val="18"/>
                <w:szCs w:val="18"/>
                <w:lang w:val="kk-KZ"/>
              </w:rPr>
              <w:t>ҚРҰБ</w:t>
            </w:r>
          </w:p>
        </w:tc>
      </w:tr>
    </w:tbl>
    <w:p w:rsidR="0013393D" w:rsidRDefault="0013393D" w:rsidP="0013393D">
      <w:pPr>
        <w:ind w:firstLine="708"/>
        <w:jc w:val="both"/>
        <w:rPr>
          <w:lang w:val="kk-KZ"/>
        </w:rPr>
      </w:pPr>
      <w:r>
        <w:rPr>
          <w:b/>
          <w:lang w:val="kk-KZ"/>
        </w:rPr>
        <w:t xml:space="preserve">Қосымша қаржыландыру көздері бойынша банктер заңды және жеке тұлғалардың салымдарын тартуға басым түрде күш жұмсауда, </w:t>
      </w:r>
      <w:r w:rsidRPr="00312C2E">
        <w:rPr>
          <w:lang w:val="kk-KZ"/>
        </w:rPr>
        <w:t xml:space="preserve">бұл банктердің бағалауымен расталып отыр </w:t>
      </w:r>
      <w:r w:rsidRPr="00312C2E">
        <w:t>(</w:t>
      </w:r>
      <w:r>
        <w:rPr>
          <w:lang w:val="kk-KZ"/>
        </w:rPr>
        <w:t xml:space="preserve">банктердің тиісінше </w:t>
      </w:r>
      <w:r w:rsidRPr="00312C2E">
        <w:t>62%</w:t>
      </w:r>
      <w:r>
        <w:rPr>
          <w:lang w:val="kk-KZ"/>
        </w:rPr>
        <w:t>-ы</w:t>
      </w:r>
      <w:r w:rsidRPr="00312C2E">
        <w:t xml:space="preserve"> </w:t>
      </w:r>
      <w:r>
        <w:rPr>
          <w:lang w:val="kk-KZ"/>
        </w:rPr>
        <w:t xml:space="preserve">және </w:t>
      </w:r>
      <w:r w:rsidRPr="00312C2E">
        <w:t>51%</w:t>
      </w:r>
      <w:r>
        <w:rPr>
          <w:lang w:val="kk-KZ"/>
        </w:rPr>
        <w:t xml:space="preserve">-ы депозиттерге басымдық береді), мемлекеттік қолдауға (қайта қаржыландыру қарыздары және даму институттары арқылы бөлінетін қаражат түрінде және т.б.) сенетін банктер үлесінің ұлғаюы байқалып отыр. Банктердің </w:t>
      </w:r>
      <w:r w:rsidRPr="00894210">
        <w:rPr>
          <w:lang w:val="kk-KZ"/>
        </w:rPr>
        <w:t>30%</w:t>
      </w:r>
      <w:r>
        <w:rPr>
          <w:lang w:val="kk-KZ"/>
        </w:rPr>
        <w:t xml:space="preserve">-ға жуығы мемлекеттік қолдауға басымдық берді, ал алдыңғы тоқсанда бұл көрсеткіш </w:t>
      </w:r>
      <w:r w:rsidRPr="00894210">
        <w:rPr>
          <w:lang w:val="kk-KZ"/>
        </w:rPr>
        <w:t>21%</w:t>
      </w:r>
      <w:r>
        <w:rPr>
          <w:lang w:val="kk-KZ"/>
        </w:rPr>
        <w:t>-ын құрады.</w:t>
      </w:r>
    </w:p>
    <w:tbl>
      <w:tblPr>
        <w:tblpPr w:leftFromText="180" w:rightFromText="180" w:vertAnchor="text" w:horzAnchor="margin" w:tblpX="108" w:tblpY="103"/>
        <w:tblW w:w="9606" w:type="dxa"/>
        <w:tblLayout w:type="fixed"/>
        <w:tblLook w:val="00A0" w:firstRow="1" w:lastRow="0" w:firstColumn="1" w:lastColumn="0" w:noHBand="0" w:noVBand="0"/>
      </w:tblPr>
      <w:tblGrid>
        <w:gridCol w:w="9606"/>
      </w:tblGrid>
      <w:tr w:rsidR="0013393D" w:rsidRPr="000C7998" w:rsidTr="00840E2F">
        <w:tc>
          <w:tcPr>
            <w:tcW w:w="9606" w:type="dxa"/>
          </w:tcPr>
          <w:p w:rsidR="0013393D" w:rsidRPr="00894210" w:rsidRDefault="0013393D" w:rsidP="00840E2F">
            <w:pPr>
              <w:jc w:val="center"/>
              <w:rPr>
                <w:lang w:val="kk-KZ"/>
              </w:rPr>
            </w:pPr>
            <w:r>
              <w:rPr>
                <w:b/>
                <w:sz w:val="20"/>
                <w:szCs w:val="20"/>
                <w:lang w:val="kk-KZ"/>
              </w:rPr>
              <w:t>12-д</w:t>
            </w:r>
            <w:r w:rsidRPr="00894210">
              <w:rPr>
                <w:b/>
                <w:sz w:val="20"/>
                <w:szCs w:val="20"/>
                <w:lang w:val="kk-KZ"/>
              </w:rPr>
              <w:t>иаграмма</w:t>
            </w:r>
            <w:r>
              <w:rPr>
                <w:b/>
                <w:sz w:val="20"/>
                <w:szCs w:val="20"/>
                <w:lang w:val="kk-KZ"/>
              </w:rPr>
              <w:t>.</w:t>
            </w:r>
            <w:r w:rsidRPr="00894210">
              <w:rPr>
                <w:b/>
                <w:sz w:val="20"/>
                <w:szCs w:val="20"/>
                <w:lang w:val="kk-KZ"/>
              </w:rPr>
              <w:t xml:space="preserve"> </w:t>
            </w:r>
            <w:r w:rsidRPr="00126143">
              <w:rPr>
                <w:b/>
                <w:sz w:val="20"/>
                <w:szCs w:val="20"/>
                <w:lang w:val="kk-KZ"/>
              </w:rPr>
              <w:t xml:space="preserve"> Қарыз алушылардың </w:t>
            </w:r>
            <w:r>
              <w:rPr>
                <w:b/>
                <w:sz w:val="20"/>
                <w:szCs w:val="20"/>
                <w:lang w:val="kk-KZ"/>
              </w:rPr>
              <w:t xml:space="preserve">мақұлданған </w:t>
            </w:r>
            <w:r w:rsidRPr="00126143">
              <w:rPr>
                <w:b/>
                <w:sz w:val="20"/>
                <w:szCs w:val="20"/>
                <w:lang w:val="kk-KZ"/>
              </w:rPr>
              <w:t>кредиттік өтінімдері санының өзгеруі</w:t>
            </w:r>
          </w:p>
        </w:tc>
      </w:tr>
      <w:tr w:rsidR="0013393D" w:rsidRPr="000C7998" w:rsidTr="00840E2F">
        <w:tc>
          <w:tcPr>
            <w:tcW w:w="9606" w:type="dxa"/>
          </w:tcPr>
          <w:p w:rsidR="0013393D" w:rsidRPr="000C7998" w:rsidRDefault="00840E2F" w:rsidP="0041003E">
            <w:pPr>
              <w:jc w:val="both"/>
              <w:rPr>
                <w:lang w:val="kk-KZ"/>
              </w:rPr>
            </w:pPr>
            <w:r>
              <w:rPr>
                <w:noProof/>
              </w:rPr>
              <w:drawing>
                <wp:inline distT="0" distB="0" distL="0" distR="0" wp14:anchorId="46ED8050" wp14:editId="206059AD">
                  <wp:extent cx="5917996" cy="1887321"/>
                  <wp:effectExtent l="0" t="0" r="698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13393D" w:rsidTr="00840E2F">
        <w:tc>
          <w:tcPr>
            <w:tcW w:w="9606" w:type="dxa"/>
          </w:tcPr>
          <w:p w:rsidR="0013393D" w:rsidRPr="00840E2F" w:rsidRDefault="0013393D" w:rsidP="0041003E">
            <w:pPr>
              <w:jc w:val="both"/>
              <w:rPr>
                <w:color w:val="000000"/>
                <w:sz w:val="16"/>
                <w:szCs w:val="16"/>
                <w:lang w:val="kk-KZ"/>
              </w:rPr>
            </w:pPr>
            <w:r w:rsidRPr="00894210">
              <w:rPr>
                <w:color w:val="000000"/>
                <w:sz w:val="16"/>
                <w:szCs w:val="16"/>
                <w:lang w:val="kk-KZ"/>
              </w:rPr>
              <w:t>Дерек көзі</w:t>
            </w:r>
            <w:r w:rsidRPr="00894210">
              <w:rPr>
                <w:color w:val="000000"/>
                <w:sz w:val="16"/>
                <w:szCs w:val="16"/>
              </w:rPr>
              <w:t>:</w:t>
            </w:r>
            <w:r w:rsidRPr="00894210">
              <w:rPr>
                <w:color w:val="000000"/>
                <w:sz w:val="16"/>
                <w:szCs w:val="16"/>
                <w:lang w:val="kk-KZ"/>
              </w:rPr>
              <w:t xml:space="preserve"> ҚРҰБ</w:t>
            </w:r>
          </w:p>
        </w:tc>
      </w:tr>
    </w:tbl>
    <w:p w:rsidR="0013393D" w:rsidRPr="00054C18" w:rsidRDefault="0013393D" w:rsidP="0013393D">
      <w:pPr>
        <w:ind w:firstLine="708"/>
        <w:jc w:val="both"/>
        <w:rPr>
          <w:lang w:val="kk-KZ"/>
        </w:rPr>
      </w:pPr>
      <w:r w:rsidRPr="006D076F">
        <w:rPr>
          <w:lang w:val="kk-KZ"/>
        </w:rPr>
        <w:t xml:space="preserve">2015 жылғы 3-тоқсанның нәтижелері бойынша валюталық тәуекелдің айтарлықтай өсуі байқалады (респонденттердің </w:t>
      </w:r>
      <w:r w:rsidRPr="006D076F">
        <w:t>65%</w:t>
      </w:r>
      <w:r w:rsidR="00054C18">
        <w:rPr>
          <w:lang w:val="kk-KZ"/>
        </w:rPr>
        <w:t>-ы).</w:t>
      </w:r>
    </w:p>
    <w:p w:rsidR="00054C18" w:rsidRPr="006D076F" w:rsidRDefault="00054C18" w:rsidP="0013393D">
      <w:pPr>
        <w:ind w:firstLine="708"/>
        <w:jc w:val="both"/>
        <w:rPr>
          <w:lang w:val="kk-KZ"/>
        </w:rPr>
      </w:pPr>
    </w:p>
    <w:tbl>
      <w:tblPr>
        <w:tblpPr w:leftFromText="180" w:rightFromText="180" w:vertAnchor="text" w:horzAnchor="margin" w:tblpX="108" w:tblpY="43"/>
        <w:tblOverlap w:val="never"/>
        <w:tblW w:w="0" w:type="auto"/>
        <w:tblLayout w:type="fixed"/>
        <w:tblLook w:val="00A0" w:firstRow="1" w:lastRow="0" w:firstColumn="1" w:lastColumn="0" w:noHBand="0" w:noVBand="0"/>
      </w:tblPr>
      <w:tblGrid>
        <w:gridCol w:w="9606"/>
      </w:tblGrid>
      <w:tr w:rsidR="0013393D" w:rsidRPr="003669AA" w:rsidTr="00840E2F">
        <w:trPr>
          <w:trHeight w:val="160"/>
        </w:trPr>
        <w:tc>
          <w:tcPr>
            <w:tcW w:w="9606" w:type="dxa"/>
          </w:tcPr>
          <w:p w:rsidR="0013393D" w:rsidRPr="003669AA" w:rsidRDefault="0013393D" w:rsidP="0041003E">
            <w:pPr>
              <w:jc w:val="center"/>
              <w:rPr>
                <w:i/>
                <w:sz w:val="20"/>
                <w:szCs w:val="20"/>
              </w:rPr>
            </w:pPr>
            <w:r>
              <w:rPr>
                <w:b/>
                <w:sz w:val="20"/>
                <w:szCs w:val="20"/>
                <w:lang w:val="kk-KZ"/>
              </w:rPr>
              <w:lastRenderedPageBreak/>
              <w:t>13-д</w:t>
            </w:r>
            <w:proofErr w:type="spellStart"/>
            <w:r w:rsidRPr="003669AA">
              <w:rPr>
                <w:b/>
                <w:sz w:val="20"/>
                <w:szCs w:val="20"/>
              </w:rPr>
              <w:t>иаграмма</w:t>
            </w:r>
            <w:proofErr w:type="spellEnd"/>
            <w:r w:rsidRPr="003669AA">
              <w:rPr>
                <w:b/>
                <w:sz w:val="20"/>
                <w:szCs w:val="20"/>
              </w:rPr>
              <w:t xml:space="preserve">. </w:t>
            </w:r>
            <w:r>
              <w:rPr>
                <w:b/>
                <w:sz w:val="20"/>
                <w:szCs w:val="20"/>
                <w:lang w:val="kk-KZ"/>
              </w:rPr>
              <w:t>Банктердің тәуекелдерді қабылдауы</w:t>
            </w:r>
          </w:p>
        </w:tc>
      </w:tr>
      <w:tr w:rsidR="0013393D" w:rsidRPr="003669AA" w:rsidTr="00840E2F">
        <w:trPr>
          <w:trHeight w:val="842"/>
        </w:trPr>
        <w:tc>
          <w:tcPr>
            <w:tcW w:w="9606" w:type="dxa"/>
          </w:tcPr>
          <w:p w:rsidR="0013393D" w:rsidRPr="003669AA" w:rsidRDefault="00840E2F" w:rsidP="0041003E">
            <w:pPr>
              <w:jc w:val="both"/>
              <w:rPr>
                <w:i/>
                <w:sz w:val="20"/>
                <w:szCs w:val="20"/>
              </w:rPr>
            </w:pPr>
            <w:r>
              <w:rPr>
                <w:noProof/>
              </w:rPr>
              <w:drawing>
                <wp:inline distT="0" distB="0" distL="0" distR="0" wp14:anchorId="1A37219E" wp14:editId="50117613">
                  <wp:extent cx="6003551" cy="2213162"/>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13393D" w:rsidRPr="003669AA" w:rsidTr="00840E2F">
        <w:trPr>
          <w:trHeight w:val="66"/>
        </w:trPr>
        <w:tc>
          <w:tcPr>
            <w:tcW w:w="9606" w:type="dxa"/>
          </w:tcPr>
          <w:p w:rsidR="0013393D" w:rsidRPr="00F56324" w:rsidRDefault="0013393D" w:rsidP="0041003E">
            <w:pPr>
              <w:jc w:val="both"/>
              <w:rPr>
                <w:i/>
                <w:color w:val="000000"/>
                <w:sz w:val="18"/>
                <w:szCs w:val="18"/>
                <w:lang w:val="kk-KZ"/>
              </w:rPr>
            </w:pPr>
            <w:r>
              <w:rPr>
                <w:i/>
                <w:color w:val="000000"/>
                <w:sz w:val="18"/>
                <w:szCs w:val="18"/>
                <w:lang w:val="kk-KZ"/>
              </w:rPr>
              <w:t>Дерек көзі</w:t>
            </w:r>
            <w:r w:rsidRPr="001D77DE">
              <w:rPr>
                <w:i/>
                <w:color w:val="000000"/>
                <w:sz w:val="18"/>
                <w:szCs w:val="18"/>
              </w:rPr>
              <w:t>:</w:t>
            </w:r>
            <w:r>
              <w:rPr>
                <w:i/>
                <w:color w:val="000000"/>
                <w:sz w:val="18"/>
                <w:szCs w:val="18"/>
                <w:lang w:val="kk-KZ"/>
              </w:rPr>
              <w:t xml:space="preserve"> ҚРҰБ</w:t>
            </w:r>
          </w:p>
        </w:tc>
      </w:tr>
    </w:tbl>
    <w:p w:rsidR="0013393D" w:rsidRDefault="0013393D" w:rsidP="0013393D">
      <w:pPr>
        <w:ind w:firstLine="708"/>
        <w:jc w:val="both"/>
      </w:pPr>
    </w:p>
    <w:bookmarkEnd w:id="1"/>
    <w:bookmarkEnd w:id="2"/>
    <w:p w:rsidR="00596785" w:rsidRPr="0013393D" w:rsidRDefault="00596785" w:rsidP="00596785">
      <w:pPr>
        <w:ind w:firstLine="708"/>
        <w:jc w:val="both"/>
        <w:rPr>
          <w:sz w:val="20"/>
          <w:szCs w:val="20"/>
          <w:highlight w:val="yellow"/>
        </w:rPr>
      </w:pPr>
    </w:p>
    <w:sectPr w:rsidR="00596785" w:rsidRPr="0013393D" w:rsidSect="00065B44">
      <w:footerReference w:type="even" r:id="rId22"/>
      <w:footerReference w:type="default" r:id="rId2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F0" w:rsidRDefault="001072F0" w:rsidP="00E524F9">
      <w:r>
        <w:separator/>
      </w:r>
    </w:p>
  </w:endnote>
  <w:endnote w:type="continuationSeparator" w:id="0">
    <w:p w:rsidR="001072F0" w:rsidRDefault="001072F0" w:rsidP="00E5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BA8" w:rsidRDefault="00EF4BA8"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F4BA8" w:rsidRDefault="00EF4BA8" w:rsidP="00065B4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BA8" w:rsidRDefault="00EF4BA8" w:rsidP="00065B4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54C18">
      <w:rPr>
        <w:rStyle w:val="a8"/>
        <w:noProof/>
      </w:rPr>
      <w:t>1</w:t>
    </w:r>
    <w:r>
      <w:rPr>
        <w:rStyle w:val="a8"/>
      </w:rPr>
      <w:fldChar w:fldCharType="end"/>
    </w:r>
  </w:p>
  <w:p w:rsidR="00EF4BA8" w:rsidRDefault="00EF4BA8" w:rsidP="00065B4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F0" w:rsidRDefault="001072F0" w:rsidP="00E524F9">
      <w:r>
        <w:separator/>
      </w:r>
    </w:p>
  </w:footnote>
  <w:footnote w:type="continuationSeparator" w:id="0">
    <w:p w:rsidR="001072F0" w:rsidRDefault="001072F0" w:rsidP="00E524F9">
      <w:r>
        <w:continuationSeparator/>
      </w:r>
    </w:p>
  </w:footnote>
  <w:footnote w:id="1">
    <w:p w:rsidR="00035C6B" w:rsidRPr="002067A7" w:rsidRDefault="00035C6B" w:rsidP="00035C6B">
      <w:pPr>
        <w:pStyle w:val="a3"/>
        <w:jc w:val="both"/>
        <w:rPr>
          <w:b/>
          <w:sz w:val="18"/>
          <w:szCs w:val="18"/>
          <w:lang w:val="kk-KZ"/>
        </w:rPr>
      </w:pPr>
      <w:r w:rsidRPr="00DA6F5F">
        <w:rPr>
          <w:rStyle w:val="a5"/>
          <w:sz w:val="18"/>
          <w:szCs w:val="18"/>
        </w:rPr>
        <w:footnoteRef/>
      </w:r>
      <w:r w:rsidRPr="00DA6F5F">
        <w:rPr>
          <w:sz w:val="18"/>
          <w:szCs w:val="18"/>
        </w:rPr>
        <w:t xml:space="preserve"> </w:t>
      </w:r>
      <w:r w:rsidRPr="00FA5C40">
        <w:rPr>
          <w:i/>
          <w:sz w:val="16"/>
          <w:szCs w:val="16"/>
          <w:lang w:val="kk-KZ"/>
        </w:rPr>
        <w:t>Осы жерде және одан әрі диаграммалардағы нәтижелер респонденттер жауаптарының таза пайыздық өзгеруінің өзгерісі түрінде берілген, ол қандай да болмасын өлшемнің ұлғаюын/жұмсаруын белгілеген респонденттердің  %-ның және қандай да болмасын өлшемнің төмендеуін/қатаңдауын белгілеген респонденттердің %-ның айырмасы ретінде есептеледі.</w:t>
      </w:r>
      <w:r w:rsidRPr="00FA5C40">
        <w:rPr>
          <w:lang w:val="kk-KZ"/>
        </w:rPr>
        <w:t xml:space="preserve"> </w:t>
      </w:r>
      <w:r w:rsidRPr="00FA5C40">
        <w:rPr>
          <w:b/>
          <w:i/>
          <w:sz w:val="16"/>
          <w:szCs w:val="16"/>
          <w:lang w:val="kk-KZ"/>
        </w:rPr>
        <w:t>Мән қандай да болмасын өлшемнің төмендеуінің/қатаңдауының 0 төмен, қандай да болмасын өлшемнің жұмсаруының/ұлғаюының 0 жоғары.</w:t>
      </w:r>
      <w:r w:rsidRPr="00FA5C40">
        <w:rPr>
          <w:lang w:val="kk-KZ"/>
        </w:rPr>
        <w:t xml:space="preserve"> </w:t>
      </w:r>
      <w:r w:rsidRPr="00FA5C40">
        <w:rPr>
          <w:i/>
          <w:sz w:val="16"/>
          <w:szCs w:val="16"/>
          <w:lang w:val="kk-KZ"/>
        </w:rPr>
        <w:t>Бұл жағдайда диаграммада кредит саясатының өзгеруі берілген</w:t>
      </w:r>
      <w:r w:rsidRPr="002067A7">
        <w:rPr>
          <w:i/>
          <w:sz w:val="18"/>
          <w:szCs w:val="18"/>
          <w:lang w:val="kk-KZ"/>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5684"/>
    <w:multiLevelType w:val="hybridMultilevel"/>
    <w:tmpl w:val="536CCB9A"/>
    <w:lvl w:ilvl="0" w:tplc="30D4A610">
      <w:start w:val="1"/>
      <w:numFmt w:val="decimal"/>
      <w:lvlText w:val="%1."/>
      <w:lvlJc w:val="left"/>
      <w:pPr>
        <w:tabs>
          <w:tab w:val="num" w:pos="1800"/>
        </w:tabs>
        <w:ind w:left="1800" w:hanging="360"/>
      </w:pPr>
      <w:rPr>
        <w:rFonts w:hint="default"/>
        <w:b/>
        <w:sz w:val="24"/>
        <w:szCs w:val="24"/>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51FB4754"/>
    <w:multiLevelType w:val="hybridMultilevel"/>
    <w:tmpl w:val="D2A805DE"/>
    <w:lvl w:ilvl="0" w:tplc="D1EA87B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275A77"/>
    <w:multiLevelType w:val="hybridMultilevel"/>
    <w:tmpl w:val="BA1A29D4"/>
    <w:lvl w:ilvl="0" w:tplc="83DC03AE">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7E997925"/>
    <w:multiLevelType w:val="hybridMultilevel"/>
    <w:tmpl w:val="8348029A"/>
    <w:lvl w:ilvl="0" w:tplc="AF189F10">
      <w:start w:val="1"/>
      <w:numFmt w:val="upperRoman"/>
      <w:lvlText w:val="%1."/>
      <w:lvlJc w:val="left"/>
      <w:pPr>
        <w:tabs>
          <w:tab w:val="num" w:pos="1425"/>
        </w:tabs>
        <w:ind w:left="1425" w:hanging="720"/>
      </w:pPr>
      <w:rPr>
        <w:rFonts w:hint="default"/>
      </w:rPr>
    </w:lvl>
    <w:lvl w:ilvl="1" w:tplc="D1EA87BE">
      <w:start w:val="1"/>
      <w:numFmt w:val="decimal"/>
      <w:lvlText w:val="%2."/>
      <w:lvlJc w:val="left"/>
      <w:pPr>
        <w:tabs>
          <w:tab w:val="num" w:pos="1785"/>
        </w:tabs>
        <w:ind w:left="1785" w:hanging="360"/>
      </w:pPr>
      <w:rPr>
        <w:rFonts w:hint="default"/>
        <w:b/>
      </w:rPr>
    </w:lvl>
    <w:lvl w:ilvl="2" w:tplc="0419001B" w:tentative="1">
      <w:start w:val="1"/>
      <w:numFmt w:val="lowerRoman"/>
      <w:lvlText w:val="%3."/>
      <w:lvlJc w:val="right"/>
      <w:pPr>
        <w:tabs>
          <w:tab w:val="num" w:pos="2505"/>
        </w:tabs>
        <w:ind w:left="2505" w:hanging="180"/>
      </w:pPr>
    </w:lvl>
    <w:lvl w:ilvl="3" w:tplc="D1EA87BE">
      <w:start w:val="1"/>
      <w:numFmt w:val="decimal"/>
      <w:lvlText w:val="%4."/>
      <w:lvlJc w:val="left"/>
      <w:pPr>
        <w:tabs>
          <w:tab w:val="num" w:pos="1080"/>
        </w:tabs>
        <w:ind w:left="1080" w:hanging="360"/>
      </w:pPr>
      <w:rPr>
        <w:rFonts w:hint="default"/>
        <w:b/>
      </w:r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F9"/>
    <w:rsid w:val="00000488"/>
    <w:rsid w:val="0000055A"/>
    <w:rsid w:val="000008B7"/>
    <w:rsid w:val="00001010"/>
    <w:rsid w:val="0000131B"/>
    <w:rsid w:val="00001966"/>
    <w:rsid w:val="00001A9D"/>
    <w:rsid w:val="000024F8"/>
    <w:rsid w:val="00002AD6"/>
    <w:rsid w:val="00004DC9"/>
    <w:rsid w:val="000055DB"/>
    <w:rsid w:val="000065FA"/>
    <w:rsid w:val="0000697C"/>
    <w:rsid w:val="00006CC8"/>
    <w:rsid w:val="00006E5F"/>
    <w:rsid w:val="00007313"/>
    <w:rsid w:val="000073B6"/>
    <w:rsid w:val="000073D7"/>
    <w:rsid w:val="00007BBF"/>
    <w:rsid w:val="00007E20"/>
    <w:rsid w:val="00011A3C"/>
    <w:rsid w:val="0001221F"/>
    <w:rsid w:val="00012C0B"/>
    <w:rsid w:val="000138F9"/>
    <w:rsid w:val="000139E2"/>
    <w:rsid w:val="00013A1A"/>
    <w:rsid w:val="000140CD"/>
    <w:rsid w:val="00015E01"/>
    <w:rsid w:val="00016FCD"/>
    <w:rsid w:val="000171E0"/>
    <w:rsid w:val="0001727E"/>
    <w:rsid w:val="00017CE9"/>
    <w:rsid w:val="00017D79"/>
    <w:rsid w:val="0002260A"/>
    <w:rsid w:val="00022CE8"/>
    <w:rsid w:val="00023A93"/>
    <w:rsid w:val="00023AF8"/>
    <w:rsid w:val="00023FF5"/>
    <w:rsid w:val="0002418A"/>
    <w:rsid w:val="000253A0"/>
    <w:rsid w:val="00025726"/>
    <w:rsid w:val="0002591A"/>
    <w:rsid w:val="000259FE"/>
    <w:rsid w:val="000264D4"/>
    <w:rsid w:val="000272D4"/>
    <w:rsid w:val="00027333"/>
    <w:rsid w:val="00030085"/>
    <w:rsid w:val="000300D6"/>
    <w:rsid w:val="0003037E"/>
    <w:rsid w:val="000307FF"/>
    <w:rsid w:val="00030DD2"/>
    <w:rsid w:val="00031AB3"/>
    <w:rsid w:val="00031D4B"/>
    <w:rsid w:val="000326A6"/>
    <w:rsid w:val="00033533"/>
    <w:rsid w:val="00033635"/>
    <w:rsid w:val="00033798"/>
    <w:rsid w:val="000339DC"/>
    <w:rsid w:val="00034DD5"/>
    <w:rsid w:val="00035176"/>
    <w:rsid w:val="000354D5"/>
    <w:rsid w:val="00035C10"/>
    <w:rsid w:val="00035C28"/>
    <w:rsid w:val="00035C6B"/>
    <w:rsid w:val="00037328"/>
    <w:rsid w:val="00040E7E"/>
    <w:rsid w:val="00040F30"/>
    <w:rsid w:val="00041C61"/>
    <w:rsid w:val="00041CE1"/>
    <w:rsid w:val="00042208"/>
    <w:rsid w:val="0004250B"/>
    <w:rsid w:val="00042909"/>
    <w:rsid w:val="00042BB0"/>
    <w:rsid w:val="00042E4F"/>
    <w:rsid w:val="00043129"/>
    <w:rsid w:val="000436E1"/>
    <w:rsid w:val="00043819"/>
    <w:rsid w:val="00043FE7"/>
    <w:rsid w:val="00044878"/>
    <w:rsid w:val="00044DBC"/>
    <w:rsid w:val="0004538E"/>
    <w:rsid w:val="00045724"/>
    <w:rsid w:val="00045C49"/>
    <w:rsid w:val="000465E3"/>
    <w:rsid w:val="00046787"/>
    <w:rsid w:val="00047A71"/>
    <w:rsid w:val="00047C7D"/>
    <w:rsid w:val="000501D4"/>
    <w:rsid w:val="000503B5"/>
    <w:rsid w:val="00050DCF"/>
    <w:rsid w:val="00051524"/>
    <w:rsid w:val="00051CDC"/>
    <w:rsid w:val="00051F40"/>
    <w:rsid w:val="000527E1"/>
    <w:rsid w:val="000528B7"/>
    <w:rsid w:val="00053ECB"/>
    <w:rsid w:val="000543F9"/>
    <w:rsid w:val="00054B32"/>
    <w:rsid w:val="00054C18"/>
    <w:rsid w:val="00054FB6"/>
    <w:rsid w:val="00057442"/>
    <w:rsid w:val="0006098A"/>
    <w:rsid w:val="00060D46"/>
    <w:rsid w:val="000610A5"/>
    <w:rsid w:val="00061C3A"/>
    <w:rsid w:val="00062604"/>
    <w:rsid w:val="00062AD5"/>
    <w:rsid w:val="0006314D"/>
    <w:rsid w:val="00063723"/>
    <w:rsid w:val="000638FE"/>
    <w:rsid w:val="00063DC1"/>
    <w:rsid w:val="00064D71"/>
    <w:rsid w:val="00064FAA"/>
    <w:rsid w:val="00065288"/>
    <w:rsid w:val="0006595B"/>
    <w:rsid w:val="00065B44"/>
    <w:rsid w:val="00067090"/>
    <w:rsid w:val="00067172"/>
    <w:rsid w:val="00067669"/>
    <w:rsid w:val="00067BE1"/>
    <w:rsid w:val="00071878"/>
    <w:rsid w:val="000719F2"/>
    <w:rsid w:val="000720D3"/>
    <w:rsid w:val="000725DD"/>
    <w:rsid w:val="00072A13"/>
    <w:rsid w:val="00072AE0"/>
    <w:rsid w:val="00073856"/>
    <w:rsid w:val="00073A6C"/>
    <w:rsid w:val="00073FA2"/>
    <w:rsid w:val="00075000"/>
    <w:rsid w:val="0007509A"/>
    <w:rsid w:val="00075166"/>
    <w:rsid w:val="00075B4D"/>
    <w:rsid w:val="00075ECA"/>
    <w:rsid w:val="0008023A"/>
    <w:rsid w:val="00080309"/>
    <w:rsid w:val="00080AB6"/>
    <w:rsid w:val="00081575"/>
    <w:rsid w:val="000817C4"/>
    <w:rsid w:val="000817E4"/>
    <w:rsid w:val="00081B9B"/>
    <w:rsid w:val="00082606"/>
    <w:rsid w:val="0008302B"/>
    <w:rsid w:val="00084357"/>
    <w:rsid w:val="00084DBA"/>
    <w:rsid w:val="00084ECC"/>
    <w:rsid w:val="00085B3F"/>
    <w:rsid w:val="0008640C"/>
    <w:rsid w:val="00086EAF"/>
    <w:rsid w:val="000872CE"/>
    <w:rsid w:val="00090972"/>
    <w:rsid w:val="00091D9E"/>
    <w:rsid w:val="00091FC5"/>
    <w:rsid w:val="00092928"/>
    <w:rsid w:val="00092968"/>
    <w:rsid w:val="000930FE"/>
    <w:rsid w:val="0009459F"/>
    <w:rsid w:val="00094D66"/>
    <w:rsid w:val="00095DCF"/>
    <w:rsid w:val="00096B21"/>
    <w:rsid w:val="00097529"/>
    <w:rsid w:val="000A07F9"/>
    <w:rsid w:val="000A103C"/>
    <w:rsid w:val="000A11E2"/>
    <w:rsid w:val="000A3F74"/>
    <w:rsid w:val="000A4C7E"/>
    <w:rsid w:val="000A4E33"/>
    <w:rsid w:val="000A58B0"/>
    <w:rsid w:val="000A5A5E"/>
    <w:rsid w:val="000A5BAF"/>
    <w:rsid w:val="000A5BEF"/>
    <w:rsid w:val="000A5DED"/>
    <w:rsid w:val="000A616E"/>
    <w:rsid w:val="000A69B3"/>
    <w:rsid w:val="000A69CF"/>
    <w:rsid w:val="000A7061"/>
    <w:rsid w:val="000A7070"/>
    <w:rsid w:val="000A7C85"/>
    <w:rsid w:val="000B05B9"/>
    <w:rsid w:val="000B062A"/>
    <w:rsid w:val="000B06DF"/>
    <w:rsid w:val="000B094C"/>
    <w:rsid w:val="000B20A6"/>
    <w:rsid w:val="000B2ACB"/>
    <w:rsid w:val="000B2CEA"/>
    <w:rsid w:val="000B399A"/>
    <w:rsid w:val="000B4078"/>
    <w:rsid w:val="000B4D52"/>
    <w:rsid w:val="000B5CA9"/>
    <w:rsid w:val="000B61B3"/>
    <w:rsid w:val="000B63E8"/>
    <w:rsid w:val="000B7215"/>
    <w:rsid w:val="000B7CB0"/>
    <w:rsid w:val="000B7D63"/>
    <w:rsid w:val="000C0B58"/>
    <w:rsid w:val="000C1418"/>
    <w:rsid w:val="000C1D8C"/>
    <w:rsid w:val="000C200B"/>
    <w:rsid w:val="000C285D"/>
    <w:rsid w:val="000C2F55"/>
    <w:rsid w:val="000C30A2"/>
    <w:rsid w:val="000C3355"/>
    <w:rsid w:val="000C4098"/>
    <w:rsid w:val="000C494A"/>
    <w:rsid w:val="000C506D"/>
    <w:rsid w:val="000C59D0"/>
    <w:rsid w:val="000C5B55"/>
    <w:rsid w:val="000C6239"/>
    <w:rsid w:val="000C69B4"/>
    <w:rsid w:val="000C69CA"/>
    <w:rsid w:val="000C6ACB"/>
    <w:rsid w:val="000C7998"/>
    <w:rsid w:val="000D0BEF"/>
    <w:rsid w:val="000D10AB"/>
    <w:rsid w:val="000D288E"/>
    <w:rsid w:val="000D2CB2"/>
    <w:rsid w:val="000D41C7"/>
    <w:rsid w:val="000D501F"/>
    <w:rsid w:val="000D5430"/>
    <w:rsid w:val="000D5461"/>
    <w:rsid w:val="000D5C8D"/>
    <w:rsid w:val="000D5FCE"/>
    <w:rsid w:val="000D66D8"/>
    <w:rsid w:val="000D6CBE"/>
    <w:rsid w:val="000D7BB4"/>
    <w:rsid w:val="000D7CFD"/>
    <w:rsid w:val="000D7D7C"/>
    <w:rsid w:val="000D7D96"/>
    <w:rsid w:val="000D7E87"/>
    <w:rsid w:val="000E18F4"/>
    <w:rsid w:val="000E23D6"/>
    <w:rsid w:val="000E2EDF"/>
    <w:rsid w:val="000E2F45"/>
    <w:rsid w:val="000E36B5"/>
    <w:rsid w:val="000E3D5B"/>
    <w:rsid w:val="000E49F6"/>
    <w:rsid w:val="000E4F79"/>
    <w:rsid w:val="000E51FF"/>
    <w:rsid w:val="000E5267"/>
    <w:rsid w:val="000E61EC"/>
    <w:rsid w:val="000E74D8"/>
    <w:rsid w:val="000F0F2A"/>
    <w:rsid w:val="000F197C"/>
    <w:rsid w:val="000F25B3"/>
    <w:rsid w:val="000F39A4"/>
    <w:rsid w:val="000F3B3D"/>
    <w:rsid w:val="000F4028"/>
    <w:rsid w:val="000F4278"/>
    <w:rsid w:val="000F4701"/>
    <w:rsid w:val="000F48F4"/>
    <w:rsid w:val="000F530D"/>
    <w:rsid w:val="000F7762"/>
    <w:rsid w:val="000F7A90"/>
    <w:rsid w:val="00100439"/>
    <w:rsid w:val="00100548"/>
    <w:rsid w:val="0010068D"/>
    <w:rsid w:val="001013F6"/>
    <w:rsid w:val="00101B1E"/>
    <w:rsid w:val="00101E5F"/>
    <w:rsid w:val="00102684"/>
    <w:rsid w:val="0010285F"/>
    <w:rsid w:val="00102B8B"/>
    <w:rsid w:val="00103B2F"/>
    <w:rsid w:val="00103F3E"/>
    <w:rsid w:val="00104347"/>
    <w:rsid w:val="001051AB"/>
    <w:rsid w:val="0010536E"/>
    <w:rsid w:val="00106C6D"/>
    <w:rsid w:val="001072F0"/>
    <w:rsid w:val="00107E95"/>
    <w:rsid w:val="00113ABB"/>
    <w:rsid w:val="001143FE"/>
    <w:rsid w:val="00114B43"/>
    <w:rsid w:val="00114BCF"/>
    <w:rsid w:val="00115C0F"/>
    <w:rsid w:val="0011606C"/>
    <w:rsid w:val="0011649F"/>
    <w:rsid w:val="001164C7"/>
    <w:rsid w:val="00117D6F"/>
    <w:rsid w:val="00117E4E"/>
    <w:rsid w:val="00120057"/>
    <w:rsid w:val="0012031B"/>
    <w:rsid w:val="00120373"/>
    <w:rsid w:val="00121B41"/>
    <w:rsid w:val="00121C4A"/>
    <w:rsid w:val="00121D7D"/>
    <w:rsid w:val="00121E94"/>
    <w:rsid w:val="00122848"/>
    <w:rsid w:val="00122E74"/>
    <w:rsid w:val="0012339E"/>
    <w:rsid w:val="0012378E"/>
    <w:rsid w:val="001244E4"/>
    <w:rsid w:val="001251A0"/>
    <w:rsid w:val="0012542E"/>
    <w:rsid w:val="00125F20"/>
    <w:rsid w:val="001263B8"/>
    <w:rsid w:val="001264F8"/>
    <w:rsid w:val="00126D99"/>
    <w:rsid w:val="00127F8C"/>
    <w:rsid w:val="00131686"/>
    <w:rsid w:val="00132815"/>
    <w:rsid w:val="0013347B"/>
    <w:rsid w:val="00133691"/>
    <w:rsid w:val="0013393D"/>
    <w:rsid w:val="00134A90"/>
    <w:rsid w:val="00134E23"/>
    <w:rsid w:val="00134E77"/>
    <w:rsid w:val="00136151"/>
    <w:rsid w:val="001363AB"/>
    <w:rsid w:val="00136DE9"/>
    <w:rsid w:val="0013701A"/>
    <w:rsid w:val="001401CF"/>
    <w:rsid w:val="00142877"/>
    <w:rsid w:val="00142A17"/>
    <w:rsid w:val="00143157"/>
    <w:rsid w:val="001438A8"/>
    <w:rsid w:val="00146490"/>
    <w:rsid w:val="00146E68"/>
    <w:rsid w:val="00146F11"/>
    <w:rsid w:val="001471C5"/>
    <w:rsid w:val="001475C2"/>
    <w:rsid w:val="00147C3B"/>
    <w:rsid w:val="00147D37"/>
    <w:rsid w:val="0015075D"/>
    <w:rsid w:val="00150F72"/>
    <w:rsid w:val="00151193"/>
    <w:rsid w:val="00151677"/>
    <w:rsid w:val="00152A97"/>
    <w:rsid w:val="001550EE"/>
    <w:rsid w:val="001563FF"/>
    <w:rsid w:val="001568E2"/>
    <w:rsid w:val="001573FD"/>
    <w:rsid w:val="0016009B"/>
    <w:rsid w:val="00160760"/>
    <w:rsid w:val="001617D1"/>
    <w:rsid w:val="00161DD4"/>
    <w:rsid w:val="00162CD1"/>
    <w:rsid w:val="0016316F"/>
    <w:rsid w:val="0016367F"/>
    <w:rsid w:val="00163886"/>
    <w:rsid w:val="00163B9F"/>
    <w:rsid w:val="00163F9F"/>
    <w:rsid w:val="00164763"/>
    <w:rsid w:val="00167842"/>
    <w:rsid w:val="0017188F"/>
    <w:rsid w:val="0017199B"/>
    <w:rsid w:val="00171AB6"/>
    <w:rsid w:val="00172281"/>
    <w:rsid w:val="001737C8"/>
    <w:rsid w:val="0017533B"/>
    <w:rsid w:val="00175EFD"/>
    <w:rsid w:val="001763FD"/>
    <w:rsid w:val="00176833"/>
    <w:rsid w:val="00176B74"/>
    <w:rsid w:val="00180A82"/>
    <w:rsid w:val="00181393"/>
    <w:rsid w:val="00181445"/>
    <w:rsid w:val="001848B4"/>
    <w:rsid w:val="001848D3"/>
    <w:rsid w:val="001851CF"/>
    <w:rsid w:val="0018520A"/>
    <w:rsid w:val="00186324"/>
    <w:rsid w:val="00186345"/>
    <w:rsid w:val="0018666A"/>
    <w:rsid w:val="00186679"/>
    <w:rsid w:val="001875D8"/>
    <w:rsid w:val="00187753"/>
    <w:rsid w:val="001879AC"/>
    <w:rsid w:val="0019029D"/>
    <w:rsid w:val="0019095D"/>
    <w:rsid w:val="001909FC"/>
    <w:rsid w:val="00190ED7"/>
    <w:rsid w:val="00191688"/>
    <w:rsid w:val="0019220C"/>
    <w:rsid w:val="00192F15"/>
    <w:rsid w:val="0019399D"/>
    <w:rsid w:val="00194092"/>
    <w:rsid w:val="00194337"/>
    <w:rsid w:val="00194C82"/>
    <w:rsid w:val="0019573E"/>
    <w:rsid w:val="00195761"/>
    <w:rsid w:val="00196F4D"/>
    <w:rsid w:val="00197868"/>
    <w:rsid w:val="00197A9F"/>
    <w:rsid w:val="001A15C9"/>
    <w:rsid w:val="001A1E94"/>
    <w:rsid w:val="001A2543"/>
    <w:rsid w:val="001A2887"/>
    <w:rsid w:val="001A2C41"/>
    <w:rsid w:val="001A3B24"/>
    <w:rsid w:val="001A447A"/>
    <w:rsid w:val="001A4A11"/>
    <w:rsid w:val="001A4EC3"/>
    <w:rsid w:val="001A5E41"/>
    <w:rsid w:val="001A5F4A"/>
    <w:rsid w:val="001A6170"/>
    <w:rsid w:val="001A629D"/>
    <w:rsid w:val="001A66F7"/>
    <w:rsid w:val="001A682D"/>
    <w:rsid w:val="001A6D96"/>
    <w:rsid w:val="001A7023"/>
    <w:rsid w:val="001B0307"/>
    <w:rsid w:val="001B030F"/>
    <w:rsid w:val="001B0510"/>
    <w:rsid w:val="001B06FF"/>
    <w:rsid w:val="001B0742"/>
    <w:rsid w:val="001B0CE2"/>
    <w:rsid w:val="001B0DF7"/>
    <w:rsid w:val="001B0F00"/>
    <w:rsid w:val="001B110A"/>
    <w:rsid w:val="001B1909"/>
    <w:rsid w:val="001B1E91"/>
    <w:rsid w:val="001B28B6"/>
    <w:rsid w:val="001B373C"/>
    <w:rsid w:val="001B5EC2"/>
    <w:rsid w:val="001B6C60"/>
    <w:rsid w:val="001B7A61"/>
    <w:rsid w:val="001C10B7"/>
    <w:rsid w:val="001C2DFB"/>
    <w:rsid w:val="001C2F9B"/>
    <w:rsid w:val="001C3367"/>
    <w:rsid w:val="001C3374"/>
    <w:rsid w:val="001C3920"/>
    <w:rsid w:val="001C461C"/>
    <w:rsid w:val="001C5CA7"/>
    <w:rsid w:val="001C7C2E"/>
    <w:rsid w:val="001D00D5"/>
    <w:rsid w:val="001D194C"/>
    <w:rsid w:val="001D1FD9"/>
    <w:rsid w:val="001D2285"/>
    <w:rsid w:val="001D2481"/>
    <w:rsid w:val="001D24A6"/>
    <w:rsid w:val="001D2885"/>
    <w:rsid w:val="001D2CFD"/>
    <w:rsid w:val="001D344F"/>
    <w:rsid w:val="001D378D"/>
    <w:rsid w:val="001D3A88"/>
    <w:rsid w:val="001D3E93"/>
    <w:rsid w:val="001D4A75"/>
    <w:rsid w:val="001D50E9"/>
    <w:rsid w:val="001D55A0"/>
    <w:rsid w:val="001D5A0E"/>
    <w:rsid w:val="001D6A9E"/>
    <w:rsid w:val="001D6F55"/>
    <w:rsid w:val="001D77DE"/>
    <w:rsid w:val="001D7932"/>
    <w:rsid w:val="001E06FA"/>
    <w:rsid w:val="001E0C7A"/>
    <w:rsid w:val="001E1F03"/>
    <w:rsid w:val="001E2E22"/>
    <w:rsid w:val="001E41CC"/>
    <w:rsid w:val="001E45AF"/>
    <w:rsid w:val="001E4AE3"/>
    <w:rsid w:val="001E57ED"/>
    <w:rsid w:val="001E693B"/>
    <w:rsid w:val="001E6E61"/>
    <w:rsid w:val="001E7CDA"/>
    <w:rsid w:val="001F00E0"/>
    <w:rsid w:val="001F0135"/>
    <w:rsid w:val="001F07B5"/>
    <w:rsid w:val="001F1115"/>
    <w:rsid w:val="001F11D2"/>
    <w:rsid w:val="001F1A47"/>
    <w:rsid w:val="001F1E4E"/>
    <w:rsid w:val="001F2BD8"/>
    <w:rsid w:val="001F31FA"/>
    <w:rsid w:val="001F33CD"/>
    <w:rsid w:val="001F384F"/>
    <w:rsid w:val="001F39E5"/>
    <w:rsid w:val="001F43FC"/>
    <w:rsid w:val="001F556A"/>
    <w:rsid w:val="001F5E53"/>
    <w:rsid w:val="001F5E5C"/>
    <w:rsid w:val="001F62DC"/>
    <w:rsid w:val="001F6510"/>
    <w:rsid w:val="001F6829"/>
    <w:rsid w:val="001F69BA"/>
    <w:rsid w:val="001F7764"/>
    <w:rsid w:val="001F7B95"/>
    <w:rsid w:val="0020054C"/>
    <w:rsid w:val="00200E0F"/>
    <w:rsid w:val="0020172F"/>
    <w:rsid w:val="002019D8"/>
    <w:rsid w:val="00203E9D"/>
    <w:rsid w:val="00204697"/>
    <w:rsid w:val="00204B9A"/>
    <w:rsid w:val="0020516E"/>
    <w:rsid w:val="00205A85"/>
    <w:rsid w:val="00205A92"/>
    <w:rsid w:val="00206FCC"/>
    <w:rsid w:val="002070FF"/>
    <w:rsid w:val="002076FC"/>
    <w:rsid w:val="00207A36"/>
    <w:rsid w:val="00210C8D"/>
    <w:rsid w:val="002118E9"/>
    <w:rsid w:val="00212401"/>
    <w:rsid w:val="00212764"/>
    <w:rsid w:val="0021309B"/>
    <w:rsid w:val="00213265"/>
    <w:rsid w:val="00214042"/>
    <w:rsid w:val="0021423A"/>
    <w:rsid w:val="00214B73"/>
    <w:rsid w:val="00214C7C"/>
    <w:rsid w:val="00214CD1"/>
    <w:rsid w:val="00214E3F"/>
    <w:rsid w:val="00215EC1"/>
    <w:rsid w:val="002163A3"/>
    <w:rsid w:val="0021658F"/>
    <w:rsid w:val="00216A15"/>
    <w:rsid w:val="00216C88"/>
    <w:rsid w:val="00217349"/>
    <w:rsid w:val="002174E3"/>
    <w:rsid w:val="002176FF"/>
    <w:rsid w:val="00220138"/>
    <w:rsid w:val="002202F6"/>
    <w:rsid w:val="00220391"/>
    <w:rsid w:val="002208C7"/>
    <w:rsid w:val="00220E9E"/>
    <w:rsid w:val="002234AF"/>
    <w:rsid w:val="002236E0"/>
    <w:rsid w:val="002242ED"/>
    <w:rsid w:val="00225BEE"/>
    <w:rsid w:val="00226474"/>
    <w:rsid w:val="00230140"/>
    <w:rsid w:val="00230A40"/>
    <w:rsid w:val="00230FC1"/>
    <w:rsid w:val="0023141F"/>
    <w:rsid w:val="00231753"/>
    <w:rsid w:val="002322EE"/>
    <w:rsid w:val="00232851"/>
    <w:rsid w:val="002328AE"/>
    <w:rsid w:val="00232D16"/>
    <w:rsid w:val="0023358A"/>
    <w:rsid w:val="00233720"/>
    <w:rsid w:val="00234251"/>
    <w:rsid w:val="002349DB"/>
    <w:rsid w:val="00234A24"/>
    <w:rsid w:val="00234B9F"/>
    <w:rsid w:val="002350A3"/>
    <w:rsid w:val="002359F1"/>
    <w:rsid w:val="00236123"/>
    <w:rsid w:val="00236E6A"/>
    <w:rsid w:val="00237266"/>
    <w:rsid w:val="002372C4"/>
    <w:rsid w:val="00241BC2"/>
    <w:rsid w:val="0024298F"/>
    <w:rsid w:val="00242CDC"/>
    <w:rsid w:val="002430A5"/>
    <w:rsid w:val="0024335A"/>
    <w:rsid w:val="0024349A"/>
    <w:rsid w:val="00244645"/>
    <w:rsid w:val="00244FCD"/>
    <w:rsid w:val="0024523A"/>
    <w:rsid w:val="00245311"/>
    <w:rsid w:val="00245E00"/>
    <w:rsid w:val="00250084"/>
    <w:rsid w:val="0025023B"/>
    <w:rsid w:val="00250D77"/>
    <w:rsid w:val="00251CAF"/>
    <w:rsid w:val="002520E8"/>
    <w:rsid w:val="0025381E"/>
    <w:rsid w:val="00254A39"/>
    <w:rsid w:val="00254AF4"/>
    <w:rsid w:val="00255143"/>
    <w:rsid w:val="00255A6B"/>
    <w:rsid w:val="0025602F"/>
    <w:rsid w:val="002560FE"/>
    <w:rsid w:val="0025632B"/>
    <w:rsid w:val="0025635D"/>
    <w:rsid w:val="002565A9"/>
    <w:rsid w:val="00257202"/>
    <w:rsid w:val="002602C2"/>
    <w:rsid w:val="002604C2"/>
    <w:rsid w:val="0026083F"/>
    <w:rsid w:val="00260993"/>
    <w:rsid w:val="00260BDC"/>
    <w:rsid w:val="002618B1"/>
    <w:rsid w:val="0026193D"/>
    <w:rsid w:val="0026244F"/>
    <w:rsid w:val="00262DC2"/>
    <w:rsid w:val="00264858"/>
    <w:rsid w:val="00265DA2"/>
    <w:rsid w:val="0027233D"/>
    <w:rsid w:val="00273359"/>
    <w:rsid w:val="00273AB6"/>
    <w:rsid w:val="0027480E"/>
    <w:rsid w:val="00274AFE"/>
    <w:rsid w:val="00274EB1"/>
    <w:rsid w:val="0027509A"/>
    <w:rsid w:val="0027510E"/>
    <w:rsid w:val="0027574A"/>
    <w:rsid w:val="002768CF"/>
    <w:rsid w:val="00276B8F"/>
    <w:rsid w:val="00276F10"/>
    <w:rsid w:val="0028046E"/>
    <w:rsid w:val="00280A13"/>
    <w:rsid w:val="00280CE4"/>
    <w:rsid w:val="00281295"/>
    <w:rsid w:val="002814C5"/>
    <w:rsid w:val="00281684"/>
    <w:rsid w:val="00281F13"/>
    <w:rsid w:val="002832BB"/>
    <w:rsid w:val="00283B29"/>
    <w:rsid w:val="00283BC5"/>
    <w:rsid w:val="002846DB"/>
    <w:rsid w:val="00285283"/>
    <w:rsid w:val="00285414"/>
    <w:rsid w:val="00285D0F"/>
    <w:rsid w:val="002864DC"/>
    <w:rsid w:val="00286E3A"/>
    <w:rsid w:val="002900AA"/>
    <w:rsid w:val="0029034B"/>
    <w:rsid w:val="00291222"/>
    <w:rsid w:val="002914D1"/>
    <w:rsid w:val="002916AA"/>
    <w:rsid w:val="002921F6"/>
    <w:rsid w:val="002924AB"/>
    <w:rsid w:val="00292F85"/>
    <w:rsid w:val="00293B77"/>
    <w:rsid w:val="00295447"/>
    <w:rsid w:val="00296114"/>
    <w:rsid w:val="00296DCB"/>
    <w:rsid w:val="002A00D7"/>
    <w:rsid w:val="002A0909"/>
    <w:rsid w:val="002A0DD5"/>
    <w:rsid w:val="002A24F9"/>
    <w:rsid w:val="002A27A1"/>
    <w:rsid w:val="002A2B0B"/>
    <w:rsid w:val="002A2B18"/>
    <w:rsid w:val="002A3144"/>
    <w:rsid w:val="002A4AEE"/>
    <w:rsid w:val="002A4B4B"/>
    <w:rsid w:val="002A5B44"/>
    <w:rsid w:val="002A68D8"/>
    <w:rsid w:val="002A7050"/>
    <w:rsid w:val="002A76B5"/>
    <w:rsid w:val="002A79E2"/>
    <w:rsid w:val="002A7E28"/>
    <w:rsid w:val="002B034E"/>
    <w:rsid w:val="002B146E"/>
    <w:rsid w:val="002B2B19"/>
    <w:rsid w:val="002B3452"/>
    <w:rsid w:val="002B3C66"/>
    <w:rsid w:val="002B3EFC"/>
    <w:rsid w:val="002B468C"/>
    <w:rsid w:val="002B540F"/>
    <w:rsid w:val="002B604B"/>
    <w:rsid w:val="002B6090"/>
    <w:rsid w:val="002B6D5C"/>
    <w:rsid w:val="002B70FB"/>
    <w:rsid w:val="002C126A"/>
    <w:rsid w:val="002C186E"/>
    <w:rsid w:val="002C1A58"/>
    <w:rsid w:val="002C2A5D"/>
    <w:rsid w:val="002C2B49"/>
    <w:rsid w:val="002C2D0F"/>
    <w:rsid w:val="002C427A"/>
    <w:rsid w:val="002C47A7"/>
    <w:rsid w:val="002C49CD"/>
    <w:rsid w:val="002C626F"/>
    <w:rsid w:val="002D0270"/>
    <w:rsid w:val="002D0854"/>
    <w:rsid w:val="002D2A0C"/>
    <w:rsid w:val="002D2E8A"/>
    <w:rsid w:val="002D37AC"/>
    <w:rsid w:val="002D3A63"/>
    <w:rsid w:val="002D41E7"/>
    <w:rsid w:val="002D4C2B"/>
    <w:rsid w:val="002D5BE3"/>
    <w:rsid w:val="002D5E08"/>
    <w:rsid w:val="002D6324"/>
    <w:rsid w:val="002D7657"/>
    <w:rsid w:val="002D7A0D"/>
    <w:rsid w:val="002D7A3F"/>
    <w:rsid w:val="002E14D7"/>
    <w:rsid w:val="002E2960"/>
    <w:rsid w:val="002E2BDB"/>
    <w:rsid w:val="002E2E27"/>
    <w:rsid w:val="002E3017"/>
    <w:rsid w:val="002E3667"/>
    <w:rsid w:val="002E43EB"/>
    <w:rsid w:val="002E4413"/>
    <w:rsid w:val="002E4677"/>
    <w:rsid w:val="002E4A49"/>
    <w:rsid w:val="002E550D"/>
    <w:rsid w:val="002E5704"/>
    <w:rsid w:val="002E58B5"/>
    <w:rsid w:val="002E5A30"/>
    <w:rsid w:val="002E5F94"/>
    <w:rsid w:val="002E66A9"/>
    <w:rsid w:val="002E6CC0"/>
    <w:rsid w:val="002E6FF3"/>
    <w:rsid w:val="002E7644"/>
    <w:rsid w:val="002F0601"/>
    <w:rsid w:val="002F062E"/>
    <w:rsid w:val="002F10FA"/>
    <w:rsid w:val="002F293B"/>
    <w:rsid w:val="002F31B8"/>
    <w:rsid w:val="002F3C4A"/>
    <w:rsid w:val="002F3C92"/>
    <w:rsid w:val="002F45C2"/>
    <w:rsid w:val="002F4D27"/>
    <w:rsid w:val="002F50C7"/>
    <w:rsid w:val="002F6048"/>
    <w:rsid w:val="002F6577"/>
    <w:rsid w:val="002F7A00"/>
    <w:rsid w:val="002F7C19"/>
    <w:rsid w:val="00300A1B"/>
    <w:rsid w:val="00301420"/>
    <w:rsid w:val="003014F5"/>
    <w:rsid w:val="00301C0D"/>
    <w:rsid w:val="00301E6F"/>
    <w:rsid w:val="0030211C"/>
    <w:rsid w:val="00302281"/>
    <w:rsid w:val="00302AFA"/>
    <w:rsid w:val="003038F3"/>
    <w:rsid w:val="00304A7E"/>
    <w:rsid w:val="00304F3F"/>
    <w:rsid w:val="0030598E"/>
    <w:rsid w:val="00306439"/>
    <w:rsid w:val="00306796"/>
    <w:rsid w:val="00307CCF"/>
    <w:rsid w:val="00310739"/>
    <w:rsid w:val="003109F9"/>
    <w:rsid w:val="00310FBB"/>
    <w:rsid w:val="0031152C"/>
    <w:rsid w:val="0031191D"/>
    <w:rsid w:val="00312CCE"/>
    <w:rsid w:val="00312D8E"/>
    <w:rsid w:val="003137D0"/>
    <w:rsid w:val="00313BC4"/>
    <w:rsid w:val="00314476"/>
    <w:rsid w:val="00316E35"/>
    <w:rsid w:val="00317DF4"/>
    <w:rsid w:val="00320038"/>
    <w:rsid w:val="00320853"/>
    <w:rsid w:val="00323B99"/>
    <w:rsid w:val="00324158"/>
    <w:rsid w:val="00324A07"/>
    <w:rsid w:val="0032510F"/>
    <w:rsid w:val="00325F60"/>
    <w:rsid w:val="00327BAC"/>
    <w:rsid w:val="0033022F"/>
    <w:rsid w:val="003305AA"/>
    <w:rsid w:val="00330BC5"/>
    <w:rsid w:val="003316CC"/>
    <w:rsid w:val="003317D0"/>
    <w:rsid w:val="00331EB8"/>
    <w:rsid w:val="00332505"/>
    <w:rsid w:val="0033286B"/>
    <w:rsid w:val="0033314D"/>
    <w:rsid w:val="00333871"/>
    <w:rsid w:val="00333AA7"/>
    <w:rsid w:val="0033402A"/>
    <w:rsid w:val="0033409D"/>
    <w:rsid w:val="003340CC"/>
    <w:rsid w:val="00334402"/>
    <w:rsid w:val="003346CE"/>
    <w:rsid w:val="00334F11"/>
    <w:rsid w:val="00335887"/>
    <w:rsid w:val="00335E13"/>
    <w:rsid w:val="00335E1F"/>
    <w:rsid w:val="00336588"/>
    <w:rsid w:val="00336FDB"/>
    <w:rsid w:val="003424A0"/>
    <w:rsid w:val="00342F03"/>
    <w:rsid w:val="00343582"/>
    <w:rsid w:val="00343E44"/>
    <w:rsid w:val="0034438B"/>
    <w:rsid w:val="00344A37"/>
    <w:rsid w:val="00347D3B"/>
    <w:rsid w:val="00347E9C"/>
    <w:rsid w:val="00350486"/>
    <w:rsid w:val="0035093D"/>
    <w:rsid w:val="00350AD6"/>
    <w:rsid w:val="003510C9"/>
    <w:rsid w:val="00351C32"/>
    <w:rsid w:val="003525DD"/>
    <w:rsid w:val="00352AD3"/>
    <w:rsid w:val="0035371B"/>
    <w:rsid w:val="00353734"/>
    <w:rsid w:val="003541B6"/>
    <w:rsid w:val="003543FD"/>
    <w:rsid w:val="0035462D"/>
    <w:rsid w:val="00354934"/>
    <w:rsid w:val="00354AFD"/>
    <w:rsid w:val="00354CF8"/>
    <w:rsid w:val="00355B57"/>
    <w:rsid w:val="00356697"/>
    <w:rsid w:val="00356C00"/>
    <w:rsid w:val="00356C1A"/>
    <w:rsid w:val="00357597"/>
    <w:rsid w:val="003608EA"/>
    <w:rsid w:val="00360B5F"/>
    <w:rsid w:val="00361028"/>
    <w:rsid w:val="00361BFB"/>
    <w:rsid w:val="00361D59"/>
    <w:rsid w:val="00362265"/>
    <w:rsid w:val="00362450"/>
    <w:rsid w:val="00362635"/>
    <w:rsid w:val="003627BD"/>
    <w:rsid w:val="00362DA2"/>
    <w:rsid w:val="00364163"/>
    <w:rsid w:val="00364C83"/>
    <w:rsid w:val="00364FE4"/>
    <w:rsid w:val="00365893"/>
    <w:rsid w:val="003658E2"/>
    <w:rsid w:val="00365B82"/>
    <w:rsid w:val="0036634A"/>
    <w:rsid w:val="00367199"/>
    <w:rsid w:val="003677D3"/>
    <w:rsid w:val="00370A0F"/>
    <w:rsid w:val="00371731"/>
    <w:rsid w:val="0037273F"/>
    <w:rsid w:val="003732F5"/>
    <w:rsid w:val="003734EE"/>
    <w:rsid w:val="003737D6"/>
    <w:rsid w:val="003745B4"/>
    <w:rsid w:val="00374B38"/>
    <w:rsid w:val="00374D03"/>
    <w:rsid w:val="00375807"/>
    <w:rsid w:val="003763B0"/>
    <w:rsid w:val="00377277"/>
    <w:rsid w:val="00381493"/>
    <w:rsid w:val="003819E0"/>
    <w:rsid w:val="00382DF6"/>
    <w:rsid w:val="00382F78"/>
    <w:rsid w:val="00383A98"/>
    <w:rsid w:val="003849CE"/>
    <w:rsid w:val="00384FDA"/>
    <w:rsid w:val="003850F1"/>
    <w:rsid w:val="00385411"/>
    <w:rsid w:val="003856AA"/>
    <w:rsid w:val="003869DE"/>
    <w:rsid w:val="00387082"/>
    <w:rsid w:val="0038744A"/>
    <w:rsid w:val="00387D4C"/>
    <w:rsid w:val="003900B6"/>
    <w:rsid w:val="00390291"/>
    <w:rsid w:val="00391292"/>
    <w:rsid w:val="00391781"/>
    <w:rsid w:val="003918E6"/>
    <w:rsid w:val="003922FE"/>
    <w:rsid w:val="00393853"/>
    <w:rsid w:val="003938EF"/>
    <w:rsid w:val="003945B5"/>
    <w:rsid w:val="003945D4"/>
    <w:rsid w:val="00395671"/>
    <w:rsid w:val="00395804"/>
    <w:rsid w:val="00395ED1"/>
    <w:rsid w:val="00396BDC"/>
    <w:rsid w:val="00396FA4"/>
    <w:rsid w:val="00397EEE"/>
    <w:rsid w:val="003A06ED"/>
    <w:rsid w:val="003A075D"/>
    <w:rsid w:val="003A1043"/>
    <w:rsid w:val="003A10AB"/>
    <w:rsid w:val="003A2675"/>
    <w:rsid w:val="003A2D7A"/>
    <w:rsid w:val="003A2DD6"/>
    <w:rsid w:val="003A2E8A"/>
    <w:rsid w:val="003A3059"/>
    <w:rsid w:val="003A3724"/>
    <w:rsid w:val="003A3A3F"/>
    <w:rsid w:val="003A3D61"/>
    <w:rsid w:val="003A3DAB"/>
    <w:rsid w:val="003A58D3"/>
    <w:rsid w:val="003A5C93"/>
    <w:rsid w:val="003A5F62"/>
    <w:rsid w:val="003A69E1"/>
    <w:rsid w:val="003A6BD9"/>
    <w:rsid w:val="003B172D"/>
    <w:rsid w:val="003B23FC"/>
    <w:rsid w:val="003B2464"/>
    <w:rsid w:val="003B29EA"/>
    <w:rsid w:val="003B3320"/>
    <w:rsid w:val="003B34D4"/>
    <w:rsid w:val="003B4C1A"/>
    <w:rsid w:val="003B7081"/>
    <w:rsid w:val="003B715C"/>
    <w:rsid w:val="003C018D"/>
    <w:rsid w:val="003C01AB"/>
    <w:rsid w:val="003C1843"/>
    <w:rsid w:val="003C2471"/>
    <w:rsid w:val="003C2F1E"/>
    <w:rsid w:val="003C3053"/>
    <w:rsid w:val="003C474E"/>
    <w:rsid w:val="003C5CED"/>
    <w:rsid w:val="003C6334"/>
    <w:rsid w:val="003C65D0"/>
    <w:rsid w:val="003C73D7"/>
    <w:rsid w:val="003C793E"/>
    <w:rsid w:val="003C7E4C"/>
    <w:rsid w:val="003C7EDF"/>
    <w:rsid w:val="003D00CE"/>
    <w:rsid w:val="003D041A"/>
    <w:rsid w:val="003D0816"/>
    <w:rsid w:val="003D10E6"/>
    <w:rsid w:val="003D210E"/>
    <w:rsid w:val="003D27A0"/>
    <w:rsid w:val="003D2E2A"/>
    <w:rsid w:val="003D33EC"/>
    <w:rsid w:val="003D3458"/>
    <w:rsid w:val="003D3620"/>
    <w:rsid w:val="003D3AAE"/>
    <w:rsid w:val="003D46F3"/>
    <w:rsid w:val="003D4D62"/>
    <w:rsid w:val="003D51E1"/>
    <w:rsid w:val="003D5D7E"/>
    <w:rsid w:val="003D756A"/>
    <w:rsid w:val="003E0C70"/>
    <w:rsid w:val="003E104F"/>
    <w:rsid w:val="003E10C4"/>
    <w:rsid w:val="003E17E9"/>
    <w:rsid w:val="003E2A5A"/>
    <w:rsid w:val="003E3898"/>
    <w:rsid w:val="003E4392"/>
    <w:rsid w:val="003E5355"/>
    <w:rsid w:val="003E588F"/>
    <w:rsid w:val="003E5B1A"/>
    <w:rsid w:val="003E5E61"/>
    <w:rsid w:val="003E62F1"/>
    <w:rsid w:val="003E636B"/>
    <w:rsid w:val="003E6C42"/>
    <w:rsid w:val="003E6C69"/>
    <w:rsid w:val="003E7035"/>
    <w:rsid w:val="003E7B8C"/>
    <w:rsid w:val="003F03B0"/>
    <w:rsid w:val="003F061F"/>
    <w:rsid w:val="003F0D4D"/>
    <w:rsid w:val="003F0EB3"/>
    <w:rsid w:val="003F10A8"/>
    <w:rsid w:val="003F2447"/>
    <w:rsid w:val="003F3394"/>
    <w:rsid w:val="003F3525"/>
    <w:rsid w:val="003F4812"/>
    <w:rsid w:val="003F4F61"/>
    <w:rsid w:val="003F6103"/>
    <w:rsid w:val="003F6450"/>
    <w:rsid w:val="003F6B3A"/>
    <w:rsid w:val="003F6D5A"/>
    <w:rsid w:val="003F6EB0"/>
    <w:rsid w:val="003F6FAB"/>
    <w:rsid w:val="003F7AD8"/>
    <w:rsid w:val="00400E13"/>
    <w:rsid w:val="004017E1"/>
    <w:rsid w:val="00403296"/>
    <w:rsid w:val="00403951"/>
    <w:rsid w:val="004042D3"/>
    <w:rsid w:val="00405024"/>
    <w:rsid w:val="00405181"/>
    <w:rsid w:val="0040595A"/>
    <w:rsid w:val="00406839"/>
    <w:rsid w:val="0040695A"/>
    <w:rsid w:val="00406E35"/>
    <w:rsid w:val="0041086E"/>
    <w:rsid w:val="00410870"/>
    <w:rsid w:val="004108B0"/>
    <w:rsid w:val="00410AEA"/>
    <w:rsid w:val="00410C85"/>
    <w:rsid w:val="00411661"/>
    <w:rsid w:val="00411C62"/>
    <w:rsid w:val="004123AA"/>
    <w:rsid w:val="004123C7"/>
    <w:rsid w:val="00413B16"/>
    <w:rsid w:val="00413DDF"/>
    <w:rsid w:val="00413F14"/>
    <w:rsid w:val="00413FF9"/>
    <w:rsid w:val="004144A8"/>
    <w:rsid w:val="00414ADE"/>
    <w:rsid w:val="00414EBC"/>
    <w:rsid w:val="00415ACF"/>
    <w:rsid w:val="0041667B"/>
    <w:rsid w:val="00416C1B"/>
    <w:rsid w:val="00417394"/>
    <w:rsid w:val="00417792"/>
    <w:rsid w:val="00417A96"/>
    <w:rsid w:val="00420030"/>
    <w:rsid w:val="0042093F"/>
    <w:rsid w:val="00420AC4"/>
    <w:rsid w:val="004220A2"/>
    <w:rsid w:val="004230CF"/>
    <w:rsid w:val="00423B07"/>
    <w:rsid w:val="00423CE4"/>
    <w:rsid w:val="00423F4B"/>
    <w:rsid w:val="004246E4"/>
    <w:rsid w:val="004252FF"/>
    <w:rsid w:val="0042586B"/>
    <w:rsid w:val="0042589D"/>
    <w:rsid w:val="00425C22"/>
    <w:rsid w:val="00425C8D"/>
    <w:rsid w:val="0042636A"/>
    <w:rsid w:val="00426946"/>
    <w:rsid w:val="00427713"/>
    <w:rsid w:val="00431DEA"/>
    <w:rsid w:val="00432060"/>
    <w:rsid w:val="004335F7"/>
    <w:rsid w:val="00433F16"/>
    <w:rsid w:val="00433F1C"/>
    <w:rsid w:val="004343DE"/>
    <w:rsid w:val="00434423"/>
    <w:rsid w:val="0043536A"/>
    <w:rsid w:val="00435434"/>
    <w:rsid w:val="004368A8"/>
    <w:rsid w:val="00436F30"/>
    <w:rsid w:val="00437A86"/>
    <w:rsid w:val="00437D0A"/>
    <w:rsid w:val="00440E16"/>
    <w:rsid w:val="00440F7F"/>
    <w:rsid w:val="004414DB"/>
    <w:rsid w:val="00441EEE"/>
    <w:rsid w:val="00443A5C"/>
    <w:rsid w:val="00445EBB"/>
    <w:rsid w:val="00446B5E"/>
    <w:rsid w:val="00446CC4"/>
    <w:rsid w:val="00446CC9"/>
    <w:rsid w:val="00447095"/>
    <w:rsid w:val="0045024C"/>
    <w:rsid w:val="004509EC"/>
    <w:rsid w:val="00451029"/>
    <w:rsid w:val="0045171F"/>
    <w:rsid w:val="004518EE"/>
    <w:rsid w:val="00452CB7"/>
    <w:rsid w:val="00452E8B"/>
    <w:rsid w:val="0045514E"/>
    <w:rsid w:val="004552C9"/>
    <w:rsid w:val="00456183"/>
    <w:rsid w:val="0045635F"/>
    <w:rsid w:val="00456454"/>
    <w:rsid w:val="00456632"/>
    <w:rsid w:val="00456FD0"/>
    <w:rsid w:val="00460455"/>
    <w:rsid w:val="00460D80"/>
    <w:rsid w:val="004613DB"/>
    <w:rsid w:val="00461CF5"/>
    <w:rsid w:val="00462424"/>
    <w:rsid w:val="00462DDF"/>
    <w:rsid w:val="00463710"/>
    <w:rsid w:val="00463C3C"/>
    <w:rsid w:val="004640CF"/>
    <w:rsid w:val="004655A9"/>
    <w:rsid w:val="004658D1"/>
    <w:rsid w:val="004666D1"/>
    <w:rsid w:val="00466F2D"/>
    <w:rsid w:val="0046771A"/>
    <w:rsid w:val="004677EB"/>
    <w:rsid w:val="00467861"/>
    <w:rsid w:val="0047096B"/>
    <w:rsid w:val="0047159C"/>
    <w:rsid w:val="00471B45"/>
    <w:rsid w:val="00471C08"/>
    <w:rsid w:val="00472B5A"/>
    <w:rsid w:val="00473904"/>
    <w:rsid w:val="00474389"/>
    <w:rsid w:val="0047486D"/>
    <w:rsid w:val="00474974"/>
    <w:rsid w:val="0047588D"/>
    <w:rsid w:val="00475AC0"/>
    <w:rsid w:val="00475E62"/>
    <w:rsid w:val="004762BD"/>
    <w:rsid w:val="00476453"/>
    <w:rsid w:val="004769E4"/>
    <w:rsid w:val="00477622"/>
    <w:rsid w:val="00477B3E"/>
    <w:rsid w:val="00480792"/>
    <w:rsid w:val="00480C3D"/>
    <w:rsid w:val="0048163C"/>
    <w:rsid w:val="00481B1D"/>
    <w:rsid w:val="00481E59"/>
    <w:rsid w:val="004820A5"/>
    <w:rsid w:val="00482E46"/>
    <w:rsid w:val="0048586E"/>
    <w:rsid w:val="004858BB"/>
    <w:rsid w:val="00485FA2"/>
    <w:rsid w:val="0048650D"/>
    <w:rsid w:val="00486CEA"/>
    <w:rsid w:val="00486EEE"/>
    <w:rsid w:val="004871E3"/>
    <w:rsid w:val="00487271"/>
    <w:rsid w:val="0048751C"/>
    <w:rsid w:val="00487A04"/>
    <w:rsid w:val="00487C6D"/>
    <w:rsid w:val="0049004A"/>
    <w:rsid w:val="00490257"/>
    <w:rsid w:val="00490362"/>
    <w:rsid w:val="0049272F"/>
    <w:rsid w:val="00492C9F"/>
    <w:rsid w:val="00493446"/>
    <w:rsid w:val="004935A4"/>
    <w:rsid w:val="00493656"/>
    <w:rsid w:val="00493FAB"/>
    <w:rsid w:val="00494BFE"/>
    <w:rsid w:val="00495264"/>
    <w:rsid w:val="004953F5"/>
    <w:rsid w:val="004960D7"/>
    <w:rsid w:val="00496499"/>
    <w:rsid w:val="004967FF"/>
    <w:rsid w:val="00497F85"/>
    <w:rsid w:val="004A07A3"/>
    <w:rsid w:val="004A0B81"/>
    <w:rsid w:val="004A13AB"/>
    <w:rsid w:val="004A15F2"/>
    <w:rsid w:val="004A19D0"/>
    <w:rsid w:val="004A1F12"/>
    <w:rsid w:val="004A2C1A"/>
    <w:rsid w:val="004A30F1"/>
    <w:rsid w:val="004A40DB"/>
    <w:rsid w:val="004A4A94"/>
    <w:rsid w:val="004A4F89"/>
    <w:rsid w:val="004A5242"/>
    <w:rsid w:val="004A52E5"/>
    <w:rsid w:val="004A68F0"/>
    <w:rsid w:val="004A6BD8"/>
    <w:rsid w:val="004A70A1"/>
    <w:rsid w:val="004A70CD"/>
    <w:rsid w:val="004A7DA6"/>
    <w:rsid w:val="004B0B55"/>
    <w:rsid w:val="004B11B0"/>
    <w:rsid w:val="004B120E"/>
    <w:rsid w:val="004B1269"/>
    <w:rsid w:val="004B21A5"/>
    <w:rsid w:val="004B24A1"/>
    <w:rsid w:val="004B262A"/>
    <w:rsid w:val="004B2C14"/>
    <w:rsid w:val="004B2CE6"/>
    <w:rsid w:val="004B3396"/>
    <w:rsid w:val="004B34F4"/>
    <w:rsid w:val="004B495F"/>
    <w:rsid w:val="004B4CD9"/>
    <w:rsid w:val="004B4D33"/>
    <w:rsid w:val="004B54A9"/>
    <w:rsid w:val="004B57A3"/>
    <w:rsid w:val="004B6B09"/>
    <w:rsid w:val="004B6BFC"/>
    <w:rsid w:val="004B6ED4"/>
    <w:rsid w:val="004B7250"/>
    <w:rsid w:val="004B7839"/>
    <w:rsid w:val="004C13AA"/>
    <w:rsid w:val="004C3799"/>
    <w:rsid w:val="004C3D93"/>
    <w:rsid w:val="004C4008"/>
    <w:rsid w:val="004C4516"/>
    <w:rsid w:val="004C483A"/>
    <w:rsid w:val="004C4D88"/>
    <w:rsid w:val="004C4DEB"/>
    <w:rsid w:val="004C628D"/>
    <w:rsid w:val="004C6304"/>
    <w:rsid w:val="004C677B"/>
    <w:rsid w:val="004C6BC2"/>
    <w:rsid w:val="004C726C"/>
    <w:rsid w:val="004C72BD"/>
    <w:rsid w:val="004C77E5"/>
    <w:rsid w:val="004C7FEE"/>
    <w:rsid w:val="004D03DA"/>
    <w:rsid w:val="004D08F6"/>
    <w:rsid w:val="004D1EE7"/>
    <w:rsid w:val="004D2163"/>
    <w:rsid w:val="004D2C15"/>
    <w:rsid w:val="004D3761"/>
    <w:rsid w:val="004D513A"/>
    <w:rsid w:val="004D52EF"/>
    <w:rsid w:val="004D5AE5"/>
    <w:rsid w:val="004D6835"/>
    <w:rsid w:val="004D6958"/>
    <w:rsid w:val="004D69DA"/>
    <w:rsid w:val="004D7670"/>
    <w:rsid w:val="004D7961"/>
    <w:rsid w:val="004D7C40"/>
    <w:rsid w:val="004E0553"/>
    <w:rsid w:val="004E07CD"/>
    <w:rsid w:val="004E10D7"/>
    <w:rsid w:val="004E137D"/>
    <w:rsid w:val="004E15E1"/>
    <w:rsid w:val="004E1A49"/>
    <w:rsid w:val="004E212F"/>
    <w:rsid w:val="004E34FE"/>
    <w:rsid w:val="004E4B7A"/>
    <w:rsid w:val="004E4BA7"/>
    <w:rsid w:val="004E5175"/>
    <w:rsid w:val="004E5A30"/>
    <w:rsid w:val="004E5A6D"/>
    <w:rsid w:val="004E5BFB"/>
    <w:rsid w:val="004E5D0D"/>
    <w:rsid w:val="004E6AB4"/>
    <w:rsid w:val="004E6AC5"/>
    <w:rsid w:val="004E7095"/>
    <w:rsid w:val="004E7B84"/>
    <w:rsid w:val="004F119A"/>
    <w:rsid w:val="004F13FD"/>
    <w:rsid w:val="004F1537"/>
    <w:rsid w:val="004F17AC"/>
    <w:rsid w:val="004F35C7"/>
    <w:rsid w:val="004F43F2"/>
    <w:rsid w:val="004F4429"/>
    <w:rsid w:val="004F4B4C"/>
    <w:rsid w:val="004F5357"/>
    <w:rsid w:val="004F589B"/>
    <w:rsid w:val="004F5904"/>
    <w:rsid w:val="004F5A13"/>
    <w:rsid w:val="004F5E3E"/>
    <w:rsid w:val="004F5E42"/>
    <w:rsid w:val="004F733E"/>
    <w:rsid w:val="005005FD"/>
    <w:rsid w:val="00500717"/>
    <w:rsid w:val="005009FC"/>
    <w:rsid w:val="00502912"/>
    <w:rsid w:val="005031F1"/>
    <w:rsid w:val="00503650"/>
    <w:rsid w:val="0050365B"/>
    <w:rsid w:val="00505C23"/>
    <w:rsid w:val="00505D2E"/>
    <w:rsid w:val="00505EF3"/>
    <w:rsid w:val="00506378"/>
    <w:rsid w:val="00506B52"/>
    <w:rsid w:val="00506F80"/>
    <w:rsid w:val="0050720A"/>
    <w:rsid w:val="005072E1"/>
    <w:rsid w:val="005103F2"/>
    <w:rsid w:val="00510805"/>
    <w:rsid w:val="00510876"/>
    <w:rsid w:val="005108EB"/>
    <w:rsid w:val="00510EFB"/>
    <w:rsid w:val="0051140C"/>
    <w:rsid w:val="00511676"/>
    <w:rsid w:val="00511744"/>
    <w:rsid w:val="00511BE1"/>
    <w:rsid w:val="005125FF"/>
    <w:rsid w:val="0051288C"/>
    <w:rsid w:val="00512E50"/>
    <w:rsid w:val="0051384F"/>
    <w:rsid w:val="005149AA"/>
    <w:rsid w:val="005152C1"/>
    <w:rsid w:val="005165F8"/>
    <w:rsid w:val="00516918"/>
    <w:rsid w:val="00516F98"/>
    <w:rsid w:val="00517016"/>
    <w:rsid w:val="00517BF1"/>
    <w:rsid w:val="005201F0"/>
    <w:rsid w:val="005207E2"/>
    <w:rsid w:val="0052084F"/>
    <w:rsid w:val="0052171F"/>
    <w:rsid w:val="00521B77"/>
    <w:rsid w:val="00522DE9"/>
    <w:rsid w:val="005237AD"/>
    <w:rsid w:val="00524008"/>
    <w:rsid w:val="0052432A"/>
    <w:rsid w:val="0052539A"/>
    <w:rsid w:val="0052583C"/>
    <w:rsid w:val="00525A9B"/>
    <w:rsid w:val="0052638E"/>
    <w:rsid w:val="0052659F"/>
    <w:rsid w:val="00526748"/>
    <w:rsid w:val="00526BFC"/>
    <w:rsid w:val="00526C77"/>
    <w:rsid w:val="00526EC6"/>
    <w:rsid w:val="005276C1"/>
    <w:rsid w:val="00527920"/>
    <w:rsid w:val="00530747"/>
    <w:rsid w:val="005314AC"/>
    <w:rsid w:val="00532697"/>
    <w:rsid w:val="00533F1F"/>
    <w:rsid w:val="005356CF"/>
    <w:rsid w:val="00536696"/>
    <w:rsid w:val="0053703B"/>
    <w:rsid w:val="0053735B"/>
    <w:rsid w:val="0053743E"/>
    <w:rsid w:val="0053779E"/>
    <w:rsid w:val="0054037E"/>
    <w:rsid w:val="005413E0"/>
    <w:rsid w:val="005414FE"/>
    <w:rsid w:val="0054187C"/>
    <w:rsid w:val="00541B8F"/>
    <w:rsid w:val="00541F89"/>
    <w:rsid w:val="005439C0"/>
    <w:rsid w:val="00543EA2"/>
    <w:rsid w:val="00544EDD"/>
    <w:rsid w:val="0054605E"/>
    <w:rsid w:val="00550FA4"/>
    <w:rsid w:val="00552EFE"/>
    <w:rsid w:val="0055304D"/>
    <w:rsid w:val="005533EF"/>
    <w:rsid w:val="0055395B"/>
    <w:rsid w:val="00554C73"/>
    <w:rsid w:val="00554FEA"/>
    <w:rsid w:val="00555BA9"/>
    <w:rsid w:val="005561C2"/>
    <w:rsid w:val="00556340"/>
    <w:rsid w:val="005568F0"/>
    <w:rsid w:val="005575CB"/>
    <w:rsid w:val="00557C22"/>
    <w:rsid w:val="00557ED2"/>
    <w:rsid w:val="005615FC"/>
    <w:rsid w:val="005623AA"/>
    <w:rsid w:val="00562F19"/>
    <w:rsid w:val="00564F20"/>
    <w:rsid w:val="00565694"/>
    <w:rsid w:val="00565815"/>
    <w:rsid w:val="005673A2"/>
    <w:rsid w:val="00567786"/>
    <w:rsid w:val="0057058C"/>
    <w:rsid w:val="005710DD"/>
    <w:rsid w:val="00571848"/>
    <w:rsid w:val="00571A5A"/>
    <w:rsid w:val="00572BE4"/>
    <w:rsid w:val="00572F06"/>
    <w:rsid w:val="00572F09"/>
    <w:rsid w:val="00574296"/>
    <w:rsid w:val="00574888"/>
    <w:rsid w:val="00574AA5"/>
    <w:rsid w:val="00574F3C"/>
    <w:rsid w:val="00574F59"/>
    <w:rsid w:val="00575297"/>
    <w:rsid w:val="00575AE1"/>
    <w:rsid w:val="0057656C"/>
    <w:rsid w:val="00576C6B"/>
    <w:rsid w:val="00577E0C"/>
    <w:rsid w:val="005819AD"/>
    <w:rsid w:val="005819C6"/>
    <w:rsid w:val="00582033"/>
    <w:rsid w:val="005825B5"/>
    <w:rsid w:val="00582D9C"/>
    <w:rsid w:val="00582F49"/>
    <w:rsid w:val="0058332E"/>
    <w:rsid w:val="005835A2"/>
    <w:rsid w:val="005840A9"/>
    <w:rsid w:val="00584676"/>
    <w:rsid w:val="00584901"/>
    <w:rsid w:val="005851D5"/>
    <w:rsid w:val="0058527A"/>
    <w:rsid w:val="005852FB"/>
    <w:rsid w:val="005855DF"/>
    <w:rsid w:val="005857A9"/>
    <w:rsid w:val="0058593A"/>
    <w:rsid w:val="00585FD8"/>
    <w:rsid w:val="0058626A"/>
    <w:rsid w:val="00587B0A"/>
    <w:rsid w:val="005901D2"/>
    <w:rsid w:val="00590BAC"/>
    <w:rsid w:val="005913BA"/>
    <w:rsid w:val="00591883"/>
    <w:rsid w:val="00592CE6"/>
    <w:rsid w:val="00593ED0"/>
    <w:rsid w:val="00593F88"/>
    <w:rsid w:val="0059486D"/>
    <w:rsid w:val="00595446"/>
    <w:rsid w:val="005957DC"/>
    <w:rsid w:val="00595F4E"/>
    <w:rsid w:val="00596453"/>
    <w:rsid w:val="00596785"/>
    <w:rsid w:val="005969D2"/>
    <w:rsid w:val="00596A55"/>
    <w:rsid w:val="00596EE8"/>
    <w:rsid w:val="0059719F"/>
    <w:rsid w:val="005976D0"/>
    <w:rsid w:val="005A1734"/>
    <w:rsid w:val="005A1C0C"/>
    <w:rsid w:val="005A2392"/>
    <w:rsid w:val="005A2E5D"/>
    <w:rsid w:val="005A30A9"/>
    <w:rsid w:val="005A5C22"/>
    <w:rsid w:val="005A5D8A"/>
    <w:rsid w:val="005A62C4"/>
    <w:rsid w:val="005A6373"/>
    <w:rsid w:val="005A662B"/>
    <w:rsid w:val="005A6DC8"/>
    <w:rsid w:val="005B0B61"/>
    <w:rsid w:val="005B1AD4"/>
    <w:rsid w:val="005B39D1"/>
    <w:rsid w:val="005B3DC0"/>
    <w:rsid w:val="005B483F"/>
    <w:rsid w:val="005B4F90"/>
    <w:rsid w:val="005B5233"/>
    <w:rsid w:val="005B5440"/>
    <w:rsid w:val="005B68F0"/>
    <w:rsid w:val="005C01F1"/>
    <w:rsid w:val="005C03D1"/>
    <w:rsid w:val="005C043F"/>
    <w:rsid w:val="005C0CA0"/>
    <w:rsid w:val="005C1C2E"/>
    <w:rsid w:val="005C1EE7"/>
    <w:rsid w:val="005C1F20"/>
    <w:rsid w:val="005C39F7"/>
    <w:rsid w:val="005C3A19"/>
    <w:rsid w:val="005C4332"/>
    <w:rsid w:val="005C4CDD"/>
    <w:rsid w:val="005C546B"/>
    <w:rsid w:val="005C572F"/>
    <w:rsid w:val="005C6E4D"/>
    <w:rsid w:val="005C72BF"/>
    <w:rsid w:val="005C752B"/>
    <w:rsid w:val="005C7CA5"/>
    <w:rsid w:val="005D0345"/>
    <w:rsid w:val="005D0B84"/>
    <w:rsid w:val="005D134A"/>
    <w:rsid w:val="005D1E45"/>
    <w:rsid w:val="005D22C1"/>
    <w:rsid w:val="005D249E"/>
    <w:rsid w:val="005D2DF7"/>
    <w:rsid w:val="005D3396"/>
    <w:rsid w:val="005D3C9F"/>
    <w:rsid w:val="005D42BE"/>
    <w:rsid w:val="005D444C"/>
    <w:rsid w:val="005D4BF0"/>
    <w:rsid w:val="005D4C96"/>
    <w:rsid w:val="005D4DB3"/>
    <w:rsid w:val="005D527F"/>
    <w:rsid w:val="005D557A"/>
    <w:rsid w:val="005D59C5"/>
    <w:rsid w:val="005D6272"/>
    <w:rsid w:val="005D6A00"/>
    <w:rsid w:val="005D7413"/>
    <w:rsid w:val="005D76E0"/>
    <w:rsid w:val="005D7BBE"/>
    <w:rsid w:val="005D7C5A"/>
    <w:rsid w:val="005E0F29"/>
    <w:rsid w:val="005E0FB3"/>
    <w:rsid w:val="005E1391"/>
    <w:rsid w:val="005E1C68"/>
    <w:rsid w:val="005E2683"/>
    <w:rsid w:val="005E2C86"/>
    <w:rsid w:val="005E2F09"/>
    <w:rsid w:val="005E2FB4"/>
    <w:rsid w:val="005E3394"/>
    <w:rsid w:val="005E3D09"/>
    <w:rsid w:val="005E3D9E"/>
    <w:rsid w:val="005E46C4"/>
    <w:rsid w:val="005E4D37"/>
    <w:rsid w:val="005E5890"/>
    <w:rsid w:val="005E66F2"/>
    <w:rsid w:val="005E6ACC"/>
    <w:rsid w:val="005E6E69"/>
    <w:rsid w:val="005E7148"/>
    <w:rsid w:val="005F0A11"/>
    <w:rsid w:val="005F116D"/>
    <w:rsid w:val="005F1356"/>
    <w:rsid w:val="005F1E91"/>
    <w:rsid w:val="005F2303"/>
    <w:rsid w:val="005F302B"/>
    <w:rsid w:val="005F316B"/>
    <w:rsid w:val="005F39E9"/>
    <w:rsid w:val="005F42CE"/>
    <w:rsid w:val="005F444D"/>
    <w:rsid w:val="005F4946"/>
    <w:rsid w:val="005F4CF5"/>
    <w:rsid w:val="005F5582"/>
    <w:rsid w:val="005F5800"/>
    <w:rsid w:val="005F61B9"/>
    <w:rsid w:val="005F6F8D"/>
    <w:rsid w:val="005F70C4"/>
    <w:rsid w:val="005F747A"/>
    <w:rsid w:val="005F7534"/>
    <w:rsid w:val="005F7D9B"/>
    <w:rsid w:val="00600B18"/>
    <w:rsid w:val="006017E8"/>
    <w:rsid w:val="0060180F"/>
    <w:rsid w:val="00602246"/>
    <w:rsid w:val="00603194"/>
    <w:rsid w:val="006032B1"/>
    <w:rsid w:val="00604AF3"/>
    <w:rsid w:val="00604B75"/>
    <w:rsid w:val="00604BA4"/>
    <w:rsid w:val="0060633B"/>
    <w:rsid w:val="00606529"/>
    <w:rsid w:val="0060743F"/>
    <w:rsid w:val="00607667"/>
    <w:rsid w:val="00607D91"/>
    <w:rsid w:val="00610813"/>
    <w:rsid w:val="00611565"/>
    <w:rsid w:val="00611677"/>
    <w:rsid w:val="00612AE0"/>
    <w:rsid w:val="00612E00"/>
    <w:rsid w:val="00614FD7"/>
    <w:rsid w:val="00615F94"/>
    <w:rsid w:val="00616B87"/>
    <w:rsid w:val="00616FCA"/>
    <w:rsid w:val="00616FF2"/>
    <w:rsid w:val="00617C0E"/>
    <w:rsid w:val="00617EF0"/>
    <w:rsid w:val="00620C91"/>
    <w:rsid w:val="006216B4"/>
    <w:rsid w:val="006217FF"/>
    <w:rsid w:val="00621F87"/>
    <w:rsid w:val="0062235E"/>
    <w:rsid w:val="00623258"/>
    <w:rsid w:val="006237F1"/>
    <w:rsid w:val="0062413E"/>
    <w:rsid w:val="00624299"/>
    <w:rsid w:val="00624981"/>
    <w:rsid w:val="00624CF9"/>
    <w:rsid w:val="0062611B"/>
    <w:rsid w:val="0062619B"/>
    <w:rsid w:val="00626705"/>
    <w:rsid w:val="00626C6A"/>
    <w:rsid w:val="00627843"/>
    <w:rsid w:val="00627B42"/>
    <w:rsid w:val="00627CAD"/>
    <w:rsid w:val="006313AD"/>
    <w:rsid w:val="00631964"/>
    <w:rsid w:val="00631C35"/>
    <w:rsid w:val="00631CE0"/>
    <w:rsid w:val="006333BD"/>
    <w:rsid w:val="006338EE"/>
    <w:rsid w:val="006339B5"/>
    <w:rsid w:val="00634E06"/>
    <w:rsid w:val="006350AD"/>
    <w:rsid w:val="00635D57"/>
    <w:rsid w:val="00635E83"/>
    <w:rsid w:val="00635EC8"/>
    <w:rsid w:val="00636781"/>
    <w:rsid w:val="006369E1"/>
    <w:rsid w:val="00637A59"/>
    <w:rsid w:val="00637C9E"/>
    <w:rsid w:val="006401BB"/>
    <w:rsid w:val="00640516"/>
    <w:rsid w:val="00640906"/>
    <w:rsid w:val="00640A53"/>
    <w:rsid w:val="006418FD"/>
    <w:rsid w:val="00642474"/>
    <w:rsid w:val="006424B9"/>
    <w:rsid w:val="006427B5"/>
    <w:rsid w:val="00642967"/>
    <w:rsid w:val="00642E23"/>
    <w:rsid w:val="00643B96"/>
    <w:rsid w:val="00645429"/>
    <w:rsid w:val="006455C0"/>
    <w:rsid w:val="00645F35"/>
    <w:rsid w:val="00646148"/>
    <w:rsid w:val="006462AF"/>
    <w:rsid w:val="006467AF"/>
    <w:rsid w:val="00646B51"/>
    <w:rsid w:val="00647011"/>
    <w:rsid w:val="0064707C"/>
    <w:rsid w:val="00647956"/>
    <w:rsid w:val="00650853"/>
    <w:rsid w:val="00651D02"/>
    <w:rsid w:val="00651E1E"/>
    <w:rsid w:val="00651EA3"/>
    <w:rsid w:val="0065233A"/>
    <w:rsid w:val="00652A2F"/>
    <w:rsid w:val="00652BCE"/>
    <w:rsid w:val="00652F40"/>
    <w:rsid w:val="006538E8"/>
    <w:rsid w:val="00653BC8"/>
    <w:rsid w:val="00653C3E"/>
    <w:rsid w:val="00653D14"/>
    <w:rsid w:val="006543A5"/>
    <w:rsid w:val="00654B2D"/>
    <w:rsid w:val="00655492"/>
    <w:rsid w:val="00656F7D"/>
    <w:rsid w:val="0065718C"/>
    <w:rsid w:val="00657531"/>
    <w:rsid w:val="00657543"/>
    <w:rsid w:val="00657973"/>
    <w:rsid w:val="006579DB"/>
    <w:rsid w:val="00657ED3"/>
    <w:rsid w:val="00660814"/>
    <w:rsid w:val="00660914"/>
    <w:rsid w:val="00661330"/>
    <w:rsid w:val="006619EA"/>
    <w:rsid w:val="00661DFE"/>
    <w:rsid w:val="00661F49"/>
    <w:rsid w:val="00662109"/>
    <w:rsid w:val="0066252E"/>
    <w:rsid w:val="00663C6A"/>
    <w:rsid w:val="00664D79"/>
    <w:rsid w:val="00665528"/>
    <w:rsid w:val="00665D3B"/>
    <w:rsid w:val="006668C4"/>
    <w:rsid w:val="00666CA9"/>
    <w:rsid w:val="00666D80"/>
    <w:rsid w:val="006679BB"/>
    <w:rsid w:val="00667EB9"/>
    <w:rsid w:val="006705B0"/>
    <w:rsid w:val="00670AEA"/>
    <w:rsid w:val="00670B4E"/>
    <w:rsid w:val="00670DD9"/>
    <w:rsid w:val="00671663"/>
    <w:rsid w:val="006717F0"/>
    <w:rsid w:val="00671CD5"/>
    <w:rsid w:val="00671FCA"/>
    <w:rsid w:val="006738A0"/>
    <w:rsid w:val="00673B90"/>
    <w:rsid w:val="0067442E"/>
    <w:rsid w:val="00674742"/>
    <w:rsid w:val="006763AD"/>
    <w:rsid w:val="006766FF"/>
    <w:rsid w:val="00676A09"/>
    <w:rsid w:val="00677038"/>
    <w:rsid w:val="0067732D"/>
    <w:rsid w:val="00677773"/>
    <w:rsid w:val="00677C58"/>
    <w:rsid w:val="00681262"/>
    <w:rsid w:val="00681E52"/>
    <w:rsid w:val="006823B0"/>
    <w:rsid w:val="006829F2"/>
    <w:rsid w:val="00682DCD"/>
    <w:rsid w:val="00682E80"/>
    <w:rsid w:val="00683552"/>
    <w:rsid w:val="00683E3D"/>
    <w:rsid w:val="00683E54"/>
    <w:rsid w:val="00684C99"/>
    <w:rsid w:val="006857FD"/>
    <w:rsid w:val="00685E1C"/>
    <w:rsid w:val="0068608F"/>
    <w:rsid w:val="00687011"/>
    <w:rsid w:val="0069077E"/>
    <w:rsid w:val="00690FCB"/>
    <w:rsid w:val="00691113"/>
    <w:rsid w:val="00691F45"/>
    <w:rsid w:val="00692424"/>
    <w:rsid w:val="006924A0"/>
    <w:rsid w:val="0069364D"/>
    <w:rsid w:val="00693AC9"/>
    <w:rsid w:val="006943FD"/>
    <w:rsid w:val="0069457C"/>
    <w:rsid w:val="00695046"/>
    <w:rsid w:val="006952FF"/>
    <w:rsid w:val="00695CA4"/>
    <w:rsid w:val="00696478"/>
    <w:rsid w:val="006965E4"/>
    <w:rsid w:val="00696BDC"/>
    <w:rsid w:val="006A046E"/>
    <w:rsid w:val="006A08C3"/>
    <w:rsid w:val="006A0CD5"/>
    <w:rsid w:val="006A0D45"/>
    <w:rsid w:val="006A0D9B"/>
    <w:rsid w:val="006A17ED"/>
    <w:rsid w:val="006A2438"/>
    <w:rsid w:val="006A2CC4"/>
    <w:rsid w:val="006A392D"/>
    <w:rsid w:val="006A3C6C"/>
    <w:rsid w:val="006A42A7"/>
    <w:rsid w:val="006A4C25"/>
    <w:rsid w:val="006A4EBB"/>
    <w:rsid w:val="006A559A"/>
    <w:rsid w:val="006A6B30"/>
    <w:rsid w:val="006A6C9A"/>
    <w:rsid w:val="006B125E"/>
    <w:rsid w:val="006B1E21"/>
    <w:rsid w:val="006B2CEE"/>
    <w:rsid w:val="006B2F47"/>
    <w:rsid w:val="006B48C5"/>
    <w:rsid w:val="006B4EE8"/>
    <w:rsid w:val="006B5488"/>
    <w:rsid w:val="006B5493"/>
    <w:rsid w:val="006B59EF"/>
    <w:rsid w:val="006B6001"/>
    <w:rsid w:val="006B6634"/>
    <w:rsid w:val="006B673C"/>
    <w:rsid w:val="006C00A8"/>
    <w:rsid w:val="006C037C"/>
    <w:rsid w:val="006C0445"/>
    <w:rsid w:val="006C26F7"/>
    <w:rsid w:val="006C3D33"/>
    <w:rsid w:val="006C4F4C"/>
    <w:rsid w:val="006C51CD"/>
    <w:rsid w:val="006C54F7"/>
    <w:rsid w:val="006C559A"/>
    <w:rsid w:val="006C6477"/>
    <w:rsid w:val="006C7C63"/>
    <w:rsid w:val="006C7D71"/>
    <w:rsid w:val="006D047B"/>
    <w:rsid w:val="006D076F"/>
    <w:rsid w:val="006D07DC"/>
    <w:rsid w:val="006D0CB2"/>
    <w:rsid w:val="006D0E6D"/>
    <w:rsid w:val="006D0F32"/>
    <w:rsid w:val="006D164C"/>
    <w:rsid w:val="006D1C72"/>
    <w:rsid w:val="006D25F5"/>
    <w:rsid w:val="006D2D6F"/>
    <w:rsid w:val="006D3D83"/>
    <w:rsid w:val="006D4A22"/>
    <w:rsid w:val="006D4BAA"/>
    <w:rsid w:val="006D54A7"/>
    <w:rsid w:val="006D5D29"/>
    <w:rsid w:val="006D6260"/>
    <w:rsid w:val="006D6AC3"/>
    <w:rsid w:val="006D7AE9"/>
    <w:rsid w:val="006E0A6A"/>
    <w:rsid w:val="006E0EF5"/>
    <w:rsid w:val="006E1A38"/>
    <w:rsid w:val="006E2F3A"/>
    <w:rsid w:val="006E42F1"/>
    <w:rsid w:val="006E4553"/>
    <w:rsid w:val="006E4DB7"/>
    <w:rsid w:val="006E4E45"/>
    <w:rsid w:val="006E58BF"/>
    <w:rsid w:val="006E606E"/>
    <w:rsid w:val="006E6167"/>
    <w:rsid w:val="006E6311"/>
    <w:rsid w:val="006E6CDC"/>
    <w:rsid w:val="006E6F07"/>
    <w:rsid w:val="006E75B5"/>
    <w:rsid w:val="006E7D22"/>
    <w:rsid w:val="006E7D38"/>
    <w:rsid w:val="006F040A"/>
    <w:rsid w:val="006F0613"/>
    <w:rsid w:val="006F07F9"/>
    <w:rsid w:val="006F14C1"/>
    <w:rsid w:val="006F15EB"/>
    <w:rsid w:val="006F1AFB"/>
    <w:rsid w:val="006F1DAF"/>
    <w:rsid w:val="006F2875"/>
    <w:rsid w:val="006F3885"/>
    <w:rsid w:val="006F39D6"/>
    <w:rsid w:val="006F3B8E"/>
    <w:rsid w:val="006F5036"/>
    <w:rsid w:val="006F574E"/>
    <w:rsid w:val="006F5BB3"/>
    <w:rsid w:val="006F6402"/>
    <w:rsid w:val="006F71B3"/>
    <w:rsid w:val="006F75F0"/>
    <w:rsid w:val="006F797A"/>
    <w:rsid w:val="006F7D5F"/>
    <w:rsid w:val="0070080F"/>
    <w:rsid w:val="007013ED"/>
    <w:rsid w:val="007013FC"/>
    <w:rsid w:val="007015CA"/>
    <w:rsid w:val="00702FE2"/>
    <w:rsid w:val="00703B26"/>
    <w:rsid w:val="00703D80"/>
    <w:rsid w:val="00703FA1"/>
    <w:rsid w:val="00704373"/>
    <w:rsid w:val="007058B0"/>
    <w:rsid w:val="0070620F"/>
    <w:rsid w:val="007071C9"/>
    <w:rsid w:val="007076F0"/>
    <w:rsid w:val="00707F6C"/>
    <w:rsid w:val="007100AB"/>
    <w:rsid w:val="00710A39"/>
    <w:rsid w:val="00711E22"/>
    <w:rsid w:val="007126BB"/>
    <w:rsid w:val="00712B5B"/>
    <w:rsid w:val="00713B0D"/>
    <w:rsid w:val="00714160"/>
    <w:rsid w:val="0071428A"/>
    <w:rsid w:val="0071449B"/>
    <w:rsid w:val="0071531B"/>
    <w:rsid w:val="0071534C"/>
    <w:rsid w:val="00715D0D"/>
    <w:rsid w:val="00716314"/>
    <w:rsid w:val="00716CA6"/>
    <w:rsid w:val="007178F3"/>
    <w:rsid w:val="00717A44"/>
    <w:rsid w:val="00717E9B"/>
    <w:rsid w:val="0072030B"/>
    <w:rsid w:val="00720D91"/>
    <w:rsid w:val="007210E9"/>
    <w:rsid w:val="007213CB"/>
    <w:rsid w:val="0072145E"/>
    <w:rsid w:val="00722127"/>
    <w:rsid w:val="007225FA"/>
    <w:rsid w:val="00723EB1"/>
    <w:rsid w:val="00723EBB"/>
    <w:rsid w:val="00724318"/>
    <w:rsid w:val="0072637F"/>
    <w:rsid w:val="00726437"/>
    <w:rsid w:val="007265B4"/>
    <w:rsid w:val="007267E0"/>
    <w:rsid w:val="00726A7E"/>
    <w:rsid w:val="00726B11"/>
    <w:rsid w:val="0072716F"/>
    <w:rsid w:val="007304CF"/>
    <w:rsid w:val="00730928"/>
    <w:rsid w:val="00731547"/>
    <w:rsid w:val="00732284"/>
    <w:rsid w:val="00732543"/>
    <w:rsid w:val="007325AC"/>
    <w:rsid w:val="007327F3"/>
    <w:rsid w:val="00733BF1"/>
    <w:rsid w:val="00733D20"/>
    <w:rsid w:val="00733D30"/>
    <w:rsid w:val="0073435D"/>
    <w:rsid w:val="007347EE"/>
    <w:rsid w:val="007352A8"/>
    <w:rsid w:val="00735D58"/>
    <w:rsid w:val="00735E01"/>
    <w:rsid w:val="00737A92"/>
    <w:rsid w:val="00740062"/>
    <w:rsid w:val="0074009D"/>
    <w:rsid w:val="0074099F"/>
    <w:rsid w:val="00740FA2"/>
    <w:rsid w:val="00741E47"/>
    <w:rsid w:val="007422C5"/>
    <w:rsid w:val="00742378"/>
    <w:rsid w:val="00742DA3"/>
    <w:rsid w:val="00742E89"/>
    <w:rsid w:val="00743721"/>
    <w:rsid w:val="007437A0"/>
    <w:rsid w:val="007440F1"/>
    <w:rsid w:val="007445C8"/>
    <w:rsid w:val="00744961"/>
    <w:rsid w:val="00744C6B"/>
    <w:rsid w:val="00744D75"/>
    <w:rsid w:val="00745C9B"/>
    <w:rsid w:val="00745CC8"/>
    <w:rsid w:val="00746034"/>
    <w:rsid w:val="007460EB"/>
    <w:rsid w:val="007470AF"/>
    <w:rsid w:val="0074772C"/>
    <w:rsid w:val="00750A7F"/>
    <w:rsid w:val="00750BAF"/>
    <w:rsid w:val="00750D83"/>
    <w:rsid w:val="0075129D"/>
    <w:rsid w:val="00751938"/>
    <w:rsid w:val="00751E60"/>
    <w:rsid w:val="00751FFB"/>
    <w:rsid w:val="0075205C"/>
    <w:rsid w:val="00752B67"/>
    <w:rsid w:val="007530AF"/>
    <w:rsid w:val="007541AF"/>
    <w:rsid w:val="007546C4"/>
    <w:rsid w:val="00754EF6"/>
    <w:rsid w:val="00754EFD"/>
    <w:rsid w:val="007555AC"/>
    <w:rsid w:val="007558C6"/>
    <w:rsid w:val="00755927"/>
    <w:rsid w:val="00755BAC"/>
    <w:rsid w:val="00755BE6"/>
    <w:rsid w:val="00756B2C"/>
    <w:rsid w:val="00760F9B"/>
    <w:rsid w:val="00762030"/>
    <w:rsid w:val="00762F54"/>
    <w:rsid w:val="00763092"/>
    <w:rsid w:val="00763354"/>
    <w:rsid w:val="0076385C"/>
    <w:rsid w:val="007638B3"/>
    <w:rsid w:val="00763CD9"/>
    <w:rsid w:val="00764B2A"/>
    <w:rsid w:val="00766203"/>
    <w:rsid w:val="00766AF7"/>
    <w:rsid w:val="00766B53"/>
    <w:rsid w:val="00766C35"/>
    <w:rsid w:val="00766FF9"/>
    <w:rsid w:val="0076795A"/>
    <w:rsid w:val="00767D52"/>
    <w:rsid w:val="00770330"/>
    <w:rsid w:val="0077069A"/>
    <w:rsid w:val="00772C52"/>
    <w:rsid w:val="00772DF6"/>
    <w:rsid w:val="00773F6C"/>
    <w:rsid w:val="0077421D"/>
    <w:rsid w:val="007744FE"/>
    <w:rsid w:val="007747D5"/>
    <w:rsid w:val="00774DA0"/>
    <w:rsid w:val="0077532D"/>
    <w:rsid w:val="007755BC"/>
    <w:rsid w:val="00775952"/>
    <w:rsid w:val="00775A47"/>
    <w:rsid w:val="0077608C"/>
    <w:rsid w:val="00777883"/>
    <w:rsid w:val="00777C50"/>
    <w:rsid w:val="00777E8A"/>
    <w:rsid w:val="00780154"/>
    <w:rsid w:val="00780B82"/>
    <w:rsid w:val="00780C6F"/>
    <w:rsid w:val="00781EF1"/>
    <w:rsid w:val="00782EC4"/>
    <w:rsid w:val="007838C5"/>
    <w:rsid w:val="00783A86"/>
    <w:rsid w:val="00784370"/>
    <w:rsid w:val="007853F0"/>
    <w:rsid w:val="00786612"/>
    <w:rsid w:val="007906D9"/>
    <w:rsid w:val="007915CE"/>
    <w:rsid w:val="007921F3"/>
    <w:rsid w:val="00792AB2"/>
    <w:rsid w:val="007930B5"/>
    <w:rsid w:val="007943F8"/>
    <w:rsid w:val="00794770"/>
    <w:rsid w:val="00794E10"/>
    <w:rsid w:val="00795DF9"/>
    <w:rsid w:val="007967D5"/>
    <w:rsid w:val="00796D0B"/>
    <w:rsid w:val="007974C4"/>
    <w:rsid w:val="00797EEC"/>
    <w:rsid w:val="007A008E"/>
    <w:rsid w:val="007A0444"/>
    <w:rsid w:val="007A0F21"/>
    <w:rsid w:val="007A26EC"/>
    <w:rsid w:val="007A2773"/>
    <w:rsid w:val="007A3494"/>
    <w:rsid w:val="007A36F5"/>
    <w:rsid w:val="007A3B52"/>
    <w:rsid w:val="007A4ABB"/>
    <w:rsid w:val="007A69C1"/>
    <w:rsid w:val="007A69F0"/>
    <w:rsid w:val="007A6E8B"/>
    <w:rsid w:val="007A73AF"/>
    <w:rsid w:val="007B090E"/>
    <w:rsid w:val="007B1D75"/>
    <w:rsid w:val="007B23FC"/>
    <w:rsid w:val="007B267F"/>
    <w:rsid w:val="007B30BC"/>
    <w:rsid w:val="007B31F2"/>
    <w:rsid w:val="007B360A"/>
    <w:rsid w:val="007B369A"/>
    <w:rsid w:val="007B38BF"/>
    <w:rsid w:val="007B4F39"/>
    <w:rsid w:val="007B55A1"/>
    <w:rsid w:val="007B5FCE"/>
    <w:rsid w:val="007B76BF"/>
    <w:rsid w:val="007C0709"/>
    <w:rsid w:val="007C0857"/>
    <w:rsid w:val="007C0F37"/>
    <w:rsid w:val="007C136A"/>
    <w:rsid w:val="007C180B"/>
    <w:rsid w:val="007C25BA"/>
    <w:rsid w:val="007C27CD"/>
    <w:rsid w:val="007C2DFA"/>
    <w:rsid w:val="007C2E30"/>
    <w:rsid w:val="007C2EB2"/>
    <w:rsid w:val="007C3193"/>
    <w:rsid w:val="007C3854"/>
    <w:rsid w:val="007C3B34"/>
    <w:rsid w:val="007C3E4D"/>
    <w:rsid w:val="007C467D"/>
    <w:rsid w:val="007C5277"/>
    <w:rsid w:val="007C6DA8"/>
    <w:rsid w:val="007C73D0"/>
    <w:rsid w:val="007C77B4"/>
    <w:rsid w:val="007C7936"/>
    <w:rsid w:val="007C7B5E"/>
    <w:rsid w:val="007C7C19"/>
    <w:rsid w:val="007C7CE7"/>
    <w:rsid w:val="007D0352"/>
    <w:rsid w:val="007D0741"/>
    <w:rsid w:val="007D0E63"/>
    <w:rsid w:val="007D19BC"/>
    <w:rsid w:val="007D1D83"/>
    <w:rsid w:val="007D2390"/>
    <w:rsid w:val="007D2399"/>
    <w:rsid w:val="007D321D"/>
    <w:rsid w:val="007D32F8"/>
    <w:rsid w:val="007D37E7"/>
    <w:rsid w:val="007D3E67"/>
    <w:rsid w:val="007D46F5"/>
    <w:rsid w:val="007D4782"/>
    <w:rsid w:val="007D4929"/>
    <w:rsid w:val="007D4CE7"/>
    <w:rsid w:val="007D53EA"/>
    <w:rsid w:val="007D6312"/>
    <w:rsid w:val="007D6AB3"/>
    <w:rsid w:val="007D6D06"/>
    <w:rsid w:val="007D7036"/>
    <w:rsid w:val="007D707A"/>
    <w:rsid w:val="007D75DE"/>
    <w:rsid w:val="007E1E79"/>
    <w:rsid w:val="007E1FA5"/>
    <w:rsid w:val="007E2964"/>
    <w:rsid w:val="007E33D6"/>
    <w:rsid w:val="007E4F71"/>
    <w:rsid w:val="007E56B8"/>
    <w:rsid w:val="007E5E4A"/>
    <w:rsid w:val="007E5EC8"/>
    <w:rsid w:val="007E5FAD"/>
    <w:rsid w:val="007F0C94"/>
    <w:rsid w:val="007F0ED5"/>
    <w:rsid w:val="007F11BC"/>
    <w:rsid w:val="007F1521"/>
    <w:rsid w:val="007F1EF3"/>
    <w:rsid w:val="007F2DAD"/>
    <w:rsid w:val="007F3C86"/>
    <w:rsid w:val="007F4CF9"/>
    <w:rsid w:val="007F54E3"/>
    <w:rsid w:val="007F75F5"/>
    <w:rsid w:val="007F7A4D"/>
    <w:rsid w:val="007F7B9E"/>
    <w:rsid w:val="007F7C2D"/>
    <w:rsid w:val="008005EB"/>
    <w:rsid w:val="00800972"/>
    <w:rsid w:val="00800B35"/>
    <w:rsid w:val="00801352"/>
    <w:rsid w:val="008018A7"/>
    <w:rsid w:val="00804EE3"/>
    <w:rsid w:val="008051F6"/>
    <w:rsid w:val="008068A5"/>
    <w:rsid w:val="00807A99"/>
    <w:rsid w:val="00807C60"/>
    <w:rsid w:val="00807EBD"/>
    <w:rsid w:val="00810370"/>
    <w:rsid w:val="008108BE"/>
    <w:rsid w:val="0081210E"/>
    <w:rsid w:val="0081274B"/>
    <w:rsid w:val="00812836"/>
    <w:rsid w:val="00812A21"/>
    <w:rsid w:val="0081321B"/>
    <w:rsid w:val="00813A44"/>
    <w:rsid w:val="00814735"/>
    <w:rsid w:val="00814EE6"/>
    <w:rsid w:val="0081732A"/>
    <w:rsid w:val="008203B1"/>
    <w:rsid w:val="00820426"/>
    <w:rsid w:val="008208FB"/>
    <w:rsid w:val="00821BD0"/>
    <w:rsid w:val="00821C48"/>
    <w:rsid w:val="00821E46"/>
    <w:rsid w:val="00821EBB"/>
    <w:rsid w:val="00822109"/>
    <w:rsid w:val="00822D18"/>
    <w:rsid w:val="0082321D"/>
    <w:rsid w:val="0082347B"/>
    <w:rsid w:val="00823853"/>
    <w:rsid w:val="00823E79"/>
    <w:rsid w:val="00824465"/>
    <w:rsid w:val="008244DA"/>
    <w:rsid w:val="00824D49"/>
    <w:rsid w:val="00824E78"/>
    <w:rsid w:val="00825908"/>
    <w:rsid w:val="00825BF0"/>
    <w:rsid w:val="00826244"/>
    <w:rsid w:val="0082669F"/>
    <w:rsid w:val="00826E3A"/>
    <w:rsid w:val="008275BE"/>
    <w:rsid w:val="00827761"/>
    <w:rsid w:val="008277B4"/>
    <w:rsid w:val="00830C86"/>
    <w:rsid w:val="008319C3"/>
    <w:rsid w:val="00832F66"/>
    <w:rsid w:val="008334EF"/>
    <w:rsid w:val="00833A3E"/>
    <w:rsid w:val="008346EC"/>
    <w:rsid w:val="008348F6"/>
    <w:rsid w:val="0083592C"/>
    <w:rsid w:val="00836A3A"/>
    <w:rsid w:val="00836B3E"/>
    <w:rsid w:val="00836DB8"/>
    <w:rsid w:val="008372F8"/>
    <w:rsid w:val="0083754F"/>
    <w:rsid w:val="00840AED"/>
    <w:rsid w:val="00840E2F"/>
    <w:rsid w:val="0084204B"/>
    <w:rsid w:val="008424DD"/>
    <w:rsid w:val="00842B6C"/>
    <w:rsid w:val="008433FA"/>
    <w:rsid w:val="00843586"/>
    <w:rsid w:val="00844B54"/>
    <w:rsid w:val="00844EBE"/>
    <w:rsid w:val="00845C46"/>
    <w:rsid w:val="00846376"/>
    <w:rsid w:val="00846ECE"/>
    <w:rsid w:val="00847212"/>
    <w:rsid w:val="008475FF"/>
    <w:rsid w:val="00847A57"/>
    <w:rsid w:val="00850BD5"/>
    <w:rsid w:val="00850E20"/>
    <w:rsid w:val="008512D8"/>
    <w:rsid w:val="00852754"/>
    <w:rsid w:val="008528A2"/>
    <w:rsid w:val="00852B67"/>
    <w:rsid w:val="0085356E"/>
    <w:rsid w:val="0085446C"/>
    <w:rsid w:val="00854CDB"/>
    <w:rsid w:val="008552B0"/>
    <w:rsid w:val="00856956"/>
    <w:rsid w:val="0086058A"/>
    <w:rsid w:val="00860ACD"/>
    <w:rsid w:val="00860D2E"/>
    <w:rsid w:val="008611C7"/>
    <w:rsid w:val="008612BE"/>
    <w:rsid w:val="0086158D"/>
    <w:rsid w:val="00861CF7"/>
    <w:rsid w:val="0086272F"/>
    <w:rsid w:val="00862906"/>
    <w:rsid w:val="00862BF5"/>
    <w:rsid w:val="0086360E"/>
    <w:rsid w:val="00864AA5"/>
    <w:rsid w:val="00864C40"/>
    <w:rsid w:val="0086507D"/>
    <w:rsid w:val="00865D4F"/>
    <w:rsid w:val="008661BD"/>
    <w:rsid w:val="00866AB4"/>
    <w:rsid w:val="00866ABF"/>
    <w:rsid w:val="00866CD0"/>
    <w:rsid w:val="00866DD2"/>
    <w:rsid w:val="00866EBE"/>
    <w:rsid w:val="00867FD1"/>
    <w:rsid w:val="00870878"/>
    <w:rsid w:val="00872F82"/>
    <w:rsid w:val="00874021"/>
    <w:rsid w:val="008744F9"/>
    <w:rsid w:val="008756F5"/>
    <w:rsid w:val="0087594A"/>
    <w:rsid w:val="008760FD"/>
    <w:rsid w:val="00876234"/>
    <w:rsid w:val="008776D3"/>
    <w:rsid w:val="0087784E"/>
    <w:rsid w:val="00877A5F"/>
    <w:rsid w:val="00877DB9"/>
    <w:rsid w:val="008809DE"/>
    <w:rsid w:val="008817E7"/>
    <w:rsid w:val="00882218"/>
    <w:rsid w:val="008829EA"/>
    <w:rsid w:val="00882D4C"/>
    <w:rsid w:val="00883020"/>
    <w:rsid w:val="0088440F"/>
    <w:rsid w:val="008845BA"/>
    <w:rsid w:val="0088731A"/>
    <w:rsid w:val="00887C77"/>
    <w:rsid w:val="00890943"/>
    <w:rsid w:val="00891463"/>
    <w:rsid w:val="00891BBB"/>
    <w:rsid w:val="00891ED2"/>
    <w:rsid w:val="0089262C"/>
    <w:rsid w:val="008944B5"/>
    <w:rsid w:val="008945D9"/>
    <w:rsid w:val="008958D0"/>
    <w:rsid w:val="008967BA"/>
    <w:rsid w:val="008968D1"/>
    <w:rsid w:val="00897324"/>
    <w:rsid w:val="008976BD"/>
    <w:rsid w:val="00897C69"/>
    <w:rsid w:val="008A017D"/>
    <w:rsid w:val="008A0544"/>
    <w:rsid w:val="008A11E5"/>
    <w:rsid w:val="008A1876"/>
    <w:rsid w:val="008A1978"/>
    <w:rsid w:val="008A1F2C"/>
    <w:rsid w:val="008A1F40"/>
    <w:rsid w:val="008A20DB"/>
    <w:rsid w:val="008A27AF"/>
    <w:rsid w:val="008A315E"/>
    <w:rsid w:val="008A31F4"/>
    <w:rsid w:val="008A3326"/>
    <w:rsid w:val="008A4889"/>
    <w:rsid w:val="008A585E"/>
    <w:rsid w:val="008A62EE"/>
    <w:rsid w:val="008A6701"/>
    <w:rsid w:val="008A6F2B"/>
    <w:rsid w:val="008A778B"/>
    <w:rsid w:val="008A7849"/>
    <w:rsid w:val="008B0040"/>
    <w:rsid w:val="008B07A8"/>
    <w:rsid w:val="008B1868"/>
    <w:rsid w:val="008B19FB"/>
    <w:rsid w:val="008B2131"/>
    <w:rsid w:val="008B239E"/>
    <w:rsid w:val="008B2454"/>
    <w:rsid w:val="008B2F7A"/>
    <w:rsid w:val="008B4068"/>
    <w:rsid w:val="008B464F"/>
    <w:rsid w:val="008B51A8"/>
    <w:rsid w:val="008B6809"/>
    <w:rsid w:val="008B789D"/>
    <w:rsid w:val="008B7B91"/>
    <w:rsid w:val="008C0DAE"/>
    <w:rsid w:val="008C1321"/>
    <w:rsid w:val="008C1621"/>
    <w:rsid w:val="008C26BC"/>
    <w:rsid w:val="008C3088"/>
    <w:rsid w:val="008C3276"/>
    <w:rsid w:val="008C36D1"/>
    <w:rsid w:val="008C372B"/>
    <w:rsid w:val="008C3D2C"/>
    <w:rsid w:val="008C46A4"/>
    <w:rsid w:val="008C55AB"/>
    <w:rsid w:val="008C5668"/>
    <w:rsid w:val="008C5F8E"/>
    <w:rsid w:val="008C6AB4"/>
    <w:rsid w:val="008C6D0F"/>
    <w:rsid w:val="008C6F7E"/>
    <w:rsid w:val="008D0CA0"/>
    <w:rsid w:val="008D11E3"/>
    <w:rsid w:val="008D16EE"/>
    <w:rsid w:val="008D16F2"/>
    <w:rsid w:val="008D183C"/>
    <w:rsid w:val="008D1985"/>
    <w:rsid w:val="008D1B42"/>
    <w:rsid w:val="008D2007"/>
    <w:rsid w:val="008D2641"/>
    <w:rsid w:val="008D26E1"/>
    <w:rsid w:val="008D2A9F"/>
    <w:rsid w:val="008D2C78"/>
    <w:rsid w:val="008D2ECF"/>
    <w:rsid w:val="008D31C4"/>
    <w:rsid w:val="008D4072"/>
    <w:rsid w:val="008D4B4F"/>
    <w:rsid w:val="008D4D6A"/>
    <w:rsid w:val="008D4F66"/>
    <w:rsid w:val="008D5115"/>
    <w:rsid w:val="008D5C23"/>
    <w:rsid w:val="008D6D27"/>
    <w:rsid w:val="008D7018"/>
    <w:rsid w:val="008D7231"/>
    <w:rsid w:val="008D75DC"/>
    <w:rsid w:val="008E00B9"/>
    <w:rsid w:val="008E064A"/>
    <w:rsid w:val="008E0A26"/>
    <w:rsid w:val="008E0A61"/>
    <w:rsid w:val="008E15FA"/>
    <w:rsid w:val="008E188A"/>
    <w:rsid w:val="008E1DF0"/>
    <w:rsid w:val="008E29C3"/>
    <w:rsid w:val="008E3DB1"/>
    <w:rsid w:val="008E40FB"/>
    <w:rsid w:val="008E41E9"/>
    <w:rsid w:val="008E5F19"/>
    <w:rsid w:val="008E63D6"/>
    <w:rsid w:val="008E6587"/>
    <w:rsid w:val="008E66B3"/>
    <w:rsid w:val="008E6B95"/>
    <w:rsid w:val="008E7603"/>
    <w:rsid w:val="008E7641"/>
    <w:rsid w:val="008E7E1A"/>
    <w:rsid w:val="008E7E95"/>
    <w:rsid w:val="008F26E1"/>
    <w:rsid w:val="008F3D6A"/>
    <w:rsid w:val="008F4BC2"/>
    <w:rsid w:val="008F5931"/>
    <w:rsid w:val="008F6F78"/>
    <w:rsid w:val="008F7292"/>
    <w:rsid w:val="008F7EE8"/>
    <w:rsid w:val="009002AA"/>
    <w:rsid w:val="009003A5"/>
    <w:rsid w:val="00900F0C"/>
    <w:rsid w:val="009013EF"/>
    <w:rsid w:val="00904598"/>
    <w:rsid w:val="009048FD"/>
    <w:rsid w:val="0090497F"/>
    <w:rsid w:val="00904AB5"/>
    <w:rsid w:val="0090575D"/>
    <w:rsid w:val="00906F4D"/>
    <w:rsid w:val="00907331"/>
    <w:rsid w:val="00907C42"/>
    <w:rsid w:val="00910ADA"/>
    <w:rsid w:val="00911420"/>
    <w:rsid w:val="0091298D"/>
    <w:rsid w:val="00912DC6"/>
    <w:rsid w:val="00913F45"/>
    <w:rsid w:val="00915135"/>
    <w:rsid w:val="00917090"/>
    <w:rsid w:val="009173A0"/>
    <w:rsid w:val="00917491"/>
    <w:rsid w:val="0091761F"/>
    <w:rsid w:val="00917BDD"/>
    <w:rsid w:val="009217BC"/>
    <w:rsid w:val="009225B7"/>
    <w:rsid w:val="009226BE"/>
    <w:rsid w:val="009244C3"/>
    <w:rsid w:val="009244FE"/>
    <w:rsid w:val="00924E9A"/>
    <w:rsid w:val="00925F8E"/>
    <w:rsid w:val="00925FBD"/>
    <w:rsid w:val="0092665E"/>
    <w:rsid w:val="00926F11"/>
    <w:rsid w:val="00927B53"/>
    <w:rsid w:val="00930719"/>
    <w:rsid w:val="00930A18"/>
    <w:rsid w:val="00930EC6"/>
    <w:rsid w:val="00931085"/>
    <w:rsid w:val="00931924"/>
    <w:rsid w:val="009327EE"/>
    <w:rsid w:val="00932D5A"/>
    <w:rsid w:val="0093310D"/>
    <w:rsid w:val="00934B72"/>
    <w:rsid w:val="00934E21"/>
    <w:rsid w:val="0093593B"/>
    <w:rsid w:val="00936BA9"/>
    <w:rsid w:val="00936F17"/>
    <w:rsid w:val="009370D8"/>
    <w:rsid w:val="00940C14"/>
    <w:rsid w:val="00940EF3"/>
    <w:rsid w:val="00941F38"/>
    <w:rsid w:val="009426EA"/>
    <w:rsid w:val="0094363D"/>
    <w:rsid w:val="009439F9"/>
    <w:rsid w:val="00944149"/>
    <w:rsid w:val="0094418B"/>
    <w:rsid w:val="009445CF"/>
    <w:rsid w:val="00944609"/>
    <w:rsid w:val="00945035"/>
    <w:rsid w:val="00946787"/>
    <w:rsid w:val="00947347"/>
    <w:rsid w:val="00947CB4"/>
    <w:rsid w:val="00951201"/>
    <w:rsid w:val="00952163"/>
    <w:rsid w:val="00953B8F"/>
    <w:rsid w:val="0095490E"/>
    <w:rsid w:val="009554B7"/>
    <w:rsid w:val="009554CC"/>
    <w:rsid w:val="00955DEA"/>
    <w:rsid w:val="00956863"/>
    <w:rsid w:val="00956ADC"/>
    <w:rsid w:val="0095749A"/>
    <w:rsid w:val="009577AB"/>
    <w:rsid w:val="0095795A"/>
    <w:rsid w:val="00961380"/>
    <w:rsid w:val="0096182A"/>
    <w:rsid w:val="00961A89"/>
    <w:rsid w:val="00961B99"/>
    <w:rsid w:val="00962791"/>
    <w:rsid w:val="0096373E"/>
    <w:rsid w:val="00963EF2"/>
    <w:rsid w:val="00964966"/>
    <w:rsid w:val="00964FF7"/>
    <w:rsid w:val="009659B1"/>
    <w:rsid w:val="00965BCF"/>
    <w:rsid w:val="00965F80"/>
    <w:rsid w:val="00966612"/>
    <w:rsid w:val="00966CF3"/>
    <w:rsid w:val="00967B6B"/>
    <w:rsid w:val="00967E71"/>
    <w:rsid w:val="00970698"/>
    <w:rsid w:val="00970872"/>
    <w:rsid w:val="009712E8"/>
    <w:rsid w:val="0097155D"/>
    <w:rsid w:val="00973734"/>
    <w:rsid w:val="00973810"/>
    <w:rsid w:val="009738DB"/>
    <w:rsid w:val="00973CB5"/>
    <w:rsid w:val="00974D2F"/>
    <w:rsid w:val="00975C95"/>
    <w:rsid w:val="009767BF"/>
    <w:rsid w:val="00977269"/>
    <w:rsid w:val="009808BE"/>
    <w:rsid w:val="00980AC9"/>
    <w:rsid w:val="00980FB8"/>
    <w:rsid w:val="00981693"/>
    <w:rsid w:val="00981FA3"/>
    <w:rsid w:val="0098235A"/>
    <w:rsid w:val="009825B8"/>
    <w:rsid w:val="00982A73"/>
    <w:rsid w:val="009832D7"/>
    <w:rsid w:val="0098357B"/>
    <w:rsid w:val="00983F6E"/>
    <w:rsid w:val="009842BC"/>
    <w:rsid w:val="00984508"/>
    <w:rsid w:val="009859D6"/>
    <w:rsid w:val="00986656"/>
    <w:rsid w:val="009867D3"/>
    <w:rsid w:val="009871DA"/>
    <w:rsid w:val="0098744B"/>
    <w:rsid w:val="0098756B"/>
    <w:rsid w:val="00987D3D"/>
    <w:rsid w:val="00987EE9"/>
    <w:rsid w:val="00990B27"/>
    <w:rsid w:val="009924CF"/>
    <w:rsid w:val="00992710"/>
    <w:rsid w:val="0099302D"/>
    <w:rsid w:val="0099336C"/>
    <w:rsid w:val="0099342A"/>
    <w:rsid w:val="00993D0C"/>
    <w:rsid w:val="00993E2D"/>
    <w:rsid w:val="00994BB4"/>
    <w:rsid w:val="00995E98"/>
    <w:rsid w:val="00996CCE"/>
    <w:rsid w:val="009972A4"/>
    <w:rsid w:val="00997519"/>
    <w:rsid w:val="009A09C2"/>
    <w:rsid w:val="009A0CFF"/>
    <w:rsid w:val="009A22BE"/>
    <w:rsid w:val="009A2B56"/>
    <w:rsid w:val="009A4106"/>
    <w:rsid w:val="009A4CFD"/>
    <w:rsid w:val="009A6208"/>
    <w:rsid w:val="009A6620"/>
    <w:rsid w:val="009A7098"/>
    <w:rsid w:val="009A7238"/>
    <w:rsid w:val="009A7394"/>
    <w:rsid w:val="009A7B84"/>
    <w:rsid w:val="009A7F36"/>
    <w:rsid w:val="009B03A2"/>
    <w:rsid w:val="009B0DF3"/>
    <w:rsid w:val="009B1DC1"/>
    <w:rsid w:val="009B270C"/>
    <w:rsid w:val="009B3274"/>
    <w:rsid w:val="009B3AB1"/>
    <w:rsid w:val="009B4D52"/>
    <w:rsid w:val="009B519C"/>
    <w:rsid w:val="009B5239"/>
    <w:rsid w:val="009B5A91"/>
    <w:rsid w:val="009B6715"/>
    <w:rsid w:val="009B672E"/>
    <w:rsid w:val="009B6D27"/>
    <w:rsid w:val="009B7123"/>
    <w:rsid w:val="009B760B"/>
    <w:rsid w:val="009C06DD"/>
    <w:rsid w:val="009C24DD"/>
    <w:rsid w:val="009C2EE7"/>
    <w:rsid w:val="009C2F35"/>
    <w:rsid w:val="009C3659"/>
    <w:rsid w:val="009C4741"/>
    <w:rsid w:val="009C4B8E"/>
    <w:rsid w:val="009C5162"/>
    <w:rsid w:val="009C5DB7"/>
    <w:rsid w:val="009C6635"/>
    <w:rsid w:val="009C6E34"/>
    <w:rsid w:val="009C7822"/>
    <w:rsid w:val="009C7F50"/>
    <w:rsid w:val="009D0424"/>
    <w:rsid w:val="009D0A8F"/>
    <w:rsid w:val="009D1024"/>
    <w:rsid w:val="009D1446"/>
    <w:rsid w:val="009D1921"/>
    <w:rsid w:val="009D1E9C"/>
    <w:rsid w:val="009D1F1A"/>
    <w:rsid w:val="009D2BBC"/>
    <w:rsid w:val="009D30C7"/>
    <w:rsid w:val="009D37A1"/>
    <w:rsid w:val="009D4CD3"/>
    <w:rsid w:val="009D575E"/>
    <w:rsid w:val="009D5A8C"/>
    <w:rsid w:val="009D72A4"/>
    <w:rsid w:val="009D732B"/>
    <w:rsid w:val="009D797B"/>
    <w:rsid w:val="009E01D3"/>
    <w:rsid w:val="009E0448"/>
    <w:rsid w:val="009E2170"/>
    <w:rsid w:val="009E2543"/>
    <w:rsid w:val="009E2D51"/>
    <w:rsid w:val="009E3AC0"/>
    <w:rsid w:val="009E3B72"/>
    <w:rsid w:val="009E3EAF"/>
    <w:rsid w:val="009E44F6"/>
    <w:rsid w:val="009E490B"/>
    <w:rsid w:val="009E504F"/>
    <w:rsid w:val="009E51B7"/>
    <w:rsid w:val="009E5335"/>
    <w:rsid w:val="009E6349"/>
    <w:rsid w:val="009E6CD4"/>
    <w:rsid w:val="009E7007"/>
    <w:rsid w:val="009E73C2"/>
    <w:rsid w:val="009E7D3A"/>
    <w:rsid w:val="009F0002"/>
    <w:rsid w:val="009F01C2"/>
    <w:rsid w:val="009F1DCE"/>
    <w:rsid w:val="009F2066"/>
    <w:rsid w:val="009F2C58"/>
    <w:rsid w:val="009F37CE"/>
    <w:rsid w:val="009F4B82"/>
    <w:rsid w:val="009F4B9A"/>
    <w:rsid w:val="009F53B6"/>
    <w:rsid w:val="009F5652"/>
    <w:rsid w:val="009F58AB"/>
    <w:rsid w:val="009F5DB6"/>
    <w:rsid w:val="009F6A99"/>
    <w:rsid w:val="009F6D18"/>
    <w:rsid w:val="009F701F"/>
    <w:rsid w:val="00A00210"/>
    <w:rsid w:val="00A008F0"/>
    <w:rsid w:val="00A01466"/>
    <w:rsid w:val="00A018E1"/>
    <w:rsid w:val="00A0209F"/>
    <w:rsid w:val="00A041CA"/>
    <w:rsid w:val="00A0523A"/>
    <w:rsid w:val="00A061A9"/>
    <w:rsid w:val="00A0716F"/>
    <w:rsid w:val="00A10C2C"/>
    <w:rsid w:val="00A1187F"/>
    <w:rsid w:val="00A11BE6"/>
    <w:rsid w:val="00A11D39"/>
    <w:rsid w:val="00A1209C"/>
    <w:rsid w:val="00A12EAA"/>
    <w:rsid w:val="00A13FE3"/>
    <w:rsid w:val="00A14C41"/>
    <w:rsid w:val="00A14CD3"/>
    <w:rsid w:val="00A1679A"/>
    <w:rsid w:val="00A171C5"/>
    <w:rsid w:val="00A17677"/>
    <w:rsid w:val="00A17B60"/>
    <w:rsid w:val="00A20BBF"/>
    <w:rsid w:val="00A20E32"/>
    <w:rsid w:val="00A213AC"/>
    <w:rsid w:val="00A2198F"/>
    <w:rsid w:val="00A219D5"/>
    <w:rsid w:val="00A21AB7"/>
    <w:rsid w:val="00A21F9A"/>
    <w:rsid w:val="00A220ED"/>
    <w:rsid w:val="00A221D8"/>
    <w:rsid w:val="00A23143"/>
    <w:rsid w:val="00A234BD"/>
    <w:rsid w:val="00A2376B"/>
    <w:rsid w:val="00A2395A"/>
    <w:rsid w:val="00A23AEF"/>
    <w:rsid w:val="00A254F6"/>
    <w:rsid w:val="00A25590"/>
    <w:rsid w:val="00A25BA4"/>
    <w:rsid w:val="00A260EF"/>
    <w:rsid w:val="00A2622C"/>
    <w:rsid w:val="00A26B67"/>
    <w:rsid w:val="00A27300"/>
    <w:rsid w:val="00A27BD8"/>
    <w:rsid w:val="00A27D2F"/>
    <w:rsid w:val="00A3018C"/>
    <w:rsid w:val="00A301C0"/>
    <w:rsid w:val="00A30B1C"/>
    <w:rsid w:val="00A31047"/>
    <w:rsid w:val="00A3132B"/>
    <w:rsid w:val="00A3138E"/>
    <w:rsid w:val="00A31430"/>
    <w:rsid w:val="00A32244"/>
    <w:rsid w:val="00A33E14"/>
    <w:rsid w:val="00A34661"/>
    <w:rsid w:val="00A35E50"/>
    <w:rsid w:val="00A36181"/>
    <w:rsid w:val="00A3621F"/>
    <w:rsid w:val="00A36367"/>
    <w:rsid w:val="00A367E3"/>
    <w:rsid w:val="00A36BDB"/>
    <w:rsid w:val="00A37326"/>
    <w:rsid w:val="00A37F2D"/>
    <w:rsid w:val="00A40CE6"/>
    <w:rsid w:val="00A41AF7"/>
    <w:rsid w:val="00A43BB1"/>
    <w:rsid w:val="00A43D6E"/>
    <w:rsid w:val="00A44208"/>
    <w:rsid w:val="00A44E07"/>
    <w:rsid w:val="00A44E97"/>
    <w:rsid w:val="00A45704"/>
    <w:rsid w:val="00A45809"/>
    <w:rsid w:val="00A45E64"/>
    <w:rsid w:val="00A4790E"/>
    <w:rsid w:val="00A47945"/>
    <w:rsid w:val="00A5008E"/>
    <w:rsid w:val="00A50856"/>
    <w:rsid w:val="00A50DC8"/>
    <w:rsid w:val="00A50F23"/>
    <w:rsid w:val="00A51C5F"/>
    <w:rsid w:val="00A525D9"/>
    <w:rsid w:val="00A527AC"/>
    <w:rsid w:val="00A531F0"/>
    <w:rsid w:val="00A532C1"/>
    <w:rsid w:val="00A54D77"/>
    <w:rsid w:val="00A55197"/>
    <w:rsid w:val="00A55D39"/>
    <w:rsid w:val="00A55F4D"/>
    <w:rsid w:val="00A56113"/>
    <w:rsid w:val="00A56B9E"/>
    <w:rsid w:val="00A57E96"/>
    <w:rsid w:val="00A60010"/>
    <w:rsid w:val="00A6061F"/>
    <w:rsid w:val="00A60654"/>
    <w:rsid w:val="00A6071E"/>
    <w:rsid w:val="00A607AF"/>
    <w:rsid w:val="00A61F57"/>
    <w:rsid w:val="00A62545"/>
    <w:rsid w:val="00A625CA"/>
    <w:rsid w:val="00A62AC0"/>
    <w:rsid w:val="00A62C58"/>
    <w:rsid w:val="00A642D5"/>
    <w:rsid w:val="00A64614"/>
    <w:rsid w:val="00A646A0"/>
    <w:rsid w:val="00A64F85"/>
    <w:rsid w:val="00A6591F"/>
    <w:rsid w:val="00A65CE5"/>
    <w:rsid w:val="00A667D3"/>
    <w:rsid w:val="00A6692B"/>
    <w:rsid w:val="00A6702E"/>
    <w:rsid w:val="00A67334"/>
    <w:rsid w:val="00A67726"/>
    <w:rsid w:val="00A679DE"/>
    <w:rsid w:val="00A70001"/>
    <w:rsid w:val="00A702C7"/>
    <w:rsid w:val="00A70372"/>
    <w:rsid w:val="00A70557"/>
    <w:rsid w:val="00A70D11"/>
    <w:rsid w:val="00A71FA2"/>
    <w:rsid w:val="00A721F1"/>
    <w:rsid w:val="00A723DA"/>
    <w:rsid w:val="00A7271B"/>
    <w:rsid w:val="00A72A75"/>
    <w:rsid w:val="00A7305F"/>
    <w:rsid w:val="00A732CF"/>
    <w:rsid w:val="00A73B8F"/>
    <w:rsid w:val="00A73E4C"/>
    <w:rsid w:val="00A73F78"/>
    <w:rsid w:val="00A745AA"/>
    <w:rsid w:val="00A74738"/>
    <w:rsid w:val="00A75B3E"/>
    <w:rsid w:val="00A762CF"/>
    <w:rsid w:val="00A808AE"/>
    <w:rsid w:val="00A81047"/>
    <w:rsid w:val="00A81144"/>
    <w:rsid w:val="00A812AD"/>
    <w:rsid w:val="00A832C1"/>
    <w:rsid w:val="00A83522"/>
    <w:rsid w:val="00A83DA1"/>
    <w:rsid w:val="00A840A4"/>
    <w:rsid w:val="00A84187"/>
    <w:rsid w:val="00A84E87"/>
    <w:rsid w:val="00A85481"/>
    <w:rsid w:val="00A85EB2"/>
    <w:rsid w:val="00A873D5"/>
    <w:rsid w:val="00A877AF"/>
    <w:rsid w:val="00A877CD"/>
    <w:rsid w:val="00A90451"/>
    <w:rsid w:val="00A90CC6"/>
    <w:rsid w:val="00A90DE2"/>
    <w:rsid w:val="00A91029"/>
    <w:rsid w:val="00A912BF"/>
    <w:rsid w:val="00A92157"/>
    <w:rsid w:val="00A92D2D"/>
    <w:rsid w:val="00A93EC0"/>
    <w:rsid w:val="00A94592"/>
    <w:rsid w:val="00A94F1D"/>
    <w:rsid w:val="00A958A8"/>
    <w:rsid w:val="00A95F03"/>
    <w:rsid w:val="00A97506"/>
    <w:rsid w:val="00A9770C"/>
    <w:rsid w:val="00A97DD7"/>
    <w:rsid w:val="00A97F7C"/>
    <w:rsid w:val="00AA10AE"/>
    <w:rsid w:val="00AA1BBD"/>
    <w:rsid w:val="00AA3341"/>
    <w:rsid w:val="00AA3AD5"/>
    <w:rsid w:val="00AA4106"/>
    <w:rsid w:val="00AA615C"/>
    <w:rsid w:val="00AA6AE5"/>
    <w:rsid w:val="00AA73FD"/>
    <w:rsid w:val="00AA7400"/>
    <w:rsid w:val="00AA7431"/>
    <w:rsid w:val="00AA7564"/>
    <w:rsid w:val="00AA78E3"/>
    <w:rsid w:val="00AA7A85"/>
    <w:rsid w:val="00AA7D1D"/>
    <w:rsid w:val="00AB08B2"/>
    <w:rsid w:val="00AB0CFF"/>
    <w:rsid w:val="00AB0E7B"/>
    <w:rsid w:val="00AB1428"/>
    <w:rsid w:val="00AB1FA1"/>
    <w:rsid w:val="00AB2223"/>
    <w:rsid w:val="00AB270E"/>
    <w:rsid w:val="00AB3072"/>
    <w:rsid w:val="00AB33C9"/>
    <w:rsid w:val="00AB38BB"/>
    <w:rsid w:val="00AB3FA9"/>
    <w:rsid w:val="00AB4060"/>
    <w:rsid w:val="00AB4745"/>
    <w:rsid w:val="00AB488E"/>
    <w:rsid w:val="00AB5019"/>
    <w:rsid w:val="00AB546E"/>
    <w:rsid w:val="00AB62E3"/>
    <w:rsid w:val="00AB6328"/>
    <w:rsid w:val="00AB66CF"/>
    <w:rsid w:val="00AB6A9B"/>
    <w:rsid w:val="00AB755E"/>
    <w:rsid w:val="00AB7669"/>
    <w:rsid w:val="00AC0022"/>
    <w:rsid w:val="00AC0DEC"/>
    <w:rsid w:val="00AC161A"/>
    <w:rsid w:val="00AC16B3"/>
    <w:rsid w:val="00AC16ED"/>
    <w:rsid w:val="00AC1D0C"/>
    <w:rsid w:val="00AC2B16"/>
    <w:rsid w:val="00AC2B7E"/>
    <w:rsid w:val="00AC7AF0"/>
    <w:rsid w:val="00AD05B4"/>
    <w:rsid w:val="00AD132E"/>
    <w:rsid w:val="00AD1B07"/>
    <w:rsid w:val="00AD1E4B"/>
    <w:rsid w:val="00AD20DC"/>
    <w:rsid w:val="00AD20DF"/>
    <w:rsid w:val="00AD34A2"/>
    <w:rsid w:val="00AD3912"/>
    <w:rsid w:val="00AD3C17"/>
    <w:rsid w:val="00AD54B8"/>
    <w:rsid w:val="00AD54E0"/>
    <w:rsid w:val="00AD7168"/>
    <w:rsid w:val="00AD7259"/>
    <w:rsid w:val="00AD74B8"/>
    <w:rsid w:val="00AE01F7"/>
    <w:rsid w:val="00AE05C2"/>
    <w:rsid w:val="00AE0DA8"/>
    <w:rsid w:val="00AE0F12"/>
    <w:rsid w:val="00AE1032"/>
    <w:rsid w:val="00AE17E2"/>
    <w:rsid w:val="00AE1CE5"/>
    <w:rsid w:val="00AE205F"/>
    <w:rsid w:val="00AE2FEA"/>
    <w:rsid w:val="00AE5782"/>
    <w:rsid w:val="00AE5C26"/>
    <w:rsid w:val="00AE6E58"/>
    <w:rsid w:val="00AE6F9D"/>
    <w:rsid w:val="00AE7320"/>
    <w:rsid w:val="00AE7632"/>
    <w:rsid w:val="00AF015E"/>
    <w:rsid w:val="00AF0824"/>
    <w:rsid w:val="00AF124B"/>
    <w:rsid w:val="00AF1A69"/>
    <w:rsid w:val="00AF33CF"/>
    <w:rsid w:val="00AF3680"/>
    <w:rsid w:val="00AF3AA2"/>
    <w:rsid w:val="00AF3B5B"/>
    <w:rsid w:val="00AF3E64"/>
    <w:rsid w:val="00AF42D8"/>
    <w:rsid w:val="00AF4D4C"/>
    <w:rsid w:val="00AF5832"/>
    <w:rsid w:val="00AF5E82"/>
    <w:rsid w:val="00AF72B3"/>
    <w:rsid w:val="00AF793C"/>
    <w:rsid w:val="00B00A20"/>
    <w:rsid w:val="00B00B70"/>
    <w:rsid w:val="00B00BF3"/>
    <w:rsid w:val="00B013DA"/>
    <w:rsid w:val="00B01689"/>
    <w:rsid w:val="00B01921"/>
    <w:rsid w:val="00B019D4"/>
    <w:rsid w:val="00B01FF7"/>
    <w:rsid w:val="00B0238E"/>
    <w:rsid w:val="00B024D4"/>
    <w:rsid w:val="00B024F2"/>
    <w:rsid w:val="00B02D75"/>
    <w:rsid w:val="00B045F4"/>
    <w:rsid w:val="00B05C1F"/>
    <w:rsid w:val="00B06A9A"/>
    <w:rsid w:val="00B06F11"/>
    <w:rsid w:val="00B07421"/>
    <w:rsid w:val="00B100EB"/>
    <w:rsid w:val="00B10353"/>
    <w:rsid w:val="00B10AEA"/>
    <w:rsid w:val="00B11110"/>
    <w:rsid w:val="00B11690"/>
    <w:rsid w:val="00B11887"/>
    <w:rsid w:val="00B11C60"/>
    <w:rsid w:val="00B123BC"/>
    <w:rsid w:val="00B131E6"/>
    <w:rsid w:val="00B13E08"/>
    <w:rsid w:val="00B14303"/>
    <w:rsid w:val="00B14770"/>
    <w:rsid w:val="00B159CE"/>
    <w:rsid w:val="00B16633"/>
    <w:rsid w:val="00B17068"/>
    <w:rsid w:val="00B17A0F"/>
    <w:rsid w:val="00B17AD7"/>
    <w:rsid w:val="00B201A8"/>
    <w:rsid w:val="00B204F7"/>
    <w:rsid w:val="00B21006"/>
    <w:rsid w:val="00B21CE3"/>
    <w:rsid w:val="00B22EA6"/>
    <w:rsid w:val="00B2363C"/>
    <w:rsid w:val="00B238A9"/>
    <w:rsid w:val="00B239F8"/>
    <w:rsid w:val="00B2465D"/>
    <w:rsid w:val="00B247C2"/>
    <w:rsid w:val="00B2625C"/>
    <w:rsid w:val="00B264D5"/>
    <w:rsid w:val="00B267B3"/>
    <w:rsid w:val="00B27728"/>
    <w:rsid w:val="00B307DF"/>
    <w:rsid w:val="00B30B6B"/>
    <w:rsid w:val="00B30B72"/>
    <w:rsid w:val="00B30DE0"/>
    <w:rsid w:val="00B30F42"/>
    <w:rsid w:val="00B31B48"/>
    <w:rsid w:val="00B31BB3"/>
    <w:rsid w:val="00B3204D"/>
    <w:rsid w:val="00B324FE"/>
    <w:rsid w:val="00B32CE0"/>
    <w:rsid w:val="00B32ED6"/>
    <w:rsid w:val="00B3397C"/>
    <w:rsid w:val="00B35638"/>
    <w:rsid w:val="00B3566D"/>
    <w:rsid w:val="00B35A32"/>
    <w:rsid w:val="00B35D19"/>
    <w:rsid w:val="00B36AD6"/>
    <w:rsid w:val="00B41A93"/>
    <w:rsid w:val="00B41AF2"/>
    <w:rsid w:val="00B41CDD"/>
    <w:rsid w:val="00B42280"/>
    <w:rsid w:val="00B43211"/>
    <w:rsid w:val="00B434A3"/>
    <w:rsid w:val="00B4360F"/>
    <w:rsid w:val="00B44EF4"/>
    <w:rsid w:val="00B4502C"/>
    <w:rsid w:val="00B46737"/>
    <w:rsid w:val="00B469CE"/>
    <w:rsid w:val="00B46EDF"/>
    <w:rsid w:val="00B47D1C"/>
    <w:rsid w:val="00B518FB"/>
    <w:rsid w:val="00B51942"/>
    <w:rsid w:val="00B51E21"/>
    <w:rsid w:val="00B52746"/>
    <w:rsid w:val="00B527A7"/>
    <w:rsid w:val="00B529F2"/>
    <w:rsid w:val="00B52F70"/>
    <w:rsid w:val="00B54524"/>
    <w:rsid w:val="00B54EAD"/>
    <w:rsid w:val="00B551BF"/>
    <w:rsid w:val="00B554E7"/>
    <w:rsid w:val="00B5578B"/>
    <w:rsid w:val="00B55ADE"/>
    <w:rsid w:val="00B56022"/>
    <w:rsid w:val="00B564A6"/>
    <w:rsid w:val="00B56563"/>
    <w:rsid w:val="00B566A4"/>
    <w:rsid w:val="00B57F55"/>
    <w:rsid w:val="00B60744"/>
    <w:rsid w:val="00B60BE0"/>
    <w:rsid w:val="00B60C08"/>
    <w:rsid w:val="00B60C92"/>
    <w:rsid w:val="00B60DBF"/>
    <w:rsid w:val="00B61B0C"/>
    <w:rsid w:val="00B6242B"/>
    <w:rsid w:val="00B6260D"/>
    <w:rsid w:val="00B63210"/>
    <w:rsid w:val="00B648F3"/>
    <w:rsid w:val="00B6510E"/>
    <w:rsid w:val="00B6592B"/>
    <w:rsid w:val="00B6603A"/>
    <w:rsid w:val="00B6678A"/>
    <w:rsid w:val="00B66FDE"/>
    <w:rsid w:val="00B677A4"/>
    <w:rsid w:val="00B67876"/>
    <w:rsid w:val="00B70663"/>
    <w:rsid w:val="00B71232"/>
    <w:rsid w:val="00B71A7E"/>
    <w:rsid w:val="00B71BDD"/>
    <w:rsid w:val="00B724E2"/>
    <w:rsid w:val="00B725AB"/>
    <w:rsid w:val="00B730C4"/>
    <w:rsid w:val="00B73EC8"/>
    <w:rsid w:val="00B74329"/>
    <w:rsid w:val="00B74B18"/>
    <w:rsid w:val="00B752E8"/>
    <w:rsid w:val="00B75475"/>
    <w:rsid w:val="00B75AAB"/>
    <w:rsid w:val="00B75E95"/>
    <w:rsid w:val="00B76814"/>
    <w:rsid w:val="00B76DF6"/>
    <w:rsid w:val="00B82116"/>
    <w:rsid w:val="00B821D1"/>
    <w:rsid w:val="00B8256B"/>
    <w:rsid w:val="00B825A8"/>
    <w:rsid w:val="00B826E6"/>
    <w:rsid w:val="00B83CC8"/>
    <w:rsid w:val="00B85003"/>
    <w:rsid w:val="00B8586A"/>
    <w:rsid w:val="00B85895"/>
    <w:rsid w:val="00B85A90"/>
    <w:rsid w:val="00B8624B"/>
    <w:rsid w:val="00B86B6F"/>
    <w:rsid w:val="00B86B7D"/>
    <w:rsid w:val="00B87174"/>
    <w:rsid w:val="00B87985"/>
    <w:rsid w:val="00B87D56"/>
    <w:rsid w:val="00B90368"/>
    <w:rsid w:val="00B90717"/>
    <w:rsid w:val="00B90724"/>
    <w:rsid w:val="00B90E64"/>
    <w:rsid w:val="00B9108B"/>
    <w:rsid w:val="00B911A0"/>
    <w:rsid w:val="00B91247"/>
    <w:rsid w:val="00B91426"/>
    <w:rsid w:val="00B920B3"/>
    <w:rsid w:val="00B9288C"/>
    <w:rsid w:val="00B92D75"/>
    <w:rsid w:val="00B9396E"/>
    <w:rsid w:val="00B93D8A"/>
    <w:rsid w:val="00B93EBC"/>
    <w:rsid w:val="00B952D1"/>
    <w:rsid w:val="00B95ABA"/>
    <w:rsid w:val="00B95F58"/>
    <w:rsid w:val="00B95FA6"/>
    <w:rsid w:val="00B960C2"/>
    <w:rsid w:val="00B97A58"/>
    <w:rsid w:val="00B97E43"/>
    <w:rsid w:val="00BA0360"/>
    <w:rsid w:val="00BA0A0F"/>
    <w:rsid w:val="00BA0DA2"/>
    <w:rsid w:val="00BA1318"/>
    <w:rsid w:val="00BA2E4E"/>
    <w:rsid w:val="00BA2FC7"/>
    <w:rsid w:val="00BA40D5"/>
    <w:rsid w:val="00BA4AB6"/>
    <w:rsid w:val="00BA508F"/>
    <w:rsid w:val="00BA509A"/>
    <w:rsid w:val="00BA54E6"/>
    <w:rsid w:val="00BA54FB"/>
    <w:rsid w:val="00BA5956"/>
    <w:rsid w:val="00BA5C7C"/>
    <w:rsid w:val="00BA6A6F"/>
    <w:rsid w:val="00BA6CD0"/>
    <w:rsid w:val="00BA7344"/>
    <w:rsid w:val="00BA73BC"/>
    <w:rsid w:val="00BA7DBC"/>
    <w:rsid w:val="00BA7E8C"/>
    <w:rsid w:val="00BB03B4"/>
    <w:rsid w:val="00BB0500"/>
    <w:rsid w:val="00BB053E"/>
    <w:rsid w:val="00BB06AA"/>
    <w:rsid w:val="00BB10B1"/>
    <w:rsid w:val="00BB12D8"/>
    <w:rsid w:val="00BB17C1"/>
    <w:rsid w:val="00BB251D"/>
    <w:rsid w:val="00BB2ACF"/>
    <w:rsid w:val="00BB2C8B"/>
    <w:rsid w:val="00BB3411"/>
    <w:rsid w:val="00BB37EF"/>
    <w:rsid w:val="00BB383B"/>
    <w:rsid w:val="00BB3DD7"/>
    <w:rsid w:val="00BB48EC"/>
    <w:rsid w:val="00BB590D"/>
    <w:rsid w:val="00BB5B21"/>
    <w:rsid w:val="00BB6408"/>
    <w:rsid w:val="00BB670A"/>
    <w:rsid w:val="00BB6B2D"/>
    <w:rsid w:val="00BB6C1C"/>
    <w:rsid w:val="00BB75A8"/>
    <w:rsid w:val="00BB7A68"/>
    <w:rsid w:val="00BB7ABA"/>
    <w:rsid w:val="00BC0523"/>
    <w:rsid w:val="00BC112F"/>
    <w:rsid w:val="00BC20AB"/>
    <w:rsid w:val="00BC2D5D"/>
    <w:rsid w:val="00BC38AE"/>
    <w:rsid w:val="00BC3967"/>
    <w:rsid w:val="00BC5BC2"/>
    <w:rsid w:val="00BC742F"/>
    <w:rsid w:val="00BC7AE0"/>
    <w:rsid w:val="00BD0E62"/>
    <w:rsid w:val="00BD14F6"/>
    <w:rsid w:val="00BD1FA3"/>
    <w:rsid w:val="00BD2035"/>
    <w:rsid w:val="00BD2BFC"/>
    <w:rsid w:val="00BD34A5"/>
    <w:rsid w:val="00BD3836"/>
    <w:rsid w:val="00BD395D"/>
    <w:rsid w:val="00BD3B09"/>
    <w:rsid w:val="00BD5376"/>
    <w:rsid w:val="00BD5766"/>
    <w:rsid w:val="00BD5C42"/>
    <w:rsid w:val="00BE0283"/>
    <w:rsid w:val="00BE03BA"/>
    <w:rsid w:val="00BE0846"/>
    <w:rsid w:val="00BE093D"/>
    <w:rsid w:val="00BE0B0D"/>
    <w:rsid w:val="00BE0B44"/>
    <w:rsid w:val="00BE16D9"/>
    <w:rsid w:val="00BE2AD7"/>
    <w:rsid w:val="00BE3D8B"/>
    <w:rsid w:val="00BE44C5"/>
    <w:rsid w:val="00BE466F"/>
    <w:rsid w:val="00BE4A62"/>
    <w:rsid w:val="00BE5CB7"/>
    <w:rsid w:val="00BE5F81"/>
    <w:rsid w:val="00BE758B"/>
    <w:rsid w:val="00BE7751"/>
    <w:rsid w:val="00BF033F"/>
    <w:rsid w:val="00BF0421"/>
    <w:rsid w:val="00BF08E9"/>
    <w:rsid w:val="00BF0989"/>
    <w:rsid w:val="00BF1191"/>
    <w:rsid w:val="00BF201C"/>
    <w:rsid w:val="00BF2215"/>
    <w:rsid w:val="00BF2B16"/>
    <w:rsid w:val="00BF3116"/>
    <w:rsid w:val="00BF391D"/>
    <w:rsid w:val="00BF3F2F"/>
    <w:rsid w:val="00BF4EA8"/>
    <w:rsid w:val="00BF61F9"/>
    <w:rsid w:val="00BF7879"/>
    <w:rsid w:val="00BF7B78"/>
    <w:rsid w:val="00C00116"/>
    <w:rsid w:val="00C01200"/>
    <w:rsid w:val="00C0141F"/>
    <w:rsid w:val="00C01C26"/>
    <w:rsid w:val="00C02380"/>
    <w:rsid w:val="00C02899"/>
    <w:rsid w:val="00C03343"/>
    <w:rsid w:val="00C034BC"/>
    <w:rsid w:val="00C03D6E"/>
    <w:rsid w:val="00C04A9E"/>
    <w:rsid w:val="00C05431"/>
    <w:rsid w:val="00C057EB"/>
    <w:rsid w:val="00C05C78"/>
    <w:rsid w:val="00C07D0A"/>
    <w:rsid w:val="00C07DAD"/>
    <w:rsid w:val="00C1039D"/>
    <w:rsid w:val="00C10D57"/>
    <w:rsid w:val="00C12A63"/>
    <w:rsid w:val="00C13474"/>
    <w:rsid w:val="00C13A15"/>
    <w:rsid w:val="00C13C4E"/>
    <w:rsid w:val="00C14218"/>
    <w:rsid w:val="00C1467B"/>
    <w:rsid w:val="00C15174"/>
    <w:rsid w:val="00C15A45"/>
    <w:rsid w:val="00C15A4D"/>
    <w:rsid w:val="00C1637D"/>
    <w:rsid w:val="00C16A4B"/>
    <w:rsid w:val="00C16F9E"/>
    <w:rsid w:val="00C17252"/>
    <w:rsid w:val="00C20881"/>
    <w:rsid w:val="00C2129A"/>
    <w:rsid w:val="00C21550"/>
    <w:rsid w:val="00C21829"/>
    <w:rsid w:val="00C2240D"/>
    <w:rsid w:val="00C22478"/>
    <w:rsid w:val="00C22683"/>
    <w:rsid w:val="00C22AF2"/>
    <w:rsid w:val="00C22EFA"/>
    <w:rsid w:val="00C2341B"/>
    <w:rsid w:val="00C234AB"/>
    <w:rsid w:val="00C23BC5"/>
    <w:rsid w:val="00C23E6B"/>
    <w:rsid w:val="00C2473D"/>
    <w:rsid w:val="00C24B29"/>
    <w:rsid w:val="00C25926"/>
    <w:rsid w:val="00C25A67"/>
    <w:rsid w:val="00C25BB4"/>
    <w:rsid w:val="00C260C8"/>
    <w:rsid w:val="00C26231"/>
    <w:rsid w:val="00C26FEA"/>
    <w:rsid w:val="00C27037"/>
    <w:rsid w:val="00C27442"/>
    <w:rsid w:val="00C27630"/>
    <w:rsid w:val="00C303E0"/>
    <w:rsid w:val="00C33136"/>
    <w:rsid w:val="00C34070"/>
    <w:rsid w:val="00C341D9"/>
    <w:rsid w:val="00C3472E"/>
    <w:rsid w:val="00C3521F"/>
    <w:rsid w:val="00C3581E"/>
    <w:rsid w:val="00C359FC"/>
    <w:rsid w:val="00C35AFD"/>
    <w:rsid w:val="00C35C21"/>
    <w:rsid w:val="00C377EE"/>
    <w:rsid w:val="00C37F9F"/>
    <w:rsid w:val="00C400BE"/>
    <w:rsid w:val="00C40125"/>
    <w:rsid w:val="00C409CE"/>
    <w:rsid w:val="00C417FA"/>
    <w:rsid w:val="00C42DF4"/>
    <w:rsid w:val="00C43141"/>
    <w:rsid w:val="00C4385C"/>
    <w:rsid w:val="00C44487"/>
    <w:rsid w:val="00C445CD"/>
    <w:rsid w:val="00C44786"/>
    <w:rsid w:val="00C44C83"/>
    <w:rsid w:val="00C44E44"/>
    <w:rsid w:val="00C4562C"/>
    <w:rsid w:val="00C4584C"/>
    <w:rsid w:val="00C463DD"/>
    <w:rsid w:val="00C464A1"/>
    <w:rsid w:val="00C47592"/>
    <w:rsid w:val="00C47A56"/>
    <w:rsid w:val="00C47EAF"/>
    <w:rsid w:val="00C504F3"/>
    <w:rsid w:val="00C50DE6"/>
    <w:rsid w:val="00C513C5"/>
    <w:rsid w:val="00C51ABB"/>
    <w:rsid w:val="00C51E55"/>
    <w:rsid w:val="00C527E9"/>
    <w:rsid w:val="00C52AE9"/>
    <w:rsid w:val="00C52F2E"/>
    <w:rsid w:val="00C5406A"/>
    <w:rsid w:val="00C545A3"/>
    <w:rsid w:val="00C556CD"/>
    <w:rsid w:val="00C562BB"/>
    <w:rsid w:val="00C56E25"/>
    <w:rsid w:val="00C57126"/>
    <w:rsid w:val="00C57C6B"/>
    <w:rsid w:val="00C57DE6"/>
    <w:rsid w:val="00C60506"/>
    <w:rsid w:val="00C61254"/>
    <w:rsid w:val="00C61499"/>
    <w:rsid w:val="00C618F1"/>
    <w:rsid w:val="00C61A86"/>
    <w:rsid w:val="00C63766"/>
    <w:rsid w:val="00C637AC"/>
    <w:rsid w:val="00C63DAE"/>
    <w:rsid w:val="00C640EF"/>
    <w:rsid w:val="00C64231"/>
    <w:rsid w:val="00C649AC"/>
    <w:rsid w:val="00C64DDB"/>
    <w:rsid w:val="00C65657"/>
    <w:rsid w:val="00C65AE3"/>
    <w:rsid w:val="00C66353"/>
    <w:rsid w:val="00C6703B"/>
    <w:rsid w:val="00C7035C"/>
    <w:rsid w:val="00C7049E"/>
    <w:rsid w:val="00C70801"/>
    <w:rsid w:val="00C70AF5"/>
    <w:rsid w:val="00C71FBA"/>
    <w:rsid w:val="00C722B6"/>
    <w:rsid w:val="00C728BA"/>
    <w:rsid w:val="00C729F3"/>
    <w:rsid w:val="00C73FA7"/>
    <w:rsid w:val="00C742C4"/>
    <w:rsid w:val="00C745F3"/>
    <w:rsid w:val="00C748B6"/>
    <w:rsid w:val="00C74F4E"/>
    <w:rsid w:val="00C75823"/>
    <w:rsid w:val="00C75A23"/>
    <w:rsid w:val="00C75E47"/>
    <w:rsid w:val="00C75E84"/>
    <w:rsid w:val="00C76328"/>
    <w:rsid w:val="00C77464"/>
    <w:rsid w:val="00C7759A"/>
    <w:rsid w:val="00C77AC3"/>
    <w:rsid w:val="00C80446"/>
    <w:rsid w:val="00C8095F"/>
    <w:rsid w:val="00C810D3"/>
    <w:rsid w:val="00C813B7"/>
    <w:rsid w:val="00C8216B"/>
    <w:rsid w:val="00C821FA"/>
    <w:rsid w:val="00C8244C"/>
    <w:rsid w:val="00C82562"/>
    <w:rsid w:val="00C826DD"/>
    <w:rsid w:val="00C83750"/>
    <w:rsid w:val="00C83855"/>
    <w:rsid w:val="00C838F6"/>
    <w:rsid w:val="00C84A02"/>
    <w:rsid w:val="00C854EB"/>
    <w:rsid w:val="00C86258"/>
    <w:rsid w:val="00C87357"/>
    <w:rsid w:val="00C8752C"/>
    <w:rsid w:val="00C87777"/>
    <w:rsid w:val="00C87FB8"/>
    <w:rsid w:val="00C901F1"/>
    <w:rsid w:val="00C9044B"/>
    <w:rsid w:val="00C9079E"/>
    <w:rsid w:val="00C9351B"/>
    <w:rsid w:val="00C93D75"/>
    <w:rsid w:val="00C95248"/>
    <w:rsid w:val="00C95571"/>
    <w:rsid w:val="00C965A9"/>
    <w:rsid w:val="00C968CA"/>
    <w:rsid w:val="00C97609"/>
    <w:rsid w:val="00C978E2"/>
    <w:rsid w:val="00C97A44"/>
    <w:rsid w:val="00C97B5F"/>
    <w:rsid w:val="00CA03C4"/>
    <w:rsid w:val="00CA0A00"/>
    <w:rsid w:val="00CA15C2"/>
    <w:rsid w:val="00CA1BA3"/>
    <w:rsid w:val="00CA382B"/>
    <w:rsid w:val="00CA3834"/>
    <w:rsid w:val="00CA4BB3"/>
    <w:rsid w:val="00CA5DBB"/>
    <w:rsid w:val="00CA7231"/>
    <w:rsid w:val="00CA7D22"/>
    <w:rsid w:val="00CA7E2F"/>
    <w:rsid w:val="00CB0F60"/>
    <w:rsid w:val="00CB0F96"/>
    <w:rsid w:val="00CB120D"/>
    <w:rsid w:val="00CB1471"/>
    <w:rsid w:val="00CB1E8D"/>
    <w:rsid w:val="00CB2ECF"/>
    <w:rsid w:val="00CB2FA2"/>
    <w:rsid w:val="00CB3562"/>
    <w:rsid w:val="00CB408A"/>
    <w:rsid w:val="00CB4854"/>
    <w:rsid w:val="00CB558C"/>
    <w:rsid w:val="00CB5885"/>
    <w:rsid w:val="00CB6138"/>
    <w:rsid w:val="00CB658E"/>
    <w:rsid w:val="00CB6985"/>
    <w:rsid w:val="00CB6B6A"/>
    <w:rsid w:val="00CB6D99"/>
    <w:rsid w:val="00CB7577"/>
    <w:rsid w:val="00CB7837"/>
    <w:rsid w:val="00CB7BB5"/>
    <w:rsid w:val="00CB7F8F"/>
    <w:rsid w:val="00CB7FE3"/>
    <w:rsid w:val="00CC063A"/>
    <w:rsid w:val="00CC0C30"/>
    <w:rsid w:val="00CC1230"/>
    <w:rsid w:val="00CC1891"/>
    <w:rsid w:val="00CC193D"/>
    <w:rsid w:val="00CC1B17"/>
    <w:rsid w:val="00CC215E"/>
    <w:rsid w:val="00CC394F"/>
    <w:rsid w:val="00CC48AA"/>
    <w:rsid w:val="00CC4B76"/>
    <w:rsid w:val="00CC5B01"/>
    <w:rsid w:val="00CC6C6A"/>
    <w:rsid w:val="00CC708C"/>
    <w:rsid w:val="00CC7472"/>
    <w:rsid w:val="00CC75D5"/>
    <w:rsid w:val="00CC7DE5"/>
    <w:rsid w:val="00CD08C1"/>
    <w:rsid w:val="00CD1398"/>
    <w:rsid w:val="00CD17E5"/>
    <w:rsid w:val="00CD19E6"/>
    <w:rsid w:val="00CD1C98"/>
    <w:rsid w:val="00CD1E9F"/>
    <w:rsid w:val="00CD24FD"/>
    <w:rsid w:val="00CD2654"/>
    <w:rsid w:val="00CD2B50"/>
    <w:rsid w:val="00CD339E"/>
    <w:rsid w:val="00CD3F6D"/>
    <w:rsid w:val="00CD4294"/>
    <w:rsid w:val="00CD542B"/>
    <w:rsid w:val="00CD58B3"/>
    <w:rsid w:val="00CD64C2"/>
    <w:rsid w:val="00CD7EB4"/>
    <w:rsid w:val="00CE1500"/>
    <w:rsid w:val="00CE2310"/>
    <w:rsid w:val="00CE2841"/>
    <w:rsid w:val="00CE28C2"/>
    <w:rsid w:val="00CE367B"/>
    <w:rsid w:val="00CE41A4"/>
    <w:rsid w:val="00CE4B4D"/>
    <w:rsid w:val="00CE5019"/>
    <w:rsid w:val="00CE5A45"/>
    <w:rsid w:val="00CE6DF5"/>
    <w:rsid w:val="00CE7297"/>
    <w:rsid w:val="00CE758D"/>
    <w:rsid w:val="00CF0267"/>
    <w:rsid w:val="00CF0B3D"/>
    <w:rsid w:val="00CF1D85"/>
    <w:rsid w:val="00CF3433"/>
    <w:rsid w:val="00CF382E"/>
    <w:rsid w:val="00CF4163"/>
    <w:rsid w:val="00CF51B2"/>
    <w:rsid w:val="00CF55D3"/>
    <w:rsid w:val="00CF5690"/>
    <w:rsid w:val="00CF5C83"/>
    <w:rsid w:val="00CF67AE"/>
    <w:rsid w:val="00CF6E12"/>
    <w:rsid w:val="00D002D4"/>
    <w:rsid w:val="00D011F8"/>
    <w:rsid w:val="00D0172B"/>
    <w:rsid w:val="00D01929"/>
    <w:rsid w:val="00D01DA9"/>
    <w:rsid w:val="00D027AF"/>
    <w:rsid w:val="00D02A4F"/>
    <w:rsid w:val="00D02D15"/>
    <w:rsid w:val="00D0610C"/>
    <w:rsid w:val="00D063F9"/>
    <w:rsid w:val="00D0712E"/>
    <w:rsid w:val="00D07D39"/>
    <w:rsid w:val="00D1001E"/>
    <w:rsid w:val="00D11B21"/>
    <w:rsid w:val="00D12315"/>
    <w:rsid w:val="00D13844"/>
    <w:rsid w:val="00D13C5E"/>
    <w:rsid w:val="00D13D18"/>
    <w:rsid w:val="00D147BC"/>
    <w:rsid w:val="00D14D03"/>
    <w:rsid w:val="00D1515D"/>
    <w:rsid w:val="00D15BAB"/>
    <w:rsid w:val="00D16D16"/>
    <w:rsid w:val="00D178AB"/>
    <w:rsid w:val="00D17A46"/>
    <w:rsid w:val="00D17CB2"/>
    <w:rsid w:val="00D20597"/>
    <w:rsid w:val="00D20A91"/>
    <w:rsid w:val="00D20C25"/>
    <w:rsid w:val="00D21075"/>
    <w:rsid w:val="00D212EB"/>
    <w:rsid w:val="00D2431D"/>
    <w:rsid w:val="00D2453D"/>
    <w:rsid w:val="00D24B0D"/>
    <w:rsid w:val="00D253A3"/>
    <w:rsid w:val="00D257D4"/>
    <w:rsid w:val="00D25EF9"/>
    <w:rsid w:val="00D265EC"/>
    <w:rsid w:val="00D26609"/>
    <w:rsid w:val="00D26803"/>
    <w:rsid w:val="00D2696F"/>
    <w:rsid w:val="00D27510"/>
    <w:rsid w:val="00D3020E"/>
    <w:rsid w:val="00D30BCE"/>
    <w:rsid w:val="00D3106A"/>
    <w:rsid w:val="00D315D8"/>
    <w:rsid w:val="00D316C8"/>
    <w:rsid w:val="00D31810"/>
    <w:rsid w:val="00D31CA6"/>
    <w:rsid w:val="00D321F1"/>
    <w:rsid w:val="00D32C7F"/>
    <w:rsid w:val="00D32DBB"/>
    <w:rsid w:val="00D33981"/>
    <w:rsid w:val="00D341A2"/>
    <w:rsid w:val="00D354C2"/>
    <w:rsid w:val="00D36618"/>
    <w:rsid w:val="00D36AF8"/>
    <w:rsid w:val="00D36D03"/>
    <w:rsid w:val="00D37185"/>
    <w:rsid w:val="00D3718D"/>
    <w:rsid w:val="00D37DE5"/>
    <w:rsid w:val="00D37F0F"/>
    <w:rsid w:val="00D404EC"/>
    <w:rsid w:val="00D40896"/>
    <w:rsid w:val="00D40F2D"/>
    <w:rsid w:val="00D41A85"/>
    <w:rsid w:val="00D41ADB"/>
    <w:rsid w:val="00D41DCB"/>
    <w:rsid w:val="00D42C08"/>
    <w:rsid w:val="00D43189"/>
    <w:rsid w:val="00D436A4"/>
    <w:rsid w:val="00D437F2"/>
    <w:rsid w:val="00D43AED"/>
    <w:rsid w:val="00D44652"/>
    <w:rsid w:val="00D4475C"/>
    <w:rsid w:val="00D44CB1"/>
    <w:rsid w:val="00D44E01"/>
    <w:rsid w:val="00D45695"/>
    <w:rsid w:val="00D461E8"/>
    <w:rsid w:val="00D463F0"/>
    <w:rsid w:val="00D46AC6"/>
    <w:rsid w:val="00D46EE8"/>
    <w:rsid w:val="00D46F34"/>
    <w:rsid w:val="00D471E3"/>
    <w:rsid w:val="00D47252"/>
    <w:rsid w:val="00D47631"/>
    <w:rsid w:val="00D506FF"/>
    <w:rsid w:val="00D50723"/>
    <w:rsid w:val="00D50DEA"/>
    <w:rsid w:val="00D50E12"/>
    <w:rsid w:val="00D50E24"/>
    <w:rsid w:val="00D51CCA"/>
    <w:rsid w:val="00D52044"/>
    <w:rsid w:val="00D521CF"/>
    <w:rsid w:val="00D52726"/>
    <w:rsid w:val="00D52F9B"/>
    <w:rsid w:val="00D535A1"/>
    <w:rsid w:val="00D53C6F"/>
    <w:rsid w:val="00D54934"/>
    <w:rsid w:val="00D54A89"/>
    <w:rsid w:val="00D55D99"/>
    <w:rsid w:val="00D562A9"/>
    <w:rsid w:val="00D565E7"/>
    <w:rsid w:val="00D56835"/>
    <w:rsid w:val="00D56987"/>
    <w:rsid w:val="00D57A91"/>
    <w:rsid w:val="00D57F41"/>
    <w:rsid w:val="00D609D2"/>
    <w:rsid w:val="00D60FA6"/>
    <w:rsid w:val="00D61621"/>
    <w:rsid w:val="00D6162B"/>
    <w:rsid w:val="00D61910"/>
    <w:rsid w:val="00D61A7C"/>
    <w:rsid w:val="00D61E4B"/>
    <w:rsid w:val="00D62451"/>
    <w:rsid w:val="00D62A0D"/>
    <w:rsid w:val="00D62C67"/>
    <w:rsid w:val="00D64078"/>
    <w:rsid w:val="00D64A09"/>
    <w:rsid w:val="00D64E19"/>
    <w:rsid w:val="00D658F9"/>
    <w:rsid w:val="00D66241"/>
    <w:rsid w:val="00D66B2F"/>
    <w:rsid w:val="00D66F9D"/>
    <w:rsid w:val="00D677BD"/>
    <w:rsid w:val="00D67F0F"/>
    <w:rsid w:val="00D7056E"/>
    <w:rsid w:val="00D70C95"/>
    <w:rsid w:val="00D714FA"/>
    <w:rsid w:val="00D7181E"/>
    <w:rsid w:val="00D71E9D"/>
    <w:rsid w:val="00D73C04"/>
    <w:rsid w:val="00D74CBE"/>
    <w:rsid w:val="00D751A2"/>
    <w:rsid w:val="00D75376"/>
    <w:rsid w:val="00D75519"/>
    <w:rsid w:val="00D76C0E"/>
    <w:rsid w:val="00D76C43"/>
    <w:rsid w:val="00D772B9"/>
    <w:rsid w:val="00D8000F"/>
    <w:rsid w:val="00D80082"/>
    <w:rsid w:val="00D801E0"/>
    <w:rsid w:val="00D809B4"/>
    <w:rsid w:val="00D81140"/>
    <w:rsid w:val="00D81233"/>
    <w:rsid w:val="00D814DE"/>
    <w:rsid w:val="00D816CF"/>
    <w:rsid w:val="00D822B1"/>
    <w:rsid w:val="00D830EF"/>
    <w:rsid w:val="00D832C0"/>
    <w:rsid w:val="00D83B24"/>
    <w:rsid w:val="00D83EAC"/>
    <w:rsid w:val="00D846F7"/>
    <w:rsid w:val="00D84909"/>
    <w:rsid w:val="00D8558D"/>
    <w:rsid w:val="00D85A7B"/>
    <w:rsid w:val="00D85B8F"/>
    <w:rsid w:val="00D85D41"/>
    <w:rsid w:val="00D870E0"/>
    <w:rsid w:val="00D871BE"/>
    <w:rsid w:val="00D87B0F"/>
    <w:rsid w:val="00D87D6F"/>
    <w:rsid w:val="00D87F67"/>
    <w:rsid w:val="00D90D0E"/>
    <w:rsid w:val="00D9203E"/>
    <w:rsid w:val="00D92894"/>
    <w:rsid w:val="00D92C51"/>
    <w:rsid w:val="00D9339E"/>
    <w:rsid w:val="00D93467"/>
    <w:rsid w:val="00D93F65"/>
    <w:rsid w:val="00D95B5C"/>
    <w:rsid w:val="00D9638B"/>
    <w:rsid w:val="00D9765A"/>
    <w:rsid w:val="00D979CF"/>
    <w:rsid w:val="00D97A24"/>
    <w:rsid w:val="00DA172A"/>
    <w:rsid w:val="00DA1836"/>
    <w:rsid w:val="00DA24E4"/>
    <w:rsid w:val="00DA36CE"/>
    <w:rsid w:val="00DA4C9F"/>
    <w:rsid w:val="00DA5D32"/>
    <w:rsid w:val="00DA6603"/>
    <w:rsid w:val="00DA6D6F"/>
    <w:rsid w:val="00DA6F5F"/>
    <w:rsid w:val="00DA7CDE"/>
    <w:rsid w:val="00DB045A"/>
    <w:rsid w:val="00DB1D51"/>
    <w:rsid w:val="00DB2F72"/>
    <w:rsid w:val="00DB3940"/>
    <w:rsid w:val="00DB3A93"/>
    <w:rsid w:val="00DB54F1"/>
    <w:rsid w:val="00DB566F"/>
    <w:rsid w:val="00DB599B"/>
    <w:rsid w:val="00DB62F5"/>
    <w:rsid w:val="00DB657D"/>
    <w:rsid w:val="00DB66D8"/>
    <w:rsid w:val="00DB70EA"/>
    <w:rsid w:val="00DB7AF4"/>
    <w:rsid w:val="00DB7D47"/>
    <w:rsid w:val="00DC05EE"/>
    <w:rsid w:val="00DC063D"/>
    <w:rsid w:val="00DC14DF"/>
    <w:rsid w:val="00DC14F4"/>
    <w:rsid w:val="00DC3204"/>
    <w:rsid w:val="00DC412E"/>
    <w:rsid w:val="00DC4B66"/>
    <w:rsid w:val="00DC4F41"/>
    <w:rsid w:val="00DC4FE9"/>
    <w:rsid w:val="00DC5D88"/>
    <w:rsid w:val="00DC6FE0"/>
    <w:rsid w:val="00DC760C"/>
    <w:rsid w:val="00DC7AD5"/>
    <w:rsid w:val="00DC7E36"/>
    <w:rsid w:val="00DD04A1"/>
    <w:rsid w:val="00DD0754"/>
    <w:rsid w:val="00DD0C74"/>
    <w:rsid w:val="00DD1962"/>
    <w:rsid w:val="00DD1B94"/>
    <w:rsid w:val="00DD269B"/>
    <w:rsid w:val="00DD33DB"/>
    <w:rsid w:val="00DD3876"/>
    <w:rsid w:val="00DD3BED"/>
    <w:rsid w:val="00DD3C55"/>
    <w:rsid w:val="00DD3CE9"/>
    <w:rsid w:val="00DD4040"/>
    <w:rsid w:val="00DD427D"/>
    <w:rsid w:val="00DD4D3C"/>
    <w:rsid w:val="00DD5CD6"/>
    <w:rsid w:val="00DD66F7"/>
    <w:rsid w:val="00DD739B"/>
    <w:rsid w:val="00DD749D"/>
    <w:rsid w:val="00DD7659"/>
    <w:rsid w:val="00DD7960"/>
    <w:rsid w:val="00DE0012"/>
    <w:rsid w:val="00DE0588"/>
    <w:rsid w:val="00DE087D"/>
    <w:rsid w:val="00DE1106"/>
    <w:rsid w:val="00DE11F1"/>
    <w:rsid w:val="00DE142E"/>
    <w:rsid w:val="00DE1862"/>
    <w:rsid w:val="00DE19FE"/>
    <w:rsid w:val="00DE1AE6"/>
    <w:rsid w:val="00DE2907"/>
    <w:rsid w:val="00DE2F3D"/>
    <w:rsid w:val="00DE4272"/>
    <w:rsid w:val="00DE42B2"/>
    <w:rsid w:val="00DE458C"/>
    <w:rsid w:val="00DE4997"/>
    <w:rsid w:val="00DE4CD7"/>
    <w:rsid w:val="00DE4D06"/>
    <w:rsid w:val="00DE52D3"/>
    <w:rsid w:val="00DE5480"/>
    <w:rsid w:val="00DE58F0"/>
    <w:rsid w:val="00DE691E"/>
    <w:rsid w:val="00DE6A8A"/>
    <w:rsid w:val="00DE6FFE"/>
    <w:rsid w:val="00DE7ABF"/>
    <w:rsid w:val="00DE7AED"/>
    <w:rsid w:val="00DE7AF4"/>
    <w:rsid w:val="00DF0A41"/>
    <w:rsid w:val="00DF211E"/>
    <w:rsid w:val="00DF33AE"/>
    <w:rsid w:val="00DF3EF9"/>
    <w:rsid w:val="00DF4D88"/>
    <w:rsid w:val="00DF51A1"/>
    <w:rsid w:val="00DF554D"/>
    <w:rsid w:val="00DF5602"/>
    <w:rsid w:val="00DF582F"/>
    <w:rsid w:val="00DF5BD3"/>
    <w:rsid w:val="00DF5C30"/>
    <w:rsid w:val="00DF6052"/>
    <w:rsid w:val="00DF66E6"/>
    <w:rsid w:val="00DF6937"/>
    <w:rsid w:val="00DF6DDC"/>
    <w:rsid w:val="00E005F9"/>
    <w:rsid w:val="00E00E56"/>
    <w:rsid w:val="00E00FDD"/>
    <w:rsid w:val="00E0127F"/>
    <w:rsid w:val="00E01293"/>
    <w:rsid w:val="00E019FB"/>
    <w:rsid w:val="00E02DE3"/>
    <w:rsid w:val="00E05F04"/>
    <w:rsid w:val="00E0627B"/>
    <w:rsid w:val="00E07893"/>
    <w:rsid w:val="00E07E5F"/>
    <w:rsid w:val="00E106AC"/>
    <w:rsid w:val="00E10E5C"/>
    <w:rsid w:val="00E1129F"/>
    <w:rsid w:val="00E12FE0"/>
    <w:rsid w:val="00E13409"/>
    <w:rsid w:val="00E134E4"/>
    <w:rsid w:val="00E141BA"/>
    <w:rsid w:val="00E1479A"/>
    <w:rsid w:val="00E14EC2"/>
    <w:rsid w:val="00E15341"/>
    <w:rsid w:val="00E1600A"/>
    <w:rsid w:val="00E1611A"/>
    <w:rsid w:val="00E1772A"/>
    <w:rsid w:val="00E20649"/>
    <w:rsid w:val="00E20A08"/>
    <w:rsid w:val="00E20AC9"/>
    <w:rsid w:val="00E20F87"/>
    <w:rsid w:val="00E21780"/>
    <w:rsid w:val="00E21D75"/>
    <w:rsid w:val="00E22007"/>
    <w:rsid w:val="00E231A5"/>
    <w:rsid w:val="00E25317"/>
    <w:rsid w:val="00E25D09"/>
    <w:rsid w:val="00E26E0E"/>
    <w:rsid w:val="00E26EE2"/>
    <w:rsid w:val="00E319EF"/>
    <w:rsid w:val="00E3286D"/>
    <w:rsid w:val="00E32AA8"/>
    <w:rsid w:val="00E32FB2"/>
    <w:rsid w:val="00E33A5D"/>
    <w:rsid w:val="00E34D4C"/>
    <w:rsid w:val="00E34D7E"/>
    <w:rsid w:val="00E352A7"/>
    <w:rsid w:val="00E35650"/>
    <w:rsid w:val="00E35824"/>
    <w:rsid w:val="00E35D50"/>
    <w:rsid w:val="00E36223"/>
    <w:rsid w:val="00E36664"/>
    <w:rsid w:val="00E36994"/>
    <w:rsid w:val="00E36B31"/>
    <w:rsid w:val="00E36E46"/>
    <w:rsid w:val="00E378F8"/>
    <w:rsid w:val="00E37C56"/>
    <w:rsid w:val="00E37D78"/>
    <w:rsid w:val="00E40273"/>
    <w:rsid w:val="00E421A5"/>
    <w:rsid w:val="00E42CA7"/>
    <w:rsid w:val="00E438EC"/>
    <w:rsid w:val="00E44B92"/>
    <w:rsid w:val="00E45B37"/>
    <w:rsid w:val="00E45E84"/>
    <w:rsid w:val="00E46200"/>
    <w:rsid w:val="00E46258"/>
    <w:rsid w:val="00E463A7"/>
    <w:rsid w:val="00E46CC9"/>
    <w:rsid w:val="00E46D33"/>
    <w:rsid w:val="00E46F9F"/>
    <w:rsid w:val="00E504A5"/>
    <w:rsid w:val="00E50C09"/>
    <w:rsid w:val="00E513B3"/>
    <w:rsid w:val="00E5150F"/>
    <w:rsid w:val="00E517E2"/>
    <w:rsid w:val="00E524F9"/>
    <w:rsid w:val="00E52F0C"/>
    <w:rsid w:val="00E5334D"/>
    <w:rsid w:val="00E5357F"/>
    <w:rsid w:val="00E5405B"/>
    <w:rsid w:val="00E5472C"/>
    <w:rsid w:val="00E55261"/>
    <w:rsid w:val="00E559F8"/>
    <w:rsid w:val="00E56D8C"/>
    <w:rsid w:val="00E57AE9"/>
    <w:rsid w:val="00E57B62"/>
    <w:rsid w:val="00E61811"/>
    <w:rsid w:val="00E632A6"/>
    <w:rsid w:val="00E636DA"/>
    <w:rsid w:val="00E63787"/>
    <w:rsid w:val="00E64006"/>
    <w:rsid w:val="00E640DA"/>
    <w:rsid w:val="00E641C5"/>
    <w:rsid w:val="00E6448B"/>
    <w:rsid w:val="00E644F4"/>
    <w:rsid w:val="00E64522"/>
    <w:rsid w:val="00E64BB7"/>
    <w:rsid w:val="00E64BE4"/>
    <w:rsid w:val="00E65446"/>
    <w:rsid w:val="00E66447"/>
    <w:rsid w:val="00E66958"/>
    <w:rsid w:val="00E67047"/>
    <w:rsid w:val="00E672A7"/>
    <w:rsid w:val="00E675CF"/>
    <w:rsid w:val="00E707B3"/>
    <w:rsid w:val="00E708CF"/>
    <w:rsid w:val="00E721C8"/>
    <w:rsid w:val="00E725D1"/>
    <w:rsid w:val="00E73102"/>
    <w:rsid w:val="00E73141"/>
    <w:rsid w:val="00E7376D"/>
    <w:rsid w:val="00E73A88"/>
    <w:rsid w:val="00E73C26"/>
    <w:rsid w:val="00E741EB"/>
    <w:rsid w:val="00E74C6A"/>
    <w:rsid w:val="00E74E8E"/>
    <w:rsid w:val="00E75E14"/>
    <w:rsid w:val="00E76871"/>
    <w:rsid w:val="00E768D9"/>
    <w:rsid w:val="00E772F5"/>
    <w:rsid w:val="00E773BA"/>
    <w:rsid w:val="00E776CC"/>
    <w:rsid w:val="00E777F2"/>
    <w:rsid w:val="00E80611"/>
    <w:rsid w:val="00E81C37"/>
    <w:rsid w:val="00E82A94"/>
    <w:rsid w:val="00E83450"/>
    <w:rsid w:val="00E83B2D"/>
    <w:rsid w:val="00E85AA4"/>
    <w:rsid w:val="00E85F38"/>
    <w:rsid w:val="00E8674B"/>
    <w:rsid w:val="00E86E79"/>
    <w:rsid w:val="00E87193"/>
    <w:rsid w:val="00E876A3"/>
    <w:rsid w:val="00E90399"/>
    <w:rsid w:val="00E9094D"/>
    <w:rsid w:val="00E90AE2"/>
    <w:rsid w:val="00E91075"/>
    <w:rsid w:val="00E910F7"/>
    <w:rsid w:val="00E91D71"/>
    <w:rsid w:val="00E91FC6"/>
    <w:rsid w:val="00E926F6"/>
    <w:rsid w:val="00E92750"/>
    <w:rsid w:val="00E92B5B"/>
    <w:rsid w:val="00E93B87"/>
    <w:rsid w:val="00E94130"/>
    <w:rsid w:val="00E94B2D"/>
    <w:rsid w:val="00E950C6"/>
    <w:rsid w:val="00E957E9"/>
    <w:rsid w:val="00E95DB8"/>
    <w:rsid w:val="00E95DEA"/>
    <w:rsid w:val="00E95E44"/>
    <w:rsid w:val="00E96179"/>
    <w:rsid w:val="00E96919"/>
    <w:rsid w:val="00EA038D"/>
    <w:rsid w:val="00EA0861"/>
    <w:rsid w:val="00EA0AB0"/>
    <w:rsid w:val="00EA0EE9"/>
    <w:rsid w:val="00EA171E"/>
    <w:rsid w:val="00EA18C8"/>
    <w:rsid w:val="00EA1A47"/>
    <w:rsid w:val="00EA392E"/>
    <w:rsid w:val="00EA3F78"/>
    <w:rsid w:val="00EA4359"/>
    <w:rsid w:val="00EA4E94"/>
    <w:rsid w:val="00EA518F"/>
    <w:rsid w:val="00EA5AF1"/>
    <w:rsid w:val="00EA5E7D"/>
    <w:rsid w:val="00EA60F3"/>
    <w:rsid w:val="00EA66F7"/>
    <w:rsid w:val="00EA765C"/>
    <w:rsid w:val="00EA7C0E"/>
    <w:rsid w:val="00EB0388"/>
    <w:rsid w:val="00EB0432"/>
    <w:rsid w:val="00EB0772"/>
    <w:rsid w:val="00EB0B64"/>
    <w:rsid w:val="00EB2002"/>
    <w:rsid w:val="00EB2377"/>
    <w:rsid w:val="00EB27D1"/>
    <w:rsid w:val="00EB2914"/>
    <w:rsid w:val="00EB2A51"/>
    <w:rsid w:val="00EB2C93"/>
    <w:rsid w:val="00EB30B0"/>
    <w:rsid w:val="00EB387A"/>
    <w:rsid w:val="00EB429D"/>
    <w:rsid w:val="00EB4E4D"/>
    <w:rsid w:val="00EB4E68"/>
    <w:rsid w:val="00EB59F3"/>
    <w:rsid w:val="00EB60F3"/>
    <w:rsid w:val="00EB6BCE"/>
    <w:rsid w:val="00EB6DE4"/>
    <w:rsid w:val="00EC0749"/>
    <w:rsid w:val="00EC110E"/>
    <w:rsid w:val="00EC156B"/>
    <w:rsid w:val="00EC1A3D"/>
    <w:rsid w:val="00EC1ABB"/>
    <w:rsid w:val="00EC1E3D"/>
    <w:rsid w:val="00EC2AA2"/>
    <w:rsid w:val="00EC2F50"/>
    <w:rsid w:val="00EC4E83"/>
    <w:rsid w:val="00EC54F7"/>
    <w:rsid w:val="00EC6704"/>
    <w:rsid w:val="00EC6A3D"/>
    <w:rsid w:val="00EC6E84"/>
    <w:rsid w:val="00EC6FAD"/>
    <w:rsid w:val="00EC71E4"/>
    <w:rsid w:val="00EC77C5"/>
    <w:rsid w:val="00ED08B1"/>
    <w:rsid w:val="00ED0D26"/>
    <w:rsid w:val="00ED1D5D"/>
    <w:rsid w:val="00ED263E"/>
    <w:rsid w:val="00ED2CC8"/>
    <w:rsid w:val="00ED2D3A"/>
    <w:rsid w:val="00ED314E"/>
    <w:rsid w:val="00ED3836"/>
    <w:rsid w:val="00ED4E7E"/>
    <w:rsid w:val="00ED54CB"/>
    <w:rsid w:val="00ED5822"/>
    <w:rsid w:val="00ED5929"/>
    <w:rsid w:val="00ED59CF"/>
    <w:rsid w:val="00ED63C2"/>
    <w:rsid w:val="00ED691C"/>
    <w:rsid w:val="00ED752B"/>
    <w:rsid w:val="00ED7984"/>
    <w:rsid w:val="00ED7A40"/>
    <w:rsid w:val="00ED7AAD"/>
    <w:rsid w:val="00ED7C28"/>
    <w:rsid w:val="00EE04A4"/>
    <w:rsid w:val="00EE059E"/>
    <w:rsid w:val="00EE05C4"/>
    <w:rsid w:val="00EE0806"/>
    <w:rsid w:val="00EE2CF6"/>
    <w:rsid w:val="00EE31F1"/>
    <w:rsid w:val="00EE3986"/>
    <w:rsid w:val="00EE47FE"/>
    <w:rsid w:val="00EE50D0"/>
    <w:rsid w:val="00EE5DE5"/>
    <w:rsid w:val="00EE6153"/>
    <w:rsid w:val="00EE6452"/>
    <w:rsid w:val="00EE66F0"/>
    <w:rsid w:val="00EE68D0"/>
    <w:rsid w:val="00EE7F50"/>
    <w:rsid w:val="00EF0742"/>
    <w:rsid w:val="00EF0BD4"/>
    <w:rsid w:val="00EF0C39"/>
    <w:rsid w:val="00EF2B5E"/>
    <w:rsid w:val="00EF2C7D"/>
    <w:rsid w:val="00EF3C67"/>
    <w:rsid w:val="00EF3C90"/>
    <w:rsid w:val="00EF4223"/>
    <w:rsid w:val="00EF4B3C"/>
    <w:rsid w:val="00EF4B6C"/>
    <w:rsid w:val="00EF4BA8"/>
    <w:rsid w:val="00EF549C"/>
    <w:rsid w:val="00EF590E"/>
    <w:rsid w:val="00EF604A"/>
    <w:rsid w:val="00EF6D5F"/>
    <w:rsid w:val="00EF6E5C"/>
    <w:rsid w:val="00EF7C74"/>
    <w:rsid w:val="00F00A36"/>
    <w:rsid w:val="00F01AC1"/>
    <w:rsid w:val="00F023EB"/>
    <w:rsid w:val="00F03113"/>
    <w:rsid w:val="00F0330C"/>
    <w:rsid w:val="00F03639"/>
    <w:rsid w:val="00F03727"/>
    <w:rsid w:val="00F03DCF"/>
    <w:rsid w:val="00F0474D"/>
    <w:rsid w:val="00F0513A"/>
    <w:rsid w:val="00F05702"/>
    <w:rsid w:val="00F06307"/>
    <w:rsid w:val="00F065E0"/>
    <w:rsid w:val="00F073D9"/>
    <w:rsid w:val="00F07579"/>
    <w:rsid w:val="00F079A7"/>
    <w:rsid w:val="00F10EF3"/>
    <w:rsid w:val="00F1179B"/>
    <w:rsid w:val="00F11D61"/>
    <w:rsid w:val="00F12582"/>
    <w:rsid w:val="00F1269D"/>
    <w:rsid w:val="00F12870"/>
    <w:rsid w:val="00F12E0C"/>
    <w:rsid w:val="00F12E21"/>
    <w:rsid w:val="00F12EBF"/>
    <w:rsid w:val="00F13235"/>
    <w:rsid w:val="00F13E3F"/>
    <w:rsid w:val="00F14B66"/>
    <w:rsid w:val="00F154FD"/>
    <w:rsid w:val="00F168A9"/>
    <w:rsid w:val="00F16AAA"/>
    <w:rsid w:val="00F172E7"/>
    <w:rsid w:val="00F17BBE"/>
    <w:rsid w:val="00F17C0A"/>
    <w:rsid w:val="00F205FF"/>
    <w:rsid w:val="00F23211"/>
    <w:rsid w:val="00F23CEE"/>
    <w:rsid w:val="00F243D6"/>
    <w:rsid w:val="00F249FA"/>
    <w:rsid w:val="00F25782"/>
    <w:rsid w:val="00F261E9"/>
    <w:rsid w:val="00F26CDB"/>
    <w:rsid w:val="00F2711F"/>
    <w:rsid w:val="00F2725A"/>
    <w:rsid w:val="00F2740E"/>
    <w:rsid w:val="00F27F7C"/>
    <w:rsid w:val="00F30043"/>
    <w:rsid w:val="00F300E8"/>
    <w:rsid w:val="00F30BE8"/>
    <w:rsid w:val="00F310F8"/>
    <w:rsid w:val="00F33297"/>
    <w:rsid w:val="00F335DE"/>
    <w:rsid w:val="00F337AD"/>
    <w:rsid w:val="00F339F6"/>
    <w:rsid w:val="00F33B40"/>
    <w:rsid w:val="00F344A7"/>
    <w:rsid w:val="00F35298"/>
    <w:rsid w:val="00F3657B"/>
    <w:rsid w:val="00F3682C"/>
    <w:rsid w:val="00F37CC9"/>
    <w:rsid w:val="00F407CD"/>
    <w:rsid w:val="00F40EE8"/>
    <w:rsid w:val="00F4243F"/>
    <w:rsid w:val="00F427DE"/>
    <w:rsid w:val="00F42AF2"/>
    <w:rsid w:val="00F42B61"/>
    <w:rsid w:val="00F42CB0"/>
    <w:rsid w:val="00F4359A"/>
    <w:rsid w:val="00F43924"/>
    <w:rsid w:val="00F43CFA"/>
    <w:rsid w:val="00F44245"/>
    <w:rsid w:val="00F449D3"/>
    <w:rsid w:val="00F44A1C"/>
    <w:rsid w:val="00F44FDA"/>
    <w:rsid w:val="00F45DD1"/>
    <w:rsid w:val="00F4643D"/>
    <w:rsid w:val="00F4681A"/>
    <w:rsid w:val="00F46B25"/>
    <w:rsid w:val="00F472DD"/>
    <w:rsid w:val="00F47389"/>
    <w:rsid w:val="00F479A6"/>
    <w:rsid w:val="00F504E7"/>
    <w:rsid w:val="00F51A3C"/>
    <w:rsid w:val="00F52218"/>
    <w:rsid w:val="00F52631"/>
    <w:rsid w:val="00F52D35"/>
    <w:rsid w:val="00F52F8B"/>
    <w:rsid w:val="00F535AE"/>
    <w:rsid w:val="00F53B52"/>
    <w:rsid w:val="00F54C7B"/>
    <w:rsid w:val="00F553D4"/>
    <w:rsid w:val="00F5569C"/>
    <w:rsid w:val="00F556B1"/>
    <w:rsid w:val="00F55925"/>
    <w:rsid w:val="00F563E3"/>
    <w:rsid w:val="00F569DE"/>
    <w:rsid w:val="00F56CDC"/>
    <w:rsid w:val="00F570A3"/>
    <w:rsid w:val="00F5779D"/>
    <w:rsid w:val="00F57837"/>
    <w:rsid w:val="00F578DC"/>
    <w:rsid w:val="00F57BB6"/>
    <w:rsid w:val="00F57D45"/>
    <w:rsid w:val="00F61FC5"/>
    <w:rsid w:val="00F62B93"/>
    <w:rsid w:val="00F63DD3"/>
    <w:rsid w:val="00F65292"/>
    <w:rsid w:val="00F65317"/>
    <w:rsid w:val="00F65E7C"/>
    <w:rsid w:val="00F66201"/>
    <w:rsid w:val="00F66ED7"/>
    <w:rsid w:val="00F66F06"/>
    <w:rsid w:val="00F7008A"/>
    <w:rsid w:val="00F7021F"/>
    <w:rsid w:val="00F7033A"/>
    <w:rsid w:val="00F7050C"/>
    <w:rsid w:val="00F705F8"/>
    <w:rsid w:val="00F71F47"/>
    <w:rsid w:val="00F7223B"/>
    <w:rsid w:val="00F7229D"/>
    <w:rsid w:val="00F72BBC"/>
    <w:rsid w:val="00F72C91"/>
    <w:rsid w:val="00F73207"/>
    <w:rsid w:val="00F733AC"/>
    <w:rsid w:val="00F737FC"/>
    <w:rsid w:val="00F742F3"/>
    <w:rsid w:val="00F751FE"/>
    <w:rsid w:val="00F7585C"/>
    <w:rsid w:val="00F77547"/>
    <w:rsid w:val="00F77792"/>
    <w:rsid w:val="00F77C4D"/>
    <w:rsid w:val="00F800A5"/>
    <w:rsid w:val="00F8048B"/>
    <w:rsid w:val="00F80C24"/>
    <w:rsid w:val="00F81E4C"/>
    <w:rsid w:val="00F826D4"/>
    <w:rsid w:val="00F82935"/>
    <w:rsid w:val="00F8307C"/>
    <w:rsid w:val="00F83D9D"/>
    <w:rsid w:val="00F86383"/>
    <w:rsid w:val="00F867B3"/>
    <w:rsid w:val="00F86A6B"/>
    <w:rsid w:val="00F87AC6"/>
    <w:rsid w:val="00F90573"/>
    <w:rsid w:val="00F91AA1"/>
    <w:rsid w:val="00F91C30"/>
    <w:rsid w:val="00F91FBD"/>
    <w:rsid w:val="00F921FA"/>
    <w:rsid w:val="00F942F9"/>
    <w:rsid w:val="00F94446"/>
    <w:rsid w:val="00F94A66"/>
    <w:rsid w:val="00F94EEC"/>
    <w:rsid w:val="00F95004"/>
    <w:rsid w:val="00F95A7C"/>
    <w:rsid w:val="00F97126"/>
    <w:rsid w:val="00F97843"/>
    <w:rsid w:val="00F97F57"/>
    <w:rsid w:val="00FA0DE4"/>
    <w:rsid w:val="00FA2568"/>
    <w:rsid w:val="00FA28FE"/>
    <w:rsid w:val="00FA2C67"/>
    <w:rsid w:val="00FA4D07"/>
    <w:rsid w:val="00FA5E55"/>
    <w:rsid w:val="00FA64B2"/>
    <w:rsid w:val="00FA7B7E"/>
    <w:rsid w:val="00FB01DB"/>
    <w:rsid w:val="00FB0AB7"/>
    <w:rsid w:val="00FB1780"/>
    <w:rsid w:val="00FB200B"/>
    <w:rsid w:val="00FB2355"/>
    <w:rsid w:val="00FB25BB"/>
    <w:rsid w:val="00FB28BB"/>
    <w:rsid w:val="00FB377E"/>
    <w:rsid w:val="00FB3A6B"/>
    <w:rsid w:val="00FB5C84"/>
    <w:rsid w:val="00FB6374"/>
    <w:rsid w:val="00FB68A0"/>
    <w:rsid w:val="00FB69C7"/>
    <w:rsid w:val="00FB71AC"/>
    <w:rsid w:val="00FB78B8"/>
    <w:rsid w:val="00FC0482"/>
    <w:rsid w:val="00FC069E"/>
    <w:rsid w:val="00FC0C35"/>
    <w:rsid w:val="00FC125C"/>
    <w:rsid w:val="00FC14FB"/>
    <w:rsid w:val="00FC1AD1"/>
    <w:rsid w:val="00FC1B5C"/>
    <w:rsid w:val="00FC3310"/>
    <w:rsid w:val="00FC3587"/>
    <w:rsid w:val="00FC366C"/>
    <w:rsid w:val="00FC3D0D"/>
    <w:rsid w:val="00FC40B7"/>
    <w:rsid w:val="00FC43FA"/>
    <w:rsid w:val="00FC4C06"/>
    <w:rsid w:val="00FC52BB"/>
    <w:rsid w:val="00FC55A1"/>
    <w:rsid w:val="00FC5BA1"/>
    <w:rsid w:val="00FC5CE2"/>
    <w:rsid w:val="00FC6E69"/>
    <w:rsid w:val="00FC7085"/>
    <w:rsid w:val="00FC7859"/>
    <w:rsid w:val="00FC7AB5"/>
    <w:rsid w:val="00FD010D"/>
    <w:rsid w:val="00FD0497"/>
    <w:rsid w:val="00FD07E4"/>
    <w:rsid w:val="00FD0DA5"/>
    <w:rsid w:val="00FD26B2"/>
    <w:rsid w:val="00FD412C"/>
    <w:rsid w:val="00FD416E"/>
    <w:rsid w:val="00FD5A8A"/>
    <w:rsid w:val="00FD5CCF"/>
    <w:rsid w:val="00FD5EAC"/>
    <w:rsid w:val="00FD60AD"/>
    <w:rsid w:val="00FD60B6"/>
    <w:rsid w:val="00FD77DD"/>
    <w:rsid w:val="00FE0056"/>
    <w:rsid w:val="00FE015D"/>
    <w:rsid w:val="00FE0467"/>
    <w:rsid w:val="00FE09CA"/>
    <w:rsid w:val="00FE0A08"/>
    <w:rsid w:val="00FE0A10"/>
    <w:rsid w:val="00FE0C8F"/>
    <w:rsid w:val="00FE1797"/>
    <w:rsid w:val="00FE234A"/>
    <w:rsid w:val="00FE2692"/>
    <w:rsid w:val="00FE3190"/>
    <w:rsid w:val="00FE32CE"/>
    <w:rsid w:val="00FE34D2"/>
    <w:rsid w:val="00FE35E1"/>
    <w:rsid w:val="00FE36D5"/>
    <w:rsid w:val="00FE39F4"/>
    <w:rsid w:val="00FE3A58"/>
    <w:rsid w:val="00FE3D7C"/>
    <w:rsid w:val="00FE403D"/>
    <w:rsid w:val="00FE44F4"/>
    <w:rsid w:val="00FE4789"/>
    <w:rsid w:val="00FE4F87"/>
    <w:rsid w:val="00FE6AF3"/>
    <w:rsid w:val="00FE6B52"/>
    <w:rsid w:val="00FE710B"/>
    <w:rsid w:val="00FF195C"/>
    <w:rsid w:val="00FF1975"/>
    <w:rsid w:val="00FF39BF"/>
    <w:rsid w:val="00FF3A91"/>
    <w:rsid w:val="00FF3DFF"/>
    <w:rsid w:val="00FF4681"/>
    <w:rsid w:val="00FF4B33"/>
    <w:rsid w:val="00FF5A92"/>
    <w:rsid w:val="00FF61DD"/>
    <w:rsid w:val="00FF62AB"/>
    <w:rsid w:val="00FF652A"/>
    <w:rsid w:val="00FF6B9F"/>
    <w:rsid w:val="00FF6C81"/>
    <w:rsid w:val="00FF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customStyle="1" w:styleId="af6">
    <w:name w:val="Знак Знак Знак Знак"/>
    <w:basedOn w:val="a"/>
    <w:autoRedefine/>
    <w:rsid w:val="00D36618"/>
    <w:pPr>
      <w:spacing w:after="160" w:line="240" w:lineRule="exact"/>
    </w:pPr>
    <w:rPr>
      <w:rFonts w:eastAsia="SimSun"/>
      <w:b/>
      <w:sz w:val="28"/>
      <w:lang w:val="en-US" w:eastAsia="en-US"/>
    </w:rPr>
  </w:style>
  <w:style w:type="paragraph" w:customStyle="1" w:styleId="Default">
    <w:name w:val="Default"/>
    <w:rsid w:val="00331EB8"/>
    <w:pPr>
      <w:autoSpaceDE w:val="0"/>
      <w:autoSpaceDN w:val="0"/>
      <w:adjustRightInd w:val="0"/>
    </w:pPr>
    <w:rPr>
      <w:color w:val="000000"/>
      <w:sz w:val="24"/>
      <w:szCs w:val="24"/>
    </w:rPr>
  </w:style>
  <w:style w:type="paragraph" w:customStyle="1" w:styleId="af7">
    <w:name w:val="Знак Знак Знак Знак"/>
    <w:basedOn w:val="a"/>
    <w:autoRedefine/>
    <w:rsid w:val="00285414"/>
    <w:pPr>
      <w:spacing w:after="160" w:line="240" w:lineRule="exact"/>
    </w:pPr>
    <w:rPr>
      <w:rFonts w:eastAsia="SimSun"/>
      <w:b/>
      <w:sz w:val="28"/>
      <w:lang w:val="en-US" w:eastAsia="en-US"/>
    </w:rPr>
  </w:style>
  <w:style w:type="paragraph" w:styleId="af8">
    <w:name w:val="header"/>
    <w:basedOn w:val="a"/>
    <w:link w:val="af9"/>
    <w:uiPriority w:val="99"/>
    <w:unhideWhenUsed/>
    <w:rsid w:val="006017E8"/>
    <w:pPr>
      <w:tabs>
        <w:tab w:val="center" w:pos="4677"/>
        <w:tab w:val="right" w:pos="9355"/>
      </w:tabs>
    </w:pPr>
  </w:style>
  <w:style w:type="character" w:customStyle="1" w:styleId="af9">
    <w:name w:val="Верхний колонтитул Знак"/>
    <w:basedOn w:val="a0"/>
    <w:link w:val="af8"/>
    <w:uiPriority w:val="99"/>
    <w:rsid w:val="006017E8"/>
    <w:rPr>
      <w:rFonts w:eastAsia="Times New Roman"/>
      <w:sz w:val="24"/>
      <w:szCs w:val="24"/>
    </w:rPr>
  </w:style>
  <w:style w:type="paragraph" w:styleId="afa">
    <w:name w:val="Normal (Web)"/>
    <w:basedOn w:val="a"/>
    <w:uiPriority w:val="99"/>
    <w:semiHidden/>
    <w:unhideWhenUsed/>
    <w:rsid w:val="004A70A1"/>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4F9"/>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E524F9"/>
    <w:rPr>
      <w:sz w:val="20"/>
      <w:szCs w:val="20"/>
    </w:rPr>
  </w:style>
  <w:style w:type="character" w:customStyle="1" w:styleId="a4">
    <w:name w:val="Текст сноски Знак"/>
    <w:link w:val="a3"/>
    <w:semiHidden/>
    <w:rsid w:val="00E524F9"/>
    <w:rPr>
      <w:rFonts w:eastAsia="Times New Roman"/>
    </w:rPr>
  </w:style>
  <w:style w:type="character" w:styleId="a5">
    <w:name w:val="footnote reference"/>
    <w:semiHidden/>
    <w:rsid w:val="00E524F9"/>
    <w:rPr>
      <w:vertAlign w:val="superscript"/>
    </w:rPr>
  </w:style>
  <w:style w:type="paragraph" w:styleId="a6">
    <w:name w:val="footer"/>
    <w:basedOn w:val="a"/>
    <w:link w:val="a7"/>
    <w:rsid w:val="00E524F9"/>
    <w:pPr>
      <w:tabs>
        <w:tab w:val="center" w:pos="4677"/>
        <w:tab w:val="right" w:pos="9355"/>
      </w:tabs>
    </w:pPr>
  </w:style>
  <w:style w:type="character" w:customStyle="1" w:styleId="a7">
    <w:name w:val="Нижний колонтитул Знак"/>
    <w:link w:val="a6"/>
    <w:rsid w:val="00E524F9"/>
    <w:rPr>
      <w:rFonts w:eastAsia="Times New Roman"/>
      <w:sz w:val="24"/>
      <w:szCs w:val="24"/>
    </w:rPr>
  </w:style>
  <w:style w:type="character" w:styleId="a8">
    <w:name w:val="page number"/>
    <w:rsid w:val="00E524F9"/>
  </w:style>
  <w:style w:type="table" w:styleId="a9">
    <w:name w:val="Table Grid"/>
    <w:basedOn w:val="a1"/>
    <w:uiPriority w:val="59"/>
    <w:rsid w:val="00E524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ab"/>
    <w:qFormat/>
    <w:rsid w:val="00E524F9"/>
    <w:pPr>
      <w:spacing w:before="240" w:after="60"/>
      <w:jc w:val="center"/>
      <w:outlineLvl w:val="0"/>
    </w:pPr>
    <w:rPr>
      <w:rFonts w:ascii="Cambria" w:hAnsi="Cambria"/>
      <w:b/>
      <w:bCs/>
      <w:kern w:val="28"/>
      <w:sz w:val="32"/>
      <w:szCs w:val="32"/>
      <w:lang w:val="x-none" w:eastAsia="x-none"/>
    </w:rPr>
  </w:style>
  <w:style w:type="character" w:customStyle="1" w:styleId="ab">
    <w:name w:val="Название Знак"/>
    <w:link w:val="aa"/>
    <w:rsid w:val="00E524F9"/>
    <w:rPr>
      <w:rFonts w:ascii="Cambria" w:eastAsia="Times New Roman" w:hAnsi="Cambria"/>
      <w:b/>
      <w:bCs/>
      <w:kern w:val="28"/>
      <w:sz w:val="32"/>
      <w:szCs w:val="32"/>
      <w:lang w:val="x-none" w:eastAsia="x-none"/>
    </w:rPr>
  </w:style>
  <w:style w:type="paragraph" w:styleId="ac">
    <w:name w:val="Balloon Text"/>
    <w:basedOn w:val="a"/>
    <w:link w:val="ad"/>
    <w:uiPriority w:val="99"/>
    <w:semiHidden/>
    <w:unhideWhenUsed/>
    <w:rsid w:val="00EE05C4"/>
    <w:rPr>
      <w:rFonts w:ascii="Tahoma" w:hAnsi="Tahoma" w:cs="Tahoma"/>
      <w:sz w:val="16"/>
      <w:szCs w:val="16"/>
    </w:rPr>
  </w:style>
  <w:style w:type="character" w:customStyle="1" w:styleId="ad">
    <w:name w:val="Текст выноски Знак"/>
    <w:link w:val="ac"/>
    <w:uiPriority w:val="99"/>
    <w:semiHidden/>
    <w:rsid w:val="00EE05C4"/>
    <w:rPr>
      <w:rFonts w:ascii="Tahoma" w:eastAsia="Times New Roman" w:hAnsi="Tahoma" w:cs="Tahoma"/>
      <w:sz w:val="16"/>
      <w:szCs w:val="16"/>
    </w:rPr>
  </w:style>
  <w:style w:type="paragraph" w:customStyle="1" w:styleId="ae">
    <w:name w:val="Знак Знак Знак Знак"/>
    <w:basedOn w:val="a"/>
    <w:autoRedefine/>
    <w:rsid w:val="00955DEA"/>
    <w:pPr>
      <w:spacing w:after="160" w:line="240" w:lineRule="exact"/>
    </w:pPr>
    <w:rPr>
      <w:rFonts w:eastAsia="SimSun"/>
      <w:b/>
      <w:sz w:val="28"/>
      <w:lang w:val="en-US" w:eastAsia="en-US"/>
    </w:rPr>
  </w:style>
  <w:style w:type="paragraph" w:customStyle="1" w:styleId="af">
    <w:name w:val="Знак Знак Знак Знак"/>
    <w:basedOn w:val="a"/>
    <w:autoRedefine/>
    <w:rsid w:val="00080AB6"/>
    <w:pPr>
      <w:spacing w:after="160" w:line="240" w:lineRule="exact"/>
    </w:pPr>
    <w:rPr>
      <w:rFonts w:eastAsia="SimSun"/>
      <w:b/>
      <w:sz w:val="28"/>
      <w:lang w:val="en-US" w:eastAsia="en-US"/>
    </w:rPr>
  </w:style>
  <w:style w:type="paragraph" w:customStyle="1" w:styleId="af0">
    <w:name w:val="Знак Знак Знак Знак"/>
    <w:basedOn w:val="a"/>
    <w:autoRedefine/>
    <w:rsid w:val="000D10AB"/>
    <w:pPr>
      <w:spacing w:after="160" w:line="240" w:lineRule="exact"/>
    </w:pPr>
    <w:rPr>
      <w:rFonts w:eastAsia="SimSun"/>
      <w:b/>
      <w:sz w:val="28"/>
      <w:lang w:val="en-US" w:eastAsia="en-US"/>
    </w:rPr>
  </w:style>
  <w:style w:type="character" w:styleId="af1">
    <w:name w:val="annotation reference"/>
    <w:basedOn w:val="a0"/>
    <w:uiPriority w:val="99"/>
    <w:semiHidden/>
    <w:unhideWhenUsed/>
    <w:rsid w:val="004B7839"/>
    <w:rPr>
      <w:sz w:val="16"/>
      <w:szCs w:val="16"/>
    </w:rPr>
  </w:style>
  <w:style w:type="paragraph" w:styleId="af2">
    <w:name w:val="annotation text"/>
    <w:basedOn w:val="a"/>
    <w:link w:val="af3"/>
    <w:uiPriority w:val="99"/>
    <w:semiHidden/>
    <w:unhideWhenUsed/>
    <w:rsid w:val="004B7839"/>
    <w:rPr>
      <w:sz w:val="20"/>
      <w:szCs w:val="20"/>
    </w:rPr>
  </w:style>
  <w:style w:type="character" w:customStyle="1" w:styleId="af3">
    <w:name w:val="Текст примечания Знак"/>
    <w:basedOn w:val="a0"/>
    <w:link w:val="af2"/>
    <w:uiPriority w:val="99"/>
    <w:semiHidden/>
    <w:rsid w:val="004B7839"/>
    <w:rPr>
      <w:rFonts w:eastAsia="Times New Roman"/>
    </w:rPr>
  </w:style>
  <w:style w:type="paragraph" w:styleId="af4">
    <w:name w:val="annotation subject"/>
    <w:basedOn w:val="af2"/>
    <w:next w:val="af2"/>
    <w:link w:val="af5"/>
    <w:uiPriority w:val="99"/>
    <w:semiHidden/>
    <w:unhideWhenUsed/>
    <w:rsid w:val="004B7839"/>
    <w:rPr>
      <w:b/>
      <w:bCs/>
    </w:rPr>
  </w:style>
  <w:style w:type="character" w:customStyle="1" w:styleId="af5">
    <w:name w:val="Тема примечания Знак"/>
    <w:basedOn w:val="af3"/>
    <w:link w:val="af4"/>
    <w:uiPriority w:val="99"/>
    <w:semiHidden/>
    <w:rsid w:val="004B7839"/>
    <w:rPr>
      <w:rFonts w:eastAsia="Times New Roman"/>
      <w:b/>
      <w:bCs/>
    </w:rPr>
  </w:style>
  <w:style w:type="paragraph" w:customStyle="1" w:styleId="af6">
    <w:name w:val="Знак Знак Знак Знак"/>
    <w:basedOn w:val="a"/>
    <w:autoRedefine/>
    <w:rsid w:val="00D36618"/>
    <w:pPr>
      <w:spacing w:after="160" w:line="240" w:lineRule="exact"/>
    </w:pPr>
    <w:rPr>
      <w:rFonts w:eastAsia="SimSun"/>
      <w:b/>
      <w:sz w:val="28"/>
      <w:lang w:val="en-US" w:eastAsia="en-US"/>
    </w:rPr>
  </w:style>
  <w:style w:type="paragraph" w:customStyle="1" w:styleId="Default">
    <w:name w:val="Default"/>
    <w:rsid w:val="00331EB8"/>
    <w:pPr>
      <w:autoSpaceDE w:val="0"/>
      <w:autoSpaceDN w:val="0"/>
      <w:adjustRightInd w:val="0"/>
    </w:pPr>
    <w:rPr>
      <w:color w:val="000000"/>
      <w:sz w:val="24"/>
      <w:szCs w:val="24"/>
    </w:rPr>
  </w:style>
  <w:style w:type="paragraph" w:customStyle="1" w:styleId="af7">
    <w:name w:val="Знак Знак Знак Знак"/>
    <w:basedOn w:val="a"/>
    <w:autoRedefine/>
    <w:rsid w:val="00285414"/>
    <w:pPr>
      <w:spacing w:after="160" w:line="240" w:lineRule="exact"/>
    </w:pPr>
    <w:rPr>
      <w:rFonts w:eastAsia="SimSun"/>
      <w:b/>
      <w:sz w:val="28"/>
      <w:lang w:val="en-US" w:eastAsia="en-US"/>
    </w:rPr>
  </w:style>
  <w:style w:type="paragraph" w:styleId="af8">
    <w:name w:val="header"/>
    <w:basedOn w:val="a"/>
    <w:link w:val="af9"/>
    <w:uiPriority w:val="99"/>
    <w:unhideWhenUsed/>
    <w:rsid w:val="006017E8"/>
    <w:pPr>
      <w:tabs>
        <w:tab w:val="center" w:pos="4677"/>
        <w:tab w:val="right" w:pos="9355"/>
      </w:tabs>
    </w:pPr>
  </w:style>
  <w:style w:type="character" w:customStyle="1" w:styleId="af9">
    <w:name w:val="Верхний колонтитул Знак"/>
    <w:basedOn w:val="a0"/>
    <w:link w:val="af8"/>
    <w:uiPriority w:val="99"/>
    <w:rsid w:val="006017E8"/>
    <w:rPr>
      <w:rFonts w:eastAsia="Times New Roman"/>
      <w:sz w:val="24"/>
      <w:szCs w:val="24"/>
    </w:rPr>
  </w:style>
  <w:style w:type="paragraph" w:styleId="afa">
    <w:name w:val="Normal (Web)"/>
    <w:basedOn w:val="a"/>
    <w:uiPriority w:val="99"/>
    <w:semiHidden/>
    <w:unhideWhenUsed/>
    <w:rsid w:val="004A70A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37164">
      <w:bodyDiv w:val="1"/>
      <w:marLeft w:val="0"/>
      <w:marRight w:val="0"/>
      <w:marTop w:val="0"/>
      <w:marBottom w:val="0"/>
      <w:divBdr>
        <w:top w:val="none" w:sz="0" w:space="0" w:color="auto"/>
        <w:left w:val="none" w:sz="0" w:space="0" w:color="auto"/>
        <w:bottom w:val="none" w:sz="0" w:space="0" w:color="auto"/>
        <w:right w:val="none" w:sz="0" w:space="0" w:color="auto"/>
      </w:divBdr>
      <w:divsChild>
        <w:div w:id="1164662808">
          <w:marLeft w:val="0"/>
          <w:marRight w:val="0"/>
          <w:marTop w:val="0"/>
          <w:marBottom w:val="0"/>
          <w:divBdr>
            <w:top w:val="none" w:sz="0" w:space="0" w:color="auto"/>
            <w:left w:val="none" w:sz="0" w:space="0" w:color="auto"/>
            <w:bottom w:val="none" w:sz="0" w:space="0" w:color="auto"/>
            <w:right w:val="none" w:sz="0" w:space="0" w:color="auto"/>
          </w:divBdr>
        </w:div>
        <w:div w:id="896479453">
          <w:marLeft w:val="0"/>
          <w:marRight w:val="0"/>
          <w:marTop w:val="0"/>
          <w:marBottom w:val="0"/>
          <w:divBdr>
            <w:top w:val="none" w:sz="0" w:space="0" w:color="auto"/>
            <w:left w:val="none" w:sz="0" w:space="0" w:color="auto"/>
            <w:bottom w:val="none" w:sz="0" w:space="0" w:color="auto"/>
            <w:right w:val="none" w:sz="0" w:space="0" w:color="auto"/>
          </w:divBdr>
        </w:div>
        <w:div w:id="599458601">
          <w:marLeft w:val="0"/>
          <w:marRight w:val="0"/>
          <w:marTop w:val="0"/>
          <w:marBottom w:val="0"/>
          <w:divBdr>
            <w:top w:val="none" w:sz="0" w:space="0" w:color="auto"/>
            <w:left w:val="none" w:sz="0" w:space="0" w:color="auto"/>
            <w:bottom w:val="none" w:sz="0" w:space="0" w:color="auto"/>
            <w:right w:val="none" w:sz="0" w:space="0" w:color="auto"/>
          </w:divBdr>
        </w:div>
        <w:div w:id="1361275680">
          <w:marLeft w:val="0"/>
          <w:marRight w:val="0"/>
          <w:marTop w:val="0"/>
          <w:marBottom w:val="0"/>
          <w:divBdr>
            <w:top w:val="none" w:sz="0" w:space="0" w:color="auto"/>
            <w:left w:val="none" w:sz="0" w:space="0" w:color="auto"/>
            <w:bottom w:val="none" w:sz="0" w:space="0" w:color="auto"/>
            <w:right w:val="none" w:sz="0" w:space="0" w:color="auto"/>
          </w:divBdr>
        </w:div>
        <w:div w:id="1591739021">
          <w:marLeft w:val="0"/>
          <w:marRight w:val="0"/>
          <w:marTop w:val="0"/>
          <w:marBottom w:val="0"/>
          <w:divBdr>
            <w:top w:val="none" w:sz="0" w:space="0" w:color="auto"/>
            <w:left w:val="none" w:sz="0" w:space="0" w:color="auto"/>
            <w:bottom w:val="none" w:sz="0" w:space="0" w:color="auto"/>
            <w:right w:val="none" w:sz="0" w:space="0" w:color="auto"/>
          </w:divBdr>
        </w:div>
        <w:div w:id="1696075742">
          <w:marLeft w:val="0"/>
          <w:marRight w:val="0"/>
          <w:marTop w:val="0"/>
          <w:marBottom w:val="0"/>
          <w:divBdr>
            <w:top w:val="none" w:sz="0" w:space="0" w:color="auto"/>
            <w:left w:val="none" w:sz="0" w:space="0" w:color="auto"/>
            <w:bottom w:val="none" w:sz="0" w:space="0" w:color="auto"/>
            <w:right w:val="none" w:sz="0" w:space="0" w:color="auto"/>
          </w:divBdr>
        </w:div>
        <w:div w:id="889535920">
          <w:marLeft w:val="0"/>
          <w:marRight w:val="0"/>
          <w:marTop w:val="0"/>
          <w:marBottom w:val="0"/>
          <w:divBdr>
            <w:top w:val="none" w:sz="0" w:space="0" w:color="auto"/>
            <w:left w:val="none" w:sz="0" w:space="0" w:color="auto"/>
            <w:bottom w:val="none" w:sz="0" w:space="0" w:color="auto"/>
            <w:right w:val="none" w:sz="0" w:space="0" w:color="auto"/>
          </w:divBdr>
        </w:div>
        <w:div w:id="734821100">
          <w:marLeft w:val="0"/>
          <w:marRight w:val="0"/>
          <w:marTop w:val="0"/>
          <w:marBottom w:val="0"/>
          <w:divBdr>
            <w:top w:val="none" w:sz="0" w:space="0" w:color="auto"/>
            <w:left w:val="none" w:sz="0" w:space="0" w:color="auto"/>
            <w:bottom w:val="none" w:sz="0" w:space="0" w:color="auto"/>
            <w:right w:val="none" w:sz="0" w:space="0" w:color="auto"/>
          </w:divBdr>
        </w:div>
        <w:div w:id="1251041848">
          <w:marLeft w:val="0"/>
          <w:marRight w:val="0"/>
          <w:marTop w:val="0"/>
          <w:marBottom w:val="0"/>
          <w:divBdr>
            <w:top w:val="none" w:sz="0" w:space="0" w:color="auto"/>
            <w:left w:val="none" w:sz="0" w:space="0" w:color="auto"/>
            <w:bottom w:val="none" w:sz="0" w:space="0" w:color="auto"/>
            <w:right w:val="none" w:sz="0" w:space="0" w:color="auto"/>
          </w:divBdr>
        </w:div>
        <w:div w:id="334112144">
          <w:marLeft w:val="0"/>
          <w:marRight w:val="0"/>
          <w:marTop w:val="0"/>
          <w:marBottom w:val="0"/>
          <w:divBdr>
            <w:top w:val="none" w:sz="0" w:space="0" w:color="auto"/>
            <w:left w:val="none" w:sz="0" w:space="0" w:color="auto"/>
            <w:bottom w:val="none" w:sz="0" w:space="0" w:color="auto"/>
            <w:right w:val="none" w:sz="0" w:space="0" w:color="auto"/>
          </w:divBdr>
        </w:div>
        <w:div w:id="528027120">
          <w:marLeft w:val="0"/>
          <w:marRight w:val="0"/>
          <w:marTop w:val="0"/>
          <w:marBottom w:val="0"/>
          <w:divBdr>
            <w:top w:val="none" w:sz="0" w:space="0" w:color="auto"/>
            <w:left w:val="none" w:sz="0" w:space="0" w:color="auto"/>
            <w:bottom w:val="none" w:sz="0" w:space="0" w:color="auto"/>
            <w:right w:val="none" w:sz="0" w:space="0" w:color="auto"/>
          </w:divBdr>
        </w:div>
        <w:div w:id="1190222993">
          <w:marLeft w:val="0"/>
          <w:marRight w:val="0"/>
          <w:marTop w:val="0"/>
          <w:marBottom w:val="0"/>
          <w:divBdr>
            <w:top w:val="none" w:sz="0" w:space="0" w:color="auto"/>
            <w:left w:val="none" w:sz="0" w:space="0" w:color="auto"/>
            <w:bottom w:val="none" w:sz="0" w:space="0" w:color="auto"/>
            <w:right w:val="none" w:sz="0" w:space="0" w:color="auto"/>
          </w:divBdr>
        </w:div>
        <w:div w:id="1041369439">
          <w:marLeft w:val="0"/>
          <w:marRight w:val="0"/>
          <w:marTop w:val="0"/>
          <w:marBottom w:val="0"/>
          <w:divBdr>
            <w:top w:val="none" w:sz="0" w:space="0" w:color="auto"/>
            <w:left w:val="none" w:sz="0" w:space="0" w:color="auto"/>
            <w:bottom w:val="none" w:sz="0" w:space="0" w:color="auto"/>
            <w:right w:val="none" w:sz="0" w:space="0" w:color="auto"/>
          </w:divBdr>
        </w:div>
        <w:div w:id="221645403">
          <w:marLeft w:val="0"/>
          <w:marRight w:val="0"/>
          <w:marTop w:val="0"/>
          <w:marBottom w:val="0"/>
          <w:divBdr>
            <w:top w:val="none" w:sz="0" w:space="0" w:color="auto"/>
            <w:left w:val="none" w:sz="0" w:space="0" w:color="auto"/>
            <w:bottom w:val="none" w:sz="0" w:space="0" w:color="auto"/>
            <w:right w:val="none" w:sz="0" w:space="0" w:color="auto"/>
          </w:divBdr>
        </w:div>
        <w:div w:id="1624531718">
          <w:marLeft w:val="0"/>
          <w:marRight w:val="0"/>
          <w:marTop w:val="0"/>
          <w:marBottom w:val="0"/>
          <w:divBdr>
            <w:top w:val="none" w:sz="0" w:space="0" w:color="auto"/>
            <w:left w:val="none" w:sz="0" w:space="0" w:color="auto"/>
            <w:bottom w:val="none" w:sz="0" w:space="0" w:color="auto"/>
            <w:right w:val="none" w:sz="0" w:space="0" w:color="auto"/>
          </w:divBdr>
        </w:div>
        <w:div w:id="1908955425">
          <w:marLeft w:val="0"/>
          <w:marRight w:val="0"/>
          <w:marTop w:val="0"/>
          <w:marBottom w:val="0"/>
          <w:divBdr>
            <w:top w:val="none" w:sz="0" w:space="0" w:color="auto"/>
            <w:left w:val="none" w:sz="0" w:space="0" w:color="auto"/>
            <w:bottom w:val="none" w:sz="0" w:space="0" w:color="auto"/>
            <w:right w:val="none" w:sz="0" w:space="0" w:color="auto"/>
          </w:divBdr>
        </w:div>
        <w:div w:id="1527476897">
          <w:marLeft w:val="0"/>
          <w:marRight w:val="0"/>
          <w:marTop w:val="0"/>
          <w:marBottom w:val="0"/>
          <w:divBdr>
            <w:top w:val="none" w:sz="0" w:space="0" w:color="auto"/>
            <w:left w:val="none" w:sz="0" w:space="0" w:color="auto"/>
            <w:bottom w:val="none" w:sz="0" w:space="0" w:color="auto"/>
            <w:right w:val="none" w:sz="0" w:space="0" w:color="auto"/>
          </w:divBdr>
        </w:div>
        <w:div w:id="67137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FS_ARMAN_E\Desktop\3.&#1058;&#1072;&#1073;&#1083;&#1080;&#1094;&#1099;%20&#1082;%20&#1072;&#1085;&#1072;&#1083;&#1080;&#1079;&#1091;%20&#1086;&#1073;&#1089;&#1083;&#1077;&#1076;&#1086;&#1074;&#1072;&#1085;&#1080;&#1103;%20&#1041;&#1042;&#1059;_&#1086;&#1082;&#1090;&#1103;&#1073;&#1088;&#1100;%20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7270622673507E-2"/>
          <c:y val="5.0925925925925923E-2"/>
          <c:w val="0.9255823182960039"/>
          <c:h val="0.48807086614173228"/>
        </c:manualLayout>
      </c:layout>
      <c:lineChart>
        <c:grouping val="standard"/>
        <c:varyColors val="0"/>
        <c:ser>
          <c:idx val="0"/>
          <c:order val="0"/>
          <c:tx>
            <c:strRef>
              <c:f>'Ожид-факт_корп (3)'!$A$29</c:f>
              <c:strCache>
                <c:ptCount val="1"/>
                <c:pt idx="0">
                  <c:v>Нақты </c:v>
                </c:pt>
              </c:strCache>
            </c:strRef>
          </c:tx>
          <c:spPr>
            <a:ln>
              <a:solidFill>
                <a:schemeClr val="accent6">
                  <a:lumMod val="75000"/>
                </a:schemeClr>
              </a:solidFill>
            </a:ln>
          </c:spPr>
          <c:marker>
            <c:symbol val="none"/>
          </c:marker>
          <c:cat>
            <c:multiLvlStrRef>
              <c:f>'Ожид-факт_корп (3)'!$B$27:$AZ$28</c:f>
              <c:multiLvlStrCache>
                <c:ptCount val="51"/>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pt idx="39">
                    <c:v>1 тоқ 2013 </c:v>
                  </c:pt>
                  <c:pt idx="40">
                    <c:v>2 тоқ 2013 </c:v>
                  </c:pt>
                  <c:pt idx="41">
                    <c:v>3 тоқ 2013 </c:v>
                  </c:pt>
                  <c:pt idx="42">
                    <c:v>4 тоқ 2013 </c:v>
                  </c:pt>
                  <c:pt idx="43">
                    <c:v>1 тоқ 2014 </c:v>
                  </c:pt>
                  <c:pt idx="44">
                    <c:v>2 тоқ 2014 </c:v>
                  </c:pt>
                  <c:pt idx="45">
                    <c:v>3 тоқ 2014</c:v>
                  </c:pt>
                  <c:pt idx="46">
                    <c:v>4 тоқ 2014</c:v>
                  </c:pt>
                  <c:pt idx="47">
                    <c:v>1 тоқ 2015 </c:v>
                  </c:pt>
                  <c:pt idx="48">
                    <c:v>2 тоқ 2015 </c:v>
                  </c:pt>
                  <c:pt idx="49">
                    <c:v>3 тоқ 2015</c:v>
                  </c:pt>
                  <c:pt idx="50">
                    <c:v>4 тоқ 2015</c:v>
                  </c:pt>
                </c:lvl>
                <c:lvl>
                  <c:pt idx="0">
                    <c:v>Жалпы алғанда қаржылық емес ұйымдар</c:v>
                  </c:pt>
                  <c:pt idx="13">
                    <c:v>Ірі бизнес</c:v>
                  </c:pt>
                  <c:pt idx="26">
                    <c:v>Орта бизнес</c:v>
                  </c:pt>
                  <c:pt idx="39">
                    <c:v>Шағын бизнес</c:v>
                  </c:pt>
                </c:lvl>
              </c:multiLvlStrCache>
            </c:multiLvlStrRef>
          </c:cat>
          <c:val>
            <c:numRef>
              <c:f>'Ожид-факт_корп (3)'!$B$29:$AZ$29</c:f>
              <c:numCache>
                <c:formatCode>0.00%</c:formatCode>
                <c:ptCount val="51"/>
                <c:pt idx="0">
                  <c:v>-2.9411764705882353E-2</c:v>
                </c:pt>
                <c:pt idx="1">
                  <c:v>2.9411764705882353E-2</c:v>
                </c:pt>
                <c:pt idx="2">
                  <c:v>8.8235294117647065E-2</c:v>
                </c:pt>
                <c:pt idx="3">
                  <c:v>-5.8823529411764712E-2</c:v>
                </c:pt>
                <c:pt idx="4">
                  <c:v>-2.9411764705882346E-2</c:v>
                </c:pt>
                <c:pt idx="5">
                  <c:v>-2.9411764705882359E-2</c:v>
                </c:pt>
                <c:pt idx="6">
                  <c:v>0</c:v>
                </c:pt>
                <c:pt idx="7">
                  <c:v>0</c:v>
                </c:pt>
                <c:pt idx="8">
                  <c:v>-0.21875</c:v>
                </c:pt>
                <c:pt idx="9">
                  <c:v>-0.21875</c:v>
                </c:pt>
                <c:pt idx="10">
                  <c:v>-0.25</c:v>
                </c:pt>
                <c:pt idx="13">
                  <c:v>-5.8823529411764705E-2</c:v>
                </c:pt>
                <c:pt idx="14">
                  <c:v>0</c:v>
                </c:pt>
                <c:pt idx="15">
                  <c:v>5.8823529411764705E-2</c:v>
                </c:pt>
                <c:pt idx="16">
                  <c:v>0</c:v>
                </c:pt>
                <c:pt idx="17">
                  <c:v>0</c:v>
                </c:pt>
                <c:pt idx="18">
                  <c:v>0</c:v>
                </c:pt>
                <c:pt idx="19">
                  <c:v>0</c:v>
                </c:pt>
                <c:pt idx="20">
                  <c:v>0</c:v>
                </c:pt>
                <c:pt idx="21">
                  <c:v>-0.1875</c:v>
                </c:pt>
                <c:pt idx="22">
                  <c:v>-0.16129032258064499</c:v>
                </c:pt>
                <c:pt idx="23">
                  <c:v>-0.25806451612903197</c:v>
                </c:pt>
                <c:pt idx="26">
                  <c:v>-3.2258064516129031E-2</c:v>
                </c:pt>
                <c:pt idx="27">
                  <c:v>3.2258064516129031E-2</c:v>
                </c:pt>
                <c:pt idx="28">
                  <c:v>9.375E-2</c:v>
                </c:pt>
                <c:pt idx="29">
                  <c:v>-6.25E-2</c:v>
                </c:pt>
                <c:pt idx="30">
                  <c:v>-6.25E-2</c:v>
                </c:pt>
                <c:pt idx="31">
                  <c:v>-9.375E-2</c:v>
                </c:pt>
                <c:pt idx="32">
                  <c:v>3.2258064516129031E-2</c:v>
                </c:pt>
                <c:pt idx="33">
                  <c:v>-0.125</c:v>
                </c:pt>
                <c:pt idx="34">
                  <c:v>-0.29032258064516137</c:v>
                </c:pt>
                <c:pt idx="35">
                  <c:v>-0.233333333333333</c:v>
                </c:pt>
                <c:pt idx="36">
                  <c:v>-0.133333333333333</c:v>
                </c:pt>
                <c:pt idx="39">
                  <c:v>0</c:v>
                </c:pt>
                <c:pt idx="40">
                  <c:v>-3.3333333333333333E-2</c:v>
                </c:pt>
                <c:pt idx="41">
                  <c:v>6.666666666666668E-2</c:v>
                </c:pt>
                <c:pt idx="42">
                  <c:v>-3.333333333333334E-2</c:v>
                </c:pt>
                <c:pt idx="43">
                  <c:v>-3.3333333333333326E-2</c:v>
                </c:pt>
                <c:pt idx="44">
                  <c:v>0</c:v>
                </c:pt>
                <c:pt idx="45">
                  <c:v>3.2258064516129031E-2</c:v>
                </c:pt>
                <c:pt idx="46">
                  <c:v>-0.12903225806451613</c:v>
                </c:pt>
                <c:pt idx="47">
                  <c:v>-0.3</c:v>
                </c:pt>
                <c:pt idx="48">
                  <c:v>-0.24137931034482801</c:v>
                </c:pt>
                <c:pt idx="49">
                  <c:v>-0.17241379310344801</c:v>
                </c:pt>
              </c:numCache>
            </c:numRef>
          </c:val>
          <c:smooth val="0"/>
        </c:ser>
        <c:ser>
          <c:idx val="1"/>
          <c:order val="1"/>
          <c:tx>
            <c:strRef>
              <c:f>'Ожид-факт_корп (3)'!$A$30</c:f>
              <c:strCache>
                <c:ptCount val="1"/>
                <c:pt idx="0">
                  <c:v>Күту</c:v>
                </c:pt>
              </c:strCache>
            </c:strRef>
          </c:tx>
          <c:spPr>
            <a:ln>
              <a:solidFill>
                <a:srgbClr val="9999FF"/>
              </a:solidFill>
            </a:ln>
          </c:spPr>
          <c:marker>
            <c:symbol val="none"/>
          </c:marker>
          <c:cat>
            <c:multiLvlStrRef>
              <c:f>'Ожид-факт_корп (3)'!$B$27:$AZ$28</c:f>
              <c:multiLvlStrCache>
                <c:ptCount val="51"/>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pt idx="39">
                    <c:v>1 тоқ 2013 </c:v>
                  </c:pt>
                  <c:pt idx="40">
                    <c:v>2 тоқ 2013 </c:v>
                  </c:pt>
                  <c:pt idx="41">
                    <c:v>3 тоқ 2013 </c:v>
                  </c:pt>
                  <c:pt idx="42">
                    <c:v>4 тоқ 2013 </c:v>
                  </c:pt>
                  <c:pt idx="43">
                    <c:v>1 тоқ 2014 </c:v>
                  </c:pt>
                  <c:pt idx="44">
                    <c:v>2 тоқ 2014 </c:v>
                  </c:pt>
                  <c:pt idx="45">
                    <c:v>3 тоқ 2014</c:v>
                  </c:pt>
                  <c:pt idx="46">
                    <c:v>4 тоқ 2014</c:v>
                  </c:pt>
                  <c:pt idx="47">
                    <c:v>1 тоқ 2015 </c:v>
                  </c:pt>
                  <c:pt idx="48">
                    <c:v>2 тоқ 2015 </c:v>
                  </c:pt>
                  <c:pt idx="49">
                    <c:v>3 тоқ 2015</c:v>
                  </c:pt>
                  <c:pt idx="50">
                    <c:v>4 тоқ 2015</c:v>
                  </c:pt>
                </c:lvl>
                <c:lvl>
                  <c:pt idx="0">
                    <c:v>Жалпы алғанда қаржылық емес ұйымдар</c:v>
                  </c:pt>
                  <c:pt idx="13">
                    <c:v>Ірі бизнес</c:v>
                  </c:pt>
                  <c:pt idx="26">
                    <c:v>Орта бизнес</c:v>
                  </c:pt>
                  <c:pt idx="39">
                    <c:v>Шағын бизнес</c:v>
                  </c:pt>
                </c:lvl>
              </c:multiLvlStrCache>
            </c:multiLvlStrRef>
          </c:cat>
          <c:val>
            <c:numRef>
              <c:f>'Ожид-факт_корп (3)'!$B$30:$AZ$30</c:f>
              <c:numCache>
                <c:formatCode>0.00%</c:formatCode>
                <c:ptCount val="51"/>
                <c:pt idx="0">
                  <c:v>-2.9411764705882353E-2</c:v>
                </c:pt>
                <c:pt idx="1">
                  <c:v>-2.9411764705882353E-2</c:v>
                </c:pt>
                <c:pt idx="2">
                  <c:v>8.8235294117647065E-2</c:v>
                </c:pt>
                <c:pt idx="3">
                  <c:v>-0.11764705882352941</c:v>
                </c:pt>
                <c:pt idx="4">
                  <c:v>-2.9411764705882359E-2</c:v>
                </c:pt>
                <c:pt idx="5">
                  <c:v>-2.9411764705882353E-2</c:v>
                </c:pt>
                <c:pt idx="6">
                  <c:v>0</c:v>
                </c:pt>
                <c:pt idx="7">
                  <c:v>5.8823529411764705E-2</c:v>
                </c:pt>
                <c:pt idx="8">
                  <c:v>-0.1764705882352941</c:v>
                </c:pt>
                <c:pt idx="9">
                  <c:v>-0.15625</c:v>
                </c:pt>
                <c:pt idx="10">
                  <c:v>-9.375E-2</c:v>
                </c:pt>
                <c:pt idx="11">
                  <c:v>-9.375E-2</c:v>
                </c:pt>
                <c:pt idx="13">
                  <c:v>-2.9411764705882353E-2</c:v>
                </c:pt>
                <c:pt idx="14">
                  <c:v>-2.9411764705882353E-2</c:v>
                </c:pt>
                <c:pt idx="15">
                  <c:v>5.8823529411764705E-2</c:v>
                </c:pt>
                <c:pt idx="16">
                  <c:v>0</c:v>
                </c:pt>
                <c:pt idx="17">
                  <c:v>-5.8823529411764712E-2</c:v>
                </c:pt>
                <c:pt idx="18">
                  <c:v>-2.9411764705882353E-2</c:v>
                </c:pt>
                <c:pt idx="19">
                  <c:v>0</c:v>
                </c:pt>
                <c:pt idx="20">
                  <c:v>2.9411764705882353E-2</c:v>
                </c:pt>
                <c:pt idx="21">
                  <c:v>-0.20588235294117646</c:v>
                </c:pt>
                <c:pt idx="22">
                  <c:v>-0.15625</c:v>
                </c:pt>
                <c:pt idx="23">
                  <c:v>-6.6666666666666693E-2</c:v>
                </c:pt>
                <c:pt idx="24">
                  <c:v>-6.4516129032258104E-2</c:v>
                </c:pt>
                <c:pt idx="26">
                  <c:v>-3.2258064516129031E-2</c:v>
                </c:pt>
                <c:pt idx="27">
                  <c:v>-3.2258064516129031E-2</c:v>
                </c:pt>
                <c:pt idx="28">
                  <c:v>9.6774193548387094E-2</c:v>
                </c:pt>
                <c:pt idx="29">
                  <c:v>-6.25E-2</c:v>
                </c:pt>
                <c:pt idx="30">
                  <c:v>-3.125E-2</c:v>
                </c:pt>
                <c:pt idx="31">
                  <c:v>-3.125E-2</c:v>
                </c:pt>
                <c:pt idx="32">
                  <c:v>0</c:v>
                </c:pt>
                <c:pt idx="33">
                  <c:v>3.2258064516129031E-2</c:v>
                </c:pt>
                <c:pt idx="34">
                  <c:v>-0.28125</c:v>
                </c:pt>
                <c:pt idx="35">
                  <c:v>-0.2</c:v>
                </c:pt>
                <c:pt idx="36">
                  <c:v>-0.1</c:v>
                </c:pt>
                <c:pt idx="37">
                  <c:v>-0.1</c:v>
                </c:pt>
                <c:pt idx="39">
                  <c:v>3.3333333333333333E-2</c:v>
                </c:pt>
                <c:pt idx="40">
                  <c:v>-3.3333333333333333E-2</c:v>
                </c:pt>
                <c:pt idx="41">
                  <c:v>6.666666666666668E-2</c:v>
                </c:pt>
                <c:pt idx="42">
                  <c:v>-6.666666666666668E-2</c:v>
                </c:pt>
                <c:pt idx="43">
                  <c:v>-3.333333333333334E-2</c:v>
                </c:pt>
                <c:pt idx="44">
                  <c:v>-3.3333333333333333E-2</c:v>
                </c:pt>
                <c:pt idx="45">
                  <c:v>6.6666666666666666E-2</c:v>
                </c:pt>
                <c:pt idx="46">
                  <c:v>0</c:v>
                </c:pt>
                <c:pt idx="47">
                  <c:v>-0.29032258064516125</c:v>
                </c:pt>
                <c:pt idx="48">
                  <c:v>-0.17241379310344829</c:v>
                </c:pt>
                <c:pt idx="49">
                  <c:v>-0.10344827586206901</c:v>
                </c:pt>
                <c:pt idx="50">
                  <c:v>-0.10344827586206901</c:v>
                </c:pt>
              </c:numCache>
            </c:numRef>
          </c:val>
          <c:smooth val="0"/>
        </c:ser>
        <c:dLbls>
          <c:showLegendKey val="0"/>
          <c:showVal val="0"/>
          <c:showCatName val="0"/>
          <c:showSerName val="0"/>
          <c:showPercent val="0"/>
          <c:showBubbleSize val="0"/>
        </c:dLbls>
        <c:marker val="1"/>
        <c:smooth val="0"/>
        <c:axId val="198154496"/>
        <c:axId val="201327360"/>
      </c:lineChart>
      <c:catAx>
        <c:axId val="198154496"/>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201327360"/>
        <c:crosses val="autoZero"/>
        <c:auto val="1"/>
        <c:lblAlgn val="ctr"/>
        <c:lblOffset val="100"/>
        <c:tickLblSkip val="1"/>
        <c:noMultiLvlLbl val="0"/>
      </c:catAx>
      <c:valAx>
        <c:axId val="201327360"/>
        <c:scaling>
          <c:orientation val="minMax"/>
          <c:max val="0.15000000000000002"/>
        </c:scaling>
        <c:delete val="0"/>
        <c:axPos val="l"/>
        <c:majorGridlines>
          <c:spPr>
            <a:ln>
              <a:prstDash val="dash"/>
            </a:ln>
          </c:spPr>
        </c:majorGridlines>
        <c:numFmt formatCode="0%" sourceLinked="0"/>
        <c:majorTickMark val="out"/>
        <c:minorTickMark val="none"/>
        <c:tickLblPos val="nextTo"/>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198154496"/>
        <c:crosses val="autoZero"/>
        <c:crossBetween val="between"/>
        <c:majorUnit val="5.000000000000001E-2"/>
      </c:valAx>
    </c:plotArea>
    <c:legend>
      <c:legendPos val="b"/>
      <c:layout>
        <c:manualLayout>
          <c:xMode val="edge"/>
          <c:yMode val="edge"/>
          <c:x val="0.34132245910940756"/>
          <c:y val="0.91974765654293211"/>
          <c:w val="0.2512244523089357"/>
          <c:h val="7.530333708286463E-2"/>
        </c:manualLayout>
      </c:layout>
      <c:overlay val="0"/>
      <c:txPr>
        <a:bodyPr/>
        <a:lstStyle/>
        <a:p>
          <a:pPr>
            <a:defRPr sz="8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1665304132063E-2"/>
          <c:y val="5.0925925925925923E-2"/>
          <c:w val="0.93053919079787162"/>
          <c:h val="0.54828294611321737"/>
        </c:manualLayout>
      </c:layout>
      <c:lineChart>
        <c:grouping val="standard"/>
        <c:varyColors val="0"/>
        <c:ser>
          <c:idx val="0"/>
          <c:order val="0"/>
          <c:spPr>
            <a:ln>
              <a:solidFill>
                <a:srgbClr val="5322CE"/>
              </a:solidFill>
            </a:ln>
          </c:spPr>
          <c:marker>
            <c:symbol val="none"/>
          </c:marker>
          <c:dPt>
            <c:idx val="11"/>
            <c:bubble3D val="0"/>
            <c:spPr>
              <a:ln>
                <a:solidFill>
                  <a:srgbClr val="5322CE"/>
                </a:solidFill>
                <a:prstDash val="sysDash"/>
              </a:ln>
            </c:spPr>
          </c:dPt>
          <c:dPt>
            <c:idx val="28"/>
            <c:bubble3D val="0"/>
            <c:spPr>
              <a:ln>
                <a:solidFill>
                  <a:srgbClr val="5322CE"/>
                </a:solidFill>
                <a:prstDash val="sysDash"/>
              </a:ln>
            </c:spPr>
          </c:dPt>
          <c:dPt>
            <c:idx val="41"/>
            <c:bubble3D val="0"/>
            <c:spPr>
              <a:ln>
                <a:solidFill>
                  <a:srgbClr val="5322CE"/>
                </a:solidFill>
                <a:prstDash val="sysDash"/>
              </a:ln>
            </c:spPr>
          </c:dPt>
          <c:cat>
            <c:multiLvlStrRef>
              <c:f>'Ожид-факт СП'!$C$4:$AN$5</c:f>
              <c:multiLvlStrCache>
                <c:ptCount val="38"/>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lvl>
                <c:lvl>
                  <c:pt idx="0">
                    <c:v>Несие портфелі, барлығы</c:v>
                  </c:pt>
                  <c:pt idx="13">
                    <c:v>Корпоративтік сектор</c:v>
                  </c:pt>
                  <c:pt idx="26">
                    <c:v>Жеке тұлғалар</c:v>
                  </c:pt>
                </c:lvl>
              </c:multiLvlStrCache>
            </c:multiLvlStrRef>
          </c:cat>
          <c:val>
            <c:numRef>
              <c:f>'Ожид-факт СП'!$C$6:$AN$6</c:f>
              <c:numCache>
                <c:formatCode>0.00%</c:formatCode>
                <c:ptCount val="38"/>
                <c:pt idx="0">
                  <c:v>0.1891891891891892</c:v>
                </c:pt>
                <c:pt idx="1">
                  <c:v>0.13513513513513514</c:v>
                </c:pt>
                <c:pt idx="2">
                  <c:v>0.13513513513513514</c:v>
                </c:pt>
                <c:pt idx="3">
                  <c:v>0</c:v>
                </c:pt>
                <c:pt idx="4">
                  <c:v>0.10810810810810811</c:v>
                </c:pt>
                <c:pt idx="5">
                  <c:v>0.1891891891891892</c:v>
                </c:pt>
                <c:pt idx="6">
                  <c:v>0.21621621621621623</c:v>
                </c:pt>
                <c:pt idx="7">
                  <c:v>0.35135135135135137</c:v>
                </c:pt>
                <c:pt idx="8">
                  <c:v>0</c:v>
                </c:pt>
                <c:pt idx="9">
                  <c:v>-5.7142857142857148E-2</c:v>
                </c:pt>
                <c:pt idx="10">
                  <c:v>5.8823529411764698E-2</c:v>
                </c:pt>
                <c:pt idx="11">
                  <c:v>-0.20588235294117599</c:v>
                </c:pt>
                <c:pt idx="13">
                  <c:v>0.23529411764705882</c:v>
                </c:pt>
                <c:pt idx="14">
                  <c:v>0.11764705882352942</c:v>
                </c:pt>
                <c:pt idx="15">
                  <c:v>0.1764705882352941</c:v>
                </c:pt>
                <c:pt idx="16">
                  <c:v>2.9411764705882359E-2</c:v>
                </c:pt>
                <c:pt idx="17">
                  <c:v>0.17647058823529413</c:v>
                </c:pt>
                <c:pt idx="18">
                  <c:v>0.23529411764705882</c:v>
                </c:pt>
                <c:pt idx="19">
                  <c:v>0.20588235294117646</c:v>
                </c:pt>
                <c:pt idx="20">
                  <c:v>0.29411764705882354</c:v>
                </c:pt>
                <c:pt idx="21">
                  <c:v>5.8823529411764719E-2</c:v>
                </c:pt>
                <c:pt idx="22">
                  <c:v>-6.25E-2</c:v>
                </c:pt>
                <c:pt idx="23">
                  <c:v>9.375E-2</c:v>
                </c:pt>
                <c:pt idx="24">
                  <c:v>0.29411764705882354</c:v>
                </c:pt>
                <c:pt idx="26">
                  <c:v>0.12121212121212122</c:v>
                </c:pt>
                <c:pt idx="27">
                  <c:v>9.0909090909090912E-2</c:v>
                </c:pt>
                <c:pt idx="28">
                  <c:v>0.11764705882352941</c:v>
                </c:pt>
                <c:pt idx="29">
                  <c:v>8.8235294117647051E-2</c:v>
                </c:pt>
                <c:pt idx="30">
                  <c:v>8.8235294117647065E-2</c:v>
                </c:pt>
                <c:pt idx="31">
                  <c:v>8.8235294117647051E-2</c:v>
                </c:pt>
                <c:pt idx="32">
                  <c:v>0.1176470588235294</c:v>
                </c:pt>
                <c:pt idx="33">
                  <c:v>0.29411764705882354</c:v>
                </c:pt>
                <c:pt idx="34">
                  <c:v>0</c:v>
                </c:pt>
                <c:pt idx="35">
                  <c:v>-3.125E-2</c:v>
                </c:pt>
                <c:pt idx="36">
                  <c:v>-3.2258064516128997E-2</c:v>
                </c:pt>
                <c:pt idx="37" formatCode="#,##0.00%">
                  <c:v>-0.33333333333333298</c:v>
                </c:pt>
              </c:numCache>
            </c:numRef>
          </c:val>
          <c:smooth val="0"/>
        </c:ser>
        <c:dLbls>
          <c:showLegendKey val="0"/>
          <c:showVal val="0"/>
          <c:showCatName val="0"/>
          <c:showSerName val="0"/>
          <c:showPercent val="0"/>
          <c:showBubbleSize val="0"/>
        </c:dLbls>
        <c:marker val="1"/>
        <c:smooth val="0"/>
        <c:axId val="226310784"/>
        <c:axId val="226312576"/>
      </c:lineChart>
      <c:catAx>
        <c:axId val="226310784"/>
        <c:scaling>
          <c:orientation val="minMax"/>
        </c:scaling>
        <c:delete val="0"/>
        <c:axPos val="b"/>
        <c:numFmt formatCode="General" sourceLinked="1"/>
        <c:majorTickMark val="out"/>
        <c:minorTickMark val="none"/>
        <c:tickLblPos val="low"/>
        <c:txPr>
          <a:bodyPr rot="-5400000" vert="horz"/>
          <a:lstStyle/>
          <a:p>
            <a:pPr>
              <a:defRPr sz="800" b="0" i="0" u="none" strike="noStrike" baseline="0">
                <a:solidFill>
                  <a:srgbClr val="000000"/>
                </a:solidFill>
                <a:latin typeface="Times New Roman"/>
                <a:ea typeface="Times New Roman"/>
                <a:cs typeface="Times New Roman"/>
              </a:defRPr>
            </a:pPr>
            <a:endParaRPr lang="ru-RU"/>
          </a:p>
        </c:txPr>
        <c:crossAx val="226312576"/>
        <c:crosses val="autoZero"/>
        <c:auto val="1"/>
        <c:lblAlgn val="ctr"/>
        <c:lblOffset val="100"/>
        <c:noMultiLvlLbl val="0"/>
      </c:catAx>
      <c:valAx>
        <c:axId val="226312576"/>
        <c:scaling>
          <c:orientation val="minMax"/>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26310784"/>
        <c:crosses val="autoZero"/>
        <c:crossBetween val="between"/>
      </c:valAx>
    </c:plotArea>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 СП'!$C$38</c:f>
              <c:strCache>
                <c:ptCount val="1"/>
                <c:pt idx="0">
                  <c:v>Факт</c:v>
                </c:pt>
              </c:strCache>
            </c:strRef>
          </c:tx>
          <c:spPr>
            <a:solidFill>
              <a:srgbClr val="F38DA5"/>
            </a:solidFill>
          </c:spPr>
          <c:invertIfNegative val="0"/>
          <c:dLbls>
            <c:dLbl>
              <c:idx val="0"/>
              <c:delete val="1"/>
            </c:dLbl>
            <c:dLbl>
              <c:idx val="1"/>
              <c:delete val="1"/>
            </c:dLbl>
            <c:dLbl>
              <c:idx val="2"/>
              <c:delete val="1"/>
            </c:dLbl>
            <c:dLbl>
              <c:idx val="3"/>
              <c:delete val="1"/>
            </c:dLbl>
            <c:dLbl>
              <c:idx val="6"/>
              <c:layout>
                <c:manualLayout>
                  <c:x val="0"/>
                  <c:y val="3.1683161730066946E-2"/>
                </c:manualLayout>
              </c:layout>
              <c:dLblPos val="outEnd"/>
              <c:showLegendKey val="0"/>
              <c:showVal val="1"/>
              <c:showCatName val="0"/>
              <c:showSerName val="0"/>
              <c:showPercent val="0"/>
              <c:showBubbleSize val="0"/>
            </c:dLbl>
            <c:dLbl>
              <c:idx val="7"/>
              <c:layout>
                <c:manualLayout>
                  <c:x val="0"/>
                  <c:y val="2.6402634775055788E-2"/>
                </c:manualLayout>
              </c:layout>
              <c:dLblPos val="outEnd"/>
              <c:showLegendKey val="0"/>
              <c:showVal val="1"/>
              <c:showCatName val="0"/>
              <c:showSerName val="0"/>
              <c:showPercent val="0"/>
              <c:showBubbleSize val="0"/>
            </c:dLbl>
            <c:dLbl>
              <c:idx val="8"/>
              <c:layout>
                <c:manualLayout>
                  <c:x val="0"/>
                  <c:y val="6.3366323460133891E-2"/>
                </c:manualLayout>
              </c:layout>
              <c:dLblPos val="outEnd"/>
              <c:showLegendKey val="0"/>
              <c:showVal val="1"/>
              <c:showCatName val="0"/>
              <c:showSerName val="0"/>
              <c:showPercent val="0"/>
              <c:showBubbleSize val="0"/>
            </c:dLbl>
            <c:dLbl>
              <c:idx val="9"/>
              <c:layout>
                <c:manualLayout>
                  <c:x val="1.7344170480904683E-2"/>
                  <c:y val="2.6402634775055788E-2"/>
                </c:manualLayout>
              </c:layout>
              <c:dLblPos val="outEnd"/>
              <c:showLegendKey val="0"/>
              <c:showVal val="1"/>
              <c:showCatName val="0"/>
              <c:showSerName val="0"/>
              <c:showPercent val="0"/>
              <c:showBubbleSize val="0"/>
            </c:dLbl>
            <c:dLbl>
              <c:idx val="12"/>
              <c:delete val="1"/>
            </c:dLbl>
            <c:dLbl>
              <c:idx val="13"/>
              <c:delete val="1"/>
            </c:dLbl>
            <c:dLbl>
              <c:idx val="14"/>
              <c:delete val="1"/>
            </c:dLbl>
            <c:dLbl>
              <c:idx val="15"/>
              <c:delete val="1"/>
            </c:dLbl>
            <c:txPr>
              <a:bodyPr/>
              <a:lstStyle/>
              <a:p>
                <a:pPr>
                  <a:defRPr sz="8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multiLvlStrRef>
              <c:f>'Ожид-факт СП'!$D$36:$T$37</c:f>
              <c:multiLvlStrCache>
                <c:ptCount val="17"/>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lvl>
                <c:lvl>
                  <c:pt idx="0">
                    <c:v>Корпоративтік сектор</c:v>
                  </c:pt>
                  <c:pt idx="6">
                    <c:v>жеке тұлғалар, ипотека </c:v>
                  </c:pt>
                  <c:pt idx="12">
                    <c:v>жеке тұлғалар, тұтыну</c:v>
                  </c:pt>
                </c:lvl>
              </c:multiLvlStrCache>
            </c:multiLvlStrRef>
          </c:cat>
          <c:val>
            <c:numRef>
              <c:f>'Ожид-факт СП'!$D$38:$T$38</c:f>
              <c:numCache>
                <c:formatCode>0.00%</c:formatCode>
                <c:ptCount val="17"/>
                <c:pt idx="0">
                  <c:v>0.12903225806451613</c:v>
                </c:pt>
                <c:pt idx="1">
                  <c:v>3.3333333333333326E-2</c:v>
                </c:pt>
                <c:pt idx="2">
                  <c:v>6.8965517241379296E-2</c:v>
                </c:pt>
                <c:pt idx="3">
                  <c:v>6.8965517241379296E-2</c:v>
                </c:pt>
                <c:pt idx="6">
                  <c:v>0.13793103448275862</c:v>
                </c:pt>
                <c:pt idx="7">
                  <c:v>-0.10714285714285714</c:v>
                </c:pt>
                <c:pt idx="8">
                  <c:v>0</c:v>
                </c:pt>
                <c:pt idx="9">
                  <c:v>3.8461538461538498E-2</c:v>
                </c:pt>
                <c:pt idx="12">
                  <c:v>0.16129032258064516</c:v>
                </c:pt>
                <c:pt idx="13">
                  <c:v>-6.6666666666666666E-2</c:v>
                </c:pt>
                <c:pt idx="14">
                  <c:v>3.5714285714285698E-2</c:v>
                </c:pt>
                <c:pt idx="15">
                  <c:v>0.107142857142857</c:v>
                </c:pt>
              </c:numCache>
            </c:numRef>
          </c:val>
        </c:ser>
        <c:dLbls>
          <c:showLegendKey val="0"/>
          <c:showVal val="0"/>
          <c:showCatName val="0"/>
          <c:showSerName val="0"/>
          <c:showPercent val="0"/>
          <c:showBubbleSize val="0"/>
        </c:dLbls>
        <c:gapWidth val="150"/>
        <c:axId val="226347264"/>
        <c:axId val="226414592"/>
      </c:barChart>
      <c:lineChart>
        <c:grouping val="standard"/>
        <c:varyColors val="0"/>
        <c:ser>
          <c:idx val="1"/>
          <c:order val="1"/>
          <c:tx>
            <c:strRef>
              <c:f>'Ожид-факт СП'!$C$39</c:f>
              <c:strCache>
                <c:ptCount val="1"/>
                <c:pt idx="0">
                  <c:v>Күту</c:v>
                </c:pt>
              </c:strCache>
            </c:strRef>
          </c:tx>
          <c:spPr>
            <a:ln>
              <a:solidFill>
                <a:srgbClr val="339933"/>
              </a:solidFill>
            </a:ln>
          </c:spPr>
          <c:marker>
            <c:symbol val="diamond"/>
            <c:size val="5"/>
            <c:spPr>
              <a:solidFill>
                <a:srgbClr val="339933"/>
              </a:solidFill>
              <a:ln>
                <a:solidFill>
                  <a:srgbClr val="339933"/>
                </a:solidFill>
              </a:ln>
            </c:spPr>
          </c:marker>
          <c:dPt>
            <c:idx val="4"/>
            <c:bubble3D val="0"/>
            <c:spPr>
              <a:ln>
                <a:solidFill>
                  <a:srgbClr val="339933"/>
                </a:solidFill>
                <a:prstDash val="sysDash"/>
              </a:ln>
            </c:spPr>
          </c:dPt>
          <c:dPt>
            <c:idx val="10"/>
            <c:bubble3D val="0"/>
            <c:spPr>
              <a:ln>
                <a:solidFill>
                  <a:srgbClr val="339933"/>
                </a:solidFill>
                <a:prstDash val="sysDash"/>
              </a:ln>
            </c:spPr>
          </c:dPt>
          <c:dPt>
            <c:idx val="16"/>
            <c:bubble3D val="0"/>
            <c:spPr>
              <a:ln>
                <a:solidFill>
                  <a:srgbClr val="339933"/>
                </a:solidFill>
                <a:prstDash val="sysDash"/>
              </a:ln>
            </c:spPr>
          </c:dPt>
          <c:cat>
            <c:multiLvlStrRef>
              <c:f>'Ожид-факт СП'!$D$36:$T$37</c:f>
              <c:multiLvlStrCache>
                <c:ptCount val="17"/>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lvl>
                <c:lvl>
                  <c:pt idx="0">
                    <c:v>Корпоративтік сектор</c:v>
                  </c:pt>
                  <c:pt idx="6">
                    <c:v>жеке тұлғалар, ипотека </c:v>
                  </c:pt>
                  <c:pt idx="12">
                    <c:v>жеке тұлғалар, тұтыну</c:v>
                  </c:pt>
                </c:lvl>
              </c:multiLvlStrCache>
            </c:multiLvlStrRef>
          </c:cat>
          <c:val>
            <c:numRef>
              <c:f>'Ожид-факт СП'!$D$39:$T$39</c:f>
              <c:numCache>
                <c:formatCode>0.00%</c:formatCode>
                <c:ptCount val="17"/>
                <c:pt idx="0">
                  <c:v>0.14705882352941174</c:v>
                </c:pt>
                <c:pt idx="1">
                  <c:v>-3.2258064516129031E-2</c:v>
                </c:pt>
                <c:pt idx="2">
                  <c:v>6.666666666666668E-2</c:v>
                </c:pt>
                <c:pt idx="3">
                  <c:v>0.10344827586206901</c:v>
                </c:pt>
                <c:pt idx="4">
                  <c:v>0.31034482758620702</c:v>
                </c:pt>
                <c:pt idx="6">
                  <c:v>6.6666666666666666E-2</c:v>
                </c:pt>
                <c:pt idx="7">
                  <c:v>-6.6666666666666666E-2</c:v>
                </c:pt>
                <c:pt idx="8">
                  <c:v>3.5714285714285712E-2</c:v>
                </c:pt>
                <c:pt idx="9">
                  <c:v>7.69230769230769E-2</c:v>
                </c:pt>
                <c:pt idx="10">
                  <c:v>0.19230769230769201</c:v>
                </c:pt>
                <c:pt idx="12">
                  <c:v>0.125</c:v>
                </c:pt>
                <c:pt idx="13">
                  <c:v>0</c:v>
                </c:pt>
                <c:pt idx="14">
                  <c:v>3.3333333333333333E-2</c:v>
                </c:pt>
                <c:pt idx="15">
                  <c:v>0.107142857142857</c:v>
                </c:pt>
                <c:pt idx="16">
                  <c:v>0.214285714285714</c:v>
                </c:pt>
              </c:numCache>
            </c:numRef>
          </c:val>
          <c:smooth val="0"/>
        </c:ser>
        <c:dLbls>
          <c:showLegendKey val="0"/>
          <c:showVal val="0"/>
          <c:showCatName val="0"/>
          <c:showSerName val="0"/>
          <c:showPercent val="0"/>
          <c:showBubbleSize val="0"/>
        </c:dLbls>
        <c:marker val="1"/>
        <c:smooth val="0"/>
        <c:axId val="226347264"/>
        <c:axId val="226414592"/>
      </c:lineChart>
      <c:catAx>
        <c:axId val="226347264"/>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26414592"/>
        <c:crosses val="autoZero"/>
        <c:auto val="1"/>
        <c:lblAlgn val="ctr"/>
        <c:lblOffset val="100"/>
        <c:noMultiLvlLbl val="0"/>
      </c:catAx>
      <c:valAx>
        <c:axId val="226414592"/>
        <c:scaling>
          <c:orientation val="minMax"/>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26347264"/>
        <c:crosses val="autoZero"/>
        <c:crossBetween val="between"/>
      </c:valAx>
    </c:plotArea>
    <c:legend>
      <c:legendPos val="b"/>
      <c:layout>
        <c:manualLayout>
          <c:xMode val="edge"/>
          <c:yMode val="edge"/>
          <c:x val="0.3583632289866206"/>
          <c:y val="0.88339028767649108"/>
          <c:w val="0.26683566993150248"/>
          <c:h val="7.799985476123783E-2"/>
        </c:manualLayout>
      </c:layout>
      <c:overlay val="0"/>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58512547591634E-2"/>
          <c:y val="5.0925925925925923E-2"/>
          <c:w val="0.86391065741288264"/>
          <c:h val="0.51697533074952429"/>
        </c:manualLayout>
      </c:layout>
      <c:barChart>
        <c:barDir val="col"/>
        <c:grouping val="clustered"/>
        <c:varyColors val="0"/>
        <c:ser>
          <c:idx val="0"/>
          <c:order val="0"/>
          <c:tx>
            <c:strRef>
              <c:f>'Ожид-факт СП'!$C$48</c:f>
              <c:strCache>
                <c:ptCount val="1"/>
                <c:pt idx="0">
                  <c:v>Факт</c:v>
                </c:pt>
              </c:strCache>
            </c:strRef>
          </c:tx>
          <c:spPr>
            <a:solidFill>
              <a:srgbClr val="D60093"/>
            </a:solidFill>
            <a:ln>
              <a:noFill/>
            </a:ln>
          </c:spPr>
          <c:invertIfNegative val="0"/>
          <c:cat>
            <c:multiLvlStrRef>
              <c:f>'Ожид-факт СП'!$D$46:$T$47</c:f>
              <c:multiLvlStrCache>
                <c:ptCount val="17"/>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lvl>
                <c:lvl>
                  <c:pt idx="0">
                    <c:v>Корпоративтік сектор </c:v>
                  </c:pt>
                  <c:pt idx="6">
                    <c:v>Ипотекалық кредиттер</c:v>
                  </c:pt>
                  <c:pt idx="12">
                    <c:v>Тұтыну кредиттері</c:v>
                  </c:pt>
                </c:lvl>
              </c:multiLvlStrCache>
            </c:multiLvlStrRef>
          </c:cat>
          <c:val>
            <c:numRef>
              <c:f>'Ожид-факт СП'!$D$48:$S$48</c:f>
              <c:numCache>
                <c:formatCode>0.00%</c:formatCode>
                <c:ptCount val="16"/>
                <c:pt idx="0">
                  <c:v>0.22857142857142856</c:v>
                </c:pt>
                <c:pt idx="1">
                  <c:v>-0.30303030303030298</c:v>
                </c:pt>
                <c:pt idx="2" formatCode="#,##0.00%">
                  <c:v>0</c:v>
                </c:pt>
                <c:pt idx="3">
                  <c:v>3.125E-2</c:v>
                </c:pt>
                <c:pt idx="6">
                  <c:v>0.17647058823529413</c:v>
                </c:pt>
                <c:pt idx="7">
                  <c:v>-0.28125</c:v>
                </c:pt>
                <c:pt idx="8" formatCode="#,##0.00%">
                  <c:v>-0.19230769230769201</c:v>
                </c:pt>
                <c:pt idx="9" formatCode="#,##0.00%">
                  <c:v>0.15384615384615399</c:v>
                </c:pt>
                <c:pt idx="12">
                  <c:v>0.22857142857142859</c:v>
                </c:pt>
                <c:pt idx="13">
                  <c:v>-0.2121212121212121</c:v>
                </c:pt>
                <c:pt idx="14" formatCode="#,##0.00%">
                  <c:v>-6.6666666666666693E-2</c:v>
                </c:pt>
                <c:pt idx="15" formatCode="#,##0.00%">
                  <c:v>0.2</c:v>
                </c:pt>
              </c:numCache>
            </c:numRef>
          </c:val>
        </c:ser>
        <c:dLbls>
          <c:showLegendKey val="0"/>
          <c:showVal val="0"/>
          <c:showCatName val="0"/>
          <c:showSerName val="0"/>
          <c:showPercent val="0"/>
          <c:showBubbleSize val="0"/>
        </c:dLbls>
        <c:gapWidth val="150"/>
        <c:axId val="226679040"/>
        <c:axId val="226680832"/>
      </c:barChart>
      <c:lineChart>
        <c:grouping val="standard"/>
        <c:varyColors val="0"/>
        <c:ser>
          <c:idx val="1"/>
          <c:order val="1"/>
          <c:tx>
            <c:strRef>
              <c:f>'Ожид-факт СП'!$C$49</c:f>
              <c:strCache>
                <c:ptCount val="1"/>
                <c:pt idx="0">
                  <c:v>Күту</c:v>
                </c:pt>
              </c:strCache>
            </c:strRef>
          </c:tx>
          <c:spPr>
            <a:ln>
              <a:solidFill>
                <a:schemeClr val="accent5">
                  <a:lumMod val="75000"/>
                </a:schemeClr>
              </a:solidFill>
            </a:ln>
          </c:spPr>
          <c:marker>
            <c:symbol val="none"/>
          </c:marker>
          <c:dPt>
            <c:idx val="4"/>
            <c:bubble3D val="0"/>
            <c:spPr>
              <a:ln>
                <a:solidFill>
                  <a:schemeClr val="accent5">
                    <a:lumMod val="75000"/>
                  </a:schemeClr>
                </a:solidFill>
                <a:prstDash val="sysDash"/>
              </a:ln>
            </c:spPr>
          </c:dPt>
          <c:dPt>
            <c:idx val="10"/>
            <c:bubble3D val="0"/>
            <c:spPr>
              <a:ln>
                <a:solidFill>
                  <a:schemeClr val="accent5">
                    <a:lumMod val="75000"/>
                  </a:schemeClr>
                </a:solidFill>
                <a:prstDash val="sysDash"/>
              </a:ln>
            </c:spPr>
          </c:dPt>
          <c:dPt>
            <c:idx val="16"/>
            <c:bubble3D val="0"/>
            <c:spPr>
              <a:ln>
                <a:solidFill>
                  <a:schemeClr val="accent5">
                    <a:lumMod val="75000"/>
                  </a:schemeClr>
                </a:solidFill>
                <a:prstDash val="sysDash"/>
              </a:ln>
            </c:spPr>
          </c:dPt>
          <c:cat>
            <c:multiLvlStrRef>
              <c:f>'Ожид-факт СП'!$D$46:$T$47</c:f>
              <c:multiLvlStrCache>
                <c:ptCount val="17"/>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lvl>
                <c:lvl>
                  <c:pt idx="0">
                    <c:v>Корпоративтік сектор </c:v>
                  </c:pt>
                  <c:pt idx="6">
                    <c:v>Ипотекалық кредиттер</c:v>
                  </c:pt>
                  <c:pt idx="12">
                    <c:v>Тұтыну кредиттері</c:v>
                  </c:pt>
                </c:lvl>
              </c:multiLvlStrCache>
            </c:multiLvlStrRef>
          </c:cat>
          <c:val>
            <c:numRef>
              <c:f>'Ожид-факт СП'!$D$49:$T$49</c:f>
              <c:numCache>
                <c:formatCode>0.00%</c:formatCode>
                <c:ptCount val="17"/>
                <c:pt idx="0">
                  <c:v>0.20588235294117646</c:v>
                </c:pt>
                <c:pt idx="1">
                  <c:v>-0.20588235294117646</c:v>
                </c:pt>
                <c:pt idx="2">
                  <c:v>-3.0303030303030304E-2</c:v>
                </c:pt>
                <c:pt idx="3" formatCode="#,##0.00%">
                  <c:v>0.125</c:v>
                </c:pt>
                <c:pt idx="4" formatCode="#,##0.00%">
                  <c:v>-6.25E-2</c:v>
                </c:pt>
                <c:pt idx="6">
                  <c:v>0.20689655172413793</c:v>
                </c:pt>
                <c:pt idx="7">
                  <c:v>-0.27586206896551724</c:v>
                </c:pt>
                <c:pt idx="8">
                  <c:v>-0.22222222222222221</c:v>
                </c:pt>
                <c:pt idx="9" formatCode="#,##0.00%">
                  <c:v>0.230769230769231</c:v>
                </c:pt>
                <c:pt idx="10" formatCode="#,##0.00%">
                  <c:v>-0.19230769230769201</c:v>
                </c:pt>
                <c:pt idx="12">
                  <c:v>0.27272727272727271</c:v>
                </c:pt>
                <c:pt idx="13">
                  <c:v>-0.2424242424242424</c:v>
                </c:pt>
                <c:pt idx="14">
                  <c:v>-3.2258064516129031E-2</c:v>
                </c:pt>
                <c:pt idx="15" formatCode="#,##0.00%">
                  <c:v>0.3</c:v>
                </c:pt>
                <c:pt idx="16" formatCode="#,##0.00%">
                  <c:v>-6.6666666666666693E-2</c:v>
                </c:pt>
              </c:numCache>
            </c:numRef>
          </c:val>
          <c:smooth val="0"/>
        </c:ser>
        <c:dLbls>
          <c:showLegendKey val="0"/>
          <c:showVal val="0"/>
          <c:showCatName val="0"/>
          <c:showSerName val="0"/>
          <c:showPercent val="0"/>
          <c:showBubbleSize val="0"/>
        </c:dLbls>
        <c:marker val="1"/>
        <c:smooth val="0"/>
        <c:axId val="226679040"/>
        <c:axId val="226680832"/>
      </c:lineChart>
      <c:catAx>
        <c:axId val="226679040"/>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26680832"/>
        <c:crosses val="autoZero"/>
        <c:auto val="1"/>
        <c:lblAlgn val="ctr"/>
        <c:lblOffset val="100"/>
        <c:noMultiLvlLbl val="0"/>
      </c:catAx>
      <c:valAx>
        <c:axId val="226680832"/>
        <c:scaling>
          <c:orientation val="minMax"/>
        </c:scaling>
        <c:delete val="0"/>
        <c:axPos val="l"/>
        <c:majorGridlines>
          <c:spPr>
            <a:ln>
              <a:prstDash val="dash"/>
            </a:ln>
          </c:spPr>
        </c:majorGridlines>
        <c:numFmt formatCode="0%" sourceLinked="0"/>
        <c:majorTickMark val="out"/>
        <c:minorTickMark val="none"/>
        <c:tickLblPos val="nextTo"/>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26679040"/>
        <c:crosses val="autoZero"/>
        <c:crossBetween val="between"/>
      </c:valAx>
    </c:plotArea>
    <c:legend>
      <c:legendPos val="b"/>
      <c:overlay val="0"/>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5.9461367762759731E-2"/>
          <c:y val="5.1400554097404488E-2"/>
          <c:w val="0.93114671718951658"/>
          <c:h val="0.60025947705903859"/>
        </c:manualLayout>
      </c:layout>
      <c:barChart>
        <c:barDir val="col"/>
        <c:grouping val="clustered"/>
        <c:varyColors val="0"/>
        <c:ser>
          <c:idx val="0"/>
          <c:order val="0"/>
          <c:tx>
            <c:strRef>
              <c:f>'Ожид-факт КР'!$B$6</c:f>
              <c:strCache>
                <c:ptCount val="1"/>
                <c:pt idx="0">
                  <c:v>Кредиттік тәуекел (нақты)</c:v>
                </c:pt>
              </c:strCache>
            </c:strRef>
          </c:tx>
          <c:spPr>
            <a:solidFill>
              <a:srgbClr val="D60093"/>
            </a:solidFill>
            <a:ln>
              <a:noFill/>
            </a:ln>
          </c:spPr>
          <c:invertIfNegative val="0"/>
          <c:cat>
            <c:strRef>
              <c:f>'Ожид-факт КР'!$C$5:$I$5</c:f>
              <c:strCache>
                <c:ptCount val="7"/>
                <c:pt idx="0">
                  <c:v>1 тоқ 2014 </c:v>
                </c:pt>
                <c:pt idx="1">
                  <c:v>2 тоқ 2014 </c:v>
                </c:pt>
                <c:pt idx="2">
                  <c:v>3 тоқ 2014</c:v>
                </c:pt>
                <c:pt idx="3">
                  <c:v>4 тоқ 2014</c:v>
                </c:pt>
                <c:pt idx="4">
                  <c:v>1 тоқ 2015 </c:v>
                </c:pt>
                <c:pt idx="5">
                  <c:v>2 тоқ 2015 </c:v>
                </c:pt>
                <c:pt idx="6">
                  <c:v>3 тоқ 2015</c:v>
                </c:pt>
              </c:strCache>
            </c:strRef>
          </c:cat>
          <c:val>
            <c:numRef>
              <c:f>'Ожид-факт КР'!$C$6:$I$6</c:f>
              <c:numCache>
                <c:formatCode>0.00%</c:formatCode>
                <c:ptCount val="7"/>
                <c:pt idx="0">
                  <c:v>0.35135135135135137</c:v>
                </c:pt>
                <c:pt idx="1">
                  <c:v>0.24324324324324326</c:v>
                </c:pt>
                <c:pt idx="2">
                  <c:v>0.21621621621621623</c:v>
                </c:pt>
                <c:pt idx="3">
                  <c:v>0.1891891891891892</c:v>
                </c:pt>
                <c:pt idx="4">
                  <c:v>0.34285714285714286</c:v>
                </c:pt>
                <c:pt idx="5">
                  <c:v>0.35294117647058798</c:v>
                </c:pt>
                <c:pt idx="6">
                  <c:v>0.41176470588235298</c:v>
                </c:pt>
              </c:numCache>
            </c:numRef>
          </c:val>
        </c:ser>
        <c:ser>
          <c:idx val="1"/>
          <c:order val="1"/>
          <c:tx>
            <c:strRef>
              <c:f>'Ожид-факт КР'!$B$7</c:f>
              <c:strCache>
                <c:ptCount val="1"/>
                <c:pt idx="0">
                  <c:v>Пайыз тәуекелі (нақты)</c:v>
                </c:pt>
              </c:strCache>
            </c:strRef>
          </c:tx>
          <c:spPr>
            <a:solidFill>
              <a:schemeClr val="accent5"/>
            </a:solidFill>
            <a:ln>
              <a:noFill/>
            </a:ln>
          </c:spPr>
          <c:invertIfNegative val="0"/>
          <c:cat>
            <c:strRef>
              <c:f>'Ожид-факт КР'!$C$5:$I$5</c:f>
              <c:strCache>
                <c:ptCount val="7"/>
                <c:pt idx="0">
                  <c:v>1 тоқ 2014 </c:v>
                </c:pt>
                <c:pt idx="1">
                  <c:v>2 тоқ 2014 </c:v>
                </c:pt>
                <c:pt idx="2">
                  <c:v>3 тоқ 2014</c:v>
                </c:pt>
                <c:pt idx="3">
                  <c:v>4 тоқ 2014</c:v>
                </c:pt>
                <c:pt idx="4">
                  <c:v>1 тоқ 2015 </c:v>
                </c:pt>
                <c:pt idx="5">
                  <c:v>2 тоқ 2015 </c:v>
                </c:pt>
                <c:pt idx="6">
                  <c:v>3 тоқ 2015</c:v>
                </c:pt>
              </c:strCache>
            </c:strRef>
          </c:cat>
          <c:val>
            <c:numRef>
              <c:f>'Ожид-факт КР'!$C$7:$I$7</c:f>
              <c:numCache>
                <c:formatCode>0.00%</c:formatCode>
                <c:ptCount val="7"/>
                <c:pt idx="0">
                  <c:v>0.16216216216216217</c:v>
                </c:pt>
                <c:pt idx="1">
                  <c:v>8.1081081081081086E-2</c:v>
                </c:pt>
                <c:pt idx="2">
                  <c:v>0.13513513513513514</c:v>
                </c:pt>
                <c:pt idx="3">
                  <c:v>0.10810810810810811</c:v>
                </c:pt>
                <c:pt idx="4">
                  <c:v>0.19999999999999998</c:v>
                </c:pt>
                <c:pt idx="5">
                  <c:v>0.14705882352941199</c:v>
                </c:pt>
                <c:pt idx="6">
                  <c:v>0.26470588235294101</c:v>
                </c:pt>
              </c:numCache>
            </c:numRef>
          </c:val>
        </c:ser>
        <c:ser>
          <c:idx val="2"/>
          <c:order val="2"/>
          <c:tx>
            <c:strRef>
              <c:f>'Ожид-факт КР'!$B$8</c:f>
              <c:strCache>
                <c:ptCount val="1"/>
                <c:pt idx="0">
                  <c:v>Валюта тәуекелі (нақты)</c:v>
                </c:pt>
              </c:strCache>
            </c:strRef>
          </c:tx>
          <c:spPr>
            <a:solidFill>
              <a:srgbClr val="6931CF"/>
            </a:solidFill>
            <a:ln>
              <a:noFill/>
            </a:ln>
          </c:spPr>
          <c:invertIfNegative val="0"/>
          <c:cat>
            <c:strRef>
              <c:f>'Ожид-факт КР'!$C$5:$I$5</c:f>
              <c:strCache>
                <c:ptCount val="7"/>
                <c:pt idx="0">
                  <c:v>1 тоқ 2014 </c:v>
                </c:pt>
                <c:pt idx="1">
                  <c:v>2 тоқ 2014 </c:v>
                </c:pt>
                <c:pt idx="2">
                  <c:v>3 тоқ 2014</c:v>
                </c:pt>
                <c:pt idx="3">
                  <c:v>4 тоқ 2014</c:v>
                </c:pt>
                <c:pt idx="4">
                  <c:v>1 тоқ 2015 </c:v>
                </c:pt>
                <c:pt idx="5">
                  <c:v>2 тоқ 2015 </c:v>
                </c:pt>
                <c:pt idx="6">
                  <c:v>3 тоқ 2015</c:v>
                </c:pt>
              </c:strCache>
            </c:strRef>
          </c:cat>
          <c:val>
            <c:numRef>
              <c:f>'Ожид-факт КР'!$C$8:$I$8</c:f>
              <c:numCache>
                <c:formatCode>0.00%</c:formatCode>
                <c:ptCount val="7"/>
                <c:pt idx="0">
                  <c:v>0.32432432432432434</c:v>
                </c:pt>
                <c:pt idx="1">
                  <c:v>0.10810810810810811</c:v>
                </c:pt>
                <c:pt idx="2">
                  <c:v>5.4054054054054057E-2</c:v>
                </c:pt>
                <c:pt idx="3">
                  <c:v>0.1891891891891892</c:v>
                </c:pt>
                <c:pt idx="4">
                  <c:v>0.31428571428571428</c:v>
                </c:pt>
                <c:pt idx="5">
                  <c:v>0.32352941176470601</c:v>
                </c:pt>
                <c:pt idx="6">
                  <c:v>0.64705882352941202</c:v>
                </c:pt>
              </c:numCache>
            </c:numRef>
          </c:val>
        </c:ser>
        <c:ser>
          <c:idx val="3"/>
          <c:order val="3"/>
          <c:tx>
            <c:strRef>
              <c:f>'Ожид-факт КР'!$B$9</c:f>
              <c:strCache>
                <c:ptCount val="1"/>
                <c:pt idx="0">
                  <c:v>Өтімділік тәуекелі (нақты)</c:v>
                </c:pt>
              </c:strCache>
            </c:strRef>
          </c:tx>
          <c:spPr>
            <a:solidFill>
              <a:schemeClr val="accent4">
                <a:lumMod val="60000"/>
                <a:lumOff val="40000"/>
              </a:schemeClr>
            </a:solidFill>
            <a:ln>
              <a:noFill/>
            </a:ln>
          </c:spPr>
          <c:invertIfNegative val="0"/>
          <c:cat>
            <c:strRef>
              <c:f>'Ожид-факт КР'!$C$5:$I$5</c:f>
              <c:strCache>
                <c:ptCount val="7"/>
                <c:pt idx="0">
                  <c:v>1 тоқ 2014 </c:v>
                </c:pt>
                <c:pt idx="1">
                  <c:v>2 тоқ 2014 </c:v>
                </c:pt>
                <c:pt idx="2">
                  <c:v>3 тоқ 2014</c:v>
                </c:pt>
                <c:pt idx="3">
                  <c:v>4 тоқ 2014</c:v>
                </c:pt>
                <c:pt idx="4">
                  <c:v>1 тоқ 2015 </c:v>
                </c:pt>
                <c:pt idx="5">
                  <c:v>2 тоқ 2015 </c:v>
                </c:pt>
                <c:pt idx="6">
                  <c:v>3 тоқ 2015</c:v>
                </c:pt>
              </c:strCache>
            </c:strRef>
          </c:cat>
          <c:val>
            <c:numRef>
              <c:f>'Ожид-факт КР'!$C$9:$I$9</c:f>
              <c:numCache>
                <c:formatCode>0.00%</c:formatCode>
                <c:ptCount val="7"/>
                <c:pt idx="0">
                  <c:v>0.24324324324324326</c:v>
                </c:pt>
                <c:pt idx="1">
                  <c:v>0.1891891891891892</c:v>
                </c:pt>
                <c:pt idx="2">
                  <c:v>0.16216216216216217</c:v>
                </c:pt>
                <c:pt idx="3">
                  <c:v>0.35135135135135137</c:v>
                </c:pt>
                <c:pt idx="4">
                  <c:v>0.4285714285714286</c:v>
                </c:pt>
                <c:pt idx="5">
                  <c:v>0.32352941176470601</c:v>
                </c:pt>
                <c:pt idx="6">
                  <c:v>0.441176470588235</c:v>
                </c:pt>
              </c:numCache>
            </c:numRef>
          </c:val>
        </c:ser>
        <c:ser>
          <c:idx val="4"/>
          <c:order val="4"/>
          <c:tx>
            <c:strRef>
              <c:f>'Ожид-факт КР'!$B$10</c:f>
              <c:strCache>
                <c:ptCount val="1"/>
                <c:pt idx="0">
                  <c:v>Операция тәуекелі (нақты)</c:v>
                </c:pt>
              </c:strCache>
            </c:strRef>
          </c:tx>
          <c:spPr>
            <a:solidFill>
              <a:srgbClr val="006600"/>
            </a:solidFill>
            <a:ln>
              <a:noFill/>
            </a:ln>
          </c:spPr>
          <c:invertIfNegative val="0"/>
          <c:cat>
            <c:strRef>
              <c:f>'Ожид-факт КР'!$C$5:$I$5</c:f>
              <c:strCache>
                <c:ptCount val="7"/>
                <c:pt idx="0">
                  <c:v>1 тоқ 2014 </c:v>
                </c:pt>
                <c:pt idx="1">
                  <c:v>2 тоқ 2014 </c:v>
                </c:pt>
                <c:pt idx="2">
                  <c:v>3 тоқ 2014</c:v>
                </c:pt>
                <c:pt idx="3">
                  <c:v>4 тоқ 2014</c:v>
                </c:pt>
                <c:pt idx="4">
                  <c:v>1 тоқ 2015 </c:v>
                </c:pt>
                <c:pt idx="5">
                  <c:v>2 тоқ 2015 </c:v>
                </c:pt>
                <c:pt idx="6">
                  <c:v>3 тоқ 2015</c:v>
                </c:pt>
              </c:strCache>
            </c:strRef>
          </c:cat>
          <c:val>
            <c:numRef>
              <c:f>'Ожид-факт КР'!$C$10:$I$10</c:f>
              <c:numCache>
                <c:formatCode>0.00%</c:formatCode>
                <c:ptCount val="7"/>
                <c:pt idx="0">
                  <c:v>5.4054054054054057E-2</c:v>
                </c:pt>
                <c:pt idx="1">
                  <c:v>5.4054054054054057E-2</c:v>
                </c:pt>
                <c:pt idx="2">
                  <c:v>2.7027027027027029E-2</c:v>
                </c:pt>
                <c:pt idx="3">
                  <c:v>5.4054054054054057E-2</c:v>
                </c:pt>
                <c:pt idx="4">
                  <c:v>0.14285714285714285</c:v>
                </c:pt>
                <c:pt idx="5">
                  <c:v>5.8823529411764698E-2</c:v>
                </c:pt>
                <c:pt idx="6">
                  <c:v>0.11764705882352899</c:v>
                </c:pt>
              </c:numCache>
            </c:numRef>
          </c:val>
        </c:ser>
        <c:dLbls>
          <c:showLegendKey val="0"/>
          <c:showVal val="0"/>
          <c:showCatName val="0"/>
          <c:showSerName val="0"/>
          <c:showPercent val="0"/>
          <c:showBubbleSize val="0"/>
        </c:dLbls>
        <c:gapWidth val="130"/>
        <c:axId val="227228288"/>
        <c:axId val="227234176"/>
      </c:barChart>
      <c:catAx>
        <c:axId val="227228288"/>
        <c:scaling>
          <c:orientation val="minMax"/>
        </c:scaling>
        <c:delete val="0"/>
        <c:axPos val="b"/>
        <c:numFmt formatCode="General" sourceLinked="1"/>
        <c:majorTickMark val="out"/>
        <c:minorTickMark val="none"/>
        <c:tickLblPos val="low"/>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27234176"/>
        <c:crosses val="autoZero"/>
        <c:auto val="0"/>
        <c:lblAlgn val="ctr"/>
        <c:lblOffset val="100"/>
        <c:noMultiLvlLbl val="0"/>
      </c:catAx>
      <c:valAx>
        <c:axId val="227234176"/>
        <c:scaling>
          <c:orientation val="minMax"/>
          <c:max val="0.70000000000000007"/>
        </c:scaling>
        <c:delete val="0"/>
        <c:axPos val="l"/>
        <c:majorGridlines>
          <c:spPr>
            <a:ln>
              <a:prstDash val="dash"/>
            </a:ln>
          </c:spPr>
        </c:majorGridlines>
        <c:numFmt formatCode="0%" sourceLinked="0"/>
        <c:majorTickMark val="out"/>
        <c:minorTickMark val="none"/>
        <c:tickLblPos val="nextTo"/>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27228288"/>
        <c:crosses val="autoZero"/>
        <c:crossBetween val="between"/>
        <c:majorUnit val="5.000000000000001E-2"/>
      </c:valAx>
    </c:plotArea>
    <c:legend>
      <c:legendPos val="b"/>
      <c:layout>
        <c:manualLayout>
          <c:xMode val="edge"/>
          <c:yMode val="edge"/>
          <c:x val="5.0584330501994339E-2"/>
          <c:y val="0.83559590765440028"/>
          <c:w val="0.91608060016120041"/>
          <c:h val="0.10820326030674743"/>
        </c:manualLayout>
      </c:layout>
      <c:overlay val="0"/>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ln>
      <a:noFill/>
    </a:ln>
  </c:spPr>
  <c:txPr>
    <a:bodyPr/>
    <a:lstStyle/>
    <a:p>
      <a:pPr>
        <a:defRPr sz="9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692503910157009E-2"/>
          <c:y val="7.4966532797858101E-2"/>
          <c:w val="0.93355216787159923"/>
          <c:h val="0.42609566291604045"/>
        </c:manualLayout>
      </c:layout>
      <c:barChart>
        <c:barDir val="col"/>
        <c:grouping val="clustered"/>
        <c:varyColors val="0"/>
        <c:ser>
          <c:idx val="2"/>
          <c:order val="2"/>
          <c:tx>
            <c:strRef>
              <c:f>'Ожид-факт_корп (3)'!$A$7</c:f>
              <c:strCache>
                <c:ptCount val="1"/>
                <c:pt idx="0">
                  <c:v>Банктердің кредиттеуге ұсынысы (ниеті) </c:v>
                </c:pt>
              </c:strCache>
            </c:strRef>
          </c:tx>
          <c:spPr>
            <a:pattFill prst="pct90">
              <a:fgClr>
                <a:srgbClr val="9999FF"/>
              </a:fgClr>
              <a:bgClr>
                <a:srgbClr val="B634B0"/>
              </a:bgClr>
            </a:pattFill>
            <a:ln w="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invertIfNegative val="0"/>
          <c:cat>
            <c:multiLvlStrRef>
              <c:f>'Ожид-факт_корп (3)'!$B$3:$AZ$4</c:f>
              <c:multiLvlStrCache>
                <c:ptCount val="51"/>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pt idx="39">
                    <c:v>1 тоқ 2013 </c:v>
                  </c:pt>
                  <c:pt idx="40">
                    <c:v>2 тоқ 2013 </c:v>
                  </c:pt>
                  <c:pt idx="41">
                    <c:v>3 тоқ 2013 </c:v>
                  </c:pt>
                  <c:pt idx="42">
                    <c:v>4 тоқ 2013 </c:v>
                  </c:pt>
                  <c:pt idx="43">
                    <c:v>1 тоқ 2014 </c:v>
                  </c:pt>
                  <c:pt idx="44">
                    <c:v>2 тоқ 2014 </c:v>
                  </c:pt>
                  <c:pt idx="45">
                    <c:v>3 тоқ 2014</c:v>
                  </c:pt>
                  <c:pt idx="46">
                    <c:v>4 тоқ 2014</c:v>
                  </c:pt>
                  <c:pt idx="47">
                    <c:v>1 тоқ 2015 </c:v>
                  </c:pt>
                  <c:pt idx="48">
                    <c:v>2 тоқ 2015 </c:v>
                  </c:pt>
                  <c:pt idx="49">
                    <c:v>3 тоқ 2015</c:v>
                  </c:pt>
                  <c:pt idx="50">
                    <c:v>4 тоқ 2015</c:v>
                  </c:pt>
                </c:lvl>
                <c:lvl>
                  <c:pt idx="0">
                    <c:v>Жалпы алғанда қаржылық емес ұйымдар</c:v>
                  </c:pt>
                  <c:pt idx="13">
                    <c:v>Ірі бизнес</c:v>
                  </c:pt>
                  <c:pt idx="26">
                    <c:v>Орта бизнес</c:v>
                  </c:pt>
                  <c:pt idx="39">
                    <c:v>Шағын бизнес</c:v>
                  </c:pt>
                </c:lvl>
              </c:multiLvlStrCache>
            </c:multiLvlStrRef>
          </c:cat>
          <c:val>
            <c:numRef>
              <c:f>'Ожид-факт_корп (3)'!$B$7:$AZ$7</c:f>
              <c:numCache>
                <c:formatCode>0.00%</c:formatCode>
                <c:ptCount val="51"/>
                <c:pt idx="0">
                  <c:v>0.44117647058823528</c:v>
                </c:pt>
                <c:pt idx="1">
                  <c:v>0.3235294117647059</c:v>
                </c:pt>
                <c:pt idx="2">
                  <c:v>0.41176470588235292</c:v>
                </c:pt>
                <c:pt idx="3">
                  <c:v>0.23529411764705882</c:v>
                </c:pt>
                <c:pt idx="4">
                  <c:v>0.41176470588235298</c:v>
                </c:pt>
                <c:pt idx="5">
                  <c:v>0.3235294117647059</c:v>
                </c:pt>
                <c:pt idx="6">
                  <c:v>0.29411764705882354</c:v>
                </c:pt>
                <c:pt idx="7">
                  <c:v>0.14705882352941174</c:v>
                </c:pt>
                <c:pt idx="8">
                  <c:v>-0.21875</c:v>
                </c:pt>
                <c:pt idx="9">
                  <c:v>3.125E-2</c:v>
                </c:pt>
                <c:pt idx="10">
                  <c:v>6.25E-2</c:v>
                </c:pt>
                <c:pt idx="13">
                  <c:v>0.38235294117647056</c:v>
                </c:pt>
                <c:pt idx="14">
                  <c:v>0.20588235294117646</c:v>
                </c:pt>
                <c:pt idx="15">
                  <c:v>0.41176470588235292</c:v>
                </c:pt>
                <c:pt idx="16">
                  <c:v>0.23529411764705882</c:v>
                </c:pt>
                <c:pt idx="17">
                  <c:v>0.3235294117647059</c:v>
                </c:pt>
                <c:pt idx="18">
                  <c:v>0.26470588235294118</c:v>
                </c:pt>
                <c:pt idx="19">
                  <c:v>0.20588235294117646</c:v>
                </c:pt>
                <c:pt idx="20">
                  <c:v>0.11764705882352942</c:v>
                </c:pt>
                <c:pt idx="21">
                  <c:v>-9.375E-2</c:v>
                </c:pt>
                <c:pt idx="22">
                  <c:v>0.133333333333333</c:v>
                </c:pt>
                <c:pt idx="23">
                  <c:v>6.4516129032258104E-2</c:v>
                </c:pt>
                <c:pt idx="26">
                  <c:v>0.45161290322580644</c:v>
                </c:pt>
                <c:pt idx="27">
                  <c:v>0.32258064516129037</c:v>
                </c:pt>
                <c:pt idx="28">
                  <c:v>0.35483870967741937</c:v>
                </c:pt>
                <c:pt idx="29">
                  <c:v>0.25806451612903225</c:v>
                </c:pt>
                <c:pt idx="30">
                  <c:v>0.38709677419354838</c:v>
                </c:pt>
                <c:pt idx="31">
                  <c:v>0.32258064516129031</c:v>
                </c:pt>
                <c:pt idx="32">
                  <c:v>0.32258064516129031</c:v>
                </c:pt>
                <c:pt idx="33">
                  <c:v>3.0303030303030304E-2</c:v>
                </c:pt>
                <c:pt idx="34">
                  <c:v>-0.22580645161290322</c:v>
                </c:pt>
                <c:pt idx="35">
                  <c:v>-3.3333333333333298E-2</c:v>
                </c:pt>
                <c:pt idx="36">
                  <c:v>6.6666666666666693E-2</c:v>
                </c:pt>
                <c:pt idx="39">
                  <c:v>0.3666666666666667</c:v>
                </c:pt>
                <c:pt idx="40">
                  <c:v>0.3</c:v>
                </c:pt>
                <c:pt idx="41">
                  <c:v>0.3</c:v>
                </c:pt>
                <c:pt idx="42">
                  <c:v>0.3</c:v>
                </c:pt>
                <c:pt idx="43">
                  <c:v>0.3</c:v>
                </c:pt>
                <c:pt idx="44">
                  <c:v>0.2</c:v>
                </c:pt>
                <c:pt idx="45">
                  <c:v>0.36666666666666664</c:v>
                </c:pt>
                <c:pt idx="46">
                  <c:v>0</c:v>
                </c:pt>
                <c:pt idx="47">
                  <c:v>-0.23333333333333334</c:v>
                </c:pt>
                <c:pt idx="48">
                  <c:v>-6.8965517241379296E-2</c:v>
                </c:pt>
                <c:pt idx="49">
                  <c:v>0</c:v>
                </c:pt>
              </c:numCache>
            </c:numRef>
          </c:val>
        </c:ser>
        <c:dLbls>
          <c:showLegendKey val="0"/>
          <c:showVal val="0"/>
          <c:showCatName val="0"/>
          <c:showSerName val="0"/>
          <c:showPercent val="0"/>
          <c:showBubbleSize val="0"/>
        </c:dLbls>
        <c:gapWidth val="150"/>
        <c:axId val="202062848"/>
        <c:axId val="218895488"/>
      </c:barChart>
      <c:lineChart>
        <c:grouping val="standard"/>
        <c:varyColors val="0"/>
        <c:ser>
          <c:idx val="0"/>
          <c:order val="0"/>
          <c:tx>
            <c:strRef>
              <c:f>'Ожид-факт_корп (3)'!$A$5</c:f>
              <c:strCache>
                <c:ptCount val="1"/>
                <c:pt idx="0">
                  <c:v>Сұраныс_факт</c:v>
                </c:pt>
              </c:strCache>
            </c:strRef>
          </c:tx>
          <c:spPr>
            <a:ln>
              <a:solidFill>
                <a:srgbClr val="3211BD"/>
              </a:solidFill>
            </a:ln>
          </c:spPr>
          <c:marker>
            <c:symbol val="none"/>
          </c:marker>
          <c:dPt>
            <c:idx val="10"/>
            <c:bubble3D val="0"/>
            <c:spPr>
              <a:ln>
                <a:solidFill>
                  <a:srgbClr val="3211BD"/>
                </a:solidFill>
                <a:prstDash val="solid"/>
              </a:ln>
            </c:spPr>
          </c:dPt>
          <c:dPt>
            <c:idx val="23"/>
            <c:bubble3D val="0"/>
            <c:spPr>
              <a:ln>
                <a:solidFill>
                  <a:srgbClr val="3211BD"/>
                </a:solidFill>
                <a:prstDash val="solid"/>
              </a:ln>
            </c:spPr>
          </c:dPt>
          <c:dPt>
            <c:idx val="36"/>
            <c:bubble3D val="0"/>
            <c:spPr>
              <a:ln>
                <a:solidFill>
                  <a:srgbClr val="3211BD"/>
                </a:solidFill>
                <a:prstDash val="solid"/>
              </a:ln>
            </c:spPr>
          </c:dPt>
          <c:dPt>
            <c:idx val="49"/>
            <c:bubble3D val="0"/>
            <c:spPr>
              <a:ln>
                <a:solidFill>
                  <a:srgbClr val="3211BD"/>
                </a:solidFill>
                <a:prstDash val="solid"/>
              </a:ln>
            </c:spPr>
          </c:dPt>
          <c:cat>
            <c:multiLvlStrRef>
              <c:f>'Ожид-факт_корп (3)'!$B$3:$AZ$4</c:f>
              <c:multiLvlStrCache>
                <c:ptCount val="51"/>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pt idx="39">
                    <c:v>1 тоқ 2013 </c:v>
                  </c:pt>
                  <c:pt idx="40">
                    <c:v>2 тоқ 2013 </c:v>
                  </c:pt>
                  <c:pt idx="41">
                    <c:v>3 тоқ 2013 </c:v>
                  </c:pt>
                  <c:pt idx="42">
                    <c:v>4 тоқ 2013 </c:v>
                  </c:pt>
                  <c:pt idx="43">
                    <c:v>1 тоқ 2014 </c:v>
                  </c:pt>
                  <c:pt idx="44">
                    <c:v>2 тоқ 2014 </c:v>
                  </c:pt>
                  <c:pt idx="45">
                    <c:v>3 тоқ 2014</c:v>
                  </c:pt>
                  <c:pt idx="46">
                    <c:v>4 тоқ 2014</c:v>
                  </c:pt>
                  <c:pt idx="47">
                    <c:v>1 тоқ 2015 </c:v>
                  </c:pt>
                  <c:pt idx="48">
                    <c:v>2 тоқ 2015 </c:v>
                  </c:pt>
                  <c:pt idx="49">
                    <c:v>3 тоқ 2015</c:v>
                  </c:pt>
                  <c:pt idx="50">
                    <c:v>4 тоқ 2015</c:v>
                  </c:pt>
                </c:lvl>
                <c:lvl>
                  <c:pt idx="0">
                    <c:v>Жалпы алғанда қаржылық емес ұйымдар</c:v>
                  </c:pt>
                  <c:pt idx="13">
                    <c:v>Ірі бизнес</c:v>
                  </c:pt>
                  <c:pt idx="26">
                    <c:v>Орта бизнес</c:v>
                  </c:pt>
                  <c:pt idx="39">
                    <c:v>Шағын бизнес</c:v>
                  </c:pt>
                </c:lvl>
              </c:multiLvlStrCache>
            </c:multiLvlStrRef>
          </c:cat>
          <c:val>
            <c:numRef>
              <c:f>'Ожид-факт_корп (3)'!$B$5:$AZ$5</c:f>
              <c:numCache>
                <c:formatCode>0.00%</c:formatCode>
                <c:ptCount val="51"/>
                <c:pt idx="0">
                  <c:v>0.5</c:v>
                </c:pt>
                <c:pt idx="1">
                  <c:v>0.58823529411764708</c:v>
                </c:pt>
                <c:pt idx="2">
                  <c:v>0.55882352941176472</c:v>
                </c:pt>
                <c:pt idx="3">
                  <c:v>0.41176470588235292</c:v>
                </c:pt>
                <c:pt idx="4">
                  <c:v>0.23529411764705882</c:v>
                </c:pt>
                <c:pt idx="5">
                  <c:v>0.35294117647058826</c:v>
                </c:pt>
                <c:pt idx="6">
                  <c:v>0.36363636363636365</c:v>
                </c:pt>
                <c:pt idx="7">
                  <c:v>0.31428571428571428</c:v>
                </c:pt>
                <c:pt idx="8">
                  <c:v>0.18181818181818182</c:v>
                </c:pt>
                <c:pt idx="9">
                  <c:v>0.28125</c:v>
                </c:pt>
                <c:pt idx="10">
                  <c:v>0.15625</c:v>
                </c:pt>
                <c:pt idx="13">
                  <c:v>0.5</c:v>
                </c:pt>
                <c:pt idx="14">
                  <c:v>0.44117647058823528</c:v>
                </c:pt>
                <c:pt idx="15">
                  <c:v>0.55882352941176472</c:v>
                </c:pt>
                <c:pt idx="16">
                  <c:v>0.41176470588235292</c:v>
                </c:pt>
                <c:pt idx="17">
                  <c:v>0.23529411764705882</c:v>
                </c:pt>
                <c:pt idx="18">
                  <c:v>0.26470588235294118</c:v>
                </c:pt>
                <c:pt idx="19">
                  <c:v>0.39393939393939392</c:v>
                </c:pt>
                <c:pt idx="20">
                  <c:v>0.2121212121212121</c:v>
                </c:pt>
                <c:pt idx="21">
                  <c:v>9.375E-2</c:v>
                </c:pt>
                <c:pt idx="22">
                  <c:v>0.225806451612903</c:v>
                </c:pt>
                <c:pt idx="23">
                  <c:v>0.133333333333333</c:v>
                </c:pt>
                <c:pt idx="26">
                  <c:v>0.5161290322580645</c:v>
                </c:pt>
                <c:pt idx="27">
                  <c:v>0.54838709677419351</c:v>
                </c:pt>
                <c:pt idx="28">
                  <c:v>0.4838709677419355</c:v>
                </c:pt>
                <c:pt idx="29">
                  <c:v>0.32258064516129037</c:v>
                </c:pt>
                <c:pt idx="30">
                  <c:v>0.22580645161290322</c:v>
                </c:pt>
                <c:pt idx="31">
                  <c:v>0.35483870967741937</c:v>
                </c:pt>
                <c:pt idx="32">
                  <c:v>0.39393939393939392</c:v>
                </c:pt>
                <c:pt idx="33">
                  <c:v>0.3235294117647059</c:v>
                </c:pt>
                <c:pt idx="34">
                  <c:v>6.4516129032258035E-2</c:v>
                </c:pt>
                <c:pt idx="35">
                  <c:v>0.233333333333333</c:v>
                </c:pt>
                <c:pt idx="36">
                  <c:v>0.12903225806451599</c:v>
                </c:pt>
                <c:pt idx="39">
                  <c:v>0.3666666666666667</c:v>
                </c:pt>
                <c:pt idx="40">
                  <c:v>0.53333333333333333</c:v>
                </c:pt>
                <c:pt idx="41">
                  <c:v>0.46666666666666667</c:v>
                </c:pt>
                <c:pt idx="42">
                  <c:v>0.19999999999999998</c:v>
                </c:pt>
                <c:pt idx="43">
                  <c:v>0.12903225806451613</c:v>
                </c:pt>
                <c:pt idx="44">
                  <c:v>0.32258064516129037</c:v>
                </c:pt>
                <c:pt idx="45">
                  <c:v>0.36363636363636365</c:v>
                </c:pt>
                <c:pt idx="46">
                  <c:v>0.29411764705882354</c:v>
                </c:pt>
                <c:pt idx="47">
                  <c:v>0.1290322580645161</c:v>
                </c:pt>
                <c:pt idx="48">
                  <c:v>0.24137931034482801</c:v>
                </c:pt>
                <c:pt idx="49">
                  <c:v>6.4516129032258104E-2</c:v>
                </c:pt>
              </c:numCache>
            </c:numRef>
          </c:val>
          <c:smooth val="0"/>
        </c:ser>
        <c:ser>
          <c:idx val="1"/>
          <c:order val="1"/>
          <c:tx>
            <c:strRef>
              <c:f>'Ожид-факт_корп (3)'!$A$6</c:f>
              <c:strCache>
                <c:ptCount val="1"/>
                <c:pt idx="0">
                  <c:v>Сұраныс_күту</c:v>
                </c:pt>
              </c:strCache>
            </c:strRef>
          </c:tx>
          <c:spPr>
            <a:ln>
              <a:solidFill>
                <a:srgbClr val="AB213F"/>
              </a:solidFill>
            </a:ln>
          </c:spPr>
          <c:marker>
            <c:symbol val="none"/>
          </c:marker>
          <c:dPt>
            <c:idx val="11"/>
            <c:bubble3D val="0"/>
            <c:spPr>
              <a:ln>
                <a:solidFill>
                  <a:srgbClr val="AB213F"/>
                </a:solidFill>
                <a:prstDash val="sysDash"/>
              </a:ln>
            </c:spPr>
          </c:dPt>
          <c:dPt>
            <c:idx val="24"/>
            <c:bubble3D val="0"/>
            <c:spPr>
              <a:ln>
                <a:solidFill>
                  <a:srgbClr val="AB213F"/>
                </a:solidFill>
                <a:prstDash val="sysDash"/>
              </a:ln>
            </c:spPr>
          </c:dPt>
          <c:dPt>
            <c:idx val="37"/>
            <c:bubble3D val="0"/>
            <c:spPr>
              <a:ln>
                <a:solidFill>
                  <a:srgbClr val="AB213F"/>
                </a:solidFill>
                <a:prstDash val="sysDash"/>
              </a:ln>
            </c:spPr>
          </c:dPt>
          <c:dPt>
            <c:idx val="50"/>
            <c:bubble3D val="0"/>
            <c:spPr>
              <a:ln>
                <a:solidFill>
                  <a:srgbClr val="AB213F"/>
                </a:solidFill>
                <a:prstDash val="sysDash"/>
              </a:ln>
            </c:spPr>
          </c:dPt>
          <c:cat>
            <c:multiLvlStrRef>
              <c:f>'Ожид-факт_корп (3)'!$B$3:$AZ$4</c:f>
              <c:multiLvlStrCache>
                <c:ptCount val="51"/>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pt idx="39">
                    <c:v>1 тоқ 2013 </c:v>
                  </c:pt>
                  <c:pt idx="40">
                    <c:v>2 тоқ 2013 </c:v>
                  </c:pt>
                  <c:pt idx="41">
                    <c:v>3 тоқ 2013 </c:v>
                  </c:pt>
                  <c:pt idx="42">
                    <c:v>4 тоқ 2013 </c:v>
                  </c:pt>
                  <c:pt idx="43">
                    <c:v>1 тоқ 2014 </c:v>
                  </c:pt>
                  <c:pt idx="44">
                    <c:v>2 тоқ 2014 </c:v>
                  </c:pt>
                  <c:pt idx="45">
                    <c:v>3 тоқ 2014</c:v>
                  </c:pt>
                  <c:pt idx="46">
                    <c:v>4 тоқ 2014</c:v>
                  </c:pt>
                  <c:pt idx="47">
                    <c:v>1 тоқ 2015 </c:v>
                  </c:pt>
                  <c:pt idx="48">
                    <c:v>2 тоқ 2015 </c:v>
                  </c:pt>
                  <c:pt idx="49">
                    <c:v>3 тоқ 2015</c:v>
                  </c:pt>
                  <c:pt idx="50">
                    <c:v>4 тоқ 2015</c:v>
                  </c:pt>
                </c:lvl>
                <c:lvl>
                  <c:pt idx="0">
                    <c:v>Жалпы алғанда қаржылық емес ұйымдар</c:v>
                  </c:pt>
                  <c:pt idx="13">
                    <c:v>Ірі бизнес</c:v>
                  </c:pt>
                  <c:pt idx="26">
                    <c:v>Орта бизнес</c:v>
                  </c:pt>
                  <c:pt idx="39">
                    <c:v>Шағын бизнес</c:v>
                  </c:pt>
                </c:lvl>
              </c:multiLvlStrCache>
            </c:multiLvlStrRef>
          </c:cat>
          <c:val>
            <c:numRef>
              <c:f>'Ожид-факт_корп (3)'!$B$6:$AZ$6</c:f>
              <c:numCache>
                <c:formatCode>0.00%</c:formatCode>
                <c:ptCount val="51"/>
                <c:pt idx="0">
                  <c:v>0.3529411764705882</c:v>
                </c:pt>
                <c:pt idx="1">
                  <c:v>0.5</c:v>
                </c:pt>
                <c:pt idx="2">
                  <c:v>0.55882352941176472</c:v>
                </c:pt>
                <c:pt idx="3">
                  <c:v>0.44117647058823528</c:v>
                </c:pt>
                <c:pt idx="4">
                  <c:v>0.23529411764705882</c:v>
                </c:pt>
                <c:pt idx="5">
                  <c:v>0.3235294117647059</c:v>
                </c:pt>
                <c:pt idx="6">
                  <c:v>0.14705882352941177</c:v>
                </c:pt>
                <c:pt idx="7">
                  <c:v>0.23529411764705882</c:v>
                </c:pt>
                <c:pt idx="8">
                  <c:v>0.23529411764705882</c:v>
                </c:pt>
                <c:pt idx="9">
                  <c:v>0.3125</c:v>
                </c:pt>
                <c:pt idx="10">
                  <c:v>0.34375</c:v>
                </c:pt>
                <c:pt idx="11">
                  <c:v>9.375E-2</c:v>
                </c:pt>
                <c:pt idx="13">
                  <c:v>0.3235294117647059</c:v>
                </c:pt>
                <c:pt idx="14">
                  <c:v>0.38235294117647056</c:v>
                </c:pt>
                <c:pt idx="15">
                  <c:v>0.41176470588235292</c:v>
                </c:pt>
                <c:pt idx="16">
                  <c:v>0.41176470588235292</c:v>
                </c:pt>
                <c:pt idx="17">
                  <c:v>0.26470588235294118</c:v>
                </c:pt>
                <c:pt idx="18">
                  <c:v>0.38235294117647056</c:v>
                </c:pt>
                <c:pt idx="19">
                  <c:v>0.23529411764705882</c:v>
                </c:pt>
                <c:pt idx="20">
                  <c:v>0.26470588235294118</c:v>
                </c:pt>
                <c:pt idx="21">
                  <c:v>0.21212121212121213</c:v>
                </c:pt>
                <c:pt idx="22">
                  <c:v>0.28125</c:v>
                </c:pt>
                <c:pt idx="23">
                  <c:v>0.32258064516128998</c:v>
                </c:pt>
                <c:pt idx="24">
                  <c:v>0.16129032258064499</c:v>
                </c:pt>
                <c:pt idx="26">
                  <c:v>0.41935483870967744</c:v>
                </c:pt>
                <c:pt idx="27">
                  <c:v>0.5161290322580645</c:v>
                </c:pt>
                <c:pt idx="28">
                  <c:v>0.5161290322580645</c:v>
                </c:pt>
                <c:pt idx="29">
                  <c:v>0.375</c:v>
                </c:pt>
                <c:pt idx="30">
                  <c:v>0.21875</c:v>
                </c:pt>
                <c:pt idx="31">
                  <c:v>0.375</c:v>
                </c:pt>
                <c:pt idx="32">
                  <c:v>0.1875</c:v>
                </c:pt>
                <c:pt idx="33">
                  <c:v>0.25806451612903225</c:v>
                </c:pt>
                <c:pt idx="34">
                  <c:v>0.1875</c:v>
                </c:pt>
                <c:pt idx="35">
                  <c:v>0.32258064516129031</c:v>
                </c:pt>
                <c:pt idx="36">
                  <c:v>0.36666666666666697</c:v>
                </c:pt>
                <c:pt idx="37">
                  <c:v>0.12903225806451599</c:v>
                </c:pt>
                <c:pt idx="39">
                  <c:v>0.3666666666666667</c:v>
                </c:pt>
                <c:pt idx="40">
                  <c:v>0.5</c:v>
                </c:pt>
                <c:pt idx="41">
                  <c:v>0.53333333333333333</c:v>
                </c:pt>
                <c:pt idx="42">
                  <c:v>0.36666666666666664</c:v>
                </c:pt>
                <c:pt idx="43">
                  <c:v>0.16129032258064516</c:v>
                </c:pt>
                <c:pt idx="44">
                  <c:v>0.29032258064516125</c:v>
                </c:pt>
                <c:pt idx="45">
                  <c:v>0.19354838709677419</c:v>
                </c:pt>
                <c:pt idx="46">
                  <c:v>0.23333333333333334</c:v>
                </c:pt>
                <c:pt idx="47">
                  <c:v>0.12903225806451613</c:v>
                </c:pt>
                <c:pt idx="48">
                  <c:v>0.3</c:v>
                </c:pt>
                <c:pt idx="49">
                  <c:v>0.31034482758620702</c:v>
                </c:pt>
                <c:pt idx="50">
                  <c:v>6.6666666666666693E-2</c:v>
                </c:pt>
              </c:numCache>
            </c:numRef>
          </c:val>
          <c:smooth val="0"/>
        </c:ser>
        <c:dLbls>
          <c:showLegendKey val="0"/>
          <c:showVal val="0"/>
          <c:showCatName val="0"/>
          <c:showSerName val="0"/>
          <c:showPercent val="0"/>
          <c:showBubbleSize val="0"/>
        </c:dLbls>
        <c:marker val="1"/>
        <c:smooth val="0"/>
        <c:axId val="202062848"/>
        <c:axId val="218895488"/>
      </c:lineChart>
      <c:lineChart>
        <c:grouping val="standard"/>
        <c:varyColors val="0"/>
        <c:ser>
          <c:idx val="3"/>
          <c:order val="3"/>
          <c:tx>
            <c:strRef>
              <c:f>'Ожид-факт_корп (3)'!$A$8</c:f>
              <c:strCache>
                <c:ptCount val="1"/>
                <c:pt idx="0">
                  <c:v>Кредиттік ресурстардың қолжетімділігі (оң ось)*</c:v>
                </c:pt>
              </c:strCache>
            </c:strRef>
          </c:tx>
          <c:spPr>
            <a:ln>
              <a:solidFill>
                <a:srgbClr val="4DB39B"/>
              </a:solidFill>
              <a:prstDash val="solid"/>
            </a:ln>
          </c:spPr>
          <c:marker>
            <c:symbol val="diamond"/>
            <c:size val="5"/>
            <c:spPr>
              <a:ln>
                <a:solidFill>
                  <a:srgbClr val="4DB39B"/>
                </a:solidFill>
              </a:ln>
            </c:spPr>
          </c:marker>
          <c:dPt>
            <c:idx val="9"/>
            <c:bubble3D val="0"/>
          </c:dPt>
          <c:dPt>
            <c:idx val="22"/>
            <c:bubble3D val="0"/>
          </c:dPt>
          <c:dPt>
            <c:idx val="35"/>
            <c:bubble3D val="0"/>
          </c:dPt>
          <c:dPt>
            <c:idx val="48"/>
            <c:bubble3D val="0"/>
          </c:dPt>
          <c:cat>
            <c:multiLvlStrRef>
              <c:f>'Ожид-факт_корп (3)'!$B$3:$AZ$4</c:f>
              <c:multiLvlStrCache>
                <c:ptCount val="51"/>
                <c:lvl>
                  <c:pt idx="0">
                    <c:v>1 тоқ 2013 </c:v>
                  </c:pt>
                  <c:pt idx="1">
                    <c:v>2 тоқ 2013 </c:v>
                  </c:pt>
                  <c:pt idx="2">
                    <c:v>3 тоқ 2013 </c:v>
                  </c:pt>
                  <c:pt idx="3">
                    <c:v>4 тоқ 2013 </c:v>
                  </c:pt>
                  <c:pt idx="4">
                    <c:v>1 тоқ 2014 </c:v>
                  </c:pt>
                  <c:pt idx="5">
                    <c:v>2 тоқ 2014 </c:v>
                  </c:pt>
                  <c:pt idx="6">
                    <c:v>3 тоқ 2014</c:v>
                  </c:pt>
                  <c:pt idx="7">
                    <c:v>4 тоқ 2014</c:v>
                  </c:pt>
                  <c:pt idx="8">
                    <c:v>1 тоқ 2015 </c:v>
                  </c:pt>
                  <c:pt idx="9">
                    <c:v>2 тоқ 2015 </c:v>
                  </c:pt>
                  <c:pt idx="10">
                    <c:v>3 тоқ 2015</c:v>
                  </c:pt>
                  <c:pt idx="11">
                    <c:v>4 тоқ 2015</c:v>
                  </c:pt>
                  <c:pt idx="13">
                    <c:v>1 тоқ 2013 </c:v>
                  </c:pt>
                  <c:pt idx="14">
                    <c:v>2 тоқ 2013 </c:v>
                  </c:pt>
                  <c:pt idx="15">
                    <c:v>3 тоқ 2013 </c:v>
                  </c:pt>
                  <c:pt idx="16">
                    <c:v>4 тоқ 2013 </c:v>
                  </c:pt>
                  <c:pt idx="17">
                    <c:v>1 тоқ 2014 </c:v>
                  </c:pt>
                  <c:pt idx="18">
                    <c:v>2 тоқ 2014 </c:v>
                  </c:pt>
                  <c:pt idx="19">
                    <c:v>3 тоқ 2014</c:v>
                  </c:pt>
                  <c:pt idx="20">
                    <c:v>4 тоқ 2014</c:v>
                  </c:pt>
                  <c:pt idx="21">
                    <c:v>1 тоқ 2015 </c:v>
                  </c:pt>
                  <c:pt idx="22">
                    <c:v>2 тоқ 2015 </c:v>
                  </c:pt>
                  <c:pt idx="23">
                    <c:v>3 тоқ 2015</c:v>
                  </c:pt>
                  <c:pt idx="24">
                    <c:v>4 тоқ 2015</c:v>
                  </c:pt>
                  <c:pt idx="26">
                    <c:v>1 тоқ 2013 </c:v>
                  </c:pt>
                  <c:pt idx="27">
                    <c:v>2 тоқ 2013 </c:v>
                  </c:pt>
                  <c:pt idx="28">
                    <c:v>3 тоқ 2013 </c:v>
                  </c:pt>
                  <c:pt idx="29">
                    <c:v>4 тоқ 2013 </c:v>
                  </c:pt>
                  <c:pt idx="30">
                    <c:v>1 тоқ 2014 </c:v>
                  </c:pt>
                  <c:pt idx="31">
                    <c:v>2 тоқ 2014 </c:v>
                  </c:pt>
                  <c:pt idx="32">
                    <c:v>3 тоқ 2014</c:v>
                  </c:pt>
                  <c:pt idx="33">
                    <c:v>4 тоқ 2014</c:v>
                  </c:pt>
                  <c:pt idx="34">
                    <c:v>1 тоқ 2015 </c:v>
                  </c:pt>
                  <c:pt idx="35">
                    <c:v>2 тоқ 2015 </c:v>
                  </c:pt>
                  <c:pt idx="36">
                    <c:v>3 тоқ 2015</c:v>
                  </c:pt>
                  <c:pt idx="37">
                    <c:v>4 тоқ 2015</c:v>
                  </c:pt>
                  <c:pt idx="39">
                    <c:v>1 тоқ 2013 </c:v>
                  </c:pt>
                  <c:pt idx="40">
                    <c:v>2 тоқ 2013 </c:v>
                  </c:pt>
                  <c:pt idx="41">
                    <c:v>3 тоқ 2013 </c:v>
                  </c:pt>
                  <c:pt idx="42">
                    <c:v>4 тоқ 2013 </c:v>
                  </c:pt>
                  <c:pt idx="43">
                    <c:v>1 тоқ 2014 </c:v>
                  </c:pt>
                  <c:pt idx="44">
                    <c:v>2 тоқ 2014 </c:v>
                  </c:pt>
                  <c:pt idx="45">
                    <c:v>3 тоқ 2014</c:v>
                  </c:pt>
                  <c:pt idx="46">
                    <c:v>4 тоқ 2014</c:v>
                  </c:pt>
                  <c:pt idx="47">
                    <c:v>1 тоқ 2015 </c:v>
                  </c:pt>
                  <c:pt idx="48">
                    <c:v>2 тоқ 2015 </c:v>
                  </c:pt>
                  <c:pt idx="49">
                    <c:v>3 тоқ 2015</c:v>
                  </c:pt>
                  <c:pt idx="50">
                    <c:v>4 тоқ 2015</c:v>
                  </c:pt>
                </c:lvl>
                <c:lvl>
                  <c:pt idx="0">
                    <c:v>Жалпы алғанда қаржылық емес ұйымдар</c:v>
                  </c:pt>
                  <c:pt idx="13">
                    <c:v>Ірі бизнес</c:v>
                  </c:pt>
                  <c:pt idx="26">
                    <c:v>Орта бизнес</c:v>
                  </c:pt>
                  <c:pt idx="39">
                    <c:v>Шағын бизнес</c:v>
                  </c:pt>
                </c:lvl>
              </c:multiLvlStrCache>
            </c:multiLvlStrRef>
          </c:cat>
          <c:val>
            <c:numRef>
              <c:f>'Ожид-факт_корп (3)'!$B$8:$AZ$8</c:f>
              <c:numCache>
                <c:formatCode>0.00%</c:formatCode>
                <c:ptCount val="51"/>
                <c:pt idx="0">
                  <c:v>3.2599999999999997E-2</c:v>
                </c:pt>
                <c:pt idx="1">
                  <c:v>4.3499999999999997E-2</c:v>
                </c:pt>
                <c:pt idx="2">
                  <c:v>4.0800000000000003E-2</c:v>
                </c:pt>
                <c:pt idx="3">
                  <c:v>2.7300000000000001E-2</c:v>
                </c:pt>
                <c:pt idx="4">
                  <c:v>2.9700000000000001E-2</c:v>
                </c:pt>
                <c:pt idx="5">
                  <c:v>3.9300000000000002E-2</c:v>
                </c:pt>
                <c:pt idx="6">
                  <c:v>3.4700000000000002E-2</c:v>
                </c:pt>
                <c:pt idx="7">
                  <c:v>4.8500000000000001E-2</c:v>
                </c:pt>
                <c:pt idx="8">
                  <c:v>7.9100000000000004E-2</c:v>
                </c:pt>
                <c:pt idx="9">
                  <c:v>6.3899999999999998E-2</c:v>
                </c:pt>
                <c:pt idx="10">
                  <c:v>6.59E-2</c:v>
                </c:pt>
                <c:pt idx="13">
                  <c:v>3.73E-2</c:v>
                </c:pt>
                <c:pt idx="14">
                  <c:v>4.58E-2</c:v>
                </c:pt>
                <c:pt idx="15">
                  <c:v>0.04</c:v>
                </c:pt>
                <c:pt idx="16">
                  <c:v>3.5099999999999999E-2</c:v>
                </c:pt>
                <c:pt idx="17">
                  <c:v>0.02</c:v>
                </c:pt>
                <c:pt idx="18">
                  <c:v>4.2999999999999997E-2</c:v>
                </c:pt>
                <c:pt idx="19">
                  <c:v>3.7900000000000003E-2</c:v>
                </c:pt>
                <c:pt idx="20">
                  <c:v>4.8899999999999999E-2</c:v>
                </c:pt>
                <c:pt idx="21">
                  <c:v>7.5700000000000003E-2</c:v>
                </c:pt>
                <c:pt idx="22">
                  <c:v>6.8900000000000003E-2</c:v>
                </c:pt>
                <c:pt idx="23">
                  <c:v>8.4699999999999998E-2</c:v>
                </c:pt>
                <c:pt idx="26">
                  <c:v>3.44E-2</c:v>
                </c:pt>
                <c:pt idx="27">
                  <c:v>5.21E-2</c:v>
                </c:pt>
                <c:pt idx="28">
                  <c:v>4.7300000000000002E-2</c:v>
                </c:pt>
                <c:pt idx="29">
                  <c:v>2.8400000000000002E-2</c:v>
                </c:pt>
                <c:pt idx="30">
                  <c:v>3.3599999999999998E-2</c:v>
                </c:pt>
                <c:pt idx="31">
                  <c:v>4.3799999999999999E-2</c:v>
                </c:pt>
                <c:pt idx="32">
                  <c:v>3.5099999999999999E-2</c:v>
                </c:pt>
                <c:pt idx="33">
                  <c:v>4.8000000000000001E-2</c:v>
                </c:pt>
                <c:pt idx="34">
                  <c:v>8.9800000000000005E-2</c:v>
                </c:pt>
                <c:pt idx="35">
                  <c:v>0.06</c:v>
                </c:pt>
                <c:pt idx="36">
                  <c:v>5.6099999999999997E-2</c:v>
                </c:pt>
                <c:pt idx="39">
                  <c:v>2.8199999999999999E-2</c:v>
                </c:pt>
                <c:pt idx="40">
                  <c:v>3.4700000000000002E-2</c:v>
                </c:pt>
                <c:pt idx="41">
                  <c:v>3.56E-2</c:v>
                </c:pt>
                <c:pt idx="42">
                  <c:v>2.2200000000000001E-2</c:v>
                </c:pt>
                <c:pt idx="43">
                  <c:v>3.1600000000000003E-2</c:v>
                </c:pt>
                <c:pt idx="44">
                  <c:v>3.3700000000000001E-2</c:v>
                </c:pt>
                <c:pt idx="45">
                  <c:v>3.27E-2</c:v>
                </c:pt>
                <c:pt idx="46">
                  <c:v>4.8599999999999997E-2</c:v>
                </c:pt>
                <c:pt idx="47">
                  <c:v>7.2300000000000003E-2</c:v>
                </c:pt>
                <c:pt idx="48">
                  <c:v>6.4500000000000002E-2</c:v>
                </c:pt>
                <c:pt idx="49">
                  <c:v>6.4199999999999993E-2</c:v>
                </c:pt>
              </c:numCache>
            </c:numRef>
          </c:val>
          <c:smooth val="0"/>
        </c:ser>
        <c:dLbls>
          <c:showLegendKey val="0"/>
          <c:showVal val="0"/>
          <c:showCatName val="0"/>
          <c:showSerName val="0"/>
          <c:showPercent val="0"/>
          <c:showBubbleSize val="0"/>
        </c:dLbls>
        <c:marker val="1"/>
        <c:smooth val="0"/>
        <c:axId val="218897024"/>
        <c:axId val="218898816"/>
      </c:lineChart>
      <c:catAx>
        <c:axId val="202062848"/>
        <c:scaling>
          <c:orientation val="minMax"/>
        </c:scaling>
        <c:delete val="0"/>
        <c:axPos val="b"/>
        <c:numFmt formatCode="General" sourceLinked="1"/>
        <c:majorTickMark val="out"/>
        <c:minorTickMark val="none"/>
        <c:tickLblPos val="low"/>
        <c:txPr>
          <a:bodyPr rot="-5400000" vert="horz"/>
          <a:lstStyle/>
          <a:p>
            <a:pPr>
              <a:defRPr sz="750"/>
            </a:pPr>
            <a:endParaRPr lang="ru-RU"/>
          </a:p>
        </c:txPr>
        <c:crossAx val="218895488"/>
        <c:crosses val="autoZero"/>
        <c:auto val="1"/>
        <c:lblAlgn val="ctr"/>
        <c:lblOffset val="100"/>
        <c:tickLblSkip val="1"/>
        <c:noMultiLvlLbl val="0"/>
      </c:catAx>
      <c:valAx>
        <c:axId val="218895488"/>
        <c:scaling>
          <c:orientation val="minMax"/>
        </c:scaling>
        <c:delete val="0"/>
        <c:axPos val="l"/>
        <c:majorGridlines>
          <c:spPr>
            <a:ln>
              <a:prstDash val="dash"/>
            </a:ln>
          </c:spPr>
        </c:majorGridlines>
        <c:numFmt formatCode="0%" sourceLinked="0"/>
        <c:majorTickMark val="out"/>
        <c:minorTickMark val="none"/>
        <c:tickLblPos val="nextTo"/>
        <c:txPr>
          <a:bodyPr/>
          <a:lstStyle/>
          <a:p>
            <a:pPr>
              <a:defRPr sz="800"/>
            </a:pPr>
            <a:endParaRPr lang="ru-RU"/>
          </a:p>
        </c:txPr>
        <c:crossAx val="202062848"/>
        <c:crosses val="autoZero"/>
        <c:crossBetween val="between"/>
      </c:valAx>
      <c:catAx>
        <c:axId val="218897024"/>
        <c:scaling>
          <c:orientation val="minMax"/>
        </c:scaling>
        <c:delete val="1"/>
        <c:axPos val="b"/>
        <c:majorTickMark val="out"/>
        <c:minorTickMark val="none"/>
        <c:tickLblPos val="nextTo"/>
        <c:crossAx val="218898816"/>
        <c:crosses val="autoZero"/>
        <c:auto val="1"/>
        <c:lblAlgn val="ctr"/>
        <c:lblOffset val="100"/>
        <c:noMultiLvlLbl val="0"/>
      </c:catAx>
      <c:valAx>
        <c:axId val="218898816"/>
        <c:scaling>
          <c:orientation val="minMax"/>
        </c:scaling>
        <c:delete val="0"/>
        <c:axPos val="r"/>
        <c:numFmt formatCode="0%" sourceLinked="0"/>
        <c:majorTickMark val="out"/>
        <c:minorTickMark val="none"/>
        <c:tickLblPos val="nextTo"/>
        <c:txPr>
          <a:bodyPr/>
          <a:lstStyle/>
          <a:p>
            <a:pPr>
              <a:defRPr sz="800"/>
            </a:pPr>
            <a:endParaRPr lang="ru-RU"/>
          </a:p>
        </c:txPr>
        <c:crossAx val="218897024"/>
        <c:crosses val="max"/>
        <c:crossBetween val="between"/>
      </c:valAx>
    </c:plotArea>
    <c:legend>
      <c:legendPos val="b"/>
      <c:layout>
        <c:manualLayout>
          <c:xMode val="edge"/>
          <c:yMode val="edge"/>
          <c:x val="4.50119025819447E-2"/>
          <c:y val="0.85884820817631258"/>
          <c:w val="0.87341985594823912"/>
          <c:h val="0.10863159614775775"/>
        </c:manualLayout>
      </c:layout>
      <c:overlay val="0"/>
      <c:txPr>
        <a:bodyPr/>
        <a:lstStyle/>
        <a:p>
          <a:pPr>
            <a:defRPr sz="800"/>
          </a:pPr>
          <a:endParaRPr lang="ru-RU"/>
        </a:p>
      </c:txPr>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6087530930906625E-2"/>
          <c:y val="6.0016568176466875E-2"/>
          <c:w val="0.87262401615036556"/>
          <c:h val="0.52305331105100239"/>
        </c:manualLayout>
      </c:layout>
      <c:bar3DChart>
        <c:barDir val="col"/>
        <c:grouping val="clustered"/>
        <c:varyColors val="0"/>
        <c:ser>
          <c:idx val="0"/>
          <c:order val="0"/>
          <c:tx>
            <c:strRef>
              <c:f>'Ожид-факт_корп (3)'!$A$77</c:f>
              <c:strCache>
                <c:ptCount val="1"/>
                <c:pt idx="0">
                  <c:v>Коммерциялық жылжымайтын мүлікке кредиттер</c:v>
                </c:pt>
              </c:strCache>
            </c:strRef>
          </c:tx>
          <c:spPr>
            <a:solidFill>
              <a:srgbClr val="6931CF"/>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(3)'!$B$77:$F$77</c:f>
              <c:numCache>
                <c:formatCode>0.00%</c:formatCode>
                <c:ptCount val="5"/>
                <c:pt idx="0">
                  <c:v>0.17241379310344829</c:v>
                </c:pt>
                <c:pt idx="1">
                  <c:v>0.13333333333333333</c:v>
                </c:pt>
                <c:pt idx="2">
                  <c:v>0</c:v>
                </c:pt>
                <c:pt idx="3">
                  <c:v>-7.1428571428571397E-2</c:v>
                </c:pt>
                <c:pt idx="4">
                  <c:v>-0.25925925925925902</c:v>
                </c:pt>
              </c:numCache>
            </c:numRef>
          </c:val>
        </c:ser>
        <c:ser>
          <c:idx val="1"/>
          <c:order val="1"/>
          <c:tx>
            <c:strRef>
              <c:f>'Ожид-факт_корп (3)'!$A$78</c:f>
              <c:strCache>
                <c:ptCount val="1"/>
                <c:pt idx="0">
                  <c:v>Халықаралық қаржы ұйымдарының қаржыландыру бағдарламалары бойынша кредиттер</c:v>
                </c:pt>
              </c:strCache>
            </c:strRef>
          </c:tx>
          <c:spPr>
            <a:solidFill>
              <a:srgbClr val="B634B0"/>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(3)'!$B$78:$F$78</c:f>
              <c:numCache>
                <c:formatCode>0.00%</c:formatCode>
                <c:ptCount val="5"/>
                <c:pt idx="0">
                  <c:v>0.1111111111111111</c:v>
                </c:pt>
                <c:pt idx="1">
                  <c:v>0.15789473684210525</c:v>
                </c:pt>
                <c:pt idx="2">
                  <c:v>5.5555555555555552E-2</c:v>
                </c:pt>
                <c:pt idx="3">
                  <c:v>6.6666666666666693E-2</c:v>
                </c:pt>
                <c:pt idx="4">
                  <c:v>6.6666666666666693E-2</c:v>
                </c:pt>
              </c:numCache>
            </c:numRef>
          </c:val>
        </c:ser>
        <c:ser>
          <c:idx val="2"/>
          <c:order val="2"/>
          <c:tx>
            <c:strRef>
              <c:f>'Ожид-факт_корп (3)'!$A$79</c:f>
              <c:strCache>
                <c:ptCount val="1"/>
                <c:pt idx="0">
                  <c:v>Лизинг</c:v>
                </c:pt>
              </c:strCache>
            </c:strRef>
          </c:tx>
          <c:spPr>
            <a:solidFill>
              <a:srgbClr val="33CC33"/>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(3)'!$B$79:$F$79</c:f>
              <c:numCache>
                <c:formatCode>0.00%</c:formatCode>
                <c:ptCount val="5"/>
                <c:pt idx="0">
                  <c:v>0.14285714285714285</c:v>
                </c:pt>
                <c:pt idx="1">
                  <c:v>4.7619047619047616E-2</c:v>
                </c:pt>
                <c:pt idx="2">
                  <c:v>-5.5555555555555552E-2</c:v>
                </c:pt>
                <c:pt idx="3">
                  <c:v>-7.1428571428571397E-2</c:v>
                </c:pt>
                <c:pt idx="4">
                  <c:v>-7.1428571428571397E-2</c:v>
                </c:pt>
              </c:numCache>
            </c:numRef>
          </c:val>
        </c:ser>
        <c:ser>
          <c:idx val="3"/>
          <c:order val="3"/>
          <c:tx>
            <c:strRef>
              <c:f>'Ожид-факт_корп (3)'!$A$80</c:f>
              <c:strCache>
                <c:ptCount val="1"/>
                <c:pt idx="0">
                  <c:v>Факторинг</c:v>
                </c:pt>
              </c:strCache>
            </c:strRef>
          </c:tx>
          <c:spPr>
            <a:solidFill>
              <a:schemeClr val="accent5">
                <a:lumMod val="75000"/>
              </a:schemeClr>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(3)'!$B$80:$F$80</c:f>
              <c:numCache>
                <c:formatCode>0.00%</c:formatCode>
                <c:ptCount val="5"/>
                <c:pt idx="0">
                  <c:v>0.18181818181818182</c:v>
                </c:pt>
                <c:pt idx="1">
                  <c:v>8.6956521739130432E-2</c:v>
                </c:pt>
                <c:pt idx="2">
                  <c:v>-4.7619047619047616E-2</c:v>
                </c:pt>
                <c:pt idx="3">
                  <c:v>0</c:v>
                </c:pt>
                <c:pt idx="4">
                  <c:v>6.6666666666666693E-2</c:v>
                </c:pt>
              </c:numCache>
            </c:numRef>
          </c:val>
        </c:ser>
        <c:ser>
          <c:idx val="4"/>
          <c:order val="4"/>
          <c:tx>
            <c:strRef>
              <c:f>'Ожид-факт_корп (3)'!$A$81</c:f>
              <c:strCache>
                <c:ptCount val="1"/>
                <c:pt idx="0">
                  <c:v>Овердрафт</c:v>
                </c:pt>
              </c:strCache>
            </c:strRef>
          </c:tx>
          <c:spPr>
            <a:solidFill>
              <a:schemeClr val="accent2">
                <a:lumMod val="75000"/>
              </a:schemeClr>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(3)'!$B$81:$F$81</c:f>
              <c:numCache>
                <c:formatCode>0.00%</c:formatCode>
                <c:ptCount val="5"/>
                <c:pt idx="0">
                  <c:v>7.1428571428571425E-2</c:v>
                </c:pt>
                <c:pt idx="1">
                  <c:v>0</c:v>
                </c:pt>
                <c:pt idx="2">
                  <c:v>3.7037037037037035E-2</c:v>
                </c:pt>
                <c:pt idx="3">
                  <c:v>3.5714285714285698E-2</c:v>
                </c:pt>
                <c:pt idx="4">
                  <c:v>-6.8965517241379296E-2</c:v>
                </c:pt>
              </c:numCache>
            </c:numRef>
          </c:val>
        </c:ser>
        <c:ser>
          <c:idx val="5"/>
          <c:order val="5"/>
          <c:tx>
            <c:strRef>
              <c:f>'Ожид-факт_корп (3)'!$A$82</c:f>
              <c:strCache>
                <c:ptCount val="1"/>
                <c:pt idx="0">
                  <c:v>Инвестициялық мақсаттарға кредиттер</c:v>
                </c:pt>
              </c:strCache>
            </c:strRef>
          </c:tx>
          <c:spPr>
            <a:solidFill>
              <a:srgbClr val="AA9FF9"/>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(3)'!$B$82:$F$82</c:f>
              <c:numCache>
                <c:formatCode>0.00%</c:formatCode>
                <c:ptCount val="5"/>
                <c:pt idx="0">
                  <c:v>0.29032258064516131</c:v>
                </c:pt>
                <c:pt idx="1">
                  <c:v>0.15625</c:v>
                </c:pt>
                <c:pt idx="2">
                  <c:v>0.26666666666666666</c:v>
                </c:pt>
                <c:pt idx="3">
                  <c:v>6.4516129032258104E-2</c:v>
                </c:pt>
                <c:pt idx="4">
                  <c:v>-0.133333333333333</c:v>
                </c:pt>
              </c:numCache>
            </c:numRef>
          </c:val>
        </c:ser>
        <c:ser>
          <c:idx val="6"/>
          <c:order val="6"/>
          <c:tx>
            <c:strRef>
              <c:f>'Ожид-факт_корп (3)'!$A$83</c:f>
              <c:strCache>
                <c:ptCount val="1"/>
                <c:pt idx="0">
                  <c:v>Кері капиталға кредиттер</c:v>
                </c:pt>
              </c:strCache>
            </c:strRef>
          </c:tx>
          <c:spPr>
            <a:solidFill>
              <a:schemeClr val="accent6">
                <a:lumMod val="75000"/>
              </a:schemeClr>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(3)'!$B$83:$F$83</c:f>
              <c:numCache>
                <c:formatCode>0.00%</c:formatCode>
                <c:ptCount val="5"/>
                <c:pt idx="0">
                  <c:v>0.27272727272727271</c:v>
                </c:pt>
                <c:pt idx="1">
                  <c:v>0.2</c:v>
                </c:pt>
                <c:pt idx="2">
                  <c:v>0.18181818181818177</c:v>
                </c:pt>
                <c:pt idx="3">
                  <c:v>0.25</c:v>
                </c:pt>
                <c:pt idx="4">
                  <c:v>0.125</c:v>
                </c:pt>
              </c:numCache>
            </c:numRef>
          </c:val>
        </c:ser>
        <c:ser>
          <c:idx val="7"/>
          <c:order val="7"/>
          <c:tx>
            <c:strRef>
              <c:f>'Ожид-факт_корп (3)'!$A$84</c:f>
              <c:strCache>
                <c:ptCount val="1"/>
                <c:pt idx="0">
                  <c:v>Кредиттік желі</c:v>
                </c:pt>
              </c:strCache>
            </c:strRef>
          </c:tx>
          <c:spPr>
            <a:solidFill>
              <a:srgbClr val="BB3394"/>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(3)'!$B$84:$F$84</c:f>
              <c:numCache>
                <c:formatCode>0.00%</c:formatCode>
                <c:ptCount val="5"/>
                <c:pt idx="0">
                  <c:v>0.22580645161290322</c:v>
                </c:pt>
                <c:pt idx="1">
                  <c:v>0.23529411764705882</c:v>
                </c:pt>
                <c:pt idx="2">
                  <c:v>0.25</c:v>
                </c:pt>
                <c:pt idx="3">
                  <c:v>0.12903225806451599</c:v>
                </c:pt>
                <c:pt idx="4">
                  <c:v>0</c:v>
                </c:pt>
              </c:numCache>
            </c:numRef>
          </c:val>
        </c:ser>
        <c:ser>
          <c:idx val="8"/>
          <c:order val="8"/>
          <c:tx>
            <c:strRef>
              <c:f>'Ожид-факт_корп (3)'!$A$85</c:f>
              <c:strCache>
                <c:ptCount val="1"/>
                <c:pt idx="0">
                  <c:v>Кепілдік, кепілдеме</c:v>
                </c:pt>
              </c:strCache>
            </c:strRef>
          </c:tx>
          <c:spPr>
            <a:solidFill>
              <a:srgbClr val="2DB3C1"/>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(3)'!$B$85:$F$85</c:f>
              <c:numCache>
                <c:formatCode>0.00%</c:formatCode>
                <c:ptCount val="5"/>
                <c:pt idx="0">
                  <c:v>0.15151515151515152</c:v>
                </c:pt>
                <c:pt idx="1">
                  <c:v>0.14285714285714288</c:v>
                </c:pt>
                <c:pt idx="2">
                  <c:v>9.0909090909090912E-2</c:v>
                </c:pt>
                <c:pt idx="3">
                  <c:v>0</c:v>
                </c:pt>
                <c:pt idx="4">
                  <c:v>-6.25E-2</c:v>
                </c:pt>
              </c:numCache>
            </c:numRef>
          </c:val>
        </c:ser>
        <c:ser>
          <c:idx val="9"/>
          <c:order val="9"/>
          <c:tx>
            <c:strRef>
              <c:f>'Ожид-факт_корп (3)'!$A$86</c:f>
              <c:strCache>
                <c:ptCount val="1"/>
                <c:pt idx="0">
                  <c:v>Сауданы қаржыландыру (аккредитив)</c:v>
                </c:pt>
              </c:strCache>
            </c:strRef>
          </c:tx>
          <c:spPr>
            <a:solidFill>
              <a:schemeClr val="tx2"/>
            </a:solidFill>
          </c:spPr>
          <c:invertIfNegative val="0"/>
          <c:cat>
            <c:strRef>
              <c:f>'Ожид-факт_корп (3)'!$B$76:$F$76</c:f>
              <c:strCache>
                <c:ptCount val="5"/>
                <c:pt idx="0">
                  <c:v>3 тоқ 2014</c:v>
                </c:pt>
                <c:pt idx="1">
                  <c:v>4 тоқ 2014</c:v>
                </c:pt>
                <c:pt idx="2">
                  <c:v>1 тоқ 2015 </c:v>
                </c:pt>
                <c:pt idx="3">
                  <c:v>2 тоқ 2015 </c:v>
                </c:pt>
                <c:pt idx="4">
                  <c:v>3 тоқ 2015</c:v>
                </c:pt>
              </c:strCache>
            </c:strRef>
          </c:cat>
          <c:val>
            <c:numRef>
              <c:f>'Ожид-факт_корп (3)'!$B$86:$F$86</c:f>
              <c:numCache>
                <c:formatCode>0.00%</c:formatCode>
                <c:ptCount val="5"/>
                <c:pt idx="0">
                  <c:v>0.12121212121212122</c:v>
                </c:pt>
                <c:pt idx="1">
                  <c:v>0</c:v>
                </c:pt>
                <c:pt idx="2">
                  <c:v>3.125E-2</c:v>
                </c:pt>
                <c:pt idx="3">
                  <c:v>0</c:v>
                </c:pt>
                <c:pt idx="4">
                  <c:v>-3.3333333333333298E-2</c:v>
                </c:pt>
              </c:numCache>
            </c:numRef>
          </c:val>
        </c:ser>
        <c:dLbls>
          <c:showLegendKey val="0"/>
          <c:showVal val="0"/>
          <c:showCatName val="0"/>
          <c:showSerName val="0"/>
          <c:showPercent val="0"/>
          <c:showBubbleSize val="0"/>
        </c:dLbls>
        <c:gapWidth val="150"/>
        <c:shape val="cylinder"/>
        <c:axId val="218934656"/>
        <c:axId val="218940544"/>
        <c:axId val="0"/>
      </c:bar3DChart>
      <c:catAx>
        <c:axId val="218934656"/>
        <c:scaling>
          <c:orientation val="minMax"/>
        </c:scaling>
        <c:delete val="0"/>
        <c:axPos val="b"/>
        <c:numFmt formatCode="General" sourceLinked="1"/>
        <c:majorTickMark val="out"/>
        <c:minorTickMark val="none"/>
        <c:tickLblPos val="low"/>
        <c:crossAx val="218940544"/>
        <c:crosses val="autoZero"/>
        <c:auto val="1"/>
        <c:lblAlgn val="ctr"/>
        <c:lblOffset val="100"/>
        <c:noMultiLvlLbl val="0"/>
      </c:catAx>
      <c:valAx>
        <c:axId val="218940544"/>
        <c:scaling>
          <c:orientation val="minMax"/>
        </c:scaling>
        <c:delete val="0"/>
        <c:axPos val="l"/>
        <c:majorGridlines/>
        <c:numFmt formatCode="0%" sourceLinked="0"/>
        <c:majorTickMark val="out"/>
        <c:minorTickMark val="none"/>
        <c:tickLblPos val="nextTo"/>
        <c:crossAx val="218934656"/>
        <c:crosses val="autoZero"/>
        <c:crossBetween val="between"/>
        <c:majorUnit val="0.1"/>
        <c:minorUnit val="0.1"/>
      </c:valAx>
      <c:spPr>
        <a:noFill/>
        <a:ln w="25400">
          <a:noFill/>
        </a:ln>
      </c:spPr>
    </c:plotArea>
    <c:legend>
      <c:legendPos val="b"/>
      <c:layout>
        <c:manualLayout>
          <c:xMode val="edge"/>
          <c:yMode val="edge"/>
          <c:x val="3.035168913064611E-2"/>
          <c:y val="0.71621473936918301"/>
          <c:w val="0.94143101677507701"/>
          <c:h val="0.23847321132639987"/>
        </c:manualLayout>
      </c:layout>
      <c:overlay val="0"/>
      <c:txPr>
        <a:bodyPr/>
        <a:lstStyle/>
        <a:p>
          <a:pPr>
            <a:defRPr sz="8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237270341207343E-2"/>
          <c:y val="5.1400554097404488E-2"/>
          <c:w val="0.89241409601127797"/>
          <c:h val="0.45211832506701788"/>
        </c:manualLayout>
      </c:layout>
      <c:barChart>
        <c:barDir val="col"/>
        <c:grouping val="clustered"/>
        <c:varyColors val="0"/>
        <c:ser>
          <c:idx val="0"/>
          <c:order val="0"/>
          <c:tx>
            <c:strRef>
              <c:f>'Ожид-факт_корп (3)'!$A$92</c:f>
              <c:strCache>
                <c:ptCount val="1"/>
                <c:pt idx="0">
                  <c:v>Факт</c:v>
                </c:pt>
              </c:strCache>
            </c:strRef>
          </c:tx>
          <c:spPr>
            <a:gradFill>
              <a:gsLst>
                <a:gs pos="0">
                  <a:srgbClr val="03D4A8"/>
                </a:gs>
                <a:gs pos="25000">
                  <a:srgbClr val="21D6E0"/>
                </a:gs>
                <a:gs pos="75000">
                  <a:srgbClr val="0087E6"/>
                </a:gs>
                <a:gs pos="100000">
                  <a:srgbClr val="005CBF"/>
                </a:gs>
              </a:gsLst>
              <a:lin ang="5400000" scaled="0"/>
            </a:gradFill>
            <a:ln>
              <a:solidFill>
                <a:schemeClr val="accent1"/>
              </a:solidFill>
            </a:ln>
          </c:spPr>
          <c:invertIfNegative val="0"/>
          <c:cat>
            <c:multiLvlStrRef>
              <c:f>'Ожид-факт_корп (3)'!$B$90:$R$91</c:f>
              <c:multiLvlStrCache>
                <c:ptCount val="17"/>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lvl>
                <c:lvl>
                  <c:pt idx="0">
                    <c:v>Ірі бизнес</c:v>
                  </c:pt>
                  <c:pt idx="6">
                    <c:v>Орта бизнес</c:v>
                  </c:pt>
                  <c:pt idx="12">
                    <c:v>Шағын бизнес</c:v>
                  </c:pt>
                </c:lvl>
              </c:multiLvlStrCache>
            </c:multiLvlStrRef>
          </c:cat>
          <c:val>
            <c:numRef>
              <c:f>'Ожид-факт_корп (3)'!$B$92:$R$92</c:f>
              <c:numCache>
                <c:formatCode>0.00%</c:formatCode>
                <c:ptCount val="17"/>
                <c:pt idx="0">
                  <c:v>-0.1764705882352941</c:v>
                </c:pt>
                <c:pt idx="1">
                  <c:v>-0.4375</c:v>
                </c:pt>
                <c:pt idx="2">
                  <c:v>3.2258064516128997E-2</c:v>
                </c:pt>
                <c:pt idx="3">
                  <c:v>-0.12903225806451599</c:v>
                </c:pt>
                <c:pt idx="6">
                  <c:v>-9.0909090909090912E-2</c:v>
                </c:pt>
                <c:pt idx="7">
                  <c:v>-0.45161290322580649</c:v>
                </c:pt>
                <c:pt idx="8">
                  <c:v>-3.3333333333333298E-2</c:v>
                </c:pt>
                <c:pt idx="9">
                  <c:v>-0.1</c:v>
                </c:pt>
                <c:pt idx="12">
                  <c:v>-9.375E-2</c:v>
                </c:pt>
                <c:pt idx="13">
                  <c:v>-0.43333333333333335</c:v>
                </c:pt>
                <c:pt idx="14">
                  <c:v>-3.4482758620689599E-2</c:v>
                </c:pt>
                <c:pt idx="15">
                  <c:v>-6.8965517241379296E-2</c:v>
                </c:pt>
              </c:numCache>
            </c:numRef>
          </c:val>
        </c:ser>
        <c:dLbls>
          <c:showLegendKey val="0"/>
          <c:showVal val="0"/>
          <c:showCatName val="0"/>
          <c:showSerName val="0"/>
          <c:showPercent val="0"/>
          <c:showBubbleSize val="0"/>
        </c:dLbls>
        <c:gapWidth val="150"/>
        <c:axId val="220101632"/>
        <c:axId val="220656384"/>
      </c:barChart>
      <c:lineChart>
        <c:grouping val="standard"/>
        <c:varyColors val="0"/>
        <c:ser>
          <c:idx val="1"/>
          <c:order val="1"/>
          <c:tx>
            <c:strRef>
              <c:f>'Ожид-факт_корп (3)'!$A$93</c:f>
              <c:strCache>
                <c:ptCount val="1"/>
                <c:pt idx="0">
                  <c:v>Күту</c:v>
                </c:pt>
              </c:strCache>
            </c:strRef>
          </c:tx>
          <c:spPr>
            <a:ln>
              <a:solidFill>
                <a:srgbClr val="FF7C80"/>
              </a:solidFill>
            </a:ln>
          </c:spPr>
          <c:marker>
            <c:symbol val="none"/>
          </c:marker>
          <c:dPt>
            <c:idx val="4"/>
            <c:bubble3D val="0"/>
            <c:spPr>
              <a:ln>
                <a:solidFill>
                  <a:srgbClr val="FF7C80"/>
                </a:solidFill>
                <a:prstDash val="sysDash"/>
              </a:ln>
            </c:spPr>
          </c:dPt>
          <c:dPt>
            <c:idx val="10"/>
            <c:bubble3D val="0"/>
            <c:spPr>
              <a:ln>
                <a:solidFill>
                  <a:srgbClr val="FF7C80"/>
                </a:solidFill>
                <a:prstDash val="sysDash"/>
              </a:ln>
            </c:spPr>
          </c:dPt>
          <c:dPt>
            <c:idx val="16"/>
            <c:bubble3D val="0"/>
            <c:spPr>
              <a:ln>
                <a:solidFill>
                  <a:srgbClr val="FF7C80"/>
                </a:solidFill>
                <a:prstDash val="sysDash"/>
              </a:ln>
            </c:spPr>
          </c:dPt>
          <c:cat>
            <c:multiLvlStrRef>
              <c:f>'Ожид-факт_корп (3)'!$B$90:$R$91</c:f>
              <c:multiLvlStrCache>
                <c:ptCount val="17"/>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lvl>
                <c:lvl>
                  <c:pt idx="0">
                    <c:v>Ірі бизнес</c:v>
                  </c:pt>
                  <c:pt idx="6">
                    <c:v>Орта бизнес</c:v>
                  </c:pt>
                  <c:pt idx="12">
                    <c:v>Шағын бизнес</c:v>
                  </c:pt>
                </c:lvl>
              </c:multiLvlStrCache>
            </c:multiLvlStrRef>
          </c:cat>
          <c:val>
            <c:numRef>
              <c:f>'Ожид-факт_корп (3)'!$B$93:$R$93</c:f>
              <c:numCache>
                <c:formatCode>0.00%</c:formatCode>
                <c:ptCount val="17"/>
                <c:pt idx="0">
                  <c:v>-2.9411764705882353E-2</c:v>
                </c:pt>
                <c:pt idx="1">
                  <c:v>-0.29411764705882354</c:v>
                </c:pt>
                <c:pt idx="2">
                  <c:v>0</c:v>
                </c:pt>
                <c:pt idx="3">
                  <c:v>0</c:v>
                </c:pt>
                <c:pt idx="4">
                  <c:v>-0.19354838709677399</c:v>
                </c:pt>
                <c:pt idx="6">
                  <c:v>2.9411764705882353E-2</c:v>
                </c:pt>
                <c:pt idx="7">
                  <c:v>-0.37142857142857144</c:v>
                </c:pt>
                <c:pt idx="8">
                  <c:v>3.0303030303030304E-2</c:v>
                </c:pt>
                <c:pt idx="9">
                  <c:v>-3.3333333333333298E-2</c:v>
                </c:pt>
                <c:pt idx="10">
                  <c:v>-0.33333333333333298</c:v>
                </c:pt>
                <c:pt idx="12">
                  <c:v>0</c:v>
                </c:pt>
                <c:pt idx="13">
                  <c:v>-0.33333333333333331</c:v>
                </c:pt>
                <c:pt idx="14">
                  <c:v>0</c:v>
                </c:pt>
                <c:pt idx="15">
                  <c:v>-3.4482758620689703E-2</c:v>
                </c:pt>
                <c:pt idx="16">
                  <c:v>-0.31034482758620702</c:v>
                </c:pt>
              </c:numCache>
            </c:numRef>
          </c:val>
          <c:smooth val="0"/>
        </c:ser>
        <c:dLbls>
          <c:showLegendKey val="0"/>
          <c:showVal val="0"/>
          <c:showCatName val="0"/>
          <c:showSerName val="0"/>
          <c:showPercent val="0"/>
          <c:showBubbleSize val="0"/>
        </c:dLbls>
        <c:marker val="1"/>
        <c:smooth val="0"/>
        <c:axId val="220101632"/>
        <c:axId val="220656384"/>
      </c:lineChart>
      <c:catAx>
        <c:axId val="220101632"/>
        <c:scaling>
          <c:orientation val="minMax"/>
        </c:scaling>
        <c:delete val="0"/>
        <c:axPos val="b"/>
        <c:numFmt formatCode="General" sourceLinked="1"/>
        <c:majorTickMark val="out"/>
        <c:minorTickMark val="none"/>
        <c:tickLblPos val="low"/>
        <c:crossAx val="220656384"/>
        <c:crosses val="autoZero"/>
        <c:auto val="1"/>
        <c:lblAlgn val="ctr"/>
        <c:lblOffset val="100"/>
        <c:noMultiLvlLbl val="0"/>
      </c:catAx>
      <c:valAx>
        <c:axId val="220656384"/>
        <c:scaling>
          <c:orientation val="minMax"/>
        </c:scaling>
        <c:delete val="0"/>
        <c:axPos val="l"/>
        <c:majorGridlines>
          <c:spPr>
            <a:ln>
              <a:prstDash val="dash"/>
            </a:ln>
          </c:spPr>
        </c:majorGridlines>
        <c:numFmt formatCode="0%" sourceLinked="0"/>
        <c:majorTickMark val="out"/>
        <c:minorTickMark val="none"/>
        <c:tickLblPos val="nextTo"/>
        <c:crossAx val="220101632"/>
        <c:crosses val="autoZero"/>
        <c:crossBetween val="between"/>
        <c:majorUnit val="0.1"/>
      </c:valAx>
    </c:plotArea>
    <c:legend>
      <c:legendPos val="b"/>
      <c:layout>
        <c:manualLayout>
          <c:xMode val="edge"/>
          <c:yMode val="edge"/>
          <c:x val="0.34819703186342849"/>
          <c:y val="0.88720635899160283"/>
          <c:w val="0.26419690793288281"/>
          <c:h val="7.0089014673877514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285930258748862E-2"/>
          <c:y val="5.1400554097404488E-2"/>
          <c:w val="0.91353058058666192"/>
          <c:h val="0.45741360454943131"/>
        </c:manualLayout>
      </c:layout>
      <c:lineChart>
        <c:grouping val="standard"/>
        <c:varyColors val="0"/>
        <c:ser>
          <c:idx val="0"/>
          <c:order val="0"/>
          <c:tx>
            <c:strRef>
              <c:f>'Ожид-факт_физ (3)'!$A$32</c:f>
              <c:strCache>
                <c:ptCount val="1"/>
                <c:pt idx="0">
                  <c:v>Факт</c:v>
                </c:pt>
              </c:strCache>
            </c:strRef>
          </c:tx>
          <c:spPr>
            <a:ln w="31750">
              <a:solidFill>
                <a:srgbClr val="00C1EE"/>
              </a:solidFill>
            </a:ln>
          </c:spPr>
          <c:marker>
            <c:spPr>
              <a:solidFill>
                <a:srgbClr val="00CCFF"/>
              </a:solidFill>
              <a:ln>
                <a:noFill/>
              </a:ln>
            </c:spPr>
          </c:marker>
          <c:dPt>
            <c:idx val="3"/>
            <c:bubble3D val="0"/>
            <c:spPr>
              <a:ln w="31750">
                <a:solidFill>
                  <a:srgbClr val="00C1EE"/>
                </a:solidFill>
                <a:prstDash val="solid"/>
              </a:ln>
            </c:spPr>
          </c:dPt>
          <c:dPt>
            <c:idx val="9"/>
            <c:bubble3D val="0"/>
            <c:spPr>
              <a:ln w="31750">
                <a:solidFill>
                  <a:srgbClr val="00C1EE"/>
                </a:solidFill>
                <a:prstDash val="solid"/>
              </a:ln>
            </c:spPr>
          </c:dPt>
          <c:dPt>
            <c:idx val="15"/>
            <c:bubble3D val="0"/>
            <c:spPr>
              <a:ln w="31750">
                <a:solidFill>
                  <a:srgbClr val="00C1EE"/>
                </a:solidFill>
                <a:prstDash val="solid"/>
              </a:ln>
            </c:spPr>
          </c:dPt>
          <c:dPt>
            <c:idx val="21"/>
            <c:bubble3D val="0"/>
            <c:spPr>
              <a:ln w="31750">
                <a:solidFill>
                  <a:srgbClr val="00C1EE"/>
                </a:solidFill>
                <a:prstDash val="solid"/>
              </a:ln>
            </c:spPr>
          </c:dPt>
          <c:cat>
            <c:multiLvlStrRef>
              <c:f>'Ожид-факт_физ (3)'!$B$30:$X$31</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(3)'!$B$32:$X$32</c:f>
              <c:numCache>
                <c:formatCode>0.00%</c:formatCode>
                <c:ptCount val="23"/>
                <c:pt idx="0">
                  <c:v>-7.1428571428571425E-2</c:v>
                </c:pt>
                <c:pt idx="1">
                  <c:v>-0.29629629629629628</c:v>
                </c:pt>
                <c:pt idx="2">
                  <c:v>0</c:v>
                </c:pt>
                <c:pt idx="3">
                  <c:v>-3.8461538461538498E-2</c:v>
                </c:pt>
                <c:pt idx="6">
                  <c:v>-6.6666666666666666E-2</c:v>
                </c:pt>
                <c:pt idx="7">
                  <c:v>-0.24137931034482757</c:v>
                </c:pt>
                <c:pt idx="8">
                  <c:v>-3.5714285714285698E-2</c:v>
                </c:pt>
                <c:pt idx="9">
                  <c:v>-0.14285714285714299</c:v>
                </c:pt>
                <c:pt idx="12">
                  <c:v>-0.22580645161290322</c:v>
                </c:pt>
                <c:pt idx="13">
                  <c:v>-0.3</c:v>
                </c:pt>
                <c:pt idx="14">
                  <c:v>7.4074074074074098E-2</c:v>
                </c:pt>
                <c:pt idx="15">
                  <c:v>-0.148148148148148</c:v>
                </c:pt>
                <c:pt idx="18">
                  <c:v>-7.1428571428571425E-2</c:v>
                </c:pt>
                <c:pt idx="19">
                  <c:v>-0.20689655172413796</c:v>
                </c:pt>
                <c:pt idx="20">
                  <c:v>0</c:v>
                </c:pt>
                <c:pt idx="21">
                  <c:v>-7.4074074074074098E-2</c:v>
                </c:pt>
              </c:numCache>
            </c:numRef>
          </c:val>
          <c:smooth val="0"/>
        </c:ser>
        <c:ser>
          <c:idx val="1"/>
          <c:order val="1"/>
          <c:tx>
            <c:strRef>
              <c:f>'Ожид-факт_физ (3)'!$A$33</c:f>
              <c:strCache>
                <c:ptCount val="1"/>
                <c:pt idx="0">
                  <c:v>күту</c:v>
                </c:pt>
              </c:strCache>
            </c:strRef>
          </c:tx>
          <c:spPr>
            <a:ln w="31750">
              <a:solidFill>
                <a:srgbClr val="FA9500"/>
              </a:solidFill>
            </a:ln>
          </c:spPr>
          <c:marker>
            <c:symbol val="diamond"/>
            <c:size val="7"/>
            <c:spPr>
              <a:solidFill>
                <a:srgbClr val="FF9900"/>
              </a:solidFill>
              <a:ln>
                <a:noFill/>
              </a:ln>
            </c:spPr>
          </c:marker>
          <c:dPt>
            <c:idx val="4"/>
            <c:bubble3D val="0"/>
            <c:spPr>
              <a:ln w="31750">
                <a:solidFill>
                  <a:srgbClr val="FA9500"/>
                </a:solidFill>
                <a:prstDash val="sysDash"/>
              </a:ln>
            </c:spPr>
          </c:dPt>
          <c:dPt>
            <c:idx val="10"/>
            <c:bubble3D val="0"/>
            <c:spPr>
              <a:ln w="31750">
                <a:solidFill>
                  <a:srgbClr val="FA9500"/>
                </a:solidFill>
                <a:prstDash val="sysDash"/>
              </a:ln>
            </c:spPr>
          </c:dPt>
          <c:dPt>
            <c:idx val="16"/>
            <c:bubble3D val="0"/>
            <c:spPr>
              <a:ln w="31750">
                <a:solidFill>
                  <a:srgbClr val="FA9500"/>
                </a:solidFill>
                <a:prstDash val="sysDash"/>
              </a:ln>
            </c:spPr>
          </c:dPt>
          <c:dPt>
            <c:idx val="22"/>
            <c:bubble3D val="0"/>
            <c:spPr>
              <a:ln w="31750">
                <a:solidFill>
                  <a:srgbClr val="FA9500"/>
                </a:solidFill>
                <a:prstDash val="sysDash"/>
              </a:ln>
            </c:spPr>
          </c:dPt>
          <c:cat>
            <c:multiLvlStrRef>
              <c:f>'Ожид-факт_физ (3)'!$B$30:$X$31</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(3)'!$B$33:$X$33</c:f>
              <c:numCache>
                <c:formatCode>0.00%</c:formatCode>
                <c:ptCount val="23"/>
                <c:pt idx="0">
                  <c:v>0</c:v>
                </c:pt>
                <c:pt idx="1">
                  <c:v>-0.1785714285714286</c:v>
                </c:pt>
                <c:pt idx="2">
                  <c:v>-3.7037037037037035E-2</c:v>
                </c:pt>
                <c:pt idx="3">
                  <c:v>7.69230769230769E-2</c:v>
                </c:pt>
                <c:pt idx="4">
                  <c:v>-0.15384615384615399</c:v>
                </c:pt>
                <c:pt idx="6">
                  <c:v>3.2258064516129031E-2</c:v>
                </c:pt>
                <c:pt idx="7">
                  <c:v>-3.2258064516129031E-2</c:v>
                </c:pt>
                <c:pt idx="8">
                  <c:v>0</c:v>
                </c:pt>
                <c:pt idx="9">
                  <c:v>3.5714285714285698E-2</c:v>
                </c:pt>
                <c:pt idx="10">
                  <c:v>-7.1428571428571397E-2</c:v>
                </c:pt>
                <c:pt idx="12">
                  <c:v>-9.6774193548387094E-2</c:v>
                </c:pt>
                <c:pt idx="13">
                  <c:v>-0.12903225806451613</c:v>
                </c:pt>
                <c:pt idx="14">
                  <c:v>0.10344827586206896</c:v>
                </c:pt>
                <c:pt idx="15">
                  <c:v>0</c:v>
                </c:pt>
                <c:pt idx="16">
                  <c:v>-3.7037037037037E-2</c:v>
                </c:pt>
                <c:pt idx="18">
                  <c:v>0</c:v>
                </c:pt>
                <c:pt idx="19">
                  <c:v>-0.14814814814814814</c:v>
                </c:pt>
                <c:pt idx="20">
                  <c:v>0</c:v>
                </c:pt>
                <c:pt idx="21">
                  <c:v>3.8461538461538498E-2</c:v>
                </c:pt>
                <c:pt idx="22">
                  <c:v>0</c:v>
                </c:pt>
              </c:numCache>
            </c:numRef>
          </c:val>
          <c:smooth val="0"/>
        </c:ser>
        <c:dLbls>
          <c:showLegendKey val="0"/>
          <c:showVal val="0"/>
          <c:showCatName val="0"/>
          <c:showSerName val="0"/>
          <c:showPercent val="0"/>
          <c:showBubbleSize val="0"/>
        </c:dLbls>
        <c:marker val="1"/>
        <c:smooth val="0"/>
        <c:axId val="224032640"/>
        <c:axId val="224034176"/>
      </c:lineChart>
      <c:catAx>
        <c:axId val="224032640"/>
        <c:scaling>
          <c:orientation val="minMax"/>
        </c:scaling>
        <c:delete val="0"/>
        <c:axPos val="b"/>
        <c:numFmt formatCode="General" sourceLinked="1"/>
        <c:majorTickMark val="out"/>
        <c:minorTickMark val="none"/>
        <c:tickLblPos val="low"/>
        <c:crossAx val="224034176"/>
        <c:crosses val="autoZero"/>
        <c:auto val="1"/>
        <c:lblAlgn val="ctr"/>
        <c:lblOffset val="100"/>
        <c:noMultiLvlLbl val="0"/>
      </c:catAx>
      <c:valAx>
        <c:axId val="224034176"/>
        <c:scaling>
          <c:orientation val="minMax"/>
        </c:scaling>
        <c:delete val="0"/>
        <c:axPos val="l"/>
        <c:majorGridlines>
          <c:spPr>
            <a:ln>
              <a:prstDash val="dash"/>
            </a:ln>
          </c:spPr>
        </c:majorGridlines>
        <c:numFmt formatCode="0%" sourceLinked="0"/>
        <c:majorTickMark val="out"/>
        <c:minorTickMark val="none"/>
        <c:tickLblPos val="nextTo"/>
        <c:crossAx val="224032640"/>
        <c:crosses val="autoZero"/>
        <c:crossBetween val="between"/>
      </c:valAx>
    </c:plotArea>
    <c:legend>
      <c:legendPos val="b"/>
      <c:layout>
        <c:manualLayout>
          <c:xMode val="edge"/>
          <c:yMode val="edge"/>
          <c:x val="0.39296139635438132"/>
          <c:y val="0.87142941603289348"/>
          <c:w val="0.26545324396433911"/>
          <c:h val="6.838551324429154E-2"/>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18083624685655E-2"/>
          <c:y val="5.4076257709165666E-2"/>
          <c:w val="0.92363021794851419"/>
          <c:h val="0.54617586594779099"/>
        </c:manualLayout>
      </c:layout>
      <c:barChart>
        <c:barDir val="col"/>
        <c:grouping val="clustered"/>
        <c:varyColors val="0"/>
        <c:ser>
          <c:idx val="2"/>
          <c:order val="2"/>
          <c:tx>
            <c:strRef>
              <c:f>'Ожид-факт_физ (3)'!$A$8</c:f>
              <c:strCache>
                <c:ptCount val="1"/>
                <c:pt idx="0">
                  <c:v>Банктердің ұсынысы (тілегі)</c:v>
                </c:pt>
              </c:strCache>
            </c:strRef>
          </c:tx>
          <c:spPr>
            <a:solidFill>
              <a:srgbClr val="2DA35D"/>
            </a:solidFill>
          </c:spPr>
          <c:invertIfNegative val="0"/>
          <c:dLbls>
            <c:dLbl>
              <c:idx val="0"/>
              <c:delete val="1"/>
            </c:dLbl>
            <c:dLbl>
              <c:idx val="1"/>
              <c:delete val="1"/>
            </c:dLbl>
            <c:dLbl>
              <c:idx val="2"/>
              <c:delete val="1"/>
            </c:dLbl>
            <c:dLbl>
              <c:idx val="3"/>
              <c:delete val="1"/>
            </c:dLbl>
            <c:dLbl>
              <c:idx val="6"/>
              <c:delete val="1"/>
            </c:dLbl>
            <c:dLbl>
              <c:idx val="7"/>
              <c:delete val="1"/>
            </c:dLbl>
            <c:dLbl>
              <c:idx val="8"/>
              <c:delete val="1"/>
            </c:dLbl>
            <c:dLbl>
              <c:idx val="9"/>
              <c:delete val="1"/>
            </c:dLbl>
            <c:dLbl>
              <c:idx val="12"/>
              <c:delete val="1"/>
            </c:dLbl>
            <c:dLbl>
              <c:idx val="13"/>
              <c:delete val="1"/>
            </c:dLbl>
            <c:dLbl>
              <c:idx val="14"/>
              <c:delete val="1"/>
            </c:dLbl>
            <c:dLbl>
              <c:idx val="15"/>
              <c:delete val="1"/>
            </c:dLbl>
            <c:dLbl>
              <c:idx val="18"/>
              <c:layout>
                <c:manualLayout>
                  <c:x val="-2.7187180692655591E-2"/>
                  <c:y val="2.9556650246305417E-2"/>
                </c:manualLayout>
              </c:layout>
              <c:spPr/>
              <c:txPr>
                <a:bodyPr/>
                <a:lstStyle/>
                <a:p>
                  <a:pPr>
                    <a:defRPr/>
                  </a:pPr>
                  <a:endParaRPr lang="ru-RU"/>
                </a:p>
              </c:txPr>
              <c:dLblPos val="outEnd"/>
              <c:showLegendKey val="0"/>
              <c:showVal val="1"/>
              <c:showCatName val="0"/>
              <c:showSerName val="0"/>
              <c:showPercent val="0"/>
              <c:showBubbleSize val="0"/>
            </c:dLbl>
            <c:dLbl>
              <c:idx val="19"/>
              <c:layout>
                <c:manualLayout>
                  <c:x val="-2.0913215917427379E-3"/>
                  <c:y val="3.9409642760172267E-2"/>
                </c:manualLayout>
              </c:layout>
              <c:spPr/>
              <c:txPr>
                <a:bodyPr/>
                <a:lstStyle/>
                <a:p>
                  <a:pPr>
                    <a:defRPr/>
                  </a:pPr>
                  <a:endParaRPr lang="ru-RU"/>
                </a:p>
              </c:txPr>
              <c:dLblPos val="outEnd"/>
              <c:showLegendKey val="0"/>
              <c:showVal val="1"/>
              <c:showCatName val="0"/>
              <c:showSerName val="0"/>
              <c:showPercent val="0"/>
              <c:showBubbleSize val="0"/>
            </c:dLbl>
            <c:dLbl>
              <c:idx val="20"/>
              <c:layout>
                <c:manualLayout>
                  <c:x val="0"/>
                  <c:y val="1.4778325123152709E-2"/>
                </c:manualLayout>
              </c:layout>
              <c:spPr/>
              <c:txPr>
                <a:bodyPr/>
                <a:lstStyle/>
                <a:p>
                  <a:pPr>
                    <a:defRPr/>
                  </a:pPr>
                  <a:endParaRPr lang="ru-RU"/>
                </a:p>
              </c:txPr>
              <c:dLblPos val="outEnd"/>
              <c:showLegendKey val="0"/>
              <c:showVal val="1"/>
              <c:showCatName val="0"/>
              <c:showSerName val="0"/>
              <c:showPercent val="0"/>
              <c:showBubbleSize val="0"/>
            </c:dLbl>
            <c:dLbl>
              <c:idx val="21"/>
              <c:layout>
                <c:manualLayout>
                  <c:x val="0"/>
                  <c:y val="2.9556650246305417E-2"/>
                </c:manualLayout>
              </c:layout>
              <c:spPr/>
              <c:txPr>
                <a:bodyPr/>
                <a:lstStyle/>
                <a:p>
                  <a:pPr>
                    <a:defRPr/>
                  </a:pPr>
                  <a:endParaRPr lang="ru-RU"/>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multiLvlStrRef>
              <c:f>'Ожид-факт_физ (3)'!$B$4:$X$5</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(3)'!$B$8:$X$8</c:f>
              <c:numCache>
                <c:formatCode>0.00%</c:formatCode>
                <c:ptCount val="23"/>
                <c:pt idx="0">
                  <c:v>3.4482758620689655E-2</c:v>
                </c:pt>
                <c:pt idx="1">
                  <c:v>-0.18518518518518517</c:v>
                </c:pt>
                <c:pt idx="2">
                  <c:v>0.115384615384615</c:v>
                </c:pt>
                <c:pt idx="3">
                  <c:v>-3.8461538461538498E-2</c:v>
                </c:pt>
                <c:pt idx="6">
                  <c:v>0.16129032258064516</c:v>
                </c:pt>
                <c:pt idx="7">
                  <c:v>-3.5714285714285726E-2</c:v>
                </c:pt>
                <c:pt idx="8">
                  <c:v>0.17857142857142899</c:v>
                </c:pt>
                <c:pt idx="9">
                  <c:v>3.5714285714285698E-2</c:v>
                </c:pt>
                <c:pt idx="12">
                  <c:v>3.2258064516129031E-2</c:v>
                </c:pt>
                <c:pt idx="13">
                  <c:v>-0.17241379310344829</c:v>
                </c:pt>
                <c:pt idx="14">
                  <c:v>0.18518518518518501</c:v>
                </c:pt>
                <c:pt idx="15">
                  <c:v>-3.7037037037037E-2</c:v>
                </c:pt>
                <c:pt idx="18">
                  <c:v>0</c:v>
                </c:pt>
                <c:pt idx="19">
                  <c:v>-0.15384615384615385</c:v>
                </c:pt>
                <c:pt idx="20">
                  <c:v>0.12</c:v>
                </c:pt>
                <c:pt idx="21">
                  <c:v>-0.115384615384615</c:v>
                </c:pt>
              </c:numCache>
            </c:numRef>
          </c:val>
        </c:ser>
        <c:dLbls>
          <c:showLegendKey val="0"/>
          <c:showVal val="0"/>
          <c:showCatName val="0"/>
          <c:showSerName val="0"/>
          <c:showPercent val="0"/>
          <c:showBubbleSize val="0"/>
        </c:dLbls>
        <c:gapWidth val="150"/>
        <c:axId val="225843840"/>
        <c:axId val="225870208"/>
      </c:barChart>
      <c:lineChart>
        <c:grouping val="standard"/>
        <c:varyColors val="0"/>
        <c:ser>
          <c:idx val="0"/>
          <c:order val="0"/>
          <c:tx>
            <c:strRef>
              <c:f>'Ожид-факт_физ (3)'!$A$6</c:f>
              <c:strCache>
                <c:ptCount val="1"/>
                <c:pt idx="0">
                  <c:v>Сұраныс_ факт</c:v>
                </c:pt>
              </c:strCache>
            </c:strRef>
          </c:tx>
          <c:spPr>
            <a:ln w="31750"/>
          </c:spPr>
          <c:marker>
            <c:spPr>
              <a:ln>
                <a:noFill/>
              </a:ln>
            </c:spPr>
          </c:marker>
          <c:dPt>
            <c:idx val="3"/>
            <c:bubble3D val="0"/>
            <c:spPr>
              <a:ln w="31750">
                <a:prstDash val="solid"/>
              </a:ln>
            </c:spPr>
          </c:dPt>
          <c:dPt>
            <c:idx val="9"/>
            <c:bubble3D val="0"/>
            <c:spPr>
              <a:ln w="31750">
                <a:prstDash val="solid"/>
              </a:ln>
            </c:spPr>
          </c:dPt>
          <c:dPt>
            <c:idx val="15"/>
            <c:bubble3D val="0"/>
            <c:spPr>
              <a:ln w="31750">
                <a:prstDash val="solid"/>
              </a:ln>
            </c:spPr>
          </c:dPt>
          <c:dPt>
            <c:idx val="21"/>
            <c:bubble3D val="0"/>
            <c:spPr>
              <a:ln w="31750">
                <a:prstDash val="solid"/>
              </a:ln>
            </c:spPr>
          </c:dPt>
          <c:cat>
            <c:multiLvlStrRef>
              <c:f>'Ожид-факт_физ (3)'!$B$4:$X$5</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(3)'!$B$6:$X$6</c:f>
              <c:numCache>
                <c:formatCode>0.00%</c:formatCode>
                <c:ptCount val="23"/>
                <c:pt idx="0">
                  <c:v>0.20689655172413796</c:v>
                </c:pt>
                <c:pt idx="1">
                  <c:v>-0.34615384615384615</c:v>
                </c:pt>
                <c:pt idx="2">
                  <c:v>-3.8461538461538498E-2</c:v>
                </c:pt>
                <c:pt idx="3">
                  <c:v>3.8461538461538498E-2</c:v>
                </c:pt>
                <c:pt idx="6">
                  <c:v>0.16129032258064518</c:v>
                </c:pt>
                <c:pt idx="7">
                  <c:v>-0.25000000000000006</c:v>
                </c:pt>
                <c:pt idx="8">
                  <c:v>0</c:v>
                </c:pt>
                <c:pt idx="9">
                  <c:v>7.1428571428571494E-2</c:v>
                </c:pt>
                <c:pt idx="12">
                  <c:v>0.12903225806451615</c:v>
                </c:pt>
                <c:pt idx="13">
                  <c:v>-0.24137931034482757</c:v>
                </c:pt>
                <c:pt idx="14">
                  <c:v>3.7037037037037E-2</c:v>
                </c:pt>
                <c:pt idx="15">
                  <c:v>0.148148148148148</c:v>
                </c:pt>
                <c:pt idx="18">
                  <c:v>7.1428571428571425E-2</c:v>
                </c:pt>
                <c:pt idx="19">
                  <c:v>-0.23076923076923078</c:v>
                </c:pt>
                <c:pt idx="20">
                  <c:v>0.12</c:v>
                </c:pt>
                <c:pt idx="21">
                  <c:v>0</c:v>
                </c:pt>
              </c:numCache>
            </c:numRef>
          </c:val>
          <c:smooth val="0"/>
        </c:ser>
        <c:ser>
          <c:idx val="1"/>
          <c:order val="1"/>
          <c:tx>
            <c:strRef>
              <c:f>'Ожид-факт_физ (3)'!$A$7</c:f>
              <c:strCache>
                <c:ptCount val="1"/>
                <c:pt idx="0">
                  <c:v>Сұраныс _ күту</c:v>
                </c:pt>
              </c:strCache>
            </c:strRef>
          </c:tx>
          <c:spPr>
            <a:ln w="31750">
              <a:solidFill>
                <a:srgbClr val="AA4B38"/>
              </a:solidFill>
            </a:ln>
          </c:spPr>
          <c:marker>
            <c:symbol val="diamond"/>
            <c:size val="7"/>
            <c:spPr>
              <a:solidFill>
                <a:srgbClr val="AF2121"/>
              </a:solidFill>
              <a:ln>
                <a:noFill/>
              </a:ln>
            </c:spPr>
          </c:marker>
          <c:dPt>
            <c:idx val="4"/>
            <c:bubble3D val="0"/>
            <c:spPr>
              <a:ln w="31750">
                <a:solidFill>
                  <a:srgbClr val="AA4B38"/>
                </a:solidFill>
                <a:prstDash val="sysDash"/>
              </a:ln>
            </c:spPr>
          </c:dPt>
          <c:dPt>
            <c:idx val="10"/>
            <c:bubble3D val="0"/>
            <c:spPr>
              <a:ln w="31750">
                <a:solidFill>
                  <a:srgbClr val="AA4B38"/>
                </a:solidFill>
                <a:prstDash val="sysDash"/>
              </a:ln>
            </c:spPr>
          </c:dPt>
          <c:dPt>
            <c:idx val="16"/>
            <c:bubble3D val="0"/>
            <c:spPr>
              <a:ln w="31750">
                <a:solidFill>
                  <a:srgbClr val="AA4B38"/>
                </a:solidFill>
                <a:prstDash val="sysDash"/>
              </a:ln>
            </c:spPr>
          </c:dPt>
          <c:dPt>
            <c:idx val="22"/>
            <c:bubble3D val="0"/>
            <c:spPr>
              <a:ln w="31750">
                <a:solidFill>
                  <a:srgbClr val="AA4B38"/>
                </a:solidFill>
                <a:prstDash val="sysDash"/>
              </a:ln>
            </c:spPr>
          </c:dPt>
          <c:cat>
            <c:multiLvlStrRef>
              <c:f>'Ожид-факт_физ (3)'!$B$4:$X$5</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(3)'!$B$7:$X$7</c:f>
              <c:numCache>
                <c:formatCode>0.00%</c:formatCode>
                <c:ptCount val="23"/>
                <c:pt idx="0">
                  <c:v>-6.8965517241379309E-2</c:v>
                </c:pt>
                <c:pt idx="1">
                  <c:v>3.4482758620689655E-2</c:v>
                </c:pt>
                <c:pt idx="2">
                  <c:v>-0.26923076923076927</c:v>
                </c:pt>
                <c:pt idx="3">
                  <c:v>0.230769230769231</c:v>
                </c:pt>
                <c:pt idx="4">
                  <c:v>-0.19230769230769201</c:v>
                </c:pt>
                <c:pt idx="6">
                  <c:v>-3.2258064516129031E-2</c:v>
                </c:pt>
                <c:pt idx="7">
                  <c:v>0</c:v>
                </c:pt>
                <c:pt idx="8">
                  <c:v>-0.21428571428571425</c:v>
                </c:pt>
                <c:pt idx="9">
                  <c:v>0.17857142857142899</c:v>
                </c:pt>
                <c:pt idx="10">
                  <c:v>-0.14285714285714299</c:v>
                </c:pt>
                <c:pt idx="12">
                  <c:v>-6.4516129032258063E-2</c:v>
                </c:pt>
                <c:pt idx="13">
                  <c:v>-9.6774193548387094E-2</c:v>
                </c:pt>
                <c:pt idx="14">
                  <c:v>-0.31034482758620696</c:v>
                </c:pt>
                <c:pt idx="15">
                  <c:v>0.25925925925925902</c:v>
                </c:pt>
                <c:pt idx="16">
                  <c:v>3.5714285714285698E-2</c:v>
                </c:pt>
                <c:pt idx="18">
                  <c:v>-7.407407407407407E-2</c:v>
                </c:pt>
                <c:pt idx="19">
                  <c:v>-7.1428571428571425E-2</c:v>
                </c:pt>
                <c:pt idx="20">
                  <c:v>-0.23076923076923081</c:v>
                </c:pt>
                <c:pt idx="21">
                  <c:v>0.16</c:v>
                </c:pt>
                <c:pt idx="22">
                  <c:v>-0.15384615384615399</c:v>
                </c:pt>
              </c:numCache>
            </c:numRef>
          </c:val>
          <c:smooth val="0"/>
        </c:ser>
        <c:dLbls>
          <c:showLegendKey val="0"/>
          <c:showVal val="0"/>
          <c:showCatName val="0"/>
          <c:showSerName val="0"/>
          <c:showPercent val="0"/>
          <c:showBubbleSize val="0"/>
        </c:dLbls>
        <c:marker val="1"/>
        <c:smooth val="0"/>
        <c:axId val="225843840"/>
        <c:axId val="225870208"/>
      </c:lineChart>
      <c:catAx>
        <c:axId val="225843840"/>
        <c:scaling>
          <c:orientation val="minMax"/>
        </c:scaling>
        <c:delete val="0"/>
        <c:axPos val="b"/>
        <c:numFmt formatCode="General" sourceLinked="1"/>
        <c:majorTickMark val="out"/>
        <c:minorTickMark val="none"/>
        <c:tickLblPos val="low"/>
        <c:crossAx val="225870208"/>
        <c:crosses val="autoZero"/>
        <c:auto val="1"/>
        <c:lblAlgn val="ctr"/>
        <c:lblOffset val="100"/>
        <c:noMultiLvlLbl val="0"/>
      </c:catAx>
      <c:valAx>
        <c:axId val="225870208"/>
        <c:scaling>
          <c:orientation val="minMax"/>
        </c:scaling>
        <c:delete val="0"/>
        <c:axPos val="l"/>
        <c:majorGridlines>
          <c:spPr>
            <a:ln>
              <a:prstDash val="dash"/>
            </a:ln>
          </c:spPr>
        </c:majorGridlines>
        <c:numFmt formatCode="0%" sourceLinked="0"/>
        <c:majorTickMark val="out"/>
        <c:minorTickMark val="none"/>
        <c:tickLblPos val="nextTo"/>
        <c:crossAx val="225843840"/>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'Ожид-факт_физ (3)'!$A$62</c:f>
              <c:strCache>
                <c:ptCount val="1"/>
                <c:pt idx="0">
                  <c:v>Факт</c:v>
                </c:pt>
              </c:strCache>
            </c:strRef>
          </c:tx>
          <c:spPr>
            <a:ln>
              <a:noFill/>
            </a:ln>
          </c:spPr>
          <c:invertIfNegative val="0"/>
          <c:dLbls>
            <c:dLbl>
              <c:idx val="0"/>
              <c:layout>
                <c:manualLayout>
                  <c:x val="5.9504129133643308E-3"/>
                  <c:y val="2.3148148148148147E-2"/>
                </c:manualLayout>
              </c:layout>
              <c:spPr/>
              <c:txPr>
                <a:bodyPr/>
                <a:lstStyle/>
                <a:p>
                  <a:pPr>
                    <a:defRPr/>
                  </a:pPr>
                  <a:endParaRPr lang="ru-RU"/>
                </a:p>
              </c:txPr>
              <c:dLblPos val="outEnd"/>
              <c:showLegendKey val="0"/>
              <c:showVal val="1"/>
              <c:showCatName val="0"/>
              <c:showSerName val="0"/>
              <c:showPercent val="0"/>
              <c:showBubbleSize val="0"/>
            </c:dLbl>
            <c:dLbl>
              <c:idx val="2"/>
              <c:layout>
                <c:manualLayout>
                  <c:x val="1.9834709711214434E-3"/>
                  <c:y val="2.3148148148148147E-2"/>
                </c:manualLayout>
              </c:layout>
              <c:spPr/>
              <c:txPr>
                <a:bodyPr/>
                <a:lstStyle/>
                <a:p>
                  <a:pPr>
                    <a:defRPr/>
                  </a:pPr>
                  <a:endParaRPr lang="ru-RU"/>
                </a:p>
              </c:txPr>
              <c:dLblPos val="outEnd"/>
              <c:showLegendKey val="0"/>
              <c:showVal val="1"/>
              <c:showCatName val="0"/>
              <c:showSerName val="0"/>
              <c:showPercent val="0"/>
              <c:showBubbleSize val="0"/>
            </c:dLbl>
            <c:dLbl>
              <c:idx val="3"/>
              <c:layout>
                <c:manualLayout>
                  <c:x val="3.9669419422428869E-3"/>
                  <c:y val="1.3888888888888888E-2"/>
                </c:manualLayout>
              </c:layout>
              <c:spPr/>
              <c:txPr>
                <a:bodyPr/>
                <a:lstStyle/>
                <a:p>
                  <a:pPr>
                    <a:defRPr/>
                  </a:pPr>
                  <a:endParaRPr lang="ru-RU"/>
                </a:p>
              </c:txPr>
              <c:dLblPos val="outEnd"/>
              <c:showLegendKey val="0"/>
              <c:showVal val="1"/>
              <c:showCatName val="0"/>
              <c:showSerName val="0"/>
              <c:showPercent val="0"/>
              <c:showBubbleSize val="0"/>
            </c:dLbl>
            <c:dLbl>
              <c:idx val="6"/>
              <c:layout>
                <c:manualLayout>
                  <c:x val="-1.5617881662373572E-7"/>
                  <c:y val="1.8518518518518517E-2"/>
                </c:manualLayout>
              </c:layout>
              <c:spPr/>
              <c:txPr>
                <a:bodyPr/>
                <a:lstStyle/>
                <a:p>
                  <a:pPr>
                    <a:defRPr/>
                  </a:pPr>
                  <a:endParaRPr lang="ru-RU"/>
                </a:p>
              </c:txPr>
              <c:dLblPos val="outEnd"/>
              <c:showLegendKey val="0"/>
              <c:showVal val="1"/>
              <c:showCatName val="0"/>
              <c:showSerName val="0"/>
              <c:showPercent val="0"/>
              <c:showBubbleSize val="0"/>
            </c:dLbl>
            <c:dLbl>
              <c:idx val="8"/>
              <c:layout>
                <c:manualLayout>
                  <c:x val="0"/>
                  <c:y val="1.3888888888888888E-2"/>
                </c:manualLayout>
              </c:layout>
              <c:spPr/>
              <c:txPr>
                <a:bodyPr/>
                <a:lstStyle/>
                <a:p>
                  <a:pPr>
                    <a:defRPr/>
                  </a:pPr>
                  <a:endParaRPr lang="ru-RU"/>
                </a:p>
              </c:txPr>
              <c:dLblPos val="outEnd"/>
              <c:showLegendKey val="0"/>
              <c:showVal val="1"/>
              <c:showCatName val="0"/>
              <c:showSerName val="0"/>
              <c:showPercent val="0"/>
              <c:showBubbleSize val="0"/>
            </c:dLbl>
            <c:dLbl>
              <c:idx val="14"/>
              <c:layout>
                <c:manualLayout>
                  <c:x val="0"/>
                  <c:y val="1.8518518518518517E-2"/>
                </c:manualLayout>
              </c:layout>
              <c:spPr/>
              <c:txPr>
                <a:bodyPr/>
                <a:lstStyle/>
                <a:p>
                  <a:pPr>
                    <a:defRPr/>
                  </a:pPr>
                  <a:endParaRPr lang="ru-RU"/>
                </a:p>
              </c:txPr>
              <c:dLblPos val="outEnd"/>
              <c:showLegendKey val="0"/>
              <c:showVal val="1"/>
              <c:showCatName val="0"/>
              <c:showSerName val="0"/>
              <c:showPercent val="0"/>
              <c:showBubbleSize val="0"/>
            </c:dLbl>
            <c:dLbl>
              <c:idx val="15"/>
              <c:layout>
                <c:manualLayout>
                  <c:x val="-7.2726428799208123E-17"/>
                  <c:y val="1.3888888888888888E-2"/>
                </c:manualLayout>
              </c:layout>
              <c:spPr/>
              <c:txPr>
                <a:bodyPr/>
                <a:lstStyle/>
                <a:p>
                  <a:pPr>
                    <a:defRPr/>
                  </a:pPr>
                  <a:endParaRPr lang="ru-RU"/>
                </a:p>
              </c:txPr>
              <c:dLblPos val="outEnd"/>
              <c:showLegendKey val="0"/>
              <c:showVal val="1"/>
              <c:showCatName val="0"/>
              <c:showSerName val="0"/>
              <c:showPercent val="0"/>
              <c:showBubbleSize val="0"/>
            </c:dLbl>
            <c:dLbl>
              <c:idx val="20"/>
              <c:layout>
                <c:manualLayout>
                  <c:x val="0"/>
                  <c:y val="1.8518518518518517E-2"/>
                </c:manualLayout>
              </c:layout>
              <c:spPr/>
              <c:txPr>
                <a:bodyPr/>
                <a:lstStyle/>
                <a:p>
                  <a:pPr>
                    <a:defRPr/>
                  </a:pPr>
                  <a:endParaRPr lang="ru-RU"/>
                </a:p>
              </c:txPr>
              <c:dLblPos val="outEnd"/>
              <c:showLegendKey val="0"/>
              <c:showVal val="1"/>
              <c:showCatName val="0"/>
              <c:showSerName val="0"/>
              <c:showPercent val="0"/>
              <c:showBubbleSize val="0"/>
            </c:dLbl>
            <c:showLegendKey val="0"/>
            <c:showVal val="1"/>
            <c:showCatName val="0"/>
            <c:showSerName val="0"/>
            <c:showPercent val="0"/>
            <c:showBubbleSize val="0"/>
            <c:showLeaderLines val="0"/>
          </c:dLbls>
          <c:cat>
            <c:multiLvlStrRef>
              <c:f>'Ожид-факт_физ (3)'!$B$60:$X$61</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(3)'!$B$62:$X$62</c:f>
              <c:numCache>
                <c:formatCode>0.00%</c:formatCode>
                <c:ptCount val="23"/>
                <c:pt idx="0">
                  <c:v>3.4482758620689655E-2</c:v>
                </c:pt>
                <c:pt idx="1">
                  <c:v>-0.26923076923076927</c:v>
                </c:pt>
                <c:pt idx="2">
                  <c:v>0</c:v>
                </c:pt>
                <c:pt idx="3">
                  <c:v>3.8461538461538498E-2</c:v>
                </c:pt>
                <c:pt idx="6">
                  <c:v>0</c:v>
                </c:pt>
                <c:pt idx="7">
                  <c:v>-0.21428571428571425</c:v>
                </c:pt>
                <c:pt idx="8">
                  <c:v>3.7037037037037E-2</c:v>
                </c:pt>
                <c:pt idx="9">
                  <c:v>-3.5714285714285698E-2</c:v>
                </c:pt>
                <c:pt idx="12">
                  <c:v>-9.6774193548387094E-2</c:v>
                </c:pt>
                <c:pt idx="13">
                  <c:v>-0.31034482758620696</c:v>
                </c:pt>
                <c:pt idx="14">
                  <c:v>3.7037037037037E-2</c:v>
                </c:pt>
                <c:pt idx="15">
                  <c:v>-0.148148148148148</c:v>
                </c:pt>
                <c:pt idx="18">
                  <c:v>-7.1428571428571425E-2</c:v>
                </c:pt>
                <c:pt idx="19">
                  <c:v>-0.23076923076923081</c:v>
                </c:pt>
                <c:pt idx="20">
                  <c:v>0.16</c:v>
                </c:pt>
                <c:pt idx="21">
                  <c:v>-7.4074074074074098E-2</c:v>
                </c:pt>
              </c:numCache>
            </c:numRef>
          </c:val>
        </c:ser>
        <c:dLbls>
          <c:showLegendKey val="0"/>
          <c:showVal val="0"/>
          <c:showCatName val="0"/>
          <c:showSerName val="0"/>
          <c:showPercent val="0"/>
          <c:showBubbleSize val="0"/>
        </c:dLbls>
        <c:gapWidth val="150"/>
        <c:axId val="225933952"/>
        <c:axId val="225948032"/>
      </c:barChart>
      <c:lineChart>
        <c:grouping val="standard"/>
        <c:varyColors val="0"/>
        <c:ser>
          <c:idx val="1"/>
          <c:order val="1"/>
          <c:tx>
            <c:strRef>
              <c:f>'Ожид-факт_физ (3)'!$A$63</c:f>
              <c:strCache>
                <c:ptCount val="1"/>
                <c:pt idx="0">
                  <c:v>күту</c:v>
                </c:pt>
              </c:strCache>
            </c:strRef>
          </c:tx>
          <c:spPr>
            <a:ln w="31750">
              <a:solidFill>
                <a:srgbClr val="00CCFF"/>
              </a:solidFill>
            </a:ln>
          </c:spPr>
          <c:marker>
            <c:symbol val="diamond"/>
            <c:size val="7"/>
            <c:spPr>
              <a:solidFill>
                <a:srgbClr val="00CCFF"/>
              </a:solidFill>
              <a:ln>
                <a:noFill/>
              </a:ln>
            </c:spPr>
          </c:marker>
          <c:dPt>
            <c:idx val="4"/>
            <c:bubble3D val="0"/>
            <c:spPr>
              <a:ln w="31750">
                <a:solidFill>
                  <a:srgbClr val="00CCFF"/>
                </a:solidFill>
                <a:prstDash val="sysDash"/>
              </a:ln>
            </c:spPr>
          </c:dPt>
          <c:dPt>
            <c:idx val="10"/>
            <c:bubble3D val="0"/>
            <c:spPr>
              <a:ln w="31750">
                <a:solidFill>
                  <a:srgbClr val="00CCFF"/>
                </a:solidFill>
                <a:prstDash val="sysDash"/>
              </a:ln>
            </c:spPr>
          </c:dPt>
          <c:dPt>
            <c:idx val="16"/>
            <c:bubble3D val="0"/>
            <c:spPr>
              <a:ln w="31750">
                <a:solidFill>
                  <a:srgbClr val="00CCFF"/>
                </a:solidFill>
                <a:prstDash val="sysDash"/>
              </a:ln>
            </c:spPr>
          </c:dPt>
          <c:dPt>
            <c:idx val="22"/>
            <c:bubble3D val="0"/>
            <c:spPr>
              <a:ln w="31750">
                <a:solidFill>
                  <a:srgbClr val="00CCFF"/>
                </a:solidFill>
                <a:prstDash val="sysDash"/>
              </a:ln>
            </c:spPr>
          </c:dPt>
          <c:cat>
            <c:multiLvlStrRef>
              <c:f>'Ожид-факт_физ (3)'!$B$60:$X$61</c:f>
              <c:multiLvlStrCache>
                <c:ptCount val="23"/>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pt idx="12">
                    <c:v>4 тоқ 2014</c:v>
                  </c:pt>
                  <c:pt idx="13">
                    <c:v>1 тоқ 2015 </c:v>
                  </c:pt>
                  <c:pt idx="14">
                    <c:v>2 тоқ 2015 </c:v>
                  </c:pt>
                  <c:pt idx="15">
                    <c:v>3 тоқ 2015</c:v>
                  </c:pt>
                  <c:pt idx="16">
                    <c:v>4 тоқ 2015</c:v>
                  </c:pt>
                  <c:pt idx="18">
                    <c:v>4 тоқ 2014</c:v>
                  </c:pt>
                  <c:pt idx="19">
                    <c:v>1 тоқ 2015 </c:v>
                  </c:pt>
                  <c:pt idx="20">
                    <c:v>2 тоқ 2015 </c:v>
                  </c:pt>
                  <c:pt idx="21">
                    <c:v>3 тоқ 2015</c:v>
                  </c:pt>
                  <c:pt idx="22">
                    <c:v>4 тоқ 2015</c:v>
                  </c:pt>
                </c:lvl>
                <c:lvl>
                  <c:pt idx="0">
                    <c:v>Ипотекалық кредиттеу </c:v>
                  </c:pt>
                  <c:pt idx="6">
                    <c:v>Жылжымайтын мүлік кепілімен берілген тұтынушылық кредиттер </c:v>
                  </c:pt>
                  <c:pt idx="12">
                    <c:v>Кепілсіз тұтынушылық кредиттер</c:v>
                  </c:pt>
                  <c:pt idx="18">
                    <c:v>Автокредиттер</c:v>
                  </c:pt>
                </c:lvl>
              </c:multiLvlStrCache>
            </c:multiLvlStrRef>
          </c:cat>
          <c:val>
            <c:numRef>
              <c:f>'Ожид-факт_физ (3)'!$B$63:$X$63</c:f>
              <c:numCache>
                <c:formatCode>0.00%</c:formatCode>
                <c:ptCount val="23"/>
                <c:pt idx="0">
                  <c:v>0</c:v>
                </c:pt>
                <c:pt idx="1">
                  <c:v>-0.31034482758620691</c:v>
                </c:pt>
                <c:pt idx="2">
                  <c:v>-3.8461538461538464E-2</c:v>
                </c:pt>
                <c:pt idx="3">
                  <c:v>-0.115384615384615</c:v>
                </c:pt>
                <c:pt idx="4">
                  <c:v>-0.115384615384615</c:v>
                </c:pt>
                <c:pt idx="6">
                  <c:v>-3.2258064516129031E-2</c:v>
                </c:pt>
                <c:pt idx="7">
                  <c:v>-0.32258064516129031</c:v>
                </c:pt>
                <c:pt idx="8">
                  <c:v>0</c:v>
                </c:pt>
                <c:pt idx="9">
                  <c:v>0</c:v>
                </c:pt>
                <c:pt idx="10">
                  <c:v>-0.107142857142857</c:v>
                </c:pt>
                <c:pt idx="12">
                  <c:v>-6.4516129032258063E-2</c:v>
                </c:pt>
                <c:pt idx="13">
                  <c:v>-0.25806451612903225</c:v>
                </c:pt>
                <c:pt idx="14">
                  <c:v>-3.4482758620689655E-2</c:v>
                </c:pt>
                <c:pt idx="15">
                  <c:v>-3.5714285714285698E-2</c:v>
                </c:pt>
                <c:pt idx="16">
                  <c:v>-0.22222222222222199</c:v>
                </c:pt>
                <c:pt idx="18">
                  <c:v>0</c:v>
                </c:pt>
                <c:pt idx="19">
                  <c:v>-0.2142857142857143</c:v>
                </c:pt>
                <c:pt idx="20">
                  <c:v>0.11538461538461539</c:v>
                </c:pt>
                <c:pt idx="21">
                  <c:v>-0.04</c:v>
                </c:pt>
                <c:pt idx="22">
                  <c:v>-0.19230769230769201</c:v>
                </c:pt>
              </c:numCache>
            </c:numRef>
          </c:val>
          <c:smooth val="0"/>
        </c:ser>
        <c:dLbls>
          <c:showLegendKey val="0"/>
          <c:showVal val="0"/>
          <c:showCatName val="0"/>
          <c:showSerName val="0"/>
          <c:showPercent val="0"/>
          <c:showBubbleSize val="0"/>
        </c:dLbls>
        <c:marker val="1"/>
        <c:smooth val="0"/>
        <c:axId val="225933952"/>
        <c:axId val="225948032"/>
      </c:lineChart>
      <c:catAx>
        <c:axId val="225933952"/>
        <c:scaling>
          <c:orientation val="minMax"/>
        </c:scaling>
        <c:delete val="0"/>
        <c:axPos val="b"/>
        <c:numFmt formatCode="General" sourceLinked="1"/>
        <c:majorTickMark val="out"/>
        <c:minorTickMark val="none"/>
        <c:tickLblPos val="low"/>
        <c:crossAx val="225948032"/>
        <c:crosses val="autoZero"/>
        <c:auto val="1"/>
        <c:lblAlgn val="ctr"/>
        <c:lblOffset val="100"/>
        <c:noMultiLvlLbl val="0"/>
      </c:catAx>
      <c:valAx>
        <c:axId val="225948032"/>
        <c:scaling>
          <c:orientation val="minMax"/>
        </c:scaling>
        <c:delete val="0"/>
        <c:axPos val="l"/>
        <c:majorGridlines>
          <c:spPr>
            <a:ln>
              <a:prstDash val="sysDash"/>
            </a:ln>
          </c:spPr>
        </c:majorGridlines>
        <c:numFmt formatCode="0%" sourceLinked="0"/>
        <c:majorTickMark val="out"/>
        <c:minorTickMark val="none"/>
        <c:tickLblPos val="nextTo"/>
        <c:crossAx val="225933952"/>
        <c:crosses val="autoZero"/>
        <c:crossBetween val="between"/>
        <c:majorUnit val="5.000000000000001E-2"/>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'Ожид-факт_физ (3)'!$A$89</c:f>
              <c:strCache>
                <c:ptCount val="1"/>
                <c:pt idx="0">
                  <c:v>Қарыз алушылардың қаржылық жағдайы – кірістердің деңгейі мен тұрақтылығы</c:v>
                </c:pt>
              </c:strCache>
            </c:strRef>
          </c:tx>
          <c:spPr>
            <a:ln w="31750">
              <a:solidFill>
                <a:srgbClr val="00CCFF"/>
              </a:solidFill>
            </a:ln>
          </c:spPr>
          <c:marker>
            <c:spPr>
              <a:solidFill>
                <a:srgbClr val="00CCFF"/>
              </a:solidFill>
              <a:ln>
                <a:noFill/>
              </a:ln>
            </c:spPr>
          </c:marker>
          <c:dPt>
            <c:idx val="4"/>
            <c:bubble3D val="0"/>
            <c:spPr>
              <a:ln w="31750">
                <a:solidFill>
                  <a:srgbClr val="00CCFF"/>
                </a:solidFill>
                <a:prstDash val="sysDash"/>
              </a:ln>
            </c:spPr>
          </c:dPt>
          <c:cat>
            <c:strRef>
              <c:f>'Ожид-факт_физ (3)'!$B$88:$F$88</c:f>
              <c:strCache>
                <c:ptCount val="5"/>
                <c:pt idx="0">
                  <c:v>4 тоқ 2014</c:v>
                </c:pt>
                <c:pt idx="1">
                  <c:v>1 тоқ 2015 </c:v>
                </c:pt>
                <c:pt idx="2">
                  <c:v>2 тоқ 2015 </c:v>
                </c:pt>
                <c:pt idx="3">
                  <c:v>3 тоқ 2015</c:v>
                </c:pt>
                <c:pt idx="4">
                  <c:v>4 тоқ 2015</c:v>
                </c:pt>
              </c:strCache>
            </c:strRef>
          </c:cat>
          <c:val>
            <c:numRef>
              <c:f>'Ожид-факт_физ (3)'!$B$89:$F$89</c:f>
              <c:numCache>
                <c:formatCode>0.00%</c:formatCode>
                <c:ptCount val="5"/>
                <c:pt idx="0">
                  <c:v>2.9411764705882353E-2</c:v>
                </c:pt>
                <c:pt idx="1">
                  <c:v>8.8235294117647051E-2</c:v>
                </c:pt>
                <c:pt idx="2">
                  <c:v>3.125E-2</c:v>
                </c:pt>
                <c:pt idx="3">
                  <c:v>0.16129032258064499</c:v>
                </c:pt>
                <c:pt idx="4">
                  <c:v>0.38709677419354799</c:v>
                </c:pt>
              </c:numCache>
            </c:numRef>
          </c:val>
          <c:smooth val="0"/>
        </c:ser>
        <c:ser>
          <c:idx val="1"/>
          <c:order val="1"/>
          <c:tx>
            <c:strRef>
              <c:f>'Ожид-факт_физ (3)'!$A$90</c:f>
              <c:strCache>
                <c:ptCount val="1"/>
                <c:pt idx="0">
                  <c:v>Өтеу мерзімінің өтуі  </c:v>
                </c:pt>
              </c:strCache>
            </c:strRef>
          </c:tx>
          <c:spPr>
            <a:ln w="31750">
              <a:solidFill>
                <a:srgbClr val="CA366E"/>
              </a:solidFill>
            </a:ln>
          </c:spPr>
          <c:marker>
            <c:symbol val="square"/>
            <c:size val="5"/>
            <c:spPr>
              <a:solidFill>
                <a:srgbClr val="CA366E"/>
              </a:solidFill>
            </c:spPr>
          </c:marker>
          <c:dPt>
            <c:idx val="4"/>
            <c:bubble3D val="0"/>
            <c:spPr>
              <a:ln w="31750">
                <a:solidFill>
                  <a:srgbClr val="CA366E"/>
                </a:solidFill>
                <a:prstDash val="sysDash"/>
              </a:ln>
            </c:spPr>
          </c:dPt>
          <c:cat>
            <c:strRef>
              <c:f>'Ожид-факт_физ (3)'!$B$88:$F$88</c:f>
              <c:strCache>
                <c:ptCount val="5"/>
                <c:pt idx="0">
                  <c:v>4 тоқ 2014</c:v>
                </c:pt>
                <c:pt idx="1">
                  <c:v>1 тоқ 2015 </c:v>
                </c:pt>
                <c:pt idx="2">
                  <c:v>2 тоқ 2015 </c:v>
                </c:pt>
                <c:pt idx="3">
                  <c:v>3 тоқ 2015</c:v>
                </c:pt>
                <c:pt idx="4">
                  <c:v>4 тоқ 2015</c:v>
                </c:pt>
              </c:strCache>
            </c:strRef>
          </c:cat>
          <c:val>
            <c:numRef>
              <c:f>'Ожид-факт_физ (3)'!$B$90:$F$90</c:f>
              <c:numCache>
                <c:formatCode>0.00%</c:formatCode>
                <c:ptCount val="5"/>
                <c:pt idx="0">
                  <c:v>5.8823529411764712E-2</c:v>
                </c:pt>
                <c:pt idx="1">
                  <c:v>0.17647058823529413</c:v>
                </c:pt>
                <c:pt idx="2">
                  <c:v>0.15625</c:v>
                </c:pt>
                <c:pt idx="3">
                  <c:v>0.25806451612903197</c:v>
                </c:pt>
                <c:pt idx="4">
                  <c:v>0.483870967741936</c:v>
                </c:pt>
              </c:numCache>
            </c:numRef>
          </c:val>
          <c:smooth val="0"/>
        </c:ser>
        <c:ser>
          <c:idx val="2"/>
          <c:order val="2"/>
          <c:tx>
            <c:strRef>
              <c:f>'Ожид-факт_физ (3)'!$A$91</c:f>
              <c:strCache>
                <c:ptCount val="1"/>
                <c:pt idx="0">
                  <c:v>Қамтамасыз ету сапасы</c:v>
                </c:pt>
              </c:strCache>
            </c:strRef>
          </c:tx>
          <c:spPr>
            <a:ln w="31750">
              <a:solidFill>
                <a:srgbClr val="64AA99"/>
              </a:solidFill>
            </a:ln>
          </c:spPr>
          <c:marker>
            <c:spPr>
              <a:solidFill>
                <a:srgbClr val="64AA99"/>
              </a:solidFill>
              <a:ln>
                <a:noFill/>
              </a:ln>
            </c:spPr>
          </c:marker>
          <c:dPt>
            <c:idx val="4"/>
            <c:bubble3D val="0"/>
            <c:spPr>
              <a:ln w="31750">
                <a:solidFill>
                  <a:srgbClr val="64AA99"/>
                </a:solidFill>
                <a:prstDash val="sysDash"/>
              </a:ln>
            </c:spPr>
          </c:dPt>
          <c:cat>
            <c:strRef>
              <c:f>'Ожид-факт_физ (3)'!$B$88:$F$88</c:f>
              <c:strCache>
                <c:ptCount val="5"/>
                <c:pt idx="0">
                  <c:v>4 тоқ 2014</c:v>
                </c:pt>
                <c:pt idx="1">
                  <c:v>1 тоқ 2015 </c:v>
                </c:pt>
                <c:pt idx="2">
                  <c:v>2 тоқ 2015 </c:v>
                </c:pt>
                <c:pt idx="3">
                  <c:v>3 тоқ 2015</c:v>
                </c:pt>
                <c:pt idx="4">
                  <c:v>4 тоқ 2015</c:v>
                </c:pt>
              </c:strCache>
            </c:strRef>
          </c:cat>
          <c:val>
            <c:numRef>
              <c:f>'Ожид-факт_физ (3)'!$B$91:$F$91</c:f>
              <c:numCache>
                <c:formatCode>0.00%</c:formatCode>
                <c:ptCount val="5"/>
                <c:pt idx="0">
                  <c:v>0</c:v>
                </c:pt>
                <c:pt idx="1">
                  <c:v>6.0606060606060608E-2</c:v>
                </c:pt>
                <c:pt idx="2">
                  <c:v>0</c:v>
                </c:pt>
                <c:pt idx="3">
                  <c:v>7.1428571428571397E-2</c:v>
                </c:pt>
                <c:pt idx="4">
                  <c:v>0.214285714285714</c:v>
                </c:pt>
              </c:numCache>
            </c:numRef>
          </c:val>
          <c:smooth val="0"/>
        </c:ser>
        <c:ser>
          <c:idx val="3"/>
          <c:order val="3"/>
          <c:tx>
            <c:strRef>
              <c:f>'Ожид-факт_физ (3)'!$A$92</c:f>
              <c:strCache>
                <c:ptCount val="1"/>
                <c:pt idx="0">
                  <c:v>Мерзімін ұзарту саны</c:v>
                </c:pt>
              </c:strCache>
            </c:strRef>
          </c:tx>
          <c:spPr>
            <a:ln w="31750">
              <a:solidFill>
                <a:srgbClr val="C4DE70"/>
              </a:solidFill>
            </a:ln>
          </c:spPr>
          <c:marker>
            <c:symbol val="x"/>
            <c:size val="4"/>
            <c:spPr>
              <a:solidFill>
                <a:srgbClr val="C4DE70"/>
              </a:solidFill>
              <a:ln>
                <a:noFill/>
              </a:ln>
            </c:spPr>
          </c:marker>
          <c:dPt>
            <c:idx val="4"/>
            <c:bubble3D val="0"/>
            <c:spPr>
              <a:ln w="31750">
                <a:solidFill>
                  <a:srgbClr val="C4DE70"/>
                </a:solidFill>
                <a:prstDash val="sysDash"/>
              </a:ln>
            </c:spPr>
          </c:dPt>
          <c:cat>
            <c:strRef>
              <c:f>'Ожид-факт_физ (3)'!$B$88:$F$88</c:f>
              <c:strCache>
                <c:ptCount val="5"/>
                <c:pt idx="0">
                  <c:v>4 тоқ 2014</c:v>
                </c:pt>
                <c:pt idx="1">
                  <c:v>1 тоқ 2015 </c:v>
                </c:pt>
                <c:pt idx="2">
                  <c:v>2 тоқ 2015 </c:v>
                </c:pt>
                <c:pt idx="3">
                  <c:v>3 тоқ 2015</c:v>
                </c:pt>
                <c:pt idx="4">
                  <c:v>4 тоқ 2015</c:v>
                </c:pt>
              </c:strCache>
            </c:strRef>
          </c:cat>
          <c:val>
            <c:numRef>
              <c:f>'Ожид-факт_физ (3)'!$B$92:$F$92</c:f>
              <c:numCache>
                <c:formatCode>0.00%</c:formatCode>
                <c:ptCount val="5"/>
                <c:pt idx="0">
                  <c:v>0</c:v>
                </c:pt>
                <c:pt idx="1">
                  <c:v>0.14705882352941177</c:v>
                </c:pt>
                <c:pt idx="2">
                  <c:v>0.15625</c:v>
                </c:pt>
                <c:pt idx="3">
                  <c:v>0.225806451612903</c:v>
                </c:pt>
                <c:pt idx="4">
                  <c:v>0.45161290322580699</c:v>
                </c:pt>
              </c:numCache>
            </c:numRef>
          </c:val>
          <c:smooth val="0"/>
        </c:ser>
        <c:ser>
          <c:idx val="4"/>
          <c:order val="4"/>
          <c:tx>
            <c:strRef>
              <c:f>'Ожид-факт_физ (3)'!$A$93</c:f>
              <c:strCache>
                <c:ptCount val="1"/>
                <c:pt idx="0">
                  <c:v>Дефолт коэффициенті (Default Ratio)</c:v>
                </c:pt>
              </c:strCache>
            </c:strRef>
          </c:tx>
          <c:spPr>
            <a:ln w="31750">
              <a:solidFill>
                <a:srgbClr val="353DD7"/>
              </a:solidFill>
            </a:ln>
          </c:spPr>
          <c:marker>
            <c:symbol val="star"/>
            <c:size val="4"/>
            <c:spPr>
              <a:solidFill>
                <a:srgbClr val="353DD7"/>
              </a:solidFill>
              <a:ln>
                <a:noFill/>
              </a:ln>
            </c:spPr>
          </c:marker>
          <c:dPt>
            <c:idx val="4"/>
            <c:marker>
              <c:spPr>
                <a:solidFill>
                  <a:srgbClr val="353DD7"/>
                </a:solidFill>
                <a:ln>
                  <a:noFill/>
                  <a:prstDash val="sysDash"/>
                </a:ln>
              </c:spPr>
            </c:marker>
            <c:bubble3D val="0"/>
            <c:spPr>
              <a:ln w="31750">
                <a:solidFill>
                  <a:srgbClr val="353DD7"/>
                </a:solidFill>
                <a:prstDash val="sysDash"/>
              </a:ln>
            </c:spPr>
          </c:dPt>
          <c:cat>
            <c:strRef>
              <c:f>'Ожид-факт_физ (3)'!$B$88:$F$88</c:f>
              <c:strCache>
                <c:ptCount val="5"/>
                <c:pt idx="0">
                  <c:v>4 тоқ 2014</c:v>
                </c:pt>
                <c:pt idx="1">
                  <c:v>1 тоқ 2015 </c:v>
                </c:pt>
                <c:pt idx="2">
                  <c:v>2 тоқ 2015 </c:v>
                </c:pt>
                <c:pt idx="3">
                  <c:v>3 тоқ 2015</c:v>
                </c:pt>
                <c:pt idx="4">
                  <c:v>4 тоқ 2015</c:v>
                </c:pt>
              </c:strCache>
            </c:strRef>
          </c:cat>
          <c:val>
            <c:numRef>
              <c:f>'Ожид-факт_физ (3)'!$B$93:$F$93</c:f>
              <c:numCache>
                <c:formatCode>0.00%</c:formatCode>
                <c:ptCount val="5"/>
                <c:pt idx="0">
                  <c:v>2.9411764705882353E-2</c:v>
                </c:pt>
                <c:pt idx="1">
                  <c:v>8.8235294117647051E-2</c:v>
                </c:pt>
                <c:pt idx="2">
                  <c:v>3.125E-2</c:v>
                </c:pt>
                <c:pt idx="3">
                  <c:v>0.12903225806451599</c:v>
                </c:pt>
                <c:pt idx="4">
                  <c:v>0.32258064516128998</c:v>
                </c:pt>
              </c:numCache>
            </c:numRef>
          </c:val>
          <c:smooth val="0"/>
        </c:ser>
        <c:dLbls>
          <c:showLegendKey val="0"/>
          <c:showVal val="0"/>
          <c:showCatName val="0"/>
          <c:showSerName val="0"/>
          <c:showPercent val="0"/>
          <c:showBubbleSize val="0"/>
        </c:dLbls>
        <c:marker val="1"/>
        <c:smooth val="0"/>
        <c:axId val="226010624"/>
        <c:axId val="226012160"/>
      </c:lineChart>
      <c:catAx>
        <c:axId val="226010624"/>
        <c:scaling>
          <c:orientation val="minMax"/>
        </c:scaling>
        <c:delete val="0"/>
        <c:axPos val="b"/>
        <c:numFmt formatCode="General" sourceLinked="1"/>
        <c:majorTickMark val="out"/>
        <c:minorTickMark val="none"/>
        <c:tickLblPos val="nextTo"/>
        <c:crossAx val="226012160"/>
        <c:crosses val="autoZero"/>
        <c:auto val="1"/>
        <c:lblAlgn val="ctr"/>
        <c:lblOffset val="100"/>
        <c:noMultiLvlLbl val="0"/>
      </c:catAx>
      <c:valAx>
        <c:axId val="226012160"/>
        <c:scaling>
          <c:orientation val="minMax"/>
        </c:scaling>
        <c:delete val="0"/>
        <c:axPos val="l"/>
        <c:majorGridlines>
          <c:spPr>
            <a:ln>
              <a:prstDash val="sysDash"/>
            </a:ln>
          </c:spPr>
        </c:majorGridlines>
        <c:numFmt formatCode="0%" sourceLinked="0"/>
        <c:majorTickMark val="out"/>
        <c:minorTickMark val="none"/>
        <c:tickLblPos val="nextTo"/>
        <c:crossAx val="226010624"/>
        <c:crosses val="autoZero"/>
        <c:crossBetween val="between"/>
        <c:majorUnit val="5.000000000000001E-2"/>
      </c:valAx>
    </c:plotArea>
    <c:legend>
      <c:legendPos val="b"/>
      <c:layout>
        <c:manualLayout>
          <c:xMode val="edge"/>
          <c:yMode val="edge"/>
          <c:x val="1.9261683198691072E-2"/>
          <c:y val="0.65780297940573129"/>
          <c:w val="0.96764982299290514"/>
          <c:h val="0.31904902672148916"/>
        </c:manualLayout>
      </c:layout>
      <c:overlay val="0"/>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193775834242874E-2"/>
          <c:y val="5.0691244239631339E-2"/>
          <c:w val="0.89889586668162125"/>
          <c:h val="0.50764853793575648"/>
        </c:manualLayout>
      </c:layout>
      <c:barChart>
        <c:barDir val="col"/>
        <c:grouping val="clustered"/>
        <c:varyColors val="0"/>
        <c:ser>
          <c:idx val="0"/>
          <c:order val="0"/>
          <c:tx>
            <c:strRef>
              <c:f>'Ожид-факт_физ (3)'!$A$42</c:f>
              <c:strCache>
                <c:ptCount val="1"/>
                <c:pt idx="0">
                  <c:v>Факт</c:v>
                </c:pt>
              </c:strCache>
            </c:strRef>
          </c:tx>
          <c:spPr>
            <a:solidFill>
              <a:srgbClr val="4AC2BC"/>
            </a:solidFill>
            <a:effectLst>
              <a:glow rad="635000">
                <a:schemeClr val="accent1">
                  <a:alpha val="0"/>
                </a:schemeClr>
              </a:glow>
              <a:softEdge rad="0"/>
            </a:effectLst>
          </c:spPr>
          <c:invertIfNegative val="0"/>
          <c:dLbls>
            <c:dLbl>
              <c:idx val="0"/>
              <c:layout>
                <c:manualLayout>
                  <c:x val="1.0694024501427778E-17"/>
                  <c:y val="2.9985007496251874E-2"/>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1"/>
              <c:layout>
                <c:manualLayout>
                  <c:x val="-4.5231810356909253E-3"/>
                  <c:y val="0.19800233102325496"/>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2"/>
              <c:layout>
                <c:manualLayout>
                  <c:x val="-2.4877420720307596E-2"/>
                  <c:y val="9.6005855340046506E-2"/>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3"/>
              <c:layout>
                <c:manualLayout>
                  <c:x val="0"/>
                  <c:y val="2.9985007496251874E-2"/>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6"/>
              <c:layout>
                <c:manualLayout>
                  <c:x val="4.5232342116711937E-3"/>
                  <c:y val="0.19800682335997355"/>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7"/>
              <c:layout>
                <c:manualLayout>
                  <c:x val="-1.1307952589227314E-2"/>
                  <c:y val="0.1139999820472469"/>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8"/>
              <c:layout>
                <c:manualLayout>
                  <c:x val="2.3332686632097548E-3"/>
                  <c:y val="2.3988005997001498E-2"/>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dLbl>
              <c:idx val="9"/>
              <c:layout>
                <c:manualLayout>
                  <c:x val="-2.3332686632097548E-3"/>
                  <c:y val="1.7991004497751123E-2"/>
                </c:manualLayout>
              </c:layout>
              <c:numFmt formatCode="0.00%" sourceLinked="0"/>
              <c:spPr>
                <a:noFill/>
                <a:ln>
                  <a:noFill/>
                </a:ln>
              </c:spPr>
              <c:txPr>
                <a:bodyPr/>
                <a:lstStyle/>
                <a:p>
                  <a:pPr>
                    <a:defRPr/>
                  </a:pPr>
                  <a:endParaRPr lang="ru-RU"/>
                </a:p>
              </c:txPr>
              <c:dLblPos val="outEnd"/>
              <c:showLegendKey val="0"/>
              <c:showVal val="1"/>
              <c:showCatName val="0"/>
              <c:showSerName val="0"/>
              <c:showPercent val="0"/>
              <c:showBubbleSize val="0"/>
            </c:dLbl>
            <c:numFmt formatCode="0.00%" sourceLinked="0"/>
            <c:spPr>
              <a:noFill/>
              <a:ln>
                <a:noFill/>
              </a:ln>
            </c:spPr>
            <c:showLegendKey val="0"/>
            <c:showVal val="1"/>
            <c:showCatName val="0"/>
            <c:showSerName val="0"/>
            <c:showPercent val="0"/>
            <c:showBubbleSize val="0"/>
            <c:showLeaderLines val="0"/>
          </c:dLbls>
          <c:cat>
            <c:multiLvlStrRef>
              <c:f>'Ожид-факт_физ (3)'!$B$40:$L$41</c:f>
              <c:multiLvlStrCache>
                <c:ptCount val="11"/>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lvl>
                <c:lvl>
                  <c:pt idx="0">
                    <c:v>Кепілсіз тұтынушылық кредиттер</c:v>
                  </c:pt>
                  <c:pt idx="6">
                    <c:v>Автокредиттер</c:v>
                  </c:pt>
                </c:lvl>
              </c:multiLvlStrCache>
            </c:multiLvlStrRef>
          </c:cat>
          <c:val>
            <c:numRef>
              <c:f>'Ожид-факт_физ (3)'!$B$42:$L$42</c:f>
              <c:numCache>
                <c:formatCode>0.00%</c:formatCode>
                <c:ptCount val="11"/>
                <c:pt idx="0">
                  <c:v>-6.4516129032258063E-2</c:v>
                </c:pt>
                <c:pt idx="1">
                  <c:v>-0.10344827586206896</c:v>
                </c:pt>
                <c:pt idx="2">
                  <c:v>0</c:v>
                </c:pt>
                <c:pt idx="3">
                  <c:v>-0.115384615384615</c:v>
                </c:pt>
                <c:pt idx="6">
                  <c:v>-3.5714285714285698E-2</c:v>
                </c:pt>
                <c:pt idx="7">
                  <c:v>-0.11538461538461539</c:v>
                </c:pt>
                <c:pt idx="8">
                  <c:v>0</c:v>
                </c:pt>
                <c:pt idx="9">
                  <c:v>-0.12</c:v>
                </c:pt>
              </c:numCache>
            </c:numRef>
          </c:val>
        </c:ser>
        <c:dLbls>
          <c:showLegendKey val="0"/>
          <c:showVal val="0"/>
          <c:showCatName val="0"/>
          <c:showSerName val="0"/>
          <c:showPercent val="0"/>
          <c:showBubbleSize val="0"/>
        </c:dLbls>
        <c:gapWidth val="150"/>
        <c:axId val="226222464"/>
        <c:axId val="226224000"/>
      </c:barChart>
      <c:lineChart>
        <c:grouping val="standard"/>
        <c:varyColors val="0"/>
        <c:ser>
          <c:idx val="1"/>
          <c:order val="1"/>
          <c:tx>
            <c:strRef>
              <c:f>'Ожид-факт_физ (3)'!$A$43</c:f>
              <c:strCache>
                <c:ptCount val="1"/>
                <c:pt idx="0">
                  <c:v>күту</c:v>
                </c:pt>
              </c:strCache>
            </c:strRef>
          </c:tx>
          <c:spPr>
            <a:ln w="31750">
              <a:solidFill>
                <a:srgbClr val="A21DDD"/>
              </a:solidFill>
            </a:ln>
            <a:effectLst>
              <a:glow>
                <a:schemeClr val="accent1">
                  <a:alpha val="40000"/>
                </a:schemeClr>
              </a:glow>
            </a:effectLst>
          </c:spPr>
          <c:marker>
            <c:symbol val="none"/>
          </c:marker>
          <c:dPt>
            <c:idx val="4"/>
            <c:bubble3D val="0"/>
            <c:spPr>
              <a:ln w="31750">
                <a:solidFill>
                  <a:srgbClr val="A21DDD"/>
                </a:solidFill>
                <a:prstDash val="sysDash"/>
              </a:ln>
              <a:effectLst>
                <a:glow>
                  <a:schemeClr val="accent1">
                    <a:alpha val="40000"/>
                  </a:schemeClr>
                </a:glow>
              </a:effectLst>
            </c:spPr>
          </c:dPt>
          <c:dPt>
            <c:idx val="10"/>
            <c:bubble3D val="0"/>
            <c:spPr>
              <a:ln w="31750">
                <a:solidFill>
                  <a:srgbClr val="A21DDD"/>
                </a:solidFill>
                <a:prstDash val="sysDash"/>
              </a:ln>
              <a:effectLst>
                <a:glow>
                  <a:schemeClr val="accent1">
                    <a:alpha val="40000"/>
                  </a:schemeClr>
                </a:glow>
              </a:effectLst>
            </c:spPr>
          </c:dPt>
          <c:cat>
            <c:multiLvlStrRef>
              <c:f>'Ожид-факт_физ (3)'!$B$40:$L$41</c:f>
              <c:multiLvlStrCache>
                <c:ptCount val="11"/>
                <c:lvl>
                  <c:pt idx="0">
                    <c:v>4 тоқ 2014</c:v>
                  </c:pt>
                  <c:pt idx="1">
                    <c:v>1 тоқ 2015 </c:v>
                  </c:pt>
                  <c:pt idx="2">
                    <c:v>2 тоқ 2015 </c:v>
                  </c:pt>
                  <c:pt idx="3">
                    <c:v>3 тоқ 2015</c:v>
                  </c:pt>
                  <c:pt idx="4">
                    <c:v>4 тоқ 2015</c:v>
                  </c:pt>
                  <c:pt idx="6">
                    <c:v>4 тоқ 2014</c:v>
                  </c:pt>
                  <c:pt idx="7">
                    <c:v>1 тоқ 2015 </c:v>
                  </c:pt>
                  <c:pt idx="8">
                    <c:v>2 тоқ 2015 </c:v>
                  </c:pt>
                  <c:pt idx="9">
                    <c:v>3 тоқ 2015</c:v>
                  </c:pt>
                  <c:pt idx="10">
                    <c:v>4 тоқ 2015</c:v>
                  </c:pt>
                </c:lvl>
                <c:lvl>
                  <c:pt idx="0">
                    <c:v>Кепілсіз тұтынушылық кредиттер</c:v>
                  </c:pt>
                  <c:pt idx="6">
                    <c:v>Автокредиттер</c:v>
                  </c:pt>
                </c:lvl>
              </c:multiLvlStrCache>
            </c:multiLvlStrRef>
          </c:cat>
          <c:val>
            <c:numRef>
              <c:f>'Ожид-факт_физ (3)'!$B$43:$L$43</c:f>
              <c:numCache>
                <c:formatCode>0.00%</c:formatCode>
                <c:ptCount val="11"/>
                <c:pt idx="0">
                  <c:v>0</c:v>
                </c:pt>
                <c:pt idx="1">
                  <c:v>-0.13333333333333333</c:v>
                </c:pt>
                <c:pt idx="2">
                  <c:v>3.4482758620689655E-2</c:v>
                </c:pt>
                <c:pt idx="3">
                  <c:v>0</c:v>
                </c:pt>
                <c:pt idx="4">
                  <c:v>-7.69230769230769E-2</c:v>
                </c:pt>
                <c:pt idx="6">
                  <c:v>0</c:v>
                </c:pt>
                <c:pt idx="7">
                  <c:v>-0.107142857142857</c:v>
                </c:pt>
                <c:pt idx="8">
                  <c:v>0</c:v>
                </c:pt>
                <c:pt idx="9">
                  <c:v>0.04</c:v>
                </c:pt>
                <c:pt idx="10">
                  <c:v>-0.12</c:v>
                </c:pt>
              </c:numCache>
            </c:numRef>
          </c:val>
          <c:smooth val="0"/>
        </c:ser>
        <c:dLbls>
          <c:showLegendKey val="0"/>
          <c:showVal val="0"/>
          <c:showCatName val="0"/>
          <c:showSerName val="0"/>
          <c:showPercent val="0"/>
          <c:showBubbleSize val="0"/>
        </c:dLbls>
        <c:marker val="1"/>
        <c:smooth val="0"/>
        <c:axId val="226222464"/>
        <c:axId val="226224000"/>
      </c:lineChart>
      <c:catAx>
        <c:axId val="226222464"/>
        <c:scaling>
          <c:orientation val="minMax"/>
        </c:scaling>
        <c:delete val="0"/>
        <c:axPos val="b"/>
        <c:numFmt formatCode="General" sourceLinked="1"/>
        <c:majorTickMark val="out"/>
        <c:minorTickMark val="none"/>
        <c:tickLblPos val="low"/>
        <c:crossAx val="226224000"/>
        <c:crosses val="autoZero"/>
        <c:auto val="1"/>
        <c:lblAlgn val="ctr"/>
        <c:lblOffset val="100"/>
        <c:noMultiLvlLbl val="0"/>
      </c:catAx>
      <c:valAx>
        <c:axId val="226224000"/>
        <c:scaling>
          <c:orientation val="minMax"/>
          <c:max val="5.000000000000001E-2"/>
          <c:min val="-0.15000000000000002"/>
        </c:scaling>
        <c:delete val="0"/>
        <c:axPos val="l"/>
        <c:majorGridlines>
          <c:spPr>
            <a:ln>
              <a:prstDash val="dash"/>
            </a:ln>
          </c:spPr>
        </c:majorGridlines>
        <c:numFmt formatCode="0%" sourceLinked="0"/>
        <c:majorTickMark val="out"/>
        <c:minorTickMark val="none"/>
        <c:tickLblPos val="nextTo"/>
        <c:txPr>
          <a:bodyPr/>
          <a:lstStyle/>
          <a:p>
            <a:pPr>
              <a:defRPr sz="800"/>
            </a:pPr>
            <a:endParaRPr lang="ru-RU"/>
          </a:p>
        </c:txPr>
        <c:crossAx val="226222464"/>
        <c:crosses val="autoZero"/>
        <c:crossBetween val="between"/>
        <c:majorUnit val="2.0000000000000004E-2"/>
      </c:valAx>
    </c:plotArea>
    <c:legend>
      <c:legendPos val="b"/>
      <c:layout>
        <c:manualLayout>
          <c:xMode val="edge"/>
          <c:yMode val="edge"/>
          <c:x val="0.35633133270928546"/>
          <c:y val="0.88357094129753611"/>
          <c:w val="0.29117945047078903"/>
          <c:h val="7.3112028397331441E-2"/>
        </c:manualLayout>
      </c:layout>
      <c:overlay val="0"/>
    </c:legend>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0.09837</cdr:x>
      <cdr:y>4.25968E-7</cdr:y>
    </cdr:from>
    <cdr:to>
      <cdr:x>0.24075</cdr:x>
      <cdr:y>0.08587</cdr:y>
    </cdr:to>
    <cdr:sp macro="" textlink="">
      <cdr:nvSpPr>
        <cdr:cNvPr id="2" name="TextBox 1"/>
        <cdr:cNvSpPr txBox="1"/>
      </cdr:nvSpPr>
      <cdr:spPr>
        <a:xfrm xmlns:a="http://schemas.openxmlformats.org/drawingml/2006/main">
          <a:off x="579237" y="1"/>
          <a:ext cx="838384" cy="201588"/>
        </a:xfrm>
        <a:prstGeom xmlns:a="http://schemas.openxmlformats.org/drawingml/2006/main" prst="rect">
          <a:avLst/>
        </a:prstGeom>
        <a:solidFill xmlns:a="http://schemas.openxmlformats.org/drawingml/2006/main">
          <a:schemeClr val="tx2">
            <a:lumMod val="20000"/>
            <a:lumOff val="8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kk-KZ" sz="1000">
              <a:effectLst/>
              <a:latin typeface="Times New Roman" pitchFamily="18" charset="0"/>
              <a:ea typeface="+mn-ea"/>
              <a:cs typeface="Times New Roman" pitchFamily="18" charset="0"/>
            </a:rPr>
            <a:t>Ұлғаюы</a:t>
          </a:r>
          <a:endParaRPr lang="ru-RU" sz="1000" b="0">
            <a:latin typeface="Times New Roman" pitchFamily="18" charset="0"/>
            <a:cs typeface="Times New Roman" pitchFamily="18" charset="0"/>
          </a:endParaRPr>
        </a:p>
      </cdr:txBody>
    </cdr:sp>
  </cdr:relSizeAnchor>
  <cdr:relSizeAnchor xmlns:cdr="http://schemas.openxmlformats.org/drawingml/2006/chartDrawing">
    <cdr:from>
      <cdr:x>0.18606</cdr:x>
      <cdr:y>0.39574</cdr:y>
    </cdr:from>
    <cdr:to>
      <cdr:x>0.32844</cdr:x>
      <cdr:y>0.48446</cdr:y>
    </cdr:to>
    <cdr:sp macro="" textlink="">
      <cdr:nvSpPr>
        <cdr:cNvPr id="3" name="TextBox 1"/>
        <cdr:cNvSpPr txBox="1"/>
      </cdr:nvSpPr>
      <cdr:spPr>
        <a:xfrm xmlns:a="http://schemas.openxmlformats.org/drawingml/2006/main">
          <a:off x="1095587" y="929031"/>
          <a:ext cx="838384" cy="208286"/>
        </a:xfrm>
        <a:prstGeom xmlns:a="http://schemas.openxmlformats.org/drawingml/2006/main" prst="rect">
          <a:avLst/>
        </a:prstGeom>
        <a:solidFill xmlns:a="http://schemas.openxmlformats.org/drawingml/2006/main">
          <a:schemeClr val="tx2">
            <a:lumMod val="20000"/>
            <a:lumOff val="8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kk-KZ" sz="1000">
              <a:effectLst/>
              <a:latin typeface="Times New Roman" pitchFamily="18" charset="0"/>
              <a:ea typeface="+mn-ea"/>
              <a:cs typeface="Times New Roman" pitchFamily="18" charset="0"/>
            </a:rPr>
            <a:t>Төмендеу</a:t>
          </a:r>
          <a:endParaRPr lang="ru-RU" sz="1000" b="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0.05368</cdr:x>
      <cdr:y>0.56199</cdr:y>
    </cdr:from>
    <cdr:to>
      <cdr:x>0.18613</cdr:x>
      <cdr:y>0.62767</cdr:y>
    </cdr:to>
    <cdr:sp macro="" textlink="">
      <cdr:nvSpPr>
        <cdr:cNvPr id="3" name="TextBox 2"/>
        <cdr:cNvSpPr txBox="1"/>
      </cdr:nvSpPr>
      <cdr:spPr>
        <a:xfrm xmlns:a="http://schemas.openxmlformats.org/drawingml/2006/main">
          <a:off x="325966" y="1448858"/>
          <a:ext cx="804334" cy="169334"/>
        </a:xfrm>
        <a:prstGeom xmlns:a="http://schemas.openxmlformats.org/drawingml/2006/main" prst="rect">
          <a:avLst/>
        </a:prstGeom>
        <a:solidFill xmlns:a="http://schemas.openxmlformats.org/drawingml/2006/main">
          <a:schemeClr val="tx2">
            <a:lumMod val="20000"/>
            <a:lumOff val="80000"/>
          </a:schemeClr>
        </a:solidFill>
      </cdr:spPr>
      <cdr:txBody>
        <a:bodyPr xmlns:a="http://schemas.openxmlformats.org/drawingml/2006/main" vertOverflow="clip" wrap="square" rtlCol="0"/>
        <a:lstStyle xmlns:a="http://schemas.openxmlformats.org/drawingml/2006/main"/>
        <a:p xmlns:a="http://schemas.openxmlformats.org/drawingml/2006/main">
          <a:r>
            <a:rPr lang="kk-KZ" sz="800" b="0">
              <a:latin typeface="Times New Roman" pitchFamily="18" charset="0"/>
              <a:cs typeface="Times New Roman" pitchFamily="18" charset="0"/>
            </a:rPr>
            <a:t>Төмендеу</a:t>
          </a:r>
          <a:endParaRPr lang="ru-RU" sz="800" b="0">
            <a:latin typeface="Times New Roman" pitchFamily="18" charset="0"/>
            <a:cs typeface="Times New Roman" pitchFamily="18" charset="0"/>
          </a:endParaRPr>
        </a:p>
      </cdr:txBody>
    </cdr:sp>
  </cdr:relSizeAnchor>
  <cdr:relSizeAnchor xmlns:cdr="http://schemas.openxmlformats.org/drawingml/2006/chartDrawing">
    <cdr:from>
      <cdr:x>0.05368</cdr:x>
      <cdr:y>0.02791</cdr:y>
    </cdr:from>
    <cdr:to>
      <cdr:x>0.18613</cdr:x>
      <cdr:y>0.0936</cdr:y>
    </cdr:to>
    <cdr:sp macro="" textlink="">
      <cdr:nvSpPr>
        <cdr:cNvPr id="4" name="TextBox 1"/>
        <cdr:cNvSpPr txBox="1"/>
      </cdr:nvSpPr>
      <cdr:spPr>
        <a:xfrm xmlns:a="http://schemas.openxmlformats.org/drawingml/2006/main">
          <a:off x="325967" y="71966"/>
          <a:ext cx="804334" cy="169334"/>
        </a:xfrm>
        <a:prstGeom xmlns:a="http://schemas.openxmlformats.org/drawingml/2006/main" prst="rect">
          <a:avLst/>
        </a:prstGeom>
        <a:solidFill xmlns:a="http://schemas.openxmlformats.org/drawingml/2006/main">
          <a:schemeClr val="tx2">
            <a:lumMod val="20000"/>
            <a:lumOff val="8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kk-KZ" sz="800" b="0">
              <a:latin typeface="Times New Roman" pitchFamily="18" charset="0"/>
              <a:cs typeface="Times New Roman" pitchFamily="18" charset="0"/>
            </a:rPr>
            <a:t>Ұлғаюуы</a:t>
          </a:r>
          <a:endParaRPr lang="ru-RU" sz="800" b="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0.06083</cdr:x>
      <cdr:y>0.63128</cdr:y>
    </cdr:from>
    <cdr:to>
      <cdr:x>0.18645</cdr:x>
      <cdr:y>0.69301</cdr:y>
    </cdr:to>
    <cdr:sp macro="" textlink="">
      <cdr:nvSpPr>
        <cdr:cNvPr id="2" name="TextBox 1"/>
        <cdr:cNvSpPr txBox="1"/>
      </cdr:nvSpPr>
      <cdr:spPr>
        <a:xfrm xmlns:a="http://schemas.openxmlformats.org/drawingml/2006/main">
          <a:off x="389425" y="1733734"/>
          <a:ext cx="804201" cy="169534"/>
        </a:xfrm>
        <a:prstGeom xmlns:a="http://schemas.openxmlformats.org/drawingml/2006/main" prst="rect">
          <a:avLst/>
        </a:prstGeom>
        <a:solidFill xmlns:a="http://schemas.openxmlformats.org/drawingml/2006/main">
          <a:schemeClr val="tx2">
            <a:lumMod val="20000"/>
            <a:lumOff val="8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800" b="0">
              <a:latin typeface="Times New Roman" pitchFamily="18" charset="0"/>
              <a:cs typeface="Times New Roman" pitchFamily="18" charset="0"/>
            </a:rPr>
            <a:t>Увеличение</a:t>
          </a:r>
        </a:p>
      </cdr:txBody>
    </cdr:sp>
  </cdr:relSizeAnchor>
  <cdr:relSizeAnchor xmlns:cdr="http://schemas.openxmlformats.org/drawingml/2006/chartDrawing">
    <cdr:from>
      <cdr:x>0.06248</cdr:x>
      <cdr:y>0.11541</cdr:y>
    </cdr:from>
    <cdr:to>
      <cdr:x>0.1881</cdr:x>
      <cdr:y>0.17713</cdr:y>
    </cdr:to>
    <cdr:sp macro="" textlink="">
      <cdr:nvSpPr>
        <cdr:cNvPr id="3" name="TextBox 1"/>
        <cdr:cNvSpPr txBox="1"/>
      </cdr:nvSpPr>
      <cdr:spPr>
        <a:xfrm xmlns:a="http://schemas.openxmlformats.org/drawingml/2006/main">
          <a:off x="400005" y="316961"/>
          <a:ext cx="804201" cy="169506"/>
        </a:xfrm>
        <a:prstGeom xmlns:a="http://schemas.openxmlformats.org/drawingml/2006/main" prst="rect">
          <a:avLst/>
        </a:prstGeom>
        <a:solidFill xmlns:a="http://schemas.openxmlformats.org/drawingml/2006/main">
          <a:schemeClr val="tx2">
            <a:lumMod val="20000"/>
            <a:lumOff val="80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800" b="0">
              <a:latin typeface="Times New Roman" pitchFamily="18" charset="0"/>
              <a:cs typeface="Times New Roman" pitchFamily="18" charset="0"/>
            </a:rPr>
            <a:t>Снижение</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26C2-F642-4C10-B829-BE23A8C3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8</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Омарбеков Арман</dc:creator>
  <cp:lastModifiedBy>Омарбеков Арман Ертысович</cp:lastModifiedBy>
  <cp:revision>139</cp:revision>
  <cp:lastPrinted>2015-11-03T09:59:00Z</cp:lastPrinted>
  <dcterms:created xsi:type="dcterms:W3CDTF">2015-11-21T13:32:00Z</dcterms:created>
  <dcterms:modified xsi:type="dcterms:W3CDTF">2015-12-02T10:11:00Z</dcterms:modified>
</cp:coreProperties>
</file>