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EA" w:rsidRPr="003669AA" w:rsidRDefault="00CD495D" w:rsidP="00E12E54">
      <w:pPr>
        <w:pStyle w:val="af2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3669AA">
        <w:rPr>
          <w:rFonts w:ascii="Times New Roman" w:hAnsi="Times New Roman"/>
          <w:sz w:val="28"/>
          <w:szCs w:val="28"/>
        </w:rPr>
        <w:t xml:space="preserve">Обследование банков второго уровня «Состояние и прогноз параметров кредитного рынка», </w:t>
      </w:r>
      <w:r w:rsidR="00C86ABE" w:rsidRPr="003669AA">
        <w:rPr>
          <w:rFonts w:ascii="Times New Roman" w:hAnsi="Times New Roman"/>
          <w:sz w:val="28"/>
          <w:szCs w:val="28"/>
          <w:lang w:val="ru-RU"/>
        </w:rPr>
        <w:t xml:space="preserve">апрель </w:t>
      </w:r>
      <w:r w:rsidRPr="003669AA">
        <w:rPr>
          <w:rFonts w:ascii="Times New Roman" w:hAnsi="Times New Roman"/>
          <w:sz w:val="28"/>
          <w:szCs w:val="28"/>
        </w:rPr>
        <w:t>201</w:t>
      </w:r>
      <w:r w:rsidR="00261CEF" w:rsidRPr="003669AA">
        <w:rPr>
          <w:rFonts w:ascii="Times New Roman" w:hAnsi="Times New Roman"/>
          <w:sz w:val="28"/>
          <w:szCs w:val="28"/>
          <w:lang w:val="ru-RU"/>
        </w:rPr>
        <w:t>4</w:t>
      </w:r>
      <w:r w:rsidRPr="003669AA">
        <w:rPr>
          <w:rFonts w:ascii="Times New Roman" w:hAnsi="Times New Roman"/>
          <w:sz w:val="28"/>
          <w:szCs w:val="28"/>
        </w:rPr>
        <w:t xml:space="preserve"> года</w:t>
      </w:r>
    </w:p>
    <w:p w:rsidR="00D951C1" w:rsidRDefault="00D951C1" w:rsidP="00DC5234">
      <w:pPr>
        <w:ind w:firstLine="709"/>
        <w:jc w:val="both"/>
      </w:pPr>
    </w:p>
    <w:p w:rsidR="00CE63EA" w:rsidRDefault="00CE63EA" w:rsidP="00DC5234">
      <w:pPr>
        <w:ind w:firstLine="709"/>
        <w:jc w:val="both"/>
      </w:pPr>
    </w:p>
    <w:p w:rsidR="00D6090D" w:rsidRDefault="00654AEE" w:rsidP="007D3E30">
      <w:pPr>
        <w:ind w:firstLine="709"/>
        <w:jc w:val="both"/>
      </w:pPr>
      <w:r>
        <w:t xml:space="preserve">Несмотря на увеличение желания банков кредитовать нефинансовый сектор в </w:t>
      </w:r>
      <w:r w:rsidRPr="003669AA">
        <w:t>1</w:t>
      </w:r>
      <w:r>
        <w:t xml:space="preserve">-м </w:t>
      </w:r>
      <w:r w:rsidRPr="003669AA">
        <w:t>квартал</w:t>
      </w:r>
      <w:r>
        <w:t>е</w:t>
      </w:r>
      <w:r w:rsidRPr="003669AA">
        <w:t xml:space="preserve"> 2014 года</w:t>
      </w:r>
      <w:r>
        <w:t>,</w:t>
      </w:r>
      <w:r>
        <w:rPr>
          <w:color w:val="000000"/>
        </w:rPr>
        <w:t xml:space="preserve"> </w:t>
      </w:r>
      <w:r w:rsidR="00D951C1">
        <w:t>заметного повышения доступност</w:t>
      </w:r>
      <w:r w:rsidR="002A3AAC">
        <w:t>и</w:t>
      </w:r>
      <w:r w:rsidR="00D951C1">
        <w:t xml:space="preserve"> кредитов</w:t>
      </w:r>
      <w:r w:rsidR="00906ACF">
        <w:t xml:space="preserve"> и заметного роста спроса</w:t>
      </w:r>
      <w:r w:rsidR="00D951C1">
        <w:t xml:space="preserve"> </w:t>
      </w:r>
      <w:r w:rsidR="00906ACF">
        <w:t>со стороны</w:t>
      </w:r>
      <w:r w:rsidR="00D951C1">
        <w:t xml:space="preserve"> нефинансового сектора не </w:t>
      </w:r>
      <w:r w:rsidR="002F5939">
        <w:t>произошло</w:t>
      </w:r>
      <w:r w:rsidR="00906ACF">
        <w:t>.</w:t>
      </w:r>
      <w:r w:rsidR="007D3E30">
        <w:t xml:space="preserve"> </w:t>
      </w:r>
      <w:r w:rsidR="00335E43">
        <w:t>Устойчивый</w:t>
      </w:r>
      <w:r w:rsidR="00772A54">
        <w:t xml:space="preserve"> спрос в розничном сегменте кредитования заметно с</w:t>
      </w:r>
      <w:r w:rsidR="00335E43">
        <w:t xml:space="preserve">низился, </w:t>
      </w:r>
      <w:r w:rsidR="00772A54">
        <w:t>чему способствовал</w:t>
      </w:r>
      <w:r w:rsidR="00335E43">
        <w:t>о</w:t>
      </w:r>
      <w:r w:rsidR="00772A54">
        <w:t xml:space="preserve"> </w:t>
      </w:r>
      <w:r w:rsidR="00335E43">
        <w:t xml:space="preserve">ужесточение </w:t>
      </w:r>
      <w:r w:rsidR="00772A54">
        <w:t>кредитн</w:t>
      </w:r>
      <w:r w:rsidR="00335E43">
        <w:t>ой</w:t>
      </w:r>
      <w:r w:rsidR="00772A54">
        <w:t xml:space="preserve"> политик</w:t>
      </w:r>
      <w:r w:rsidR="00335E43">
        <w:t>и банками</w:t>
      </w:r>
      <w:r w:rsidR="00772A54">
        <w:t xml:space="preserve">, в особенности в потребительском сегменте кредитования </w:t>
      </w:r>
      <w:r w:rsidR="00335E43">
        <w:t xml:space="preserve">в ожидании </w:t>
      </w:r>
      <w:r w:rsidR="00772A54">
        <w:t>ограничительных мер со стороны регулирующего</w:t>
      </w:r>
      <w:r w:rsidR="00EE3137">
        <w:t xml:space="preserve"> органа</w:t>
      </w:r>
      <w:r w:rsidR="00772A54">
        <w:t xml:space="preserve">. </w:t>
      </w:r>
    </w:p>
    <w:p w:rsidR="00B2217E" w:rsidRPr="003669AA" w:rsidRDefault="00B2217E" w:rsidP="00B2217E">
      <w:pPr>
        <w:ind w:firstLine="709"/>
        <w:jc w:val="both"/>
      </w:pPr>
      <w:r w:rsidRPr="003669AA">
        <w:t>Дефицит тенговой ликвидности, ограниченный доступ к долгосрочному фондированию, а также высокий уровень неработающих займов в ссудном портфеле банков</w:t>
      </w:r>
      <w:r w:rsidR="00335E43">
        <w:t xml:space="preserve">, </w:t>
      </w:r>
      <w:r w:rsidR="00781685">
        <w:t>по мнению банков,</w:t>
      </w:r>
      <w:r w:rsidRPr="003669AA">
        <w:t xml:space="preserve"> являются основными факторами, которые продолжают сдерживать активный рост кредитования.  </w:t>
      </w:r>
    </w:p>
    <w:p w:rsidR="00B2217E" w:rsidRDefault="00B2217E" w:rsidP="000F317C">
      <w:pPr>
        <w:ind w:firstLine="708"/>
        <w:jc w:val="both"/>
        <w:rPr>
          <w:b/>
        </w:rPr>
      </w:pPr>
    </w:p>
    <w:p w:rsidR="00BF6E59" w:rsidRPr="003669AA" w:rsidRDefault="00BF6E59" w:rsidP="000F317C">
      <w:pPr>
        <w:ind w:firstLine="708"/>
        <w:jc w:val="both"/>
        <w:rPr>
          <w:b/>
        </w:rPr>
      </w:pPr>
      <w:r w:rsidRPr="003669AA">
        <w:rPr>
          <w:b/>
        </w:rPr>
        <w:t>Рынок кредитования корпоративного сектора</w:t>
      </w:r>
    </w:p>
    <w:p w:rsidR="00D20687" w:rsidRPr="003669AA" w:rsidRDefault="00D20687" w:rsidP="00DC5234">
      <w:pPr>
        <w:ind w:firstLine="709"/>
        <w:jc w:val="both"/>
      </w:pPr>
    </w:p>
    <w:p w:rsidR="00157C4F" w:rsidRPr="003669AA" w:rsidRDefault="0007746C" w:rsidP="00787F34">
      <w:pPr>
        <w:ind w:firstLine="708"/>
        <w:jc w:val="both"/>
        <w:rPr>
          <w:b/>
        </w:rPr>
      </w:pPr>
      <w:r w:rsidRPr="003669AA">
        <w:rPr>
          <w:b/>
        </w:rPr>
        <w:t xml:space="preserve">Несмотря на </w:t>
      </w:r>
      <w:r w:rsidR="000949D3">
        <w:rPr>
          <w:b/>
        </w:rPr>
        <w:t xml:space="preserve">более заметный </w:t>
      </w:r>
      <w:r w:rsidRPr="003669AA">
        <w:rPr>
          <w:b/>
        </w:rPr>
        <w:t>рост желания банков</w:t>
      </w:r>
      <w:r w:rsidR="000949D3">
        <w:rPr>
          <w:b/>
        </w:rPr>
        <w:t xml:space="preserve"> </w:t>
      </w:r>
      <w:r w:rsidRPr="003669AA">
        <w:rPr>
          <w:b/>
        </w:rPr>
        <w:t xml:space="preserve">кредитовать сектор нефинансовых </w:t>
      </w:r>
      <w:r w:rsidR="00BA59D0" w:rsidRPr="003669AA">
        <w:rPr>
          <w:b/>
        </w:rPr>
        <w:t>организаций</w:t>
      </w:r>
      <w:r w:rsidR="000949D3">
        <w:rPr>
          <w:b/>
        </w:rPr>
        <w:t xml:space="preserve"> по сравнению с предыдущим периодом,</w:t>
      </w:r>
      <w:r w:rsidRPr="003669AA">
        <w:rPr>
          <w:b/>
        </w:rPr>
        <w:t xml:space="preserve"> тенденция замедления роста спроса на кредиты</w:t>
      </w:r>
      <w:r w:rsidR="00815CCF">
        <w:rPr>
          <w:b/>
        </w:rPr>
        <w:t xml:space="preserve"> продолжилась</w:t>
      </w:r>
      <w:r w:rsidRPr="003669AA">
        <w:rPr>
          <w:b/>
        </w:rPr>
        <w:t>.</w:t>
      </w:r>
    </w:p>
    <w:p w:rsidR="00DC5234" w:rsidRPr="003669AA" w:rsidRDefault="00DC5234" w:rsidP="00DC5234">
      <w:pPr>
        <w:ind w:firstLine="709"/>
        <w:jc w:val="both"/>
      </w:pPr>
    </w:p>
    <w:tbl>
      <w:tblPr>
        <w:tblpPr w:leftFromText="180" w:rightFromText="180" w:vertAnchor="text" w:horzAnchor="margin" w:tblpX="108" w:tblpY="34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804EE" w:rsidRPr="00DC4625" w:rsidTr="00207706">
        <w:tc>
          <w:tcPr>
            <w:tcW w:w="9639" w:type="dxa"/>
            <w:shd w:val="clear" w:color="auto" w:fill="auto"/>
          </w:tcPr>
          <w:p w:rsidR="009804EE" w:rsidRPr="00DC4625" w:rsidRDefault="009804EE" w:rsidP="00986B6D">
            <w:pPr>
              <w:jc w:val="center"/>
              <w:rPr>
                <w:sz w:val="20"/>
                <w:szCs w:val="20"/>
              </w:rPr>
            </w:pPr>
            <w:r w:rsidRPr="00DC4625">
              <w:rPr>
                <w:b/>
                <w:sz w:val="20"/>
                <w:szCs w:val="20"/>
              </w:rPr>
              <w:t xml:space="preserve">Диаграмма </w:t>
            </w:r>
            <w:r w:rsidR="00986B6D" w:rsidRPr="00DC4625">
              <w:rPr>
                <w:b/>
                <w:sz w:val="20"/>
                <w:szCs w:val="20"/>
              </w:rPr>
              <w:t>1</w:t>
            </w:r>
            <w:r w:rsidRPr="00DC4625">
              <w:rPr>
                <w:b/>
                <w:sz w:val="20"/>
                <w:szCs w:val="20"/>
              </w:rPr>
              <w:t>. Изменение кредитной политики в разрезе субъектов кредитования</w:t>
            </w:r>
          </w:p>
        </w:tc>
      </w:tr>
      <w:tr w:rsidR="009804EE" w:rsidRPr="00DC4625" w:rsidTr="00207706">
        <w:trPr>
          <w:trHeight w:val="3167"/>
        </w:trPr>
        <w:tc>
          <w:tcPr>
            <w:tcW w:w="9639" w:type="dxa"/>
            <w:shd w:val="clear" w:color="auto" w:fill="auto"/>
          </w:tcPr>
          <w:p w:rsidR="009804EE" w:rsidRPr="00DC4625" w:rsidRDefault="005A3793" w:rsidP="001A61C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29A7289" wp14:editId="0A28C0AC">
                  <wp:extent cx="6019800" cy="2482850"/>
                  <wp:effectExtent l="0" t="0" r="0" b="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9804EE" w:rsidRPr="00DC4625" w:rsidTr="00207706">
        <w:trPr>
          <w:trHeight w:val="66"/>
        </w:trPr>
        <w:tc>
          <w:tcPr>
            <w:tcW w:w="9639" w:type="dxa"/>
            <w:shd w:val="clear" w:color="auto" w:fill="auto"/>
          </w:tcPr>
          <w:p w:rsidR="009804EE" w:rsidRPr="00DC4625" w:rsidRDefault="009804EE" w:rsidP="00C86ABE">
            <w:pPr>
              <w:jc w:val="both"/>
              <w:rPr>
                <w:i/>
                <w:color w:val="000000"/>
                <w:sz w:val="16"/>
                <w:szCs w:val="16"/>
                <w:lang w:val="en-US"/>
              </w:rPr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6A276B" w:rsidRPr="003669AA" w:rsidRDefault="006A276B" w:rsidP="00D44DE2">
      <w:pPr>
        <w:ind w:firstLine="708"/>
        <w:jc w:val="both"/>
      </w:pPr>
    </w:p>
    <w:p w:rsidR="00EA7175" w:rsidRPr="003669AA" w:rsidRDefault="00FF1F52" w:rsidP="00FF1F52">
      <w:pPr>
        <w:ind w:firstLine="709"/>
        <w:jc w:val="both"/>
      </w:pPr>
      <w:proofErr w:type="gramStart"/>
      <w:r w:rsidRPr="003669AA">
        <w:t xml:space="preserve">В целом </w:t>
      </w:r>
      <w:r w:rsidR="0099793B">
        <w:t>в</w:t>
      </w:r>
      <w:r w:rsidRPr="003669AA">
        <w:t xml:space="preserve"> 1</w:t>
      </w:r>
      <w:r w:rsidR="0017230F">
        <w:t>-м</w:t>
      </w:r>
      <w:r w:rsidRPr="003669AA">
        <w:t xml:space="preserve"> квартал</w:t>
      </w:r>
      <w:r w:rsidR="0099793B">
        <w:t>е</w:t>
      </w:r>
      <w:r w:rsidRPr="003669AA">
        <w:t xml:space="preserve"> 2014 года кредитная политика большинства банков оста</w:t>
      </w:r>
      <w:r w:rsidR="0099793B">
        <w:t>лась без изменений за исключением отдельных банков, которые незначительно ужесточили кредитную политику</w:t>
      </w:r>
      <w:r w:rsidRPr="003669AA">
        <w:t xml:space="preserve"> </w:t>
      </w:r>
      <w:r w:rsidR="0099793B">
        <w:t xml:space="preserve">в </w:t>
      </w:r>
      <w:r w:rsidRPr="003669AA">
        <w:t xml:space="preserve">отношении </w:t>
      </w:r>
      <w:r w:rsidR="0099793B">
        <w:t xml:space="preserve">малого и среднего </w:t>
      </w:r>
      <w:r w:rsidRPr="003669AA">
        <w:t>бизнеса (диаграмма 1)</w:t>
      </w:r>
      <w:r w:rsidRPr="003669AA">
        <w:rPr>
          <w:rStyle w:val="a5"/>
        </w:rPr>
        <w:footnoteReference w:id="1"/>
      </w:r>
      <w:r w:rsidRPr="003669AA">
        <w:t>. Факторами, повлиявшими на данное ужесточение</w:t>
      </w:r>
      <w:r w:rsidR="0017230F">
        <w:t>,</w:t>
      </w:r>
      <w:r w:rsidRPr="003669AA">
        <w:t xml:space="preserve"> являются издержки по поддержанию достаточности капитала, доступность и стоимость финансирования на внутренних рынках капитала, ожидание изменени</w:t>
      </w:r>
      <w:r w:rsidR="00837092">
        <w:t>я</w:t>
      </w:r>
      <w:r w:rsidRPr="003669AA">
        <w:t xml:space="preserve"> ф</w:t>
      </w:r>
      <w:r w:rsidR="000C7639">
        <w:t>инансового положения заемщиков.</w:t>
      </w:r>
      <w:proofErr w:type="gramEnd"/>
    </w:p>
    <w:p w:rsidR="00643647" w:rsidRDefault="00FF1F52" w:rsidP="00643647">
      <w:pPr>
        <w:ind w:firstLine="709"/>
        <w:jc w:val="both"/>
      </w:pPr>
      <w:r w:rsidRPr="003669AA">
        <w:t xml:space="preserve">В связи с этим большинство опрошенных банков при одобрении </w:t>
      </w:r>
      <w:r w:rsidRPr="00EB0E56">
        <w:t xml:space="preserve">кредита </w:t>
      </w:r>
      <w:r w:rsidR="00EB0E56" w:rsidRPr="00EB0E56">
        <w:t>продолжали</w:t>
      </w:r>
      <w:r w:rsidRPr="00EB0E56">
        <w:t xml:space="preserve"> уделять особое внимание показателям финансовой устойчивости заемщика, а также</w:t>
      </w:r>
      <w:r w:rsidRPr="003669AA">
        <w:t xml:space="preserve"> наличию у потенциального заемщика положительной кредитной истории.</w:t>
      </w:r>
    </w:p>
    <w:p w:rsidR="002F465B" w:rsidRDefault="002F465B" w:rsidP="00643647">
      <w:pPr>
        <w:ind w:firstLine="709"/>
        <w:jc w:val="both"/>
      </w:pPr>
    </w:p>
    <w:p w:rsidR="005A3793" w:rsidRDefault="005A3793" w:rsidP="00643647">
      <w:pPr>
        <w:ind w:firstLine="709"/>
        <w:jc w:val="both"/>
      </w:pPr>
    </w:p>
    <w:p w:rsidR="005A3793" w:rsidRPr="003669AA" w:rsidRDefault="005A3793" w:rsidP="00643647">
      <w:pPr>
        <w:ind w:firstLine="709"/>
        <w:jc w:val="both"/>
      </w:pPr>
    </w:p>
    <w:tbl>
      <w:tblPr>
        <w:tblpPr w:leftFromText="180" w:rightFromText="180" w:vertAnchor="text" w:horzAnchor="margin" w:tblpX="108" w:tblpY="8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DC5234" w:rsidRPr="003669AA" w:rsidTr="00207706">
        <w:trPr>
          <w:trHeight w:val="70"/>
        </w:trPr>
        <w:tc>
          <w:tcPr>
            <w:tcW w:w="9606" w:type="dxa"/>
            <w:shd w:val="clear" w:color="auto" w:fill="auto"/>
            <w:vAlign w:val="center"/>
          </w:tcPr>
          <w:p w:rsidR="00DC5234" w:rsidRPr="003669AA" w:rsidRDefault="00DC5234" w:rsidP="00986B6D">
            <w:pPr>
              <w:jc w:val="center"/>
              <w:rPr>
                <w:b/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lastRenderedPageBreak/>
              <w:t xml:space="preserve">Диаграмма </w:t>
            </w:r>
            <w:r w:rsidR="00986B6D" w:rsidRPr="003669AA">
              <w:rPr>
                <w:b/>
                <w:sz w:val="20"/>
                <w:szCs w:val="20"/>
              </w:rPr>
              <w:t>2</w:t>
            </w:r>
            <w:r w:rsidRPr="003669AA">
              <w:rPr>
                <w:b/>
                <w:sz w:val="20"/>
                <w:szCs w:val="20"/>
              </w:rPr>
              <w:t>. Изменение спроса и предложения на кредитные ресурсы, % респондентов (корпоративный сектор)</w:t>
            </w:r>
          </w:p>
        </w:tc>
      </w:tr>
      <w:tr w:rsidR="00DC5234" w:rsidRPr="003669AA" w:rsidTr="00207706">
        <w:trPr>
          <w:trHeight w:val="3198"/>
        </w:trPr>
        <w:tc>
          <w:tcPr>
            <w:tcW w:w="9606" w:type="dxa"/>
            <w:shd w:val="clear" w:color="auto" w:fill="auto"/>
            <w:vAlign w:val="center"/>
          </w:tcPr>
          <w:p w:rsidR="00DC5234" w:rsidRPr="005A3793" w:rsidRDefault="008012B1" w:rsidP="00B37C7A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12D6681" wp14:editId="05C242ED">
                  <wp:extent cx="5991148" cy="2150669"/>
                  <wp:effectExtent l="0" t="0" r="0" b="254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C5234" w:rsidRPr="003669AA" w:rsidTr="00207706">
        <w:trPr>
          <w:trHeight w:val="263"/>
        </w:trPr>
        <w:tc>
          <w:tcPr>
            <w:tcW w:w="9606" w:type="dxa"/>
            <w:shd w:val="clear" w:color="auto" w:fill="auto"/>
            <w:vAlign w:val="center"/>
          </w:tcPr>
          <w:p w:rsidR="00DC5234" w:rsidRPr="003669AA" w:rsidRDefault="00DC5234" w:rsidP="00B37C7A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 xml:space="preserve"> Источник: НБРК</w:t>
            </w:r>
          </w:p>
        </w:tc>
      </w:tr>
      <w:tr w:rsidR="005A3793" w:rsidRPr="003669AA" w:rsidTr="00207706">
        <w:trPr>
          <w:trHeight w:val="263"/>
        </w:trPr>
        <w:tc>
          <w:tcPr>
            <w:tcW w:w="9606" w:type="dxa"/>
            <w:shd w:val="clear" w:color="auto" w:fill="auto"/>
            <w:vAlign w:val="center"/>
          </w:tcPr>
          <w:p w:rsidR="005A3793" w:rsidRPr="005A3793" w:rsidRDefault="005A3793" w:rsidP="00B37C7A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5A3793">
              <w:rPr>
                <w:i/>
                <w:color w:val="000000"/>
                <w:sz w:val="18"/>
                <w:szCs w:val="18"/>
              </w:rPr>
              <w:t xml:space="preserve">Примечание: </w:t>
            </w:r>
            <w:r>
              <w:rPr>
                <w:i/>
                <w:color w:val="000000"/>
                <w:sz w:val="18"/>
                <w:szCs w:val="18"/>
              </w:rPr>
              <w:t>*</w:t>
            </w:r>
            <w:r w:rsidRPr="005A3793">
              <w:rPr>
                <w:i/>
                <w:color w:val="000000"/>
                <w:sz w:val="18"/>
                <w:szCs w:val="18"/>
              </w:rPr>
              <w:t>Доступность кредитных ресурсов рассчитана как доля предприятий, обратившихся за кредитом, но не получивших их, %</w:t>
            </w:r>
          </w:p>
        </w:tc>
      </w:tr>
    </w:tbl>
    <w:p w:rsidR="004B01B4" w:rsidRPr="003669AA" w:rsidRDefault="004B01B4" w:rsidP="00B3708D">
      <w:pPr>
        <w:ind w:firstLine="708"/>
        <w:jc w:val="both"/>
      </w:pPr>
    </w:p>
    <w:p w:rsidR="00207706" w:rsidRPr="003669AA" w:rsidRDefault="00643647" w:rsidP="000154EE">
      <w:pPr>
        <w:ind w:firstLine="709"/>
        <w:jc w:val="both"/>
      </w:pPr>
      <w:r w:rsidRPr="003669AA">
        <w:t>В 1</w:t>
      </w:r>
      <w:r w:rsidR="0017230F">
        <w:t>-м</w:t>
      </w:r>
      <w:r w:rsidRPr="003669AA">
        <w:t xml:space="preserve"> квартале 2014 года по сравнению с </w:t>
      </w:r>
      <w:r w:rsidR="0017230F">
        <w:t>предыдущим</w:t>
      </w:r>
      <w:r w:rsidRPr="003669AA">
        <w:t xml:space="preserve"> периодом рост предложения кредитных ресурсов со стороны банков увеличился, в частности в отношении субъектов крупного и среднего бизнеса</w:t>
      </w:r>
      <w:r w:rsidR="0087352C">
        <w:t xml:space="preserve"> (диаграмма 2)</w:t>
      </w:r>
      <w:r w:rsidR="00D16B4C">
        <w:t xml:space="preserve">. </w:t>
      </w:r>
      <w:r w:rsidR="00D16B4C" w:rsidRPr="00820E8A">
        <w:t>П</w:t>
      </w:r>
      <w:r w:rsidR="00B37C7A" w:rsidRPr="00820E8A">
        <w:t xml:space="preserve">ри этом </w:t>
      </w:r>
      <w:r w:rsidR="00C9363F" w:rsidRPr="00820E8A">
        <w:t>по результатам мониторинга предприятий</w:t>
      </w:r>
      <w:r w:rsidR="00BE5528" w:rsidRPr="00820E8A">
        <w:t>,</w:t>
      </w:r>
      <w:r w:rsidR="00C9363F" w:rsidRPr="00820E8A">
        <w:t xml:space="preserve"> проводимым Национальным Банком д</w:t>
      </w:r>
      <w:r w:rsidRPr="00820E8A">
        <w:t>оступность кредитны</w:t>
      </w:r>
      <w:r w:rsidR="00BE5528" w:rsidRPr="00820E8A">
        <w:t>х</w:t>
      </w:r>
      <w:r w:rsidRPr="00820E8A">
        <w:t xml:space="preserve"> ресурс</w:t>
      </w:r>
      <w:r w:rsidR="00BE5528" w:rsidRPr="00820E8A">
        <w:t>ов</w:t>
      </w:r>
      <w:r w:rsidR="00C9363F" w:rsidRPr="00820E8A">
        <w:t>,</w:t>
      </w:r>
      <w:r w:rsidRPr="00820E8A">
        <w:t xml:space="preserve"> в особенности для субъектов среднего и малого бизнеса</w:t>
      </w:r>
      <w:r w:rsidR="00C9363F" w:rsidRPr="00820E8A">
        <w:t>,</w:t>
      </w:r>
      <w:r w:rsidRPr="00820E8A">
        <w:t xml:space="preserve"> незначительно </w:t>
      </w:r>
      <w:r w:rsidR="00982668" w:rsidRPr="00820E8A">
        <w:t>ухудшилось</w:t>
      </w:r>
      <w:r w:rsidR="00C9363F" w:rsidRPr="00820E8A">
        <w:t>.</w:t>
      </w:r>
      <w:r w:rsidR="00820E8A">
        <w:t xml:space="preserve"> На этом фоне наблюдается существенное замедление роста спроса со стороны заемщиков на кредитные ресурсы. </w:t>
      </w:r>
    </w:p>
    <w:tbl>
      <w:tblPr>
        <w:tblStyle w:val="af"/>
        <w:tblpPr w:leftFromText="180" w:rightFromText="180" w:vertAnchor="text" w:tblpX="10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FF1F52" w:rsidRPr="003669AA" w:rsidTr="009E38B9">
        <w:tc>
          <w:tcPr>
            <w:tcW w:w="4928" w:type="dxa"/>
          </w:tcPr>
          <w:p w:rsidR="00FF1F52" w:rsidRPr="003669AA" w:rsidRDefault="00FF1F52" w:rsidP="00B37C7A">
            <w:pPr>
              <w:jc w:val="center"/>
            </w:pPr>
            <w:r w:rsidRPr="003669AA">
              <w:rPr>
                <w:b/>
                <w:sz w:val="20"/>
                <w:szCs w:val="20"/>
              </w:rPr>
              <w:t>Диаграмма 3. Изменение финансирования по объектам и целям кредитования</w:t>
            </w:r>
          </w:p>
        </w:tc>
      </w:tr>
      <w:tr w:rsidR="00FF1F52" w:rsidRPr="003669AA" w:rsidTr="009E38B9">
        <w:tc>
          <w:tcPr>
            <w:tcW w:w="4928" w:type="dxa"/>
          </w:tcPr>
          <w:p w:rsidR="00FF1F52" w:rsidRPr="003669AA" w:rsidRDefault="00434C15" w:rsidP="00B37C7A">
            <w:pPr>
              <w:keepLines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46AEC889" wp14:editId="3A5001F7">
                  <wp:extent cx="3043123" cy="2114093"/>
                  <wp:effectExtent l="0" t="0" r="5080" b="635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FF1F52" w:rsidRPr="003669AA" w:rsidTr="009E38B9">
        <w:tc>
          <w:tcPr>
            <w:tcW w:w="4928" w:type="dxa"/>
          </w:tcPr>
          <w:p w:rsidR="00FF1F52" w:rsidRPr="003669AA" w:rsidRDefault="00FF1F52" w:rsidP="00B37C7A">
            <w:r w:rsidRPr="003669AA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A468C9" w:rsidRDefault="00F42B5A" w:rsidP="00772BF8">
      <w:pPr>
        <w:ind w:firstLine="708"/>
        <w:jc w:val="both"/>
      </w:pPr>
      <w:r w:rsidRPr="003669AA">
        <w:t xml:space="preserve">Спрос на финансирование оборотных </w:t>
      </w:r>
      <w:r w:rsidRPr="00F42B5A">
        <w:t xml:space="preserve">средств остается более высоким, чем на приобретение основных средств (диаграмма 3), </w:t>
      </w:r>
      <w:r w:rsidR="00A468C9">
        <w:t xml:space="preserve">что </w:t>
      </w:r>
      <w:r w:rsidRPr="00F42B5A">
        <w:t>также подтверждается результатами мониторинга предприятий</w:t>
      </w:r>
      <w:r>
        <w:t xml:space="preserve">, </w:t>
      </w:r>
      <w:r w:rsidRPr="00820E8A">
        <w:t>проводим</w:t>
      </w:r>
      <w:r>
        <w:t>ого</w:t>
      </w:r>
      <w:r w:rsidRPr="00820E8A">
        <w:t xml:space="preserve"> Национальным Банком</w:t>
      </w:r>
      <w:r w:rsidRPr="00F42B5A">
        <w:t>.</w:t>
      </w:r>
      <w:r>
        <w:t xml:space="preserve"> В 1-м квартале 2014 года доля предприятий использующих кредиты банков на пополнение оборотных средств составила 16,9%,  на финансирование инвестиций - 5,6%. Данная тенденция объясняется тем, что у</w:t>
      </w:r>
      <w:r w:rsidR="000154EE">
        <w:t xml:space="preserve">словия </w:t>
      </w:r>
      <w:r>
        <w:t xml:space="preserve">кредитования на пополнение </w:t>
      </w:r>
      <w:r w:rsidR="000154EE">
        <w:t>оборотны</w:t>
      </w:r>
      <w:r w:rsidR="005B7903">
        <w:t>х</w:t>
      </w:r>
      <w:r w:rsidR="000154EE">
        <w:t xml:space="preserve"> средств</w:t>
      </w:r>
      <w:r>
        <w:t xml:space="preserve"> являются </w:t>
      </w:r>
      <w:r w:rsidR="005B7903">
        <w:t xml:space="preserve">наиболее </w:t>
      </w:r>
      <w:r w:rsidR="000154EE">
        <w:t xml:space="preserve">привлекательные </w:t>
      </w:r>
      <w:r w:rsidR="00485CB7">
        <w:t xml:space="preserve">по стоимости кредитования </w:t>
      </w:r>
      <w:r w:rsidR="000154EE">
        <w:t xml:space="preserve">по сравнению </w:t>
      </w:r>
      <w:r w:rsidR="005B7903">
        <w:t>с</w:t>
      </w:r>
      <w:r w:rsidR="000154EE">
        <w:t xml:space="preserve"> кредит</w:t>
      </w:r>
      <w:r w:rsidR="00485CB7">
        <w:t>ам</w:t>
      </w:r>
      <w:r w:rsidR="005B7903">
        <w:t>и</w:t>
      </w:r>
      <w:r w:rsidR="000154EE">
        <w:t xml:space="preserve"> на основные средства</w:t>
      </w:r>
      <w:r w:rsidR="00A468C9">
        <w:t>, а также о</w:t>
      </w:r>
      <w:r w:rsidR="00A468C9" w:rsidRPr="003669AA">
        <w:t>граниченность</w:t>
      </w:r>
      <w:r w:rsidR="00A468C9">
        <w:t>ю</w:t>
      </w:r>
      <w:r w:rsidR="00A468C9" w:rsidRPr="003669AA">
        <w:t xml:space="preserve"> банков в источниках долгосрочного фондирования</w:t>
      </w:r>
      <w:r w:rsidR="00A468C9">
        <w:t>.</w:t>
      </w:r>
    </w:p>
    <w:p w:rsidR="002236DD" w:rsidRDefault="00F42B5A" w:rsidP="00772BF8">
      <w:pPr>
        <w:ind w:firstLine="708"/>
        <w:jc w:val="both"/>
      </w:pPr>
      <w:r>
        <w:t xml:space="preserve"> </w:t>
      </w:r>
      <w:r w:rsidR="00EA7175" w:rsidRPr="003669AA">
        <w:t>Согласно мониторингу предприятий</w:t>
      </w:r>
      <w:r w:rsidR="00C5068C">
        <w:t>, проводим</w:t>
      </w:r>
      <w:r w:rsidR="00740FF1">
        <w:t>ому</w:t>
      </w:r>
      <w:r w:rsidR="007525EC">
        <w:t xml:space="preserve"> НБРК</w:t>
      </w:r>
      <w:r w:rsidR="00C5068C">
        <w:t>,</w:t>
      </w:r>
      <w:r w:rsidR="00EA7175" w:rsidRPr="003669AA">
        <w:t xml:space="preserve"> средняя ставка по кредитам в национальной валюте незначительно снизилась с 12,1% </w:t>
      </w:r>
      <w:r w:rsidR="00C5068C">
        <w:t>в</w:t>
      </w:r>
      <w:r w:rsidR="00EA7175" w:rsidRPr="003669AA">
        <w:t xml:space="preserve"> 4</w:t>
      </w:r>
      <w:r w:rsidR="007525EC">
        <w:t>-м</w:t>
      </w:r>
      <w:r w:rsidR="00EA7175" w:rsidRPr="003669AA">
        <w:t xml:space="preserve"> квартал</w:t>
      </w:r>
      <w:r w:rsidR="00C5068C">
        <w:t>е</w:t>
      </w:r>
      <w:r w:rsidR="00EA7175" w:rsidRPr="003669AA">
        <w:t xml:space="preserve"> 2013 года до 11,9% </w:t>
      </w:r>
      <w:r w:rsidR="00C5068C">
        <w:t>в</w:t>
      </w:r>
      <w:r w:rsidR="00EA7175" w:rsidRPr="003669AA">
        <w:t xml:space="preserve"> 1</w:t>
      </w:r>
      <w:r w:rsidR="007525EC">
        <w:t>-м</w:t>
      </w:r>
      <w:r w:rsidR="00EA7175" w:rsidRPr="003669AA">
        <w:t xml:space="preserve"> квартал</w:t>
      </w:r>
      <w:r w:rsidR="00C5068C">
        <w:t>е</w:t>
      </w:r>
      <w:r w:rsidR="00EA7175" w:rsidRPr="003669AA">
        <w:t xml:space="preserve"> 2014 года. </w:t>
      </w:r>
      <w:r w:rsidR="007525EC">
        <w:t xml:space="preserve">Вместе с тем, </w:t>
      </w:r>
      <w:r w:rsidR="009039C2">
        <w:t>по</w:t>
      </w:r>
      <w:r w:rsidR="00EA7175" w:rsidRPr="003669AA">
        <w:t xml:space="preserve"> </w:t>
      </w:r>
      <w:r w:rsidR="009039C2" w:rsidRPr="00C70DAA">
        <w:t>результатам ежеквартальн</w:t>
      </w:r>
      <w:r w:rsidR="009039C2">
        <w:t>ого</w:t>
      </w:r>
      <w:r w:rsidR="009039C2" w:rsidRPr="00C70DAA">
        <w:t xml:space="preserve"> конъюнктурн</w:t>
      </w:r>
      <w:r w:rsidR="009039C2">
        <w:t>ого</w:t>
      </w:r>
      <w:r w:rsidR="009039C2" w:rsidRPr="00C70DAA">
        <w:t xml:space="preserve"> обследовани</w:t>
      </w:r>
      <w:r w:rsidR="009039C2">
        <w:t>я</w:t>
      </w:r>
      <w:r w:rsidR="009039C2" w:rsidRPr="00C70DAA">
        <w:t>, проводим</w:t>
      </w:r>
      <w:r w:rsidR="009039C2">
        <w:t>ого</w:t>
      </w:r>
      <w:r w:rsidR="009039C2" w:rsidRPr="00C70DAA">
        <w:t xml:space="preserve"> АРКС</w:t>
      </w:r>
      <w:r w:rsidR="00FD2D21">
        <w:t>,</w:t>
      </w:r>
      <w:r w:rsidR="00EA7175" w:rsidRPr="003669AA">
        <w:t xml:space="preserve"> ставки по кредитам остаются высокими и</w:t>
      </w:r>
      <w:r w:rsidR="007525EC">
        <w:t>,</w:t>
      </w:r>
      <w:r w:rsidR="00EA7175" w:rsidRPr="003669AA">
        <w:t xml:space="preserve"> как следствие, являются одним из факторов, ограничива</w:t>
      </w:r>
      <w:r w:rsidR="00C5068C">
        <w:t>ющих</w:t>
      </w:r>
      <w:r w:rsidR="00EA7175" w:rsidRPr="003669AA">
        <w:t xml:space="preserve"> дальнейшее развитие деятельности определенных секторов нефинансового сектора. При этом согласно мониторингу предприятий</w:t>
      </w:r>
      <w:r w:rsidR="002236DD">
        <w:t xml:space="preserve"> НБРК</w:t>
      </w:r>
      <w:r w:rsidR="00EA7175" w:rsidRPr="003669AA">
        <w:t xml:space="preserve"> желаемая ставка по кредитам составила 8,8%. </w:t>
      </w:r>
    </w:p>
    <w:p w:rsidR="00C5799F" w:rsidRDefault="00C5799F" w:rsidP="00C5799F">
      <w:pPr>
        <w:ind w:firstLine="708"/>
        <w:jc w:val="both"/>
      </w:pPr>
      <w:r>
        <w:t>Учитывая текущую ситуацию на кредитном рынке, во 2</w:t>
      </w:r>
      <w:r w:rsidRPr="00E2570A">
        <w:t>-м квартале 201</w:t>
      </w:r>
      <w:r>
        <w:t>4</w:t>
      </w:r>
      <w:r w:rsidRPr="00E2570A">
        <w:t xml:space="preserve"> года кредитная политика в отношении субъектов бизнеса </w:t>
      </w:r>
      <w:r>
        <w:t>со стороны отдельных банков может ужесточиться:</w:t>
      </w:r>
      <w:r w:rsidRPr="00E2570A">
        <w:t xml:space="preserve"> </w:t>
      </w:r>
      <w:r>
        <w:t>6</w:t>
      </w:r>
      <w:r w:rsidRPr="00E2570A">
        <w:t xml:space="preserve">% банков планируют ужесточить кредитную политику, в то время как </w:t>
      </w:r>
      <w:r>
        <w:t>91</w:t>
      </w:r>
      <w:r w:rsidRPr="00E2570A">
        <w:t xml:space="preserve">% банков </w:t>
      </w:r>
      <w:r>
        <w:t xml:space="preserve">ожидают оставить без изменения. Наибольшее влияние в части ужесточения могут </w:t>
      </w:r>
      <w:r>
        <w:lastRenderedPageBreak/>
        <w:t>оказать отдельные банки с казахстанским капиталом</w:t>
      </w:r>
      <w:r w:rsidRPr="00E2570A">
        <w:t xml:space="preserve">, в то время как </w:t>
      </w:r>
      <w:r w:rsidR="00B805E3">
        <w:t>5</w:t>
      </w:r>
      <w:r w:rsidRPr="00E2570A">
        <w:t>-ка крупнейших банков прогнозируют оставить кредитную политику без изменения.</w:t>
      </w:r>
      <w:r>
        <w:t xml:space="preserve">  </w:t>
      </w:r>
    </w:p>
    <w:p w:rsidR="00191CD1" w:rsidRDefault="00191CD1" w:rsidP="00772BF8">
      <w:pPr>
        <w:ind w:firstLine="708"/>
        <w:jc w:val="both"/>
      </w:pPr>
    </w:p>
    <w:p w:rsidR="00D02FD4" w:rsidRPr="003669AA" w:rsidRDefault="00D02FD4" w:rsidP="00F16971">
      <w:pPr>
        <w:ind w:firstLine="708"/>
        <w:rPr>
          <w:vanish/>
        </w:rPr>
      </w:pPr>
    </w:p>
    <w:p w:rsidR="004A1F28" w:rsidRPr="003669AA" w:rsidRDefault="00084E54" w:rsidP="004A1F28">
      <w:pPr>
        <w:ind w:left="720"/>
        <w:jc w:val="both"/>
        <w:rPr>
          <w:b/>
        </w:rPr>
      </w:pPr>
      <w:r w:rsidRPr="003669AA">
        <w:rPr>
          <w:b/>
          <w:lang w:val="en-US"/>
        </w:rPr>
        <w:t>II</w:t>
      </w:r>
      <w:r w:rsidRPr="003669AA">
        <w:rPr>
          <w:b/>
        </w:rPr>
        <w:t xml:space="preserve">. </w:t>
      </w:r>
      <w:r w:rsidR="00CD495D" w:rsidRPr="003669AA">
        <w:rPr>
          <w:b/>
        </w:rPr>
        <w:t>Рынок кредитования физических лиц</w:t>
      </w:r>
      <w:bookmarkStart w:id="0" w:name="OLE_LINK3"/>
      <w:bookmarkStart w:id="1" w:name="OLE_LINK4"/>
    </w:p>
    <w:p w:rsidR="00560560" w:rsidRPr="003669AA" w:rsidRDefault="00560560" w:rsidP="00F16971">
      <w:pPr>
        <w:ind w:firstLine="709"/>
        <w:jc w:val="both"/>
        <w:rPr>
          <w:b/>
        </w:rPr>
      </w:pPr>
    </w:p>
    <w:p w:rsidR="001250F1" w:rsidRPr="003669AA" w:rsidRDefault="00BB3F27" w:rsidP="00097F72">
      <w:pPr>
        <w:ind w:firstLine="708"/>
        <w:jc w:val="both"/>
        <w:rPr>
          <w:b/>
        </w:rPr>
      </w:pPr>
      <w:r w:rsidRPr="003669AA">
        <w:rPr>
          <w:b/>
        </w:rPr>
        <w:t>Спрос со стороны заемщиков, как в ипотечном, так и в потребительском сегменте кредитования в 1</w:t>
      </w:r>
      <w:r w:rsidR="007525EC">
        <w:rPr>
          <w:b/>
        </w:rPr>
        <w:t>-м</w:t>
      </w:r>
      <w:r w:rsidRPr="003669AA">
        <w:rPr>
          <w:b/>
        </w:rPr>
        <w:t xml:space="preserve"> квартале 2014 года </w:t>
      </w:r>
      <w:r w:rsidR="00E71AE2">
        <w:rPr>
          <w:b/>
        </w:rPr>
        <w:t xml:space="preserve">снизился </w:t>
      </w:r>
      <w:r w:rsidRPr="003669AA">
        <w:rPr>
          <w:b/>
        </w:rPr>
        <w:t xml:space="preserve">в </w:t>
      </w:r>
      <w:r w:rsidR="00E71AE2">
        <w:rPr>
          <w:b/>
        </w:rPr>
        <w:t>большей</w:t>
      </w:r>
      <w:r w:rsidRPr="003669AA">
        <w:rPr>
          <w:b/>
        </w:rPr>
        <w:t xml:space="preserve"> степени, чем ожидали банки. </w:t>
      </w:r>
      <w:r w:rsidR="002B4052" w:rsidRPr="003669AA">
        <w:rPr>
          <w:b/>
        </w:rPr>
        <w:t xml:space="preserve">Основное влияние на ужесточение кредитной политики оказали введенные </w:t>
      </w:r>
      <w:r w:rsidR="00E71AE2">
        <w:rPr>
          <w:b/>
        </w:rPr>
        <w:t xml:space="preserve">в 1-м квартале </w:t>
      </w:r>
      <w:r w:rsidR="002B4052" w:rsidRPr="003669AA">
        <w:rPr>
          <w:b/>
        </w:rPr>
        <w:t>2014 год</w:t>
      </w:r>
      <w:r w:rsidR="00E71AE2">
        <w:rPr>
          <w:b/>
        </w:rPr>
        <w:t>а</w:t>
      </w:r>
      <w:r w:rsidR="002B4052" w:rsidRPr="003669AA">
        <w:rPr>
          <w:b/>
        </w:rPr>
        <w:t xml:space="preserve"> регуляторные меры,</w:t>
      </w:r>
      <w:r w:rsidR="00B205A7">
        <w:rPr>
          <w:b/>
        </w:rPr>
        <w:t xml:space="preserve"> </w:t>
      </w:r>
      <w:r w:rsidR="002B4052" w:rsidRPr="003669AA">
        <w:rPr>
          <w:b/>
        </w:rPr>
        <w:t>направленны</w:t>
      </w:r>
      <w:r w:rsidR="00B205A7">
        <w:rPr>
          <w:b/>
        </w:rPr>
        <w:t>е</w:t>
      </w:r>
      <w:r w:rsidR="002B4052" w:rsidRPr="003669AA">
        <w:rPr>
          <w:b/>
        </w:rPr>
        <w:t xml:space="preserve"> на</w:t>
      </w:r>
      <w:r w:rsidR="00191CD1">
        <w:rPr>
          <w:b/>
        </w:rPr>
        <w:t xml:space="preserve"> качественн</w:t>
      </w:r>
      <w:r w:rsidR="00B205A7">
        <w:rPr>
          <w:b/>
        </w:rPr>
        <w:t>ый</w:t>
      </w:r>
      <w:r w:rsidR="00191CD1">
        <w:rPr>
          <w:b/>
        </w:rPr>
        <w:t xml:space="preserve"> рост ссудного портфеля</w:t>
      </w:r>
      <w:r w:rsidR="00B205A7">
        <w:rPr>
          <w:b/>
        </w:rPr>
        <w:t>.</w:t>
      </w:r>
      <w:r w:rsidR="002B4052" w:rsidRPr="003669AA">
        <w:rPr>
          <w:b/>
        </w:rPr>
        <w:t xml:space="preserve"> </w:t>
      </w:r>
    </w:p>
    <w:tbl>
      <w:tblPr>
        <w:tblpPr w:leftFromText="180" w:rightFromText="180" w:vertAnchor="text" w:horzAnchor="margin" w:tblpY="154"/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097F72" w:rsidRPr="003669AA" w:rsidTr="00B034FC">
        <w:tc>
          <w:tcPr>
            <w:tcW w:w="9747" w:type="dxa"/>
            <w:shd w:val="clear" w:color="auto" w:fill="auto"/>
          </w:tcPr>
          <w:p w:rsidR="00097F72" w:rsidRPr="003669AA" w:rsidRDefault="00097F72" w:rsidP="00986B6D">
            <w:pPr>
              <w:jc w:val="center"/>
            </w:pPr>
            <w:r w:rsidRPr="00114DD2">
              <w:rPr>
                <w:b/>
                <w:sz w:val="20"/>
                <w:szCs w:val="20"/>
              </w:rPr>
              <w:t>Диаграмма</w:t>
            </w:r>
            <w:r w:rsidR="00787F34" w:rsidRPr="00114DD2">
              <w:rPr>
                <w:b/>
                <w:sz w:val="20"/>
                <w:szCs w:val="20"/>
              </w:rPr>
              <w:t xml:space="preserve"> </w:t>
            </w:r>
            <w:r w:rsidR="00986B6D" w:rsidRPr="00114DD2">
              <w:rPr>
                <w:b/>
                <w:sz w:val="20"/>
                <w:szCs w:val="20"/>
              </w:rPr>
              <w:t>4</w:t>
            </w:r>
            <w:r w:rsidRPr="00114DD2">
              <w:rPr>
                <w:b/>
                <w:sz w:val="20"/>
                <w:szCs w:val="20"/>
              </w:rPr>
              <w:t>. Изменение кредитной политики банков</w:t>
            </w:r>
          </w:p>
        </w:tc>
      </w:tr>
      <w:tr w:rsidR="00097F72" w:rsidRPr="003669AA" w:rsidTr="00B034FC">
        <w:trPr>
          <w:trHeight w:val="2579"/>
        </w:trPr>
        <w:tc>
          <w:tcPr>
            <w:tcW w:w="9747" w:type="dxa"/>
            <w:shd w:val="clear" w:color="auto" w:fill="auto"/>
          </w:tcPr>
          <w:p w:rsidR="00097F72" w:rsidRPr="003669AA" w:rsidRDefault="00B034FC" w:rsidP="00F06E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2EC491" wp14:editId="5437AEAA">
                  <wp:extent cx="5771693" cy="1982419"/>
                  <wp:effectExtent l="0" t="0" r="635" b="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097F72" w:rsidRPr="003669AA" w:rsidTr="00B034FC">
        <w:tc>
          <w:tcPr>
            <w:tcW w:w="9747" w:type="dxa"/>
            <w:shd w:val="clear" w:color="auto" w:fill="auto"/>
          </w:tcPr>
          <w:p w:rsidR="00097F72" w:rsidRPr="003669AA" w:rsidRDefault="00097F72" w:rsidP="00B37C7A">
            <w:pPr>
              <w:jc w:val="both"/>
              <w:rPr>
                <w:i/>
                <w:sz w:val="18"/>
                <w:szCs w:val="18"/>
              </w:rPr>
            </w:pPr>
            <w:r w:rsidRPr="003669AA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865839" w:rsidRPr="003669AA" w:rsidRDefault="002169E1" w:rsidP="00865839">
      <w:pPr>
        <w:ind w:firstLine="709"/>
        <w:jc w:val="both"/>
      </w:pPr>
      <w:r w:rsidRPr="003669AA">
        <w:t xml:space="preserve">В целом кредитная политика </w:t>
      </w:r>
      <w:r w:rsidR="002F7294">
        <w:t xml:space="preserve">в отношении </w:t>
      </w:r>
      <w:r w:rsidRPr="003669AA">
        <w:t xml:space="preserve">розничного кредитования </w:t>
      </w:r>
      <w:r w:rsidR="002F7294">
        <w:t>в</w:t>
      </w:r>
      <w:r w:rsidRPr="003669AA">
        <w:t xml:space="preserve"> 1</w:t>
      </w:r>
      <w:r w:rsidR="007525EC">
        <w:t>-м</w:t>
      </w:r>
      <w:r w:rsidRPr="003669AA">
        <w:t xml:space="preserve"> квартал</w:t>
      </w:r>
      <w:r w:rsidR="002F7294">
        <w:t>е</w:t>
      </w:r>
      <w:r w:rsidRPr="003669AA">
        <w:t xml:space="preserve"> 2014 года </w:t>
      </w:r>
      <w:r w:rsidR="00865839" w:rsidRPr="003669AA">
        <w:t xml:space="preserve">у </w:t>
      </w:r>
      <w:r w:rsidRPr="003669AA">
        <w:t>большинства банков осталась на прежнем уровне, при этом ужесточение некоторыми банками своей политики в большей степени затронуло потребительское кредитование</w:t>
      </w:r>
      <w:r w:rsidR="004E4D09">
        <w:t xml:space="preserve"> (диаграмма 4)</w:t>
      </w:r>
      <w:r w:rsidR="00865839" w:rsidRPr="003669AA">
        <w:t xml:space="preserve">. </w:t>
      </w:r>
      <w:r w:rsidRPr="003669AA">
        <w:t>Основными факторами, повлиявшими на ужесточение кредитной политики банков по потребительскому кредитованию, являются ожидание изменений те</w:t>
      </w:r>
      <w:r w:rsidR="00865839" w:rsidRPr="003669AA">
        <w:t xml:space="preserve">нденций экономического развития </w:t>
      </w:r>
      <w:r w:rsidRPr="003669AA">
        <w:t>и ухудшение платежеспособности заемщиков.</w:t>
      </w:r>
    </w:p>
    <w:p w:rsidR="00CD24A5" w:rsidRPr="003669AA" w:rsidRDefault="00865839" w:rsidP="002169E1">
      <w:pPr>
        <w:ind w:firstLine="720"/>
        <w:jc w:val="both"/>
      </w:pPr>
      <w:r w:rsidRPr="008833E7">
        <w:t>В анализируемый период большинство опрошенных банков оставили условия потребительского кредитования без изменений, при этом ужесточение неценовых условий</w:t>
      </w:r>
      <w:r w:rsidR="008833E7">
        <w:t>,</w:t>
      </w:r>
      <w:r w:rsidRPr="008833E7">
        <w:t xml:space="preserve"> таки</w:t>
      </w:r>
      <w:r w:rsidR="008833E7">
        <w:t>х</w:t>
      </w:r>
      <w:r w:rsidRPr="008833E7">
        <w:t xml:space="preserve"> как отношение выплат</w:t>
      </w:r>
      <w:r w:rsidR="008833E7" w:rsidRPr="008833E7">
        <w:t xml:space="preserve"> к </w:t>
      </w:r>
      <w:r w:rsidRPr="008833E7">
        <w:t>месячн</w:t>
      </w:r>
      <w:r w:rsidR="008833E7" w:rsidRPr="008833E7">
        <w:t>ому</w:t>
      </w:r>
      <w:r w:rsidRPr="008833E7">
        <w:t xml:space="preserve"> доход</w:t>
      </w:r>
      <w:r w:rsidR="008833E7" w:rsidRPr="008833E7">
        <w:t>у</w:t>
      </w:r>
      <w:r w:rsidRPr="008833E7">
        <w:t xml:space="preserve">, комиссии, </w:t>
      </w:r>
      <w:r w:rsidR="008833E7">
        <w:t>обеспеченность займов залогом</w:t>
      </w:r>
      <w:r w:rsidRPr="008833E7">
        <w:t xml:space="preserve"> в некоторой степени повлияли на уровень доступности кредитных ресурсов и</w:t>
      </w:r>
      <w:r w:rsidR="007525EC">
        <w:t>,</w:t>
      </w:r>
      <w:r w:rsidRPr="008833E7">
        <w:t xml:space="preserve"> как следствие, привели к существенному замедлению роста спроса на данные ресурсы</w:t>
      </w:r>
      <w:r w:rsidR="004E4D09">
        <w:t xml:space="preserve"> (диаграмма 5)</w:t>
      </w:r>
      <w:r w:rsidRPr="003669AA">
        <w:t>.</w:t>
      </w:r>
      <w:r w:rsidR="009459C1" w:rsidRPr="003669AA">
        <w:t xml:space="preserve"> По мнению банков, замедление роста спроса на потребительские кредиты связано </w:t>
      </w:r>
      <w:r w:rsidR="00DA0492">
        <w:t xml:space="preserve"> с регуляторными</w:t>
      </w:r>
      <w:r w:rsidR="008833E7">
        <w:t xml:space="preserve"> ограничени</w:t>
      </w:r>
      <w:r w:rsidR="00DA0492">
        <w:t>ями</w:t>
      </w:r>
      <w:r w:rsidR="00BC0F38">
        <w:t>,</w:t>
      </w:r>
      <w:r w:rsidR="008833E7">
        <w:t xml:space="preserve"> </w:t>
      </w:r>
      <w:r w:rsidR="00BC0F38">
        <w:t xml:space="preserve">а также </w:t>
      </w:r>
      <w:r w:rsidR="009459C1" w:rsidRPr="003669AA">
        <w:t>неопределенностью экон</w:t>
      </w:r>
      <w:r w:rsidR="008833E7">
        <w:t>омической ситуации в результате</w:t>
      </w:r>
      <w:r w:rsidR="009459C1" w:rsidRPr="003669AA">
        <w:t xml:space="preserve"> прошедшей в</w:t>
      </w:r>
      <w:r w:rsidR="00BC0F38">
        <w:t xml:space="preserve"> феврале 2014 года корректировки</w:t>
      </w:r>
      <w:r w:rsidR="009459C1" w:rsidRPr="003669AA">
        <w:t xml:space="preserve"> курса национальной валюты.</w:t>
      </w:r>
    </w:p>
    <w:tbl>
      <w:tblPr>
        <w:tblpPr w:leftFromText="180" w:rightFromText="180" w:vertAnchor="text" w:horzAnchor="margin" w:tblpX="108" w:tblpY="18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097F72" w:rsidRPr="003669AA" w:rsidTr="00207706">
        <w:tc>
          <w:tcPr>
            <w:tcW w:w="9606" w:type="dxa"/>
            <w:shd w:val="clear" w:color="auto" w:fill="auto"/>
          </w:tcPr>
          <w:p w:rsidR="00097F72" w:rsidRPr="003669AA" w:rsidRDefault="00097F72" w:rsidP="00986B6D">
            <w:pPr>
              <w:jc w:val="center"/>
              <w:rPr>
                <w:b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 w:rsidR="00986B6D" w:rsidRPr="003669AA">
              <w:rPr>
                <w:b/>
                <w:sz w:val="20"/>
                <w:szCs w:val="20"/>
              </w:rPr>
              <w:t>5</w:t>
            </w:r>
            <w:r w:rsidRPr="003669AA">
              <w:rPr>
                <w:b/>
                <w:sz w:val="20"/>
                <w:szCs w:val="20"/>
              </w:rPr>
              <w:t>. Изменение спроса и предложения на кредитные ресурсы, % респондентов</w:t>
            </w:r>
            <w:r w:rsidRPr="003669AA">
              <w:rPr>
                <w:b/>
                <w:sz w:val="20"/>
                <w:szCs w:val="20"/>
              </w:rPr>
              <w:br/>
              <w:t>(физические лица)</w:t>
            </w:r>
          </w:p>
        </w:tc>
      </w:tr>
      <w:tr w:rsidR="00097F72" w:rsidRPr="003669AA" w:rsidTr="00207706">
        <w:trPr>
          <w:trHeight w:val="3075"/>
        </w:trPr>
        <w:tc>
          <w:tcPr>
            <w:tcW w:w="9606" w:type="dxa"/>
            <w:shd w:val="clear" w:color="auto" w:fill="auto"/>
          </w:tcPr>
          <w:p w:rsidR="00097F72" w:rsidRPr="003669AA" w:rsidRDefault="00CD24A5" w:rsidP="00CD24A5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7348E3D" wp14:editId="3641BC3D">
                  <wp:extent cx="5888736" cy="1923898"/>
                  <wp:effectExtent l="0" t="0" r="0" b="635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097F72" w:rsidRPr="003669AA" w:rsidTr="00207706">
        <w:tc>
          <w:tcPr>
            <w:tcW w:w="9606" w:type="dxa"/>
            <w:shd w:val="clear" w:color="auto" w:fill="auto"/>
          </w:tcPr>
          <w:p w:rsidR="00097F72" w:rsidRPr="003669AA" w:rsidRDefault="00097F72" w:rsidP="00B37C7A">
            <w:pPr>
              <w:jc w:val="both"/>
              <w:rPr>
                <w:i/>
                <w:sz w:val="18"/>
                <w:szCs w:val="18"/>
              </w:rPr>
            </w:pPr>
            <w:r w:rsidRPr="003669AA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C717C4" w:rsidRDefault="00C717C4" w:rsidP="00C717C4">
      <w:pPr>
        <w:ind w:firstLine="708"/>
        <w:jc w:val="both"/>
      </w:pPr>
      <w:r w:rsidRPr="003669AA">
        <w:lastRenderedPageBreak/>
        <w:t xml:space="preserve">С точки зрения продуктовой линейки, по мнению </w:t>
      </w:r>
      <w:r w:rsidR="00DB3ED3" w:rsidRPr="003669AA">
        <w:t xml:space="preserve">некоторых </w:t>
      </w:r>
      <w:r w:rsidRPr="003669AA">
        <w:t xml:space="preserve">банков, </w:t>
      </w:r>
      <w:r w:rsidR="00582712" w:rsidRPr="003669AA">
        <w:t xml:space="preserve">кредитование через </w:t>
      </w:r>
      <w:r w:rsidRPr="003669AA">
        <w:t>банковские карты не пользу</w:t>
      </w:r>
      <w:r w:rsidR="00213266">
        <w:t xml:space="preserve">ется особой популярностью </w:t>
      </w:r>
      <w:r w:rsidR="009459C1" w:rsidRPr="003669AA">
        <w:t xml:space="preserve">ввиду сложности </w:t>
      </w:r>
      <w:r w:rsidR="00582712" w:rsidRPr="003669AA">
        <w:t xml:space="preserve">понимания условий </w:t>
      </w:r>
      <w:r w:rsidR="009459C1" w:rsidRPr="003669AA">
        <w:t>использования</w:t>
      </w:r>
      <w:r w:rsidR="00582712" w:rsidRPr="003669AA">
        <w:t xml:space="preserve"> и обслуживания</w:t>
      </w:r>
      <w:r w:rsidRPr="003669AA">
        <w:t>, что приводит к просрочке</w:t>
      </w:r>
      <w:r w:rsidR="009459C1" w:rsidRPr="003669AA">
        <w:t xml:space="preserve"> по платежам</w:t>
      </w:r>
      <w:r w:rsidRPr="003669AA">
        <w:t xml:space="preserve">, </w:t>
      </w:r>
      <w:r w:rsidR="009459C1" w:rsidRPr="003669AA">
        <w:t xml:space="preserve">и </w:t>
      </w:r>
      <w:r w:rsidRPr="003669AA">
        <w:t xml:space="preserve">как следствие, </w:t>
      </w:r>
      <w:r w:rsidR="009459C1" w:rsidRPr="003669AA">
        <w:t xml:space="preserve">к ухудшению </w:t>
      </w:r>
      <w:r w:rsidR="00754001" w:rsidRPr="003669AA">
        <w:t>качеств</w:t>
      </w:r>
      <w:r w:rsidR="009459C1" w:rsidRPr="003669AA">
        <w:t>а</w:t>
      </w:r>
      <w:r w:rsidR="00754001" w:rsidRPr="003669AA">
        <w:t xml:space="preserve"> кредитного портфеля</w:t>
      </w:r>
      <w:r w:rsidRPr="003669AA">
        <w:t xml:space="preserve">. В свою очередь, в условиях введенных регуляторных </w:t>
      </w:r>
      <w:proofErr w:type="gramStart"/>
      <w:r w:rsidR="002D7B9F" w:rsidRPr="003669AA">
        <w:t>мер</w:t>
      </w:r>
      <w:proofErr w:type="gramEnd"/>
      <w:r w:rsidR="00213266">
        <w:t xml:space="preserve"> </w:t>
      </w:r>
      <w:r w:rsidRPr="003669AA">
        <w:t xml:space="preserve">многие банки сообщили о </w:t>
      </w:r>
      <w:r w:rsidR="00213266">
        <w:t xml:space="preserve">более интенсивном </w:t>
      </w:r>
      <w:r w:rsidRPr="003669AA">
        <w:t>развити</w:t>
      </w:r>
      <w:r w:rsidR="00213266">
        <w:t>и</w:t>
      </w:r>
      <w:r w:rsidRPr="003669AA">
        <w:t xml:space="preserve"> автокредитования.</w:t>
      </w:r>
    </w:p>
    <w:p w:rsidR="00512EE5" w:rsidRPr="003669AA" w:rsidRDefault="005135A0" w:rsidP="008328C8">
      <w:pPr>
        <w:ind w:firstLine="708"/>
        <w:jc w:val="both"/>
      </w:pPr>
      <w:r>
        <w:t>Учитывая текущую ситуацию на потребительском рынке кредитования, во</w:t>
      </w:r>
      <w:r w:rsidRPr="00E2570A">
        <w:t xml:space="preserve"> </w:t>
      </w:r>
      <w:r>
        <w:t>2</w:t>
      </w:r>
      <w:r w:rsidRPr="00E2570A">
        <w:t>-м квартале 201</w:t>
      </w:r>
      <w:r>
        <w:t>4</w:t>
      </w:r>
      <w:r w:rsidRPr="00E2570A">
        <w:t xml:space="preserve"> года кредитная политика в отношении </w:t>
      </w:r>
      <w:r>
        <w:t>физических лиц со стороны банков может развиваться разнонаправленно:</w:t>
      </w:r>
      <w:r w:rsidRPr="00E2570A">
        <w:t xml:space="preserve"> </w:t>
      </w:r>
      <w:r>
        <w:t>12</w:t>
      </w:r>
      <w:r w:rsidRPr="00E2570A">
        <w:t xml:space="preserve">% банков планируют </w:t>
      </w:r>
      <w:r>
        <w:t>смягчить</w:t>
      </w:r>
      <w:r w:rsidRPr="00E2570A">
        <w:t xml:space="preserve"> кредитную политику, </w:t>
      </w:r>
      <w:r>
        <w:t>9% банков прогнозируют ужесточить, в то время как 78</w:t>
      </w:r>
      <w:r w:rsidRPr="00E2570A">
        <w:t xml:space="preserve">% банков </w:t>
      </w:r>
      <w:r>
        <w:t>ожидают оставить без изменения.</w:t>
      </w:r>
      <w:r w:rsidR="008328C8">
        <w:t xml:space="preserve"> Кроме того, предполагается</w:t>
      </w:r>
      <w:r w:rsidR="002D056D" w:rsidRPr="003669AA">
        <w:t xml:space="preserve"> у</w:t>
      </w:r>
      <w:r w:rsidR="00213266">
        <w:t>жесточение условий кредитования:</w:t>
      </w:r>
      <w:r w:rsidR="002D056D" w:rsidRPr="003669AA">
        <w:t xml:space="preserve"> </w:t>
      </w:r>
      <w:r w:rsidR="00213266">
        <w:t>повышение</w:t>
      </w:r>
      <w:r w:rsidR="002D056D" w:rsidRPr="003669AA">
        <w:t xml:space="preserve"> выплат</w:t>
      </w:r>
      <w:r w:rsidR="00213266">
        <w:t xml:space="preserve"> к месячному</w:t>
      </w:r>
      <w:r w:rsidR="002D056D" w:rsidRPr="003669AA">
        <w:t xml:space="preserve"> доход</w:t>
      </w:r>
      <w:r w:rsidR="00213266">
        <w:t>у</w:t>
      </w:r>
      <w:r w:rsidR="002D056D" w:rsidRPr="003669AA">
        <w:t xml:space="preserve"> и маржи банка по стандартным кредитам в целях соблюдения введенных регуляторных мер.</w:t>
      </w:r>
    </w:p>
    <w:p w:rsidR="002D7B9F" w:rsidRDefault="002D7B9F" w:rsidP="002D7B9F">
      <w:pPr>
        <w:ind w:firstLine="709"/>
        <w:jc w:val="both"/>
      </w:pPr>
      <w:r w:rsidRPr="003669AA">
        <w:t>Кредитная политика большинства банков в отношении ипотечного рынка кредитования в 1</w:t>
      </w:r>
      <w:r>
        <w:t>-м</w:t>
      </w:r>
      <w:r w:rsidRPr="003669AA">
        <w:t xml:space="preserve"> квартале 2014 года, как и в предыдущий период, осталась на прежнем уровне, при этом определенное количество банков ужесточили кредитную политику. Основным фактором, влияющим на изменение кредитной политики, остается увеличение риска платежеспособности заемщиков.</w:t>
      </w:r>
      <w:r w:rsidRPr="002D7B9F">
        <w:t xml:space="preserve"> </w:t>
      </w:r>
      <w:r w:rsidRPr="003669AA">
        <w:t>В 1</w:t>
      </w:r>
      <w:r>
        <w:t>-м</w:t>
      </w:r>
      <w:r w:rsidRPr="003669AA">
        <w:t xml:space="preserve"> квартале 2014 года в целом условия ипотечного кредитования большинств</w:t>
      </w:r>
      <w:r>
        <w:t>а</w:t>
      </w:r>
      <w:r w:rsidRPr="003669AA">
        <w:t xml:space="preserve"> банков остались без изменения, при этом некоторые банки смягчили условия, в частности снизили минимальный размер первоначального взноса и снизили уровень обеспеченности займов залоговым имуществом. </w:t>
      </w:r>
      <w:r>
        <w:t>При этом п</w:t>
      </w:r>
      <w:r w:rsidRPr="003669AA">
        <w:t xml:space="preserve">роцент банков, отметивших </w:t>
      </w:r>
      <w:r>
        <w:t>уменьшение спроса на ипотеку со стороны заемщиков,</w:t>
      </w:r>
      <w:r w:rsidRPr="003669AA">
        <w:t xml:space="preserve"> увеличилс</w:t>
      </w:r>
      <w:r>
        <w:t>я</w:t>
      </w:r>
      <w:r w:rsidRPr="003669AA">
        <w:t xml:space="preserve"> с 10% до 37%. Основными факторами, повлиявшими на </w:t>
      </w:r>
      <w:r w:rsidR="00101F6D">
        <w:t xml:space="preserve">падение </w:t>
      </w:r>
      <w:r w:rsidRPr="003669AA">
        <w:t xml:space="preserve">спроса в ипотечном сегменте, явились </w:t>
      </w:r>
      <w:r>
        <w:t>низкая активность на</w:t>
      </w:r>
      <w:r w:rsidRPr="003669AA">
        <w:t xml:space="preserve"> рынк</w:t>
      </w:r>
      <w:r>
        <w:t>е</w:t>
      </w:r>
      <w:r w:rsidRPr="003669AA">
        <w:t xml:space="preserve"> недвижимости и снижение уверенности потребителей</w:t>
      </w:r>
      <w:r>
        <w:t xml:space="preserve"> (диаграмма 6)</w:t>
      </w:r>
      <w:r w:rsidRPr="003669AA">
        <w:t>.</w:t>
      </w:r>
    </w:p>
    <w:tbl>
      <w:tblPr>
        <w:tblStyle w:val="af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512EE5" w:rsidRPr="003669AA" w:rsidTr="000F54FD">
        <w:tc>
          <w:tcPr>
            <w:tcW w:w="9639" w:type="dxa"/>
          </w:tcPr>
          <w:p w:rsidR="00512EE5" w:rsidRPr="003669AA" w:rsidRDefault="00512EE5" w:rsidP="00986B6D">
            <w:pPr>
              <w:jc w:val="center"/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 w:rsidR="00986B6D" w:rsidRPr="003669AA">
              <w:rPr>
                <w:b/>
                <w:sz w:val="20"/>
                <w:szCs w:val="20"/>
              </w:rPr>
              <w:t>6</w:t>
            </w:r>
            <w:r w:rsidRPr="003669AA">
              <w:rPr>
                <w:b/>
                <w:sz w:val="20"/>
                <w:szCs w:val="20"/>
              </w:rPr>
              <w:t xml:space="preserve">. </w:t>
            </w:r>
            <w:r w:rsidRPr="003669AA">
              <w:rPr>
                <w:b/>
                <w:bCs/>
                <w:sz w:val="20"/>
                <w:szCs w:val="20"/>
              </w:rPr>
              <w:t>Влияние отдельных факторов на изменение спроса на ипотечные кредиты</w:t>
            </w:r>
          </w:p>
        </w:tc>
      </w:tr>
      <w:tr w:rsidR="00512EE5" w:rsidRPr="003669AA" w:rsidTr="000F54FD">
        <w:tc>
          <w:tcPr>
            <w:tcW w:w="9639" w:type="dxa"/>
          </w:tcPr>
          <w:p w:rsidR="00512EE5" w:rsidRPr="003669AA" w:rsidRDefault="000F54FD" w:rsidP="002169E1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2DF303A" wp14:editId="1749E02A">
                  <wp:extent cx="6071616" cy="2275027"/>
                  <wp:effectExtent l="0" t="0" r="5715" b="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512EE5" w:rsidRPr="003669AA" w:rsidTr="000F54FD">
        <w:tc>
          <w:tcPr>
            <w:tcW w:w="9639" w:type="dxa"/>
          </w:tcPr>
          <w:p w:rsidR="00512EE5" w:rsidRPr="003669AA" w:rsidRDefault="00512EE5" w:rsidP="002169E1">
            <w:pPr>
              <w:jc w:val="both"/>
            </w:pPr>
            <w:r w:rsidRPr="003669AA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EA7175" w:rsidRPr="003669AA" w:rsidRDefault="00EA7175" w:rsidP="002D7B9F">
      <w:pPr>
        <w:jc w:val="both"/>
      </w:pPr>
    </w:p>
    <w:tbl>
      <w:tblPr>
        <w:tblpPr w:leftFromText="180" w:rightFromText="180" w:vertAnchor="text" w:horzAnchor="margin" w:tblpX="108" w:tblpY="4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122E09" w:rsidRPr="003669AA" w:rsidTr="00483D56">
        <w:tc>
          <w:tcPr>
            <w:tcW w:w="5211" w:type="dxa"/>
            <w:shd w:val="clear" w:color="auto" w:fill="auto"/>
          </w:tcPr>
          <w:p w:rsidR="00122E09" w:rsidRPr="003669AA" w:rsidRDefault="00122E09" w:rsidP="00986B6D">
            <w:pPr>
              <w:jc w:val="center"/>
              <w:rPr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 w:rsidR="00986B6D" w:rsidRPr="003669AA">
              <w:rPr>
                <w:b/>
                <w:sz w:val="20"/>
                <w:szCs w:val="20"/>
              </w:rPr>
              <w:t>7</w:t>
            </w:r>
            <w:r w:rsidRPr="003669AA">
              <w:rPr>
                <w:b/>
                <w:sz w:val="20"/>
                <w:szCs w:val="20"/>
              </w:rPr>
              <w:t xml:space="preserve">. Ожидания банков и фактические изменения средней цены на </w:t>
            </w:r>
            <w:r w:rsidR="00065822" w:rsidRPr="003669AA">
              <w:rPr>
                <w:b/>
                <w:sz w:val="20"/>
                <w:szCs w:val="20"/>
              </w:rPr>
              <w:t xml:space="preserve">жилую </w:t>
            </w:r>
            <w:r w:rsidRPr="003669AA">
              <w:rPr>
                <w:b/>
                <w:sz w:val="20"/>
                <w:szCs w:val="20"/>
              </w:rPr>
              <w:t>недвижимость</w:t>
            </w:r>
          </w:p>
        </w:tc>
      </w:tr>
      <w:tr w:rsidR="00122E09" w:rsidRPr="003669AA" w:rsidTr="00483D56">
        <w:trPr>
          <w:trHeight w:val="2505"/>
        </w:trPr>
        <w:tc>
          <w:tcPr>
            <w:tcW w:w="5211" w:type="dxa"/>
            <w:shd w:val="clear" w:color="auto" w:fill="auto"/>
          </w:tcPr>
          <w:p w:rsidR="00122E09" w:rsidRPr="003669AA" w:rsidRDefault="00CB76E1" w:rsidP="002169E1">
            <w:pPr>
              <w:ind w:left="-142"/>
              <w:jc w:val="center"/>
              <w:rPr>
                <w:b/>
                <w:sz w:val="18"/>
                <w:szCs w:val="18"/>
              </w:rPr>
            </w:pPr>
            <w:r w:rsidRPr="003669AA">
              <w:rPr>
                <w:noProof/>
              </w:rPr>
              <w:drawing>
                <wp:inline distT="0" distB="0" distL="0" distR="0" wp14:anchorId="77F8B44B" wp14:editId="1B299E3B">
                  <wp:extent cx="3306470" cy="1865376"/>
                  <wp:effectExtent l="0" t="0" r="8255" b="1905"/>
                  <wp:docPr id="5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122E09" w:rsidRPr="003669AA" w:rsidTr="00483D56">
        <w:trPr>
          <w:trHeight w:val="200"/>
        </w:trPr>
        <w:tc>
          <w:tcPr>
            <w:tcW w:w="5211" w:type="dxa"/>
            <w:shd w:val="clear" w:color="auto" w:fill="auto"/>
          </w:tcPr>
          <w:p w:rsidR="00122E09" w:rsidRPr="003669AA" w:rsidRDefault="00122E09" w:rsidP="002169E1">
            <w:pPr>
              <w:jc w:val="both"/>
              <w:rPr>
                <w:i/>
                <w:sz w:val="18"/>
                <w:szCs w:val="18"/>
              </w:rPr>
            </w:pPr>
            <w:r w:rsidRPr="003669AA">
              <w:rPr>
                <w:i/>
                <w:sz w:val="18"/>
                <w:szCs w:val="18"/>
              </w:rPr>
              <w:t>Источник: НБРК, Агентство РК по статистике</w:t>
            </w:r>
          </w:p>
        </w:tc>
      </w:tr>
    </w:tbl>
    <w:p w:rsidR="00527CDF" w:rsidRPr="003669AA" w:rsidRDefault="00101F6D" w:rsidP="00101F6D">
      <w:pPr>
        <w:ind w:firstLine="708"/>
        <w:jc w:val="both"/>
      </w:pPr>
      <w:r w:rsidRPr="00101F6D">
        <w:t xml:space="preserve">По оценкам банков, на рынке жилья </w:t>
      </w:r>
      <w:r w:rsidR="00F15D7B">
        <w:t xml:space="preserve">в настоящее время и в ближайшей перспективе </w:t>
      </w:r>
      <w:r w:rsidRPr="00101F6D">
        <w:t>наблюдается стабильность ценовых показателей.</w:t>
      </w:r>
      <w:r w:rsidR="00F15D7B">
        <w:t xml:space="preserve"> </w:t>
      </w:r>
      <w:bookmarkStart w:id="2" w:name="_GoBack"/>
      <w:bookmarkEnd w:id="2"/>
      <w:r>
        <w:t>П</w:t>
      </w:r>
      <w:r w:rsidR="00355CFF" w:rsidRPr="003669AA">
        <w:t>о данным Агентства Республики Казахстан по статистике темпы роста цен на недвижимость в 1-м квартале 2014 года составили 9,3%. Доля банков, ожидающих рост цен на недвижимость, составил</w:t>
      </w:r>
      <w:r w:rsidR="007525EC">
        <w:t>а</w:t>
      </w:r>
      <w:r w:rsidR="00355CFF" w:rsidRPr="003669AA">
        <w:t xml:space="preserve"> 21%, столько же банков прогнозируют снижение цен на недвижимость, при этом 54% банков ожидают, что цены на недвижимость </w:t>
      </w:r>
      <w:r w:rsidR="00355CFF" w:rsidRPr="003669AA">
        <w:lastRenderedPageBreak/>
        <w:t>останутся без изменения</w:t>
      </w:r>
      <w:r w:rsidR="003C4322">
        <w:t xml:space="preserve"> (диаграмма 7)</w:t>
      </w:r>
      <w:r w:rsidR="00355CFF" w:rsidRPr="003669AA">
        <w:t xml:space="preserve">. </w:t>
      </w:r>
    </w:p>
    <w:p w:rsidR="004442F8" w:rsidRPr="003669AA" w:rsidRDefault="00355CFF" w:rsidP="00BB5DAA">
      <w:pPr>
        <w:ind w:firstLine="708"/>
        <w:jc w:val="both"/>
        <w:rPr>
          <w:b/>
        </w:rPr>
      </w:pPr>
      <w:r w:rsidRPr="003669AA">
        <w:t>По прогнозным оценкам банков</w:t>
      </w:r>
      <w:r w:rsidR="002D056D" w:rsidRPr="003669AA">
        <w:t xml:space="preserve"> во 2</w:t>
      </w:r>
      <w:r w:rsidR="007525EC">
        <w:t>-м</w:t>
      </w:r>
      <w:r w:rsidR="002D056D" w:rsidRPr="003669AA">
        <w:t xml:space="preserve"> квартале 2014 год, </w:t>
      </w:r>
      <w:r w:rsidR="00BB5DAA" w:rsidRPr="003669AA">
        <w:t>кредитная политика ипотечного рынка в целом останется на прежнем уровне, при этом некоторые банки ожидают смягчени</w:t>
      </w:r>
      <w:r w:rsidR="00462381">
        <w:t>я</w:t>
      </w:r>
      <w:r w:rsidR="00BB5DAA" w:rsidRPr="003669AA">
        <w:t xml:space="preserve"> неценовых условий ипотечного кредитования. </w:t>
      </w:r>
      <w:bookmarkStart w:id="3" w:name="OLE_LINK1"/>
      <w:bookmarkStart w:id="4" w:name="OLE_LINK2"/>
    </w:p>
    <w:p w:rsidR="008B3282" w:rsidRPr="003669AA" w:rsidRDefault="008B3282" w:rsidP="004A7765">
      <w:pPr>
        <w:ind w:left="720"/>
        <w:jc w:val="both"/>
        <w:rPr>
          <w:b/>
        </w:rPr>
      </w:pPr>
    </w:p>
    <w:p w:rsidR="00DF712C" w:rsidRPr="003669AA" w:rsidRDefault="00753245" w:rsidP="004A7765">
      <w:pPr>
        <w:ind w:left="720"/>
        <w:jc w:val="both"/>
        <w:rPr>
          <w:b/>
        </w:rPr>
      </w:pPr>
      <w:r w:rsidRPr="003669AA">
        <w:rPr>
          <w:b/>
          <w:lang w:val="en-US"/>
        </w:rPr>
        <w:t>I</w:t>
      </w:r>
      <w:r w:rsidR="004A7765" w:rsidRPr="003669AA">
        <w:rPr>
          <w:b/>
          <w:lang w:val="en-US"/>
        </w:rPr>
        <w:t>II</w:t>
      </w:r>
      <w:r w:rsidR="00A827B0" w:rsidRPr="003669AA">
        <w:rPr>
          <w:b/>
        </w:rPr>
        <w:t>.</w:t>
      </w:r>
      <w:r w:rsidR="004A7765" w:rsidRPr="003669AA">
        <w:rPr>
          <w:b/>
        </w:rPr>
        <w:t xml:space="preserve"> </w:t>
      </w:r>
      <w:r w:rsidR="00DF712C" w:rsidRPr="003669AA">
        <w:rPr>
          <w:b/>
        </w:rPr>
        <w:t xml:space="preserve">Карта рисков </w:t>
      </w:r>
    </w:p>
    <w:p w:rsidR="00057CC7" w:rsidRPr="003669AA" w:rsidRDefault="00057CC7" w:rsidP="00C952D6">
      <w:pPr>
        <w:ind w:firstLine="709"/>
        <w:jc w:val="both"/>
        <w:rPr>
          <w:b/>
        </w:rPr>
      </w:pPr>
    </w:p>
    <w:p w:rsidR="00005698" w:rsidRPr="003669AA" w:rsidRDefault="00B812BC" w:rsidP="00EB4856">
      <w:pPr>
        <w:tabs>
          <w:tab w:val="left" w:pos="2146"/>
        </w:tabs>
        <w:ind w:firstLine="708"/>
        <w:jc w:val="both"/>
        <w:rPr>
          <w:b/>
        </w:rPr>
      </w:pPr>
      <w:r w:rsidRPr="003669AA">
        <w:rPr>
          <w:b/>
        </w:rPr>
        <w:t xml:space="preserve">В </w:t>
      </w:r>
      <w:r w:rsidR="00455466" w:rsidRPr="003669AA">
        <w:rPr>
          <w:b/>
        </w:rPr>
        <w:t>1</w:t>
      </w:r>
      <w:r w:rsidRPr="003669AA">
        <w:rPr>
          <w:b/>
        </w:rPr>
        <w:t>-м квартале 201</w:t>
      </w:r>
      <w:r w:rsidR="00455466" w:rsidRPr="003669AA">
        <w:rPr>
          <w:b/>
        </w:rPr>
        <w:t>4</w:t>
      </w:r>
      <w:r w:rsidRPr="003669AA">
        <w:rPr>
          <w:b/>
        </w:rPr>
        <w:t xml:space="preserve"> года основными рисками для банков</w:t>
      </w:r>
      <w:r w:rsidR="00A7411A" w:rsidRPr="003669AA">
        <w:rPr>
          <w:b/>
        </w:rPr>
        <w:t>,</w:t>
      </w:r>
      <w:r w:rsidR="003925A1" w:rsidRPr="003669AA">
        <w:rPr>
          <w:b/>
        </w:rPr>
        <w:t xml:space="preserve"> </w:t>
      </w:r>
      <w:r w:rsidR="00455466" w:rsidRPr="003669AA">
        <w:rPr>
          <w:b/>
        </w:rPr>
        <w:t xml:space="preserve">помимо </w:t>
      </w:r>
      <w:r w:rsidRPr="003669AA">
        <w:rPr>
          <w:b/>
        </w:rPr>
        <w:t>кредитн</w:t>
      </w:r>
      <w:r w:rsidR="00455466" w:rsidRPr="003669AA">
        <w:rPr>
          <w:b/>
        </w:rPr>
        <w:t>ого</w:t>
      </w:r>
      <w:r w:rsidR="003925A1" w:rsidRPr="003669AA">
        <w:rPr>
          <w:b/>
        </w:rPr>
        <w:t xml:space="preserve"> риск</w:t>
      </w:r>
      <w:r w:rsidR="00455466" w:rsidRPr="003669AA">
        <w:rPr>
          <w:b/>
        </w:rPr>
        <w:t>а</w:t>
      </w:r>
      <w:r w:rsidR="000B56AA" w:rsidRPr="000B56AA">
        <w:rPr>
          <w:b/>
        </w:rPr>
        <w:t xml:space="preserve"> </w:t>
      </w:r>
      <w:r w:rsidR="000B56AA">
        <w:rPr>
          <w:b/>
        </w:rPr>
        <w:t xml:space="preserve">в виду </w:t>
      </w:r>
      <w:r w:rsidR="000B56AA" w:rsidRPr="003669AA">
        <w:rPr>
          <w:b/>
        </w:rPr>
        <w:t xml:space="preserve">высокого уровня неработающих </w:t>
      </w:r>
      <w:r w:rsidR="000B56AA">
        <w:rPr>
          <w:b/>
        </w:rPr>
        <w:t>займов</w:t>
      </w:r>
      <w:r w:rsidR="000B56AA" w:rsidRPr="003669AA">
        <w:rPr>
          <w:b/>
        </w:rPr>
        <w:t xml:space="preserve"> в ссудном портфеле</w:t>
      </w:r>
      <w:r w:rsidR="00A7411A" w:rsidRPr="003669AA">
        <w:rPr>
          <w:b/>
        </w:rPr>
        <w:t>,</w:t>
      </w:r>
      <w:r w:rsidR="00455466" w:rsidRPr="003669AA">
        <w:rPr>
          <w:b/>
        </w:rPr>
        <w:t xml:space="preserve"> явля</w:t>
      </w:r>
      <w:r w:rsidR="00E17CE2">
        <w:rPr>
          <w:b/>
        </w:rPr>
        <w:t>лись</w:t>
      </w:r>
      <w:r w:rsidR="00455466" w:rsidRPr="003669AA">
        <w:rPr>
          <w:b/>
        </w:rPr>
        <w:t xml:space="preserve"> валютный риск </w:t>
      </w:r>
      <w:r w:rsidR="000B56AA">
        <w:rPr>
          <w:b/>
        </w:rPr>
        <w:t>в результате</w:t>
      </w:r>
      <w:r w:rsidR="00A7411A" w:rsidRPr="003669AA">
        <w:rPr>
          <w:b/>
        </w:rPr>
        <w:t xml:space="preserve"> </w:t>
      </w:r>
      <w:r w:rsidR="007525EC">
        <w:rPr>
          <w:b/>
        </w:rPr>
        <w:t xml:space="preserve">корректировки курса тенге </w:t>
      </w:r>
      <w:r w:rsidR="000B56AA">
        <w:rPr>
          <w:b/>
        </w:rPr>
        <w:t xml:space="preserve">в </w:t>
      </w:r>
      <w:r w:rsidR="00A7411A" w:rsidRPr="003669AA">
        <w:rPr>
          <w:b/>
        </w:rPr>
        <w:t xml:space="preserve">феврале 2014 года </w:t>
      </w:r>
      <w:r w:rsidR="000B56AA">
        <w:rPr>
          <w:b/>
        </w:rPr>
        <w:t xml:space="preserve">и </w:t>
      </w:r>
      <w:r w:rsidR="003925A1" w:rsidRPr="003669AA">
        <w:rPr>
          <w:b/>
        </w:rPr>
        <w:t>риск ликвидности</w:t>
      </w:r>
      <w:r w:rsidR="00A7411A" w:rsidRPr="003669AA">
        <w:rPr>
          <w:b/>
        </w:rPr>
        <w:t>,</w:t>
      </w:r>
      <w:r w:rsidR="00057CC7" w:rsidRPr="003669AA">
        <w:rPr>
          <w:b/>
        </w:rPr>
        <w:t xml:space="preserve"> </w:t>
      </w:r>
      <w:r w:rsidR="003925A1" w:rsidRPr="003669AA">
        <w:rPr>
          <w:b/>
        </w:rPr>
        <w:t>связан</w:t>
      </w:r>
      <w:r w:rsidR="000B56AA">
        <w:rPr>
          <w:b/>
        </w:rPr>
        <w:t>ный</w:t>
      </w:r>
      <w:r w:rsidR="003925A1" w:rsidRPr="003669AA">
        <w:rPr>
          <w:b/>
        </w:rPr>
        <w:t xml:space="preserve"> с дефицитом тенговой ликвидности</w:t>
      </w:r>
      <w:r w:rsidR="00A7411A" w:rsidRPr="003669AA">
        <w:rPr>
          <w:b/>
        </w:rPr>
        <w:t>.</w:t>
      </w:r>
      <w:r w:rsidRPr="003669AA">
        <w:rPr>
          <w:b/>
        </w:rPr>
        <w:t xml:space="preserve"> </w:t>
      </w:r>
    </w:p>
    <w:p w:rsidR="00057CC7" w:rsidRPr="003669AA" w:rsidRDefault="00057CC7" w:rsidP="00EB4856">
      <w:pPr>
        <w:tabs>
          <w:tab w:val="left" w:pos="2146"/>
        </w:tabs>
        <w:ind w:firstLine="708"/>
        <w:jc w:val="both"/>
      </w:pPr>
    </w:p>
    <w:tbl>
      <w:tblPr>
        <w:tblpPr w:leftFromText="180" w:rightFromText="180" w:vertAnchor="text" w:horzAnchor="margin" w:tblpX="108" w:tblpY="158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F712C" w:rsidRPr="003669AA" w:rsidTr="00483D56">
        <w:trPr>
          <w:trHeight w:val="160"/>
        </w:trPr>
        <w:tc>
          <w:tcPr>
            <w:tcW w:w="9639" w:type="dxa"/>
            <w:shd w:val="clear" w:color="auto" w:fill="auto"/>
          </w:tcPr>
          <w:p w:rsidR="00DF712C" w:rsidRPr="003669AA" w:rsidRDefault="00DF712C" w:rsidP="00986B6D">
            <w:pPr>
              <w:jc w:val="center"/>
              <w:rPr>
                <w:b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 w:rsidR="00986B6D" w:rsidRPr="003669AA">
              <w:rPr>
                <w:b/>
                <w:sz w:val="20"/>
                <w:szCs w:val="20"/>
              </w:rPr>
              <w:t>8</w:t>
            </w:r>
            <w:r w:rsidRPr="003669AA">
              <w:rPr>
                <w:b/>
                <w:sz w:val="20"/>
                <w:szCs w:val="20"/>
              </w:rPr>
              <w:t xml:space="preserve">. </w:t>
            </w:r>
            <w:r w:rsidR="007E409E" w:rsidRPr="003669AA">
              <w:rPr>
                <w:b/>
                <w:sz w:val="20"/>
                <w:szCs w:val="20"/>
              </w:rPr>
              <w:t>Ожидание и</w:t>
            </w:r>
            <w:r w:rsidRPr="003669AA">
              <w:rPr>
                <w:b/>
                <w:sz w:val="20"/>
                <w:szCs w:val="20"/>
              </w:rPr>
              <w:t>зменени</w:t>
            </w:r>
            <w:r w:rsidR="007E409E" w:rsidRPr="003669AA">
              <w:rPr>
                <w:b/>
                <w:sz w:val="20"/>
                <w:szCs w:val="20"/>
              </w:rPr>
              <w:t>й</w:t>
            </w:r>
            <w:r w:rsidRPr="003669AA">
              <w:rPr>
                <w:b/>
                <w:sz w:val="20"/>
                <w:szCs w:val="20"/>
              </w:rPr>
              <w:t xml:space="preserve"> качества ссудного портфеля банков</w:t>
            </w:r>
          </w:p>
        </w:tc>
      </w:tr>
      <w:tr w:rsidR="00DF712C" w:rsidRPr="003669AA" w:rsidTr="00483D56">
        <w:trPr>
          <w:trHeight w:val="2722"/>
        </w:trPr>
        <w:tc>
          <w:tcPr>
            <w:tcW w:w="9639" w:type="dxa"/>
            <w:shd w:val="clear" w:color="auto" w:fill="auto"/>
          </w:tcPr>
          <w:p w:rsidR="00DF712C" w:rsidRPr="003669AA" w:rsidRDefault="00CB76E1" w:rsidP="00E57BD7">
            <w:pPr>
              <w:jc w:val="both"/>
              <w:rPr>
                <w:b/>
              </w:rPr>
            </w:pPr>
            <w:r w:rsidRPr="003669AA">
              <w:rPr>
                <w:noProof/>
              </w:rPr>
              <w:drawing>
                <wp:inline distT="0" distB="0" distL="0" distR="0" wp14:anchorId="374451C4" wp14:editId="53018F30">
                  <wp:extent cx="5976620" cy="1738630"/>
                  <wp:effectExtent l="0" t="0" r="5080" b="0"/>
                  <wp:docPr id="7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DF712C" w:rsidRPr="003669AA" w:rsidTr="00483D56">
        <w:trPr>
          <w:trHeight w:val="160"/>
        </w:trPr>
        <w:tc>
          <w:tcPr>
            <w:tcW w:w="9639" w:type="dxa"/>
            <w:shd w:val="clear" w:color="auto" w:fill="auto"/>
          </w:tcPr>
          <w:p w:rsidR="00005698" w:rsidRPr="003669AA" w:rsidRDefault="00DF712C" w:rsidP="009642D4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057CC7" w:rsidRPr="003669AA" w:rsidRDefault="00057CC7" w:rsidP="00C952D6">
      <w:pPr>
        <w:ind w:firstLine="709"/>
        <w:rPr>
          <w:vanish/>
        </w:rPr>
      </w:pPr>
    </w:p>
    <w:p w:rsidR="00EB5609" w:rsidRPr="003669AA" w:rsidRDefault="00EB5609" w:rsidP="00C952D6">
      <w:pPr>
        <w:ind w:firstLine="709"/>
        <w:jc w:val="both"/>
      </w:pPr>
    </w:p>
    <w:tbl>
      <w:tblPr>
        <w:tblpPr w:leftFromText="180" w:rightFromText="180" w:vertAnchor="text" w:horzAnchor="margin" w:tblpX="108" w:tblpY="2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</w:tblGrid>
      <w:tr w:rsidR="009642D4" w:rsidRPr="003669AA" w:rsidTr="00483D56">
        <w:trPr>
          <w:trHeight w:val="160"/>
        </w:trPr>
        <w:tc>
          <w:tcPr>
            <w:tcW w:w="5070" w:type="dxa"/>
            <w:shd w:val="clear" w:color="auto" w:fill="auto"/>
          </w:tcPr>
          <w:p w:rsidR="009642D4" w:rsidRPr="003669AA" w:rsidRDefault="009642D4" w:rsidP="00001BE6">
            <w:pPr>
              <w:jc w:val="center"/>
              <w:rPr>
                <w:i/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t>Диаграмма</w:t>
            </w:r>
            <w:r w:rsidR="00986B6D" w:rsidRPr="003669AA">
              <w:rPr>
                <w:b/>
                <w:sz w:val="20"/>
                <w:szCs w:val="20"/>
              </w:rPr>
              <w:t xml:space="preserve"> 9</w:t>
            </w:r>
            <w:r w:rsidRPr="003669AA">
              <w:rPr>
                <w:b/>
                <w:sz w:val="20"/>
                <w:szCs w:val="20"/>
              </w:rPr>
              <w:t>. Восприятие рисков банками</w:t>
            </w:r>
          </w:p>
        </w:tc>
      </w:tr>
      <w:tr w:rsidR="009642D4" w:rsidRPr="003669AA" w:rsidTr="00A721F0">
        <w:trPr>
          <w:trHeight w:val="2588"/>
        </w:trPr>
        <w:tc>
          <w:tcPr>
            <w:tcW w:w="5070" w:type="dxa"/>
            <w:shd w:val="clear" w:color="auto" w:fill="auto"/>
          </w:tcPr>
          <w:p w:rsidR="009642D4" w:rsidRPr="003669AA" w:rsidRDefault="00A721F0" w:rsidP="009642D4">
            <w:pPr>
              <w:jc w:val="both"/>
              <w:rPr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A48A4A" wp14:editId="615A0635">
                  <wp:extent cx="3108960" cy="2018995"/>
                  <wp:effectExtent l="0" t="0" r="0" b="635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9642D4" w:rsidRPr="003669AA" w:rsidTr="00483D56">
        <w:trPr>
          <w:trHeight w:val="66"/>
        </w:trPr>
        <w:tc>
          <w:tcPr>
            <w:tcW w:w="5070" w:type="dxa"/>
            <w:shd w:val="clear" w:color="auto" w:fill="auto"/>
          </w:tcPr>
          <w:p w:rsidR="009642D4" w:rsidRPr="003669AA" w:rsidRDefault="009642D4" w:rsidP="009642D4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C920E5" w:rsidRPr="003669AA" w:rsidRDefault="00C920E5" w:rsidP="00C920E5">
      <w:pPr>
        <w:ind w:firstLine="708"/>
        <w:jc w:val="both"/>
      </w:pPr>
      <w:r w:rsidRPr="003669AA">
        <w:t>Во 2-м квартале 2014 года</w:t>
      </w:r>
      <w:r w:rsidR="00AD5E9A">
        <w:t xml:space="preserve"> 70%</w:t>
      </w:r>
      <w:r w:rsidRPr="003669AA">
        <w:t xml:space="preserve"> </w:t>
      </w:r>
      <w:r w:rsidR="00AD5E9A">
        <w:t xml:space="preserve">банков </w:t>
      </w:r>
      <w:r w:rsidRPr="003669AA">
        <w:t>ожидают</w:t>
      </w:r>
      <w:r w:rsidR="00AD5E9A">
        <w:t>,</w:t>
      </w:r>
      <w:r w:rsidRPr="003669AA">
        <w:t xml:space="preserve"> </w:t>
      </w:r>
      <w:r w:rsidR="00AD5E9A">
        <w:t xml:space="preserve">что </w:t>
      </w:r>
      <w:r w:rsidRPr="003669AA">
        <w:t>качеств</w:t>
      </w:r>
      <w:r w:rsidR="00AD5E9A">
        <w:t>о</w:t>
      </w:r>
      <w:r w:rsidRPr="003669AA">
        <w:t xml:space="preserve"> ссудного портфеля</w:t>
      </w:r>
      <w:r w:rsidR="00AD5E9A">
        <w:t xml:space="preserve"> останется без изменений</w:t>
      </w:r>
      <w:r w:rsidRPr="003669AA">
        <w:t xml:space="preserve">, 24% </w:t>
      </w:r>
      <w:r w:rsidR="008C2E7A">
        <w:t>банков</w:t>
      </w:r>
      <w:r w:rsidRPr="003669AA">
        <w:t xml:space="preserve"> </w:t>
      </w:r>
      <w:r w:rsidR="00AD5E9A">
        <w:t xml:space="preserve">прогнозирует </w:t>
      </w:r>
      <w:r w:rsidRPr="003669AA">
        <w:t xml:space="preserve">улучшения качества ссудного портфеля и </w:t>
      </w:r>
      <w:r w:rsidR="00AD5E9A">
        <w:t xml:space="preserve">всего </w:t>
      </w:r>
      <w:r w:rsidRPr="003669AA">
        <w:t>5%</w:t>
      </w:r>
      <w:r w:rsidR="008C2E7A">
        <w:t xml:space="preserve"> </w:t>
      </w:r>
      <w:r w:rsidRPr="003669AA">
        <w:t xml:space="preserve">- ухудшения качества ссудного портфеля (диаграмма </w:t>
      </w:r>
      <w:r w:rsidR="003C4322">
        <w:t>8</w:t>
      </w:r>
      <w:r w:rsidRPr="003669AA">
        <w:t xml:space="preserve">). </w:t>
      </w:r>
      <w:r w:rsidR="00F64816">
        <w:t xml:space="preserve">Необходимо отметить, что </w:t>
      </w:r>
      <w:r w:rsidR="00F64816" w:rsidRPr="004408BB">
        <w:t xml:space="preserve">ожидания банков по повышению качества ссудного портфеля остаются оптимистичными, однако </w:t>
      </w:r>
      <w:r w:rsidR="00F64816">
        <w:t>фактического заметного</w:t>
      </w:r>
      <w:r w:rsidR="00F64816" w:rsidRPr="004408BB">
        <w:t xml:space="preserve"> улучшения портфеля не</w:t>
      </w:r>
      <w:r w:rsidR="00F64816">
        <w:t xml:space="preserve"> происходит</w:t>
      </w:r>
      <w:r w:rsidR="00F64816" w:rsidRPr="004408BB">
        <w:t>.</w:t>
      </w:r>
      <w:r w:rsidR="00F64816">
        <w:t xml:space="preserve"> </w:t>
      </w:r>
      <w:r w:rsidRPr="003669AA">
        <w:t xml:space="preserve">При этом регуляторные меры по стимулированию очистки балансов </w:t>
      </w:r>
      <w:r w:rsidR="001F7CDC">
        <w:t xml:space="preserve">в будущем </w:t>
      </w:r>
      <w:r w:rsidRPr="003669AA">
        <w:t xml:space="preserve">должны стимулировать банки улучшать качество кредитного портфеля. </w:t>
      </w:r>
    </w:p>
    <w:p w:rsidR="008C2E7A" w:rsidRDefault="00FB625C" w:rsidP="005168B3">
      <w:pPr>
        <w:ind w:firstLine="708"/>
        <w:jc w:val="both"/>
      </w:pPr>
      <w:r w:rsidRPr="003669AA">
        <w:t xml:space="preserve">В </w:t>
      </w:r>
      <w:r w:rsidR="00BE6CBB" w:rsidRPr="003669AA">
        <w:t>1</w:t>
      </w:r>
      <w:r w:rsidR="00D01587" w:rsidRPr="003669AA">
        <w:t xml:space="preserve">-м квартале </w:t>
      </w:r>
      <w:r w:rsidR="00BE6CBB" w:rsidRPr="003669AA">
        <w:t xml:space="preserve">2014 года </w:t>
      </w:r>
      <w:r w:rsidR="003F1E1F" w:rsidRPr="003669AA">
        <w:t xml:space="preserve">по сравнению с </w:t>
      </w:r>
      <w:r w:rsidR="00BE6CBB" w:rsidRPr="003669AA">
        <w:t>4</w:t>
      </w:r>
      <w:r w:rsidR="003F1E1F" w:rsidRPr="003669AA">
        <w:t>-м кварталом 201</w:t>
      </w:r>
      <w:r w:rsidR="00BE6CBB" w:rsidRPr="003669AA">
        <w:t>3</w:t>
      </w:r>
      <w:r w:rsidR="003F1E1F" w:rsidRPr="003669AA">
        <w:t xml:space="preserve"> года доля банков</w:t>
      </w:r>
      <w:r w:rsidR="00446D95" w:rsidRPr="003669AA">
        <w:t>,</w:t>
      </w:r>
      <w:r w:rsidR="003F1E1F" w:rsidRPr="003669AA">
        <w:t xml:space="preserve"> отметивших </w:t>
      </w:r>
      <w:r w:rsidR="009E12F1">
        <w:t xml:space="preserve">значимость </w:t>
      </w:r>
      <w:r w:rsidR="002A293C" w:rsidRPr="003669AA">
        <w:t>кредитного риска</w:t>
      </w:r>
      <w:r w:rsidR="00446D95" w:rsidRPr="003669AA">
        <w:t>,</w:t>
      </w:r>
      <w:r w:rsidR="002A293C" w:rsidRPr="003669AA">
        <w:t xml:space="preserve"> </w:t>
      </w:r>
      <w:r w:rsidR="003F1E1F" w:rsidRPr="003669AA">
        <w:t>увеличил</w:t>
      </w:r>
      <w:r w:rsidR="00446D95" w:rsidRPr="003669AA">
        <w:t>ась</w:t>
      </w:r>
      <w:r w:rsidR="003F1E1F" w:rsidRPr="003669AA">
        <w:t xml:space="preserve"> с </w:t>
      </w:r>
      <w:r w:rsidR="00BE6CBB" w:rsidRPr="003669AA">
        <w:t>30</w:t>
      </w:r>
      <w:r w:rsidR="00D040F2" w:rsidRPr="003669AA">
        <w:t>%</w:t>
      </w:r>
      <w:r w:rsidR="00685F40" w:rsidRPr="003669AA">
        <w:t xml:space="preserve"> до </w:t>
      </w:r>
      <w:r w:rsidR="00BE6CBB" w:rsidRPr="003669AA">
        <w:t>35</w:t>
      </w:r>
      <w:r w:rsidR="00685F40" w:rsidRPr="003669AA">
        <w:t>%.</w:t>
      </w:r>
      <w:r w:rsidR="00407F08" w:rsidRPr="003669AA">
        <w:t xml:space="preserve"> </w:t>
      </w:r>
      <w:r w:rsidR="00446D95" w:rsidRPr="003669AA">
        <w:t xml:space="preserve">Рост </w:t>
      </w:r>
      <w:r w:rsidR="00BE6CBB" w:rsidRPr="003669AA">
        <w:t xml:space="preserve">валютного </w:t>
      </w:r>
      <w:r w:rsidR="00446D95" w:rsidRPr="003669AA">
        <w:t xml:space="preserve">риска отметили </w:t>
      </w:r>
      <w:r w:rsidR="00BE6CBB" w:rsidRPr="003669AA">
        <w:t>32</w:t>
      </w:r>
      <w:r w:rsidR="00446D95" w:rsidRPr="003669AA">
        <w:t>%</w:t>
      </w:r>
      <w:r w:rsidR="007525EC">
        <w:t>,</w:t>
      </w:r>
      <w:r w:rsidR="00BE6CBB" w:rsidRPr="003669AA">
        <w:t xml:space="preserve"> и 24% банков отметили рост риска ликвидности  </w:t>
      </w:r>
      <w:r w:rsidR="00446D95" w:rsidRPr="003669AA">
        <w:t xml:space="preserve"> (диаграмма </w:t>
      </w:r>
      <w:r w:rsidR="003C4322">
        <w:t>9</w:t>
      </w:r>
      <w:r w:rsidR="00446D95" w:rsidRPr="003669AA">
        <w:t>).</w:t>
      </w:r>
      <w:r w:rsidR="00A21514" w:rsidRPr="003669AA">
        <w:t xml:space="preserve"> </w:t>
      </w:r>
      <w:r w:rsidR="005168B3" w:rsidRPr="003669AA">
        <w:t xml:space="preserve">Основным источником фондирования банков </w:t>
      </w:r>
      <w:r w:rsidR="00446D95" w:rsidRPr="003669AA">
        <w:t>остаются</w:t>
      </w:r>
      <w:r w:rsidR="005168B3" w:rsidRPr="003669AA">
        <w:t xml:space="preserve"> </w:t>
      </w:r>
      <w:r w:rsidR="00446D95" w:rsidRPr="003669AA">
        <w:t>депозиты и текущие счета клиентов, а также облигационны</w:t>
      </w:r>
      <w:r w:rsidR="009E12F1">
        <w:t>е</w:t>
      </w:r>
      <w:r w:rsidR="00446D95" w:rsidRPr="003669AA">
        <w:t xml:space="preserve"> программ</w:t>
      </w:r>
      <w:r w:rsidR="009E12F1">
        <w:t>ы</w:t>
      </w:r>
      <w:r w:rsidR="005168B3" w:rsidRPr="003669AA">
        <w:t xml:space="preserve">. </w:t>
      </w:r>
      <w:r w:rsidR="00446D95" w:rsidRPr="003669AA">
        <w:t xml:space="preserve">Кроме того, </w:t>
      </w:r>
      <w:r w:rsidR="005168B3" w:rsidRPr="003669AA">
        <w:t>для управления текущей ликвидност</w:t>
      </w:r>
      <w:r w:rsidR="006B2AC9" w:rsidRPr="003669AA">
        <w:t>ью</w:t>
      </w:r>
      <w:r w:rsidR="005168B3" w:rsidRPr="003669AA">
        <w:t xml:space="preserve"> используются межбанковские и биржевые инструменты денежного рынка (свопы, операции РЕПО, межбанковские депозиты).</w:t>
      </w:r>
      <w:r w:rsidR="006E1FEB" w:rsidRPr="003669AA">
        <w:t xml:space="preserve"> </w:t>
      </w:r>
      <w:bookmarkEnd w:id="0"/>
      <w:bookmarkEnd w:id="1"/>
      <w:bookmarkEnd w:id="3"/>
      <w:bookmarkEnd w:id="4"/>
    </w:p>
    <w:sectPr w:rsidR="008C2E7A" w:rsidSect="00DC5234">
      <w:footerReference w:type="even" r:id="rId18"/>
      <w:footerReference w:type="default" r:id="rId1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48" w:rsidRDefault="00185048">
      <w:r>
        <w:separator/>
      </w:r>
    </w:p>
  </w:endnote>
  <w:endnote w:type="continuationSeparator" w:id="0">
    <w:p w:rsidR="00185048" w:rsidRDefault="0018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5B" w:rsidRDefault="002F465B" w:rsidP="006E5F9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465B" w:rsidRDefault="002F465B" w:rsidP="006E5F9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5B" w:rsidRDefault="002F465B" w:rsidP="006E5F9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5D7B">
      <w:rPr>
        <w:rStyle w:val="a8"/>
        <w:noProof/>
      </w:rPr>
      <w:t>4</w:t>
    </w:r>
    <w:r>
      <w:rPr>
        <w:rStyle w:val="a8"/>
      </w:rPr>
      <w:fldChar w:fldCharType="end"/>
    </w:r>
  </w:p>
  <w:p w:rsidR="002F465B" w:rsidRDefault="002F465B" w:rsidP="006E5F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48" w:rsidRDefault="00185048">
      <w:r>
        <w:separator/>
      </w:r>
    </w:p>
  </w:footnote>
  <w:footnote w:type="continuationSeparator" w:id="0">
    <w:p w:rsidR="00185048" w:rsidRDefault="00185048">
      <w:r>
        <w:continuationSeparator/>
      </w:r>
    </w:p>
  </w:footnote>
  <w:footnote w:id="1">
    <w:p w:rsidR="002F465B" w:rsidRPr="00CE63EA" w:rsidRDefault="002F465B" w:rsidP="002F465B">
      <w:pPr>
        <w:pStyle w:val="a3"/>
        <w:jc w:val="both"/>
        <w:rPr>
          <w:b/>
        </w:rPr>
      </w:pPr>
      <w:r>
        <w:rPr>
          <w:rStyle w:val="a5"/>
        </w:rPr>
        <w:footnoteRef/>
      </w:r>
      <w:r>
        <w:t xml:space="preserve"> </w:t>
      </w:r>
      <w:r w:rsidRPr="002459F0">
        <w:rPr>
          <w:i/>
          <w:sz w:val="16"/>
          <w:szCs w:val="16"/>
        </w:rPr>
        <w:t xml:space="preserve">Здесь и далее результаты в диаграммах представлены в виде изменения чистого процентного изменения ответов респондентов, которое рассчитывается как разница % респондентов, отметивших увеличение/смягчение того или иного параметра, и % респондентов, отметивших снижение/ужесточение того или иного </w:t>
      </w:r>
      <w:r w:rsidRPr="00837092">
        <w:rPr>
          <w:i/>
          <w:sz w:val="16"/>
          <w:szCs w:val="16"/>
        </w:rPr>
        <w:t xml:space="preserve">параметра. </w:t>
      </w:r>
      <w:r w:rsidRPr="00837092">
        <w:rPr>
          <w:b/>
          <w:i/>
          <w:sz w:val="16"/>
          <w:szCs w:val="16"/>
        </w:rPr>
        <w:t>Значение ниже 0 ужесточение/снижение того или иного параметра, выше 0 смягчение/увеличение того или иного параметра.</w:t>
      </w:r>
      <w:r w:rsidRPr="00837092">
        <w:rPr>
          <w:rFonts w:cs="TimesNewRomanPSMT"/>
          <w:i/>
          <w:sz w:val="16"/>
          <w:szCs w:val="16"/>
        </w:rPr>
        <w:t xml:space="preserve"> </w:t>
      </w:r>
      <w:r w:rsidRPr="00837092">
        <w:rPr>
          <w:i/>
          <w:sz w:val="16"/>
          <w:szCs w:val="16"/>
        </w:rPr>
        <w:t xml:space="preserve">В данном случае в диаграмме представлены изменения </w:t>
      </w:r>
      <w:r w:rsidR="00837092" w:rsidRPr="00837092">
        <w:rPr>
          <w:i/>
          <w:sz w:val="16"/>
          <w:szCs w:val="16"/>
        </w:rPr>
        <w:t>кредитной политики</w:t>
      </w:r>
      <w:r w:rsidRPr="00837092">
        <w:rPr>
          <w:i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7A6E"/>
    <w:multiLevelType w:val="hybridMultilevel"/>
    <w:tmpl w:val="ED4627E8"/>
    <w:lvl w:ilvl="0" w:tplc="823E1D72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337A35"/>
    <w:multiLevelType w:val="hybridMultilevel"/>
    <w:tmpl w:val="A98873A0"/>
    <w:lvl w:ilvl="0" w:tplc="7A964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15FAC"/>
    <w:multiLevelType w:val="hybridMultilevel"/>
    <w:tmpl w:val="75721B14"/>
    <w:lvl w:ilvl="0" w:tplc="8A0EB086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867F6A"/>
    <w:multiLevelType w:val="hybridMultilevel"/>
    <w:tmpl w:val="C4F466D4"/>
    <w:lvl w:ilvl="0" w:tplc="301C2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7E1CE2"/>
    <w:multiLevelType w:val="hybridMultilevel"/>
    <w:tmpl w:val="E8140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43847"/>
    <w:multiLevelType w:val="hybridMultilevel"/>
    <w:tmpl w:val="E1D2FA3A"/>
    <w:lvl w:ilvl="0" w:tplc="6C568F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6B2A5D"/>
    <w:multiLevelType w:val="hybridMultilevel"/>
    <w:tmpl w:val="6226AD48"/>
    <w:lvl w:ilvl="0" w:tplc="EC8A0A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970D69"/>
    <w:multiLevelType w:val="hybridMultilevel"/>
    <w:tmpl w:val="337C7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5D"/>
    <w:rsid w:val="0000024B"/>
    <w:rsid w:val="0000027D"/>
    <w:rsid w:val="000006E5"/>
    <w:rsid w:val="0000080A"/>
    <w:rsid w:val="0000093D"/>
    <w:rsid w:val="00000ECE"/>
    <w:rsid w:val="0000170D"/>
    <w:rsid w:val="00001BE6"/>
    <w:rsid w:val="000025F9"/>
    <w:rsid w:val="00002690"/>
    <w:rsid w:val="00002EE6"/>
    <w:rsid w:val="00003282"/>
    <w:rsid w:val="000032C9"/>
    <w:rsid w:val="00003874"/>
    <w:rsid w:val="00003FE2"/>
    <w:rsid w:val="00004696"/>
    <w:rsid w:val="00004902"/>
    <w:rsid w:val="00004B6C"/>
    <w:rsid w:val="00005698"/>
    <w:rsid w:val="0000584E"/>
    <w:rsid w:val="00005B8C"/>
    <w:rsid w:val="00005BDE"/>
    <w:rsid w:val="00006047"/>
    <w:rsid w:val="0000634F"/>
    <w:rsid w:val="000064A3"/>
    <w:rsid w:val="00006585"/>
    <w:rsid w:val="00006A13"/>
    <w:rsid w:val="00006F7D"/>
    <w:rsid w:val="0001008D"/>
    <w:rsid w:val="0001060D"/>
    <w:rsid w:val="0001099B"/>
    <w:rsid w:val="00010B26"/>
    <w:rsid w:val="0001115D"/>
    <w:rsid w:val="000117E1"/>
    <w:rsid w:val="00011BE9"/>
    <w:rsid w:val="00012446"/>
    <w:rsid w:val="0001263B"/>
    <w:rsid w:val="00014240"/>
    <w:rsid w:val="00014273"/>
    <w:rsid w:val="000148A7"/>
    <w:rsid w:val="00014C5C"/>
    <w:rsid w:val="000154EE"/>
    <w:rsid w:val="000157B6"/>
    <w:rsid w:val="00015BD3"/>
    <w:rsid w:val="00015E68"/>
    <w:rsid w:val="00016214"/>
    <w:rsid w:val="00016229"/>
    <w:rsid w:val="00016706"/>
    <w:rsid w:val="00017324"/>
    <w:rsid w:val="00017516"/>
    <w:rsid w:val="0001764E"/>
    <w:rsid w:val="0002146A"/>
    <w:rsid w:val="0002181C"/>
    <w:rsid w:val="00021A50"/>
    <w:rsid w:val="0002283F"/>
    <w:rsid w:val="00022878"/>
    <w:rsid w:val="00022FB2"/>
    <w:rsid w:val="00022FE2"/>
    <w:rsid w:val="000230A7"/>
    <w:rsid w:val="00023F2B"/>
    <w:rsid w:val="000241DE"/>
    <w:rsid w:val="00024538"/>
    <w:rsid w:val="00024776"/>
    <w:rsid w:val="000257D1"/>
    <w:rsid w:val="00025822"/>
    <w:rsid w:val="00025AED"/>
    <w:rsid w:val="00025CEC"/>
    <w:rsid w:val="00026A25"/>
    <w:rsid w:val="00026A2F"/>
    <w:rsid w:val="00026C8C"/>
    <w:rsid w:val="00026F59"/>
    <w:rsid w:val="000276C6"/>
    <w:rsid w:val="0002773B"/>
    <w:rsid w:val="00027862"/>
    <w:rsid w:val="000278C3"/>
    <w:rsid w:val="00027EC5"/>
    <w:rsid w:val="000301B9"/>
    <w:rsid w:val="00030CA3"/>
    <w:rsid w:val="00030CB7"/>
    <w:rsid w:val="00031156"/>
    <w:rsid w:val="0003286B"/>
    <w:rsid w:val="00033D23"/>
    <w:rsid w:val="0003424B"/>
    <w:rsid w:val="00034C1B"/>
    <w:rsid w:val="00034DE6"/>
    <w:rsid w:val="0003617A"/>
    <w:rsid w:val="00036265"/>
    <w:rsid w:val="000369EB"/>
    <w:rsid w:val="00037362"/>
    <w:rsid w:val="00037B13"/>
    <w:rsid w:val="00037D27"/>
    <w:rsid w:val="00037EB2"/>
    <w:rsid w:val="00040170"/>
    <w:rsid w:val="00040A41"/>
    <w:rsid w:val="000410CE"/>
    <w:rsid w:val="00041567"/>
    <w:rsid w:val="00041BB4"/>
    <w:rsid w:val="00042BE0"/>
    <w:rsid w:val="000430E2"/>
    <w:rsid w:val="000437CD"/>
    <w:rsid w:val="00043C4A"/>
    <w:rsid w:val="00043FCC"/>
    <w:rsid w:val="000442C4"/>
    <w:rsid w:val="00044838"/>
    <w:rsid w:val="00044C22"/>
    <w:rsid w:val="00044C3E"/>
    <w:rsid w:val="00044F43"/>
    <w:rsid w:val="0004518E"/>
    <w:rsid w:val="0004611D"/>
    <w:rsid w:val="00046213"/>
    <w:rsid w:val="0004636E"/>
    <w:rsid w:val="00046991"/>
    <w:rsid w:val="000469FB"/>
    <w:rsid w:val="00047346"/>
    <w:rsid w:val="0004775F"/>
    <w:rsid w:val="0004778E"/>
    <w:rsid w:val="000477F7"/>
    <w:rsid w:val="0004781E"/>
    <w:rsid w:val="00047869"/>
    <w:rsid w:val="00047DBD"/>
    <w:rsid w:val="00050739"/>
    <w:rsid w:val="00050930"/>
    <w:rsid w:val="00050BEE"/>
    <w:rsid w:val="00050D05"/>
    <w:rsid w:val="00050D22"/>
    <w:rsid w:val="00050F6E"/>
    <w:rsid w:val="000510B7"/>
    <w:rsid w:val="000514EE"/>
    <w:rsid w:val="00051C09"/>
    <w:rsid w:val="00052171"/>
    <w:rsid w:val="00052A8D"/>
    <w:rsid w:val="00052D1D"/>
    <w:rsid w:val="000536BB"/>
    <w:rsid w:val="00053A6A"/>
    <w:rsid w:val="00053B50"/>
    <w:rsid w:val="00054431"/>
    <w:rsid w:val="000545B5"/>
    <w:rsid w:val="00054660"/>
    <w:rsid w:val="00054A80"/>
    <w:rsid w:val="00054E49"/>
    <w:rsid w:val="0005525C"/>
    <w:rsid w:val="000552C2"/>
    <w:rsid w:val="00055BED"/>
    <w:rsid w:val="000573EF"/>
    <w:rsid w:val="00057882"/>
    <w:rsid w:val="00057A92"/>
    <w:rsid w:val="00057CC7"/>
    <w:rsid w:val="00057D8E"/>
    <w:rsid w:val="0006116D"/>
    <w:rsid w:val="000616D8"/>
    <w:rsid w:val="00061825"/>
    <w:rsid w:val="0006201B"/>
    <w:rsid w:val="0006213C"/>
    <w:rsid w:val="00065822"/>
    <w:rsid w:val="0006590E"/>
    <w:rsid w:val="00065BF1"/>
    <w:rsid w:val="000660D9"/>
    <w:rsid w:val="000662F8"/>
    <w:rsid w:val="0006634F"/>
    <w:rsid w:val="00066401"/>
    <w:rsid w:val="000665E4"/>
    <w:rsid w:val="00066AE7"/>
    <w:rsid w:val="00066C87"/>
    <w:rsid w:val="00067D31"/>
    <w:rsid w:val="00067DBB"/>
    <w:rsid w:val="0007073F"/>
    <w:rsid w:val="000709D8"/>
    <w:rsid w:val="00070A8D"/>
    <w:rsid w:val="00071094"/>
    <w:rsid w:val="00071C85"/>
    <w:rsid w:val="00071DC8"/>
    <w:rsid w:val="00072146"/>
    <w:rsid w:val="0007274D"/>
    <w:rsid w:val="00072A6E"/>
    <w:rsid w:val="0007351D"/>
    <w:rsid w:val="00073534"/>
    <w:rsid w:val="00075131"/>
    <w:rsid w:val="0007517B"/>
    <w:rsid w:val="00075C22"/>
    <w:rsid w:val="000762EA"/>
    <w:rsid w:val="00076649"/>
    <w:rsid w:val="00076816"/>
    <w:rsid w:val="00076998"/>
    <w:rsid w:val="00076B71"/>
    <w:rsid w:val="00076CB4"/>
    <w:rsid w:val="00076D69"/>
    <w:rsid w:val="00076FC6"/>
    <w:rsid w:val="00077162"/>
    <w:rsid w:val="0007746C"/>
    <w:rsid w:val="00077613"/>
    <w:rsid w:val="000778D0"/>
    <w:rsid w:val="00077A14"/>
    <w:rsid w:val="00077ED2"/>
    <w:rsid w:val="00080204"/>
    <w:rsid w:val="00080302"/>
    <w:rsid w:val="00080EA7"/>
    <w:rsid w:val="000811CD"/>
    <w:rsid w:val="00081825"/>
    <w:rsid w:val="00081B2B"/>
    <w:rsid w:val="0008239F"/>
    <w:rsid w:val="0008271B"/>
    <w:rsid w:val="00082852"/>
    <w:rsid w:val="00083B57"/>
    <w:rsid w:val="00083BB0"/>
    <w:rsid w:val="000848EE"/>
    <w:rsid w:val="00084E54"/>
    <w:rsid w:val="00086314"/>
    <w:rsid w:val="000865EA"/>
    <w:rsid w:val="00086E03"/>
    <w:rsid w:val="00087588"/>
    <w:rsid w:val="000878FA"/>
    <w:rsid w:val="000879D7"/>
    <w:rsid w:val="00087A5A"/>
    <w:rsid w:val="00090F1A"/>
    <w:rsid w:val="00090FD8"/>
    <w:rsid w:val="000912EE"/>
    <w:rsid w:val="00091324"/>
    <w:rsid w:val="0009191F"/>
    <w:rsid w:val="00091A8F"/>
    <w:rsid w:val="00092CB3"/>
    <w:rsid w:val="00092CB4"/>
    <w:rsid w:val="00092F82"/>
    <w:rsid w:val="0009397A"/>
    <w:rsid w:val="00093C98"/>
    <w:rsid w:val="00094127"/>
    <w:rsid w:val="000941F2"/>
    <w:rsid w:val="00094244"/>
    <w:rsid w:val="000942A5"/>
    <w:rsid w:val="000944BD"/>
    <w:rsid w:val="00094678"/>
    <w:rsid w:val="000949D3"/>
    <w:rsid w:val="00094AB8"/>
    <w:rsid w:val="000959C7"/>
    <w:rsid w:val="000960C9"/>
    <w:rsid w:val="000961F8"/>
    <w:rsid w:val="00096303"/>
    <w:rsid w:val="000969EE"/>
    <w:rsid w:val="00096F75"/>
    <w:rsid w:val="000976FA"/>
    <w:rsid w:val="00097984"/>
    <w:rsid w:val="00097C54"/>
    <w:rsid w:val="00097E5C"/>
    <w:rsid w:val="00097F72"/>
    <w:rsid w:val="000A00AD"/>
    <w:rsid w:val="000A00D7"/>
    <w:rsid w:val="000A02BC"/>
    <w:rsid w:val="000A02C1"/>
    <w:rsid w:val="000A03BC"/>
    <w:rsid w:val="000A06AD"/>
    <w:rsid w:val="000A07EB"/>
    <w:rsid w:val="000A0ADE"/>
    <w:rsid w:val="000A0D57"/>
    <w:rsid w:val="000A0F6A"/>
    <w:rsid w:val="000A11A1"/>
    <w:rsid w:val="000A12E9"/>
    <w:rsid w:val="000A138C"/>
    <w:rsid w:val="000A15BE"/>
    <w:rsid w:val="000A17E7"/>
    <w:rsid w:val="000A2008"/>
    <w:rsid w:val="000A2018"/>
    <w:rsid w:val="000A3279"/>
    <w:rsid w:val="000A33AE"/>
    <w:rsid w:val="000A3539"/>
    <w:rsid w:val="000A38B5"/>
    <w:rsid w:val="000A3D24"/>
    <w:rsid w:val="000A3FE3"/>
    <w:rsid w:val="000A457A"/>
    <w:rsid w:val="000A4BE8"/>
    <w:rsid w:val="000A5047"/>
    <w:rsid w:val="000A5619"/>
    <w:rsid w:val="000A5642"/>
    <w:rsid w:val="000A6480"/>
    <w:rsid w:val="000A6CBD"/>
    <w:rsid w:val="000A6DC7"/>
    <w:rsid w:val="000A7426"/>
    <w:rsid w:val="000A7ED6"/>
    <w:rsid w:val="000A7F7D"/>
    <w:rsid w:val="000B0AB8"/>
    <w:rsid w:val="000B14BB"/>
    <w:rsid w:val="000B1517"/>
    <w:rsid w:val="000B15F2"/>
    <w:rsid w:val="000B3085"/>
    <w:rsid w:val="000B30F6"/>
    <w:rsid w:val="000B3163"/>
    <w:rsid w:val="000B3311"/>
    <w:rsid w:val="000B3390"/>
    <w:rsid w:val="000B45A4"/>
    <w:rsid w:val="000B4933"/>
    <w:rsid w:val="000B4CE7"/>
    <w:rsid w:val="000B509B"/>
    <w:rsid w:val="000B5305"/>
    <w:rsid w:val="000B56AA"/>
    <w:rsid w:val="000B5E2D"/>
    <w:rsid w:val="000B659D"/>
    <w:rsid w:val="000B6A4B"/>
    <w:rsid w:val="000B7300"/>
    <w:rsid w:val="000B7A09"/>
    <w:rsid w:val="000B7CC2"/>
    <w:rsid w:val="000C08ED"/>
    <w:rsid w:val="000C0F01"/>
    <w:rsid w:val="000C1141"/>
    <w:rsid w:val="000C11FC"/>
    <w:rsid w:val="000C12A1"/>
    <w:rsid w:val="000C197D"/>
    <w:rsid w:val="000C1D11"/>
    <w:rsid w:val="000C1F6C"/>
    <w:rsid w:val="000C202A"/>
    <w:rsid w:val="000C214B"/>
    <w:rsid w:val="000C26BD"/>
    <w:rsid w:val="000C2AAD"/>
    <w:rsid w:val="000C377B"/>
    <w:rsid w:val="000C39FA"/>
    <w:rsid w:val="000C3E5C"/>
    <w:rsid w:val="000C4191"/>
    <w:rsid w:val="000C4440"/>
    <w:rsid w:val="000C509B"/>
    <w:rsid w:val="000C52EF"/>
    <w:rsid w:val="000C55F1"/>
    <w:rsid w:val="000C5682"/>
    <w:rsid w:val="000C5A18"/>
    <w:rsid w:val="000C5E8A"/>
    <w:rsid w:val="000C6610"/>
    <w:rsid w:val="000C66FF"/>
    <w:rsid w:val="000C6B5E"/>
    <w:rsid w:val="000C6CBB"/>
    <w:rsid w:val="000C7639"/>
    <w:rsid w:val="000C7AB3"/>
    <w:rsid w:val="000C7CE5"/>
    <w:rsid w:val="000D015B"/>
    <w:rsid w:val="000D0589"/>
    <w:rsid w:val="000D0F17"/>
    <w:rsid w:val="000D1326"/>
    <w:rsid w:val="000D1341"/>
    <w:rsid w:val="000D1856"/>
    <w:rsid w:val="000D189F"/>
    <w:rsid w:val="000D1F58"/>
    <w:rsid w:val="000D2571"/>
    <w:rsid w:val="000D2E1E"/>
    <w:rsid w:val="000D3248"/>
    <w:rsid w:val="000D354C"/>
    <w:rsid w:val="000D46E9"/>
    <w:rsid w:val="000D4A44"/>
    <w:rsid w:val="000D4F46"/>
    <w:rsid w:val="000D4F9B"/>
    <w:rsid w:val="000D5024"/>
    <w:rsid w:val="000D581E"/>
    <w:rsid w:val="000D6C29"/>
    <w:rsid w:val="000D6D82"/>
    <w:rsid w:val="000D7501"/>
    <w:rsid w:val="000D77D6"/>
    <w:rsid w:val="000D7A83"/>
    <w:rsid w:val="000E00D8"/>
    <w:rsid w:val="000E020B"/>
    <w:rsid w:val="000E049C"/>
    <w:rsid w:val="000E09F9"/>
    <w:rsid w:val="000E0E6A"/>
    <w:rsid w:val="000E14D6"/>
    <w:rsid w:val="000E1706"/>
    <w:rsid w:val="000E1AD0"/>
    <w:rsid w:val="000E1D15"/>
    <w:rsid w:val="000E2210"/>
    <w:rsid w:val="000E2299"/>
    <w:rsid w:val="000E24CB"/>
    <w:rsid w:val="000E262E"/>
    <w:rsid w:val="000E2D37"/>
    <w:rsid w:val="000E2DA0"/>
    <w:rsid w:val="000E3F7E"/>
    <w:rsid w:val="000E5635"/>
    <w:rsid w:val="000E5823"/>
    <w:rsid w:val="000E5914"/>
    <w:rsid w:val="000E5C57"/>
    <w:rsid w:val="000E63CB"/>
    <w:rsid w:val="000E6E81"/>
    <w:rsid w:val="000E7398"/>
    <w:rsid w:val="000E7467"/>
    <w:rsid w:val="000E75F6"/>
    <w:rsid w:val="000E7852"/>
    <w:rsid w:val="000E78B7"/>
    <w:rsid w:val="000E7B26"/>
    <w:rsid w:val="000E7BB3"/>
    <w:rsid w:val="000F1109"/>
    <w:rsid w:val="000F121C"/>
    <w:rsid w:val="000F1443"/>
    <w:rsid w:val="000F1506"/>
    <w:rsid w:val="000F17BF"/>
    <w:rsid w:val="000F17C4"/>
    <w:rsid w:val="000F265A"/>
    <w:rsid w:val="000F2D49"/>
    <w:rsid w:val="000F317C"/>
    <w:rsid w:val="000F370D"/>
    <w:rsid w:val="000F3944"/>
    <w:rsid w:val="000F45F2"/>
    <w:rsid w:val="000F4A26"/>
    <w:rsid w:val="000F5046"/>
    <w:rsid w:val="000F54FD"/>
    <w:rsid w:val="000F578B"/>
    <w:rsid w:val="000F5B53"/>
    <w:rsid w:val="000F60A1"/>
    <w:rsid w:val="000F63EA"/>
    <w:rsid w:val="000F6D1D"/>
    <w:rsid w:val="000F6F19"/>
    <w:rsid w:val="000F7166"/>
    <w:rsid w:val="000F7603"/>
    <w:rsid w:val="00100346"/>
    <w:rsid w:val="0010059E"/>
    <w:rsid w:val="00100B73"/>
    <w:rsid w:val="00101594"/>
    <w:rsid w:val="001015AD"/>
    <w:rsid w:val="0010195C"/>
    <w:rsid w:val="00101F6D"/>
    <w:rsid w:val="00102619"/>
    <w:rsid w:val="00102654"/>
    <w:rsid w:val="001026BD"/>
    <w:rsid w:val="001027FC"/>
    <w:rsid w:val="00102D46"/>
    <w:rsid w:val="00103174"/>
    <w:rsid w:val="001034AA"/>
    <w:rsid w:val="00103F15"/>
    <w:rsid w:val="00104C8F"/>
    <w:rsid w:val="0010505C"/>
    <w:rsid w:val="00105599"/>
    <w:rsid w:val="00106B77"/>
    <w:rsid w:val="0010746C"/>
    <w:rsid w:val="001102D9"/>
    <w:rsid w:val="001109A8"/>
    <w:rsid w:val="0011182D"/>
    <w:rsid w:val="001127AA"/>
    <w:rsid w:val="001128BA"/>
    <w:rsid w:val="00112984"/>
    <w:rsid w:val="001137CF"/>
    <w:rsid w:val="00113893"/>
    <w:rsid w:val="00113CA1"/>
    <w:rsid w:val="00114A2D"/>
    <w:rsid w:val="00114DD2"/>
    <w:rsid w:val="001152B5"/>
    <w:rsid w:val="001153FA"/>
    <w:rsid w:val="00115A43"/>
    <w:rsid w:val="00116E54"/>
    <w:rsid w:val="00116F44"/>
    <w:rsid w:val="001172E9"/>
    <w:rsid w:val="001173A0"/>
    <w:rsid w:val="001173BB"/>
    <w:rsid w:val="00117814"/>
    <w:rsid w:val="0011788F"/>
    <w:rsid w:val="001178E8"/>
    <w:rsid w:val="00117DD5"/>
    <w:rsid w:val="00117E62"/>
    <w:rsid w:val="00120099"/>
    <w:rsid w:val="00120644"/>
    <w:rsid w:val="00121107"/>
    <w:rsid w:val="001216D5"/>
    <w:rsid w:val="001220E3"/>
    <w:rsid w:val="001224ED"/>
    <w:rsid w:val="001224F4"/>
    <w:rsid w:val="00122E09"/>
    <w:rsid w:val="00122E4D"/>
    <w:rsid w:val="00123084"/>
    <w:rsid w:val="00123671"/>
    <w:rsid w:val="0012468F"/>
    <w:rsid w:val="00124B25"/>
    <w:rsid w:val="001250E2"/>
    <w:rsid w:val="001250F1"/>
    <w:rsid w:val="001256E4"/>
    <w:rsid w:val="00125A96"/>
    <w:rsid w:val="001270C0"/>
    <w:rsid w:val="00127261"/>
    <w:rsid w:val="0013025A"/>
    <w:rsid w:val="0013054D"/>
    <w:rsid w:val="00130596"/>
    <w:rsid w:val="00130EDF"/>
    <w:rsid w:val="00131009"/>
    <w:rsid w:val="00132277"/>
    <w:rsid w:val="00132799"/>
    <w:rsid w:val="00132946"/>
    <w:rsid w:val="00132E11"/>
    <w:rsid w:val="00133AFC"/>
    <w:rsid w:val="00133F12"/>
    <w:rsid w:val="00134570"/>
    <w:rsid w:val="00134BB2"/>
    <w:rsid w:val="00135955"/>
    <w:rsid w:val="001364A4"/>
    <w:rsid w:val="00136581"/>
    <w:rsid w:val="00136ECE"/>
    <w:rsid w:val="00137235"/>
    <w:rsid w:val="00137625"/>
    <w:rsid w:val="00140B82"/>
    <w:rsid w:val="00140C1B"/>
    <w:rsid w:val="0014100D"/>
    <w:rsid w:val="00141056"/>
    <w:rsid w:val="00141320"/>
    <w:rsid w:val="001414EE"/>
    <w:rsid w:val="00141925"/>
    <w:rsid w:val="00142008"/>
    <w:rsid w:val="0014201E"/>
    <w:rsid w:val="0014208E"/>
    <w:rsid w:val="00142F4F"/>
    <w:rsid w:val="0014305F"/>
    <w:rsid w:val="001432FA"/>
    <w:rsid w:val="00143840"/>
    <w:rsid w:val="00143EE7"/>
    <w:rsid w:val="00144530"/>
    <w:rsid w:val="001456EC"/>
    <w:rsid w:val="0014612D"/>
    <w:rsid w:val="0014666B"/>
    <w:rsid w:val="00146CDC"/>
    <w:rsid w:val="00146E97"/>
    <w:rsid w:val="0014707C"/>
    <w:rsid w:val="00147168"/>
    <w:rsid w:val="001471E8"/>
    <w:rsid w:val="0014775F"/>
    <w:rsid w:val="00147C03"/>
    <w:rsid w:val="00147E57"/>
    <w:rsid w:val="00150172"/>
    <w:rsid w:val="0015029B"/>
    <w:rsid w:val="00150530"/>
    <w:rsid w:val="00150CDE"/>
    <w:rsid w:val="0015114A"/>
    <w:rsid w:val="00151187"/>
    <w:rsid w:val="00151A0D"/>
    <w:rsid w:val="00152220"/>
    <w:rsid w:val="00152B05"/>
    <w:rsid w:val="00153170"/>
    <w:rsid w:val="0015320A"/>
    <w:rsid w:val="0015398E"/>
    <w:rsid w:val="00153A48"/>
    <w:rsid w:val="00153E20"/>
    <w:rsid w:val="00153F3C"/>
    <w:rsid w:val="001541B2"/>
    <w:rsid w:val="00155081"/>
    <w:rsid w:val="00155355"/>
    <w:rsid w:val="0015561A"/>
    <w:rsid w:val="00155CE8"/>
    <w:rsid w:val="00155E1E"/>
    <w:rsid w:val="00155E9B"/>
    <w:rsid w:val="00156091"/>
    <w:rsid w:val="001561C6"/>
    <w:rsid w:val="0015684F"/>
    <w:rsid w:val="0015752B"/>
    <w:rsid w:val="00157930"/>
    <w:rsid w:val="0015793A"/>
    <w:rsid w:val="00157B7D"/>
    <w:rsid w:val="00157C4F"/>
    <w:rsid w:val="00160AC8"/>
    <w:rsid w:val="001611B3"/>
    <w:rsid w:val="0016142B"/>
    <w:rsid w:val="001619B2"/>
    <w:rsid w:val="00161C6C"/>
    <w:rsid w:val="00161D68"/>
    <w:rsid w:val="00162071"/>
    <w:rsid w:val="00162281"/>
    <w:rsid w:val="00162406"/>
    <w:rsid w:val="00162720"/>
    <w:rsid w:val="00162CBC"/>
    <w:rsid w:val="0016389C"/>
    <w:rsid w:val="00163E2A"/>
    <w:rsid w:val="00163ED8"/>
    <w:rsid w:val="0016409B"/>
    <w:rsid w:val="001646D3"/>
    <w:rsid w:val="00164E5A"/>
    <w:rsid w:val="00165270"/>
    <w:rsid w:val="00165357"/>
    <w:rsid w:val="00165385"/>
    <w:rsid w:val="001659E0"/>
    <w:rsid w:val="00165C21"/>
    <w:rsid w:val="00165E45"/>
    <w:rsid w:val="001668C7"/>
    <w:rsid w:val="00166E39"/>
    <w:rsid w:val="001671FD"/>
    <w:rsid w:val="0016781D"/>
    <w:rsid w:val="0016796D"/>
    <w:rsid w:val="00167F32"/>
    <w:rsid w:val="00170026"/>
    <w:rsid w:val="001706DA"/>
    <w:rsid w:val="00170E3E"/>
    <w:rsid w:val="001719B2"/>
    <w:rsid w:val="00171BEF"/>
    <w:rsid w:val="00171EEA"/>
    <w:rsid w:val="0017222B"/>
    <w:rsid w:val="0017230F"/>
    <w:rsid w:val="001723EC"/>
    <w:rsid w:val="001723FD"/>
    <w:rsid w:val="00172D9A"/>
    <w:rsid w:val="00173554"/>
    <w:rsid w:val="0017381D"/>
    <w:rsid w:val="00173F5C"/>
    <w:rsid w:val="00174283"/>
    <w:rsid w:val="00174706"/>
    <w:rsid w:val="00174899"/>
    <w:rsid w:val="00175482"/>
    <w:rsid w:val="0017552B"/>
    <w:rsid w:val="001762D1"/>
    <w:rsid w:val="00176943"/>
    <w:rsid w:val="00176D72"/>
    <w:rsid w:val="00176F25"/>
    <w:rsid w:val="00176F7A"/>
    <w:rsid w:val="001779C9"/>
    <w:rsid w:val="00177AA5"/>
    <w:rsid w:val="00177D01"/>
    <w:rsid w:val="001800D7"/>
    <w:rsid w:val="00180AF7"/>
    <w:rsid w:val="00181535"/>
    <w:rsid w:val="0018202B"/>
    <w:rsid w:val="001820D5"/>
    <w:rsid w:val="00182C47"/>
    <w:rsid w:val="0018335A"/>
    <w:rsid w:val="00183681"/>
    <w:rsid w:val="001836DE"/>
    <w:rsid w:val="00183C3C"/>
    <w:rsid w:val="00183F06"/>
    <w:rsid w:val="001847EE"/>
    <w:rsid w:val="00185048"/>
    <w:rsid w:val="00185A89"/>
    <w:rsid w:val="00186024"/>
    <w:rsid w:val="00186238"/>
    <w:rsid w:val="0018634E"/>
    <w:rsid w:val="0018638A"/>
    <w:rsid w:val="001866C3"/>
    <w:rsid w:val="00186782"/>
    <w:rsid w:val="00186D0A"/>
    <w:rsid w:val="00186FE8"/>
    <w:rsid w:val="00186FEF"/>
    <w:rsid w:val="0018744A"/>
    <w:rsid w:val="0018791F"/>
    <w:rsid w:val="00187C60"/>
    <w:rsid w:val="00187EC5"/>
    <w:rsid w:val="001908AC"/>
    <w:rsid w:val="0019116E"/>
    <w:rsid w:val="00191741"/>
    <w:rsid w:val="00191969"/>
    <w:rsid w:val="00191BAF"/>
    <w:rsid w:val="00191CD1"/>
    <w:rsid w:val="00191E87"/>
    <w:rsid w:val="00192E88"/>
    <w:rsid w:val="00193416"/>
    <w:rsid w:val="0019356E"/>
    <w:rsid w:val="00193E89"/>
    <w:rsid w:val="00194493"/>
    <w:rsid w:val="00194597"/>
    <w:rsid w:val="001945AB"/>
    <w:rsid w:val="001945D1"/>
    <w:rsid w:val="00194720"/>
    <w:rsid w:val="00194987"/>
    <w:rsid w:val="00195347"/>
    <w:rsid w:val="001954E2"/>
    <w:rsid w:val="0019561D"/>
    <w:rsid w:val="00195CD9"/>
    <w:rsid w:val="001965C7"/>
    <w:rsid w:val="00196E3E"/>
    <w:rsid w:val="001973D5"/>
    <w:rsid w:val="001975DE"/>
    <w:rsid w:val="00197830"/>
    <w:rsid w:val="001979BB"/>
    <w:rsid w:val="00197B9E"/>
    <w:rsid w:val="00197C0E"/>
    <w:rsid w:val="001A0355"/>
    <w:rsid w:val="001A03CC"/>
    <w:rsid w:val="001A046E"/>
    <w:rsid w:val="001A062F"/>
    <w:rsid w:val="001A0670"/>
    <w:rsid w:val="001A0940"/>
    <w:rsid w:val="001A0DE5"/>
    <w:rsid w:val="001A1105"/>
    <w:rsid w:val="001A1183"/>
    <w:rsid w:val="001A14C1"/>
    <w:rsid w:val="001A1B22"/>
    <w:rsid w:val="001A1E22"/>
    <w:rsid w:val="001A21F3"/>
    <w:rsid w:val="001A28AA"/>
    <w:rsid w:val="001A33B2"/>
    <w:rsid w:val="001A357A"/>
    <w:rsid w:val="001A3949"/>
    <w:rsid w:val="001A425C"/>
    <w:rsid w:val="001A42E4"/>
    <w:rsid w:val="001A5681"/>
    <w:rsid w:val="001A58F3"/>
    <w:rsid w:val="001A61CF"/>
    <w:rsid w:val="001A64E3"/>
    <w:rsid w:val="001A6DF6"/>
    <w:rsid w:val="001A6F9B"/>
    <w:rsid w:val="001A7607"/>
    <w:rsid w:val="001A779D"/>
    <w:rsid w:val="001B0867"/>
    <w:rsid w:val="001B1534"/>
    <w:rsid w:val="001B1FAB"/>
    <w:rsid w:val="001B2DC7"/>
    <w:rsid w:val="001B2E2F"/>
    <w:rsid w:val="001B3868"/>
    <w:rsid w:val="001B3989"/>
    <w:rsid w:val="001B3E36"/>
    <w:rsid w:val="001B42D3"/>
    <w:rsid w:val="001B4698"/>
    <w:rsid w:val="001B4954"/>
    <w:rsid w:val="001B49BF"/>
    <w:rsid w:val="001B4A1A"/>
    <w:rsid w:val="001B535B"/>
    <w:rsid w:val="001B61DF"/>
    <w:rsid w:val="001B6358"/>
    <w:rsid w:val="001B66DF"/>
    <w:rsid w:val="001C0506"/>
    <w:rsid w:val="001C0955"/>
    <w:rsid w:val="001C0BCC"/>
    <w:rsid w:val="001C159B"/>
    <w:rsid w:val="001C17F7"/>
    <w:rsid w:val="001C1D38"/>
    <w:rsid w:val="001C1E59"/>
    <w:rsid w:val="001C2FE3"/>
    <w:rsid w:val="001C30F1"/>
    <w:rsid w:val="001C36D9"/>
    <w:rsid w:val="001C37EF"/>
    <w:rsid w:val="001C4244"/>
    <w:rsid w:val="001C4D93"/>
    <w:rsid w:val="001C58B6"/>
    <w:rsid w:val="001C5F50"/>
    <w:rsid w:val="001C7DA2"/>
    <w:rsid w:val="001D0040"/>
    <w:rsid w:val="001D1652"/>
    <w:rsid w:val="001D1BC1"/>
    <w:rsid w:val="001D1C51"/>
    <w:rsid w:val="001D1FF7"/>
    <w:rsid w:val="001D2597"/>
    <w:rsid w:val="001D2B36"/>
    <w:rsid w:val="001D2FCB"/>
    <w:rsid w:val="001D309E"/>
    <w:rsid w:val="001D3473"/>
    <w:rsid w:val="001D38AE"/>
    <w:rsid w:val="001D3F06"/>
    <w:rsid w:val="001D3FCE"/>
    <w:rsid w:val="001D48DB"/>
    <w:rsid w:val="001D4972"/>
    <w:rsid w:val="001D4C0C"/>
    <w:rsid w:val="001D5039"/>
    <w:rsid w:val="001D525C"/>
    <w:rsid w:val="001D6E44"/>
    <w:rsid w:val="001D6F4F"/>
    <w:rsid w:val="001D7508"/>
    <w:rsid w:val="001D76BA"/>
    <w:rsid w:val="001D7716"/>
    <w:rsid w:val="001D787D"/>
    <w:rsid w:val="001D7896"/>
    <w:rsid w:val="001E0E89"/>
    <w:rsid w:val="001E1146"/>
    <w:rsid w:val="001E17F5"/>
    <w:rsid w:val="001E1951"/>
    <w:rsid w:val="001E3653"/>
    <w:rsid w:val="001E3747"/>
    <w:rsid w:val="001E3778"/>
    <w:rsid w:val="001E39F6"/>
    <w:rsid w:val="001E3B03"/>
    <w:rsid w:val="001E41F4"/>
    <w:rsid w:val="001E4976"/>
    <w:rsid w:val="001E4AF8"/>
    <w:rsid w:val="001E55AD"/>
    <w:rsid w:val="001E5E23"/>
    <w:rsid w:val="001E5F8A"/>
    <w:rsid w:val="001E6ABA"/>
    <w:rsid w:val="001E736B"/>
    <w:rsid w:val="001E76BA"/>
    <w:rsid w:val="001E7804"/>
    <w:rsid w:val="001E7BD8"/>
    <w:rsid w:val="001F0101"/>
    <w:rsid w:val="001F0553"/>
    <w:rsid w:val="001F0B36"/>
    <w:rsid w:val="001F0C37"/>
    <w:rsid w:val="001F1718"/>
    <w:rsid w:val="001F206B"/>
    <w:rsid w:val="001F2D6F"/>
    <w:rsid w:val="001F30A3"/>
    <w:rsid w:val="001F31E6"/>
    <w:rsid w:val="001F336F"/>
    <w:rsid w:val="001F33EF"/>
    <w:rsid w:val="001F36C5"/>
    <w:rsid w:val="001F3D62"/>
    <w:rsid w:val="001F4482"/>
    <w:rsid w:val="001F4CE6"/>
    <w:rsid w:val="001F4D5F"/>
    <w:rsid w:val="001F509B"/>
    <w:rsid w:val="001F53FF"/>
    <w:rsid w:val="001F54DD"/>
    <w:rsid w:val="001F5580"/>
    <w:rsid w:val="001F5A7A"/>
    <w:rsid w:val="001F5BD6"/>
    <w:rsid w:val="001F6671"/>
    <w:rsid w:val="001F71DE"/>
    <w:rsid w:val="001F7676"/>
    <w:rsid w:val="001F7CDC"/>
    <w:rsid w:val="00200589"/>
    <w:rsid w:val="00201C59"/>
    <w:rsid w:val="00202F7F"/>
    <w:rsid w:val="0020327F"/>
    <w:rsid w:val="002033F3"/>
    <w:rsid w:val="002039FD"/>
    <w:rsid w:val="00203B06"/>
    <w:rsid w:val="00203B44"/>
    <w:rsid w:val="00203FBA"/>
    <w:rsid w:val="0020430B"/>
    <w:rsid w:val="00204675"/>
    <w:rsid w:val="00204979"/>
    <w:rsid w:val="00204F70"/>
    <w:rsid w:val="00205151"/>
    <w:rsid w:val="002051BD"/>
    <w:rsid w:val="0020555E"/>
    <w:rsid w:val="002059DB"/>
    <w:rsid w:val="002062E5"/>
    <w:rsid w:val="00206372"/>
    <w:rsid w:val="00207568"/>
    <w:rsid w:val="00207706"/>
    <w:rsid w:val="00210589"/>
    <w:rsid w:val="00210DBE"/>
    <w:rsid w:val="00211084"/>
    <w:rsid w:val="00211B1C"/>
    <w:rsid w:val="002126D8"/>
    <w:rsid w:val="002128F5"/>
    <w:rsid w:val="00212AD9"/>
    <w:rsid w:val="00212F2C"/>
    <w:rsid w:val="00212FDD"/>
    <w:rsid w:val="00213102"/>
    <w:rsid w:val="00213266"/>
    <w:rsid w:val="00213F86"/>
    <w:rsid w:val="002142A5"/>
    <w:rsid w:val="00214915"/>
    <w:rsid w:val="00214BB5"/>
    <w:rsid w:val="00214DFB"/>
    <w:rsid w:val="00214E68"/>
    <w:rsid w:val="0021516C"/>
    <w:rsid w:val="002151C3"/>
    <w:rsid w:val="002153DA"/>
    <w:rsid w:val="00215AC2"/>
    <w:rsid w:val="00216154"/>
    <w:rsid w:val="00216392"/>
    <w:rsid w:val="002169E1"/>
    <w:rsid w:val="0021730A"/>
    <w:rsid w:val="002179E8"/>
    <w:rsid w:val="0022067C"/>
    <w:rsid w:val="00220682"/>
    <w:rsid w:val="002220EB"/>
    <w:rsid w:val="002220F9"/>
    <w:rsid w:val="002221F3"/>
    <w:rsid w:val="00222AD9"/>
    <w:rsid w:val="002236DD"/>
    <w:rsid w:val="002242A8"/>
    <w:rsid w:val="002247C6"/>
    <w:rsid w:val="00224A21"/>
    <w:rsid w:val="002259D5"/>
    <w:rsid w:val="00225AAE"/>
    <w:rsid w:val="002260FF"/>
    <w:rsid w:val="00226461"/>
    <w:rsid w:val="0022651A"/>
    <w:rsid w:val="00226658"/>
    <w:rsid w:val="002270B9"/>
    <w:rsid w:val="0023004E"/>
    <w:rsid w:val="00230178"/>
    <w:rsid w:val="002313B6"/>
    <w:rsid w:val="0023148C"/>
    <w:rsid w:val="002317EC"/>
    <w:rsid w:val="00231E07"/>
    <w:rsid w:val="00232A39"/>
    <w:rsid w:val="00232BFD"/>
    <w:rsid w:val="00232D1A"/>
    <w:rsid w:val="00232F27"/>
    <w:rsid w:val="00234567"/>
    <w:rsid w:val="002346B1"/>
    <w:rsid w:val="00234A96"/>
    <w:rsid w:val="00234DA1"/>
    <w:rsid w:val="00234EDC"/>
    <w:rsid w:val="002350B7"/>
    <w:rsid w:val="002354DA"/>
    <w:rsid w:val="0023562A"/>
    <w:rsid w:val="00236B2F"/>
    <w:rsid w:val="00237004"/>
    <w:rsid w:val="0023709E"/>
    <w:rsid w:val="0023776F"/>
    <w:rsid w:val="002403E9"/>
    <w:rsid w:val="00240B29"/>
    <w:rsid w:val="002413BA"/>
    <w:rsid w:val="00241B5E"/>
    <w:rsid w:val="00241CB8"/>
    <w:rsid w:val="002428D6"/>
    <w:rsid w:val="002431B4"/>
    <w:rsid w:val="002436B7"/>
    <w:rsid w:val="00243747"/>
    <w:rsid w:val="00243BEA"/>
    <w:rsid w:val="00243C3A"/>
    <w:rsid w:val="00243D82"/>
    <w:rsid w:val="00244524"/>
    <w:rsid w:val="0024484F"/>
    <w:rsid w:val="00244BFC"/>
    <w:rsid w:val="00244F3F"/>
    <w:rsid w:val="00245370"/>
    <w:rsid w:val="0024590E"/>
    <w:rsid w:val="002459F0"/>
    <w:rsid w:val="0024611D"/>
    <w:rsid w:val="00246879"/>
    <w:rsid w:val="00246A72"/>
    <w:rsid w:val="00247012"/>
    <w:rsid w:val="00247712"/>
    <w:rsid w:val="00250298"/>
    <w:rsid w:val="002503B8"/>
    <w:rsid w:val="00250E0F"/>
    <w:rsid w:val="0025123B"/>
    <w:rsid w:val="00251482"/>
    <w:rsid w:val="00252B47"/>
    <w:rsid w:val="0025304F"/>
    <w:rsid w:val="00253907"/>
    <w:rsid w:val="00253C65"/>
    <w:rsid w:val="00253CD7"/>
    <w:rsid w:val="00254768"/>
    <w:rsid w:val="00254D37"/>
    <w:rsid w:val="00255DF2"/>
    <w:rsid w:val="00257647"/>
    <w:rsid w:val="00257BF8"/>
    <w:rsid w:val="002609CC"/>
    <w:rsid w:val="002611F7"/>
    <w:rsid w:val="0026185E"/>
    <w:rsid w:val="00261B28"/>
    <w:rsid w:val="00261CEF"/>
    <w:rsid w:val="0026207C"/>
    <w:rsid w:val="0026241B"/>
    <w:rsid w:val="00262727"/>
    <w:rsid w:val="002629C7"/>
    <w:rsid w:val="00262CA8"/>
    <w:rsid w:val="0026374B"/>
    <w:rsid w:val="002637FC"/>
    <w:rsid w:val="0026398D"/>
    <w:rsid w:val="00263AB5"/>
    <w:rsid w:val="00263B98"/>
    <w:rsid w:val="0026412E"/>
    <w:rsid w:val="00265B44"/>
    <w:rsid w:val="002663AE"/>
    <w:rsid w:val="00266422"/>
    <w:rsid w:val="00266D50"/>
    <w:rsid w:val="00267E4F"/>
    <w:rsid w:val="0027027A"/>
    <w:rsid w:val="0027087F"/>
    <w:rsid w:val="00270C3D"/>
    <w:rsid w:val="00270F4D"/>
    <w:rsid w:val="002711CC"/>
    <w:rsid w:val="00271BBE"/>
    <w:rsid w:val="00272774"/>
    <w:rsid w:val="00272FE5"/>
    <w:rsid w:val="00273297"/>
    <w:rsid w:val="0027374E"/>
    <w:rsid w:val="00273EC9"/>
    <w:rsid w:val="00274117"/>
    <w:rsid w:val="0027414B"/>
    <w:rsid w:val="002741D0"/>
    <w:rsid w:val="0027439D"/>
    <w:rsid w:val="00275CBE"/>
    <w:rsid w:val="00275CCA"/>
    <w:rsid w:val="0027626E"/>
    <w:rsid w:val="0027698A"/>
    <w:rsid w:val="00276ABE"/>
    <w:rsid w:val="00277446"/>
    <w:rsid w:val="002778CB"/>
    <w:rsid w:val="0028014F"/>
    <w:rsid w:val="00280780"/>
    <w:rsid w:val="00280E30"/>
    <w:rsid w:val="00281033"/>
    <w:rsid w:val="00282005"/>
    <w:rsid w:val="00282075"/>
    <w:rsid w:val="002829CD"/>
    <w:rsid w:val="00282A20"/>
    <w:rsid w:val="00282A66"/>
    <w:rsid w:val="002831D1"/>
    <w:rsid w:val="00283420"/>
    <w:rsid w:val="0028346F"/>
    <w:rsid w:val="00283D43"/>
    <w:rsid w:val="00283D7F"/>
    <w:rsid w:val="00283DA0"/>
    <w:rsid w:val="00284AE3"/>
    <w:rsid w:val="00285308"/>
    <w:rsid w:val="002855D6"/>
    <w:rsid w:val="002856B6"/>
    <w:rsid w:val="00285C0E"/>
    <w:rsid w:val="002862C0"/>
    <w:rsid w:val="0028638B"/>
    <w:rsid w:val="002866B4"/>
    <w:rsid w:val="00286C10"/>
    <w:rsid w:val="00286C63"/>
    <w:rsid w:val="0028723C"/>
    <w:rsid w:val="00287B84"/>
    <w:rsid w:val="00287B8D"/>
    <w:rsid w:val="00287EE3"/>
    <w:rsid w:val="00290207"/>
    <w:rsid w:val="0029119D"/>
    <w:rsid w:val="00291B34"/>
    <w:rsid w:val="00291FB3"/>
    <w:rsid w:val="00292042"/>
    <w:rsid w:val="00292746"/>
    <w:rsid w:val="00292DE5"/>
    <w:rsid w:val="002935EF"/>
    <w:rsid w:val="002938A9"/>
    <w:rsid w:val="00294499"/>
    <w:rsid w:val="002945CA"/>
    <w:rsid w:val="00294D34"/>
    <w:rsid w:val="002950A7"/>
    <w:rsid w:val="0029533F"/>
    <w:rsid w:val="0029535D"/>
    <w:rsid w:val="002956BF"/>
    <w:rsid w:val="00295D53"/>
    <w:rsid w:val="0029600E"/>
    <w:rsid w:val="0029643A"/>
    <w:rsid w:val="00296553"/>
    <w:rsid w:val="00296760"/>
    <w:rsid w:val="00296D9F"/>
    <w:rsid w:val="00296F9F"/>
    <w:rsid w:val="00296FBE"/>
    <w:rsid w:val="002975D7"/>
    <w:rsid w:val="00297AD4"/>
    <w:rsid w:val="00297D6A"/>
    <w:rsid w:val="00297FD8"/>
    <w:rsid w:val="002A02B8"/>
    <w:rsid w:val="002A065B"/>
    <w:rsid w:val="002A09C0"/>
    <w:rsid w:val="002A0C0C"/>
    <w:rsid w:val="002A248E"/>
    <w:rsid w:val="002A293C"/>
    <w:rsid w:val="002A3AAC"/>
    <w:rsid w:val="002A3AD7"/>
    <w:rsid w:val="002A4373"/>
    <w:rsid w:val="002A43C6"/>
    <w:rsid w:val="002A4793"/>
    <w:rsid w:val="002A4AF7"/>
    <w:rsid w:val="002A4BDA"/>
    <w:rsid w:val="002A4C4B"/>
    <w:rsid w:val="002A4E53"/>
    <w:rsid w:val="002A59D9"/>
    <w:rsid w:val="002A5D7A"/>
    <w:rsid w:val="002A61C3"/>
    <w:rsid w:val="002A61E5"/>
    <w:rsid w:val="002A6C19"/>
    <w:rsid w:val="002A6DBF"/>
    <w:rsid w:val="002A6EA2"/>
    <w:rsid w:val="002A7FE8"/>
    <w:rsid w:val="002B000B"/>
    <w:rsid w:val="002B0840"/>
    <w:rsid w:val="002B0CB7"/>
    <w:rsid w:val="002B0FAC"/>
    <w:rsid w:val="002B1359"/>
    <w:rsid w:val="002B1740"/>
    <w:rsid w:val="002B1958"/>
    <w:rsid w:val="002B1BCF"/>
    <w:rsid w:val="002B1DC0"/>
    <w:rsid w:val="002B206A"/>
    <w:rsid w:val="002B257A"/>
    <w:rsid w:val="002B29D2"/>
    <w:rsid w:val="002B2B11"/>
    <w:rsid w:val="002B2BCA"/>
    <w:rsid w:val="002B2DBC"/>
    <w:rsid w:val="002B300E"/>
    <w:rsid w:val="002B348F"/>
    <w:rsid w:val="002B3CB0"/>
    <w:rsid w:val="002B4052"/>
    <w:rsid w:val="002B4512"/>
    <w:rsid w:val="002B45B7"/>
    <w:rsid w:val="002B4BD6"/>
    <w:rsid w:val="002B5603"/>
    <w:rsid w:val="002B582C"/>
    <w:rsid w:val="002B59DE"/>
    <w:rsid w:val="002B62F3"/>
    <w:rsid w:val="002B632E"/>
    <w:rsid w:val="002B6EF8"/>
    <w:rsid w:val="002B6F4D"/>
    <w:rsid w:val="002B7726"/>
    <w:rsid w:val="002B7E70"/>
    <w:rsid w:val="002B7EF7"/>
    <w:rsid w:val="002C060A"/>
    <w:rsid w:val="002C06C3"/>
    <w:rsid w:val="002C0CBB"/>
    <w:rsid w:val="002C0E28"/>
    <w:rsid w:val="002C116A"/>
    <w:rsid w:val="002C1A4F"/>
    <w:rsid w:val="002C217F"/>
    <w:rsid w:val="002C2D33"/>
    <w:rsid w:val="002C309A"/>
    <w:rsid w:val="002C365A"/>
    <w:rsid w:val="002C36D1"/>
    <w:rsid w:val="002C390F"/>
    <w:rsid w:val="002C3E3B"/>
    <w:rsid w:val="002C4312"/>
    <w:rsid w:val="002C4979"/>
    <w:rsid w:val="002C4AC7"/>
    <w:rsid w:val="002C62ED"/>
    <w:rsid w:val="002C687F"/>
    <w:rsid w:val="002C70E3"/>
    <w:rsid w:val="002C7991"/>
    <w:rsid w:val="002D056D"/>
    <w:rsid w:val="002D11A6"/>
    <w:rsid w:val="002D1781"/>
    <w:rsid w:val="002D206E"/>
    <w:rsid w:val="002D2264"/>
    <w:rsid w:val="002D37AF"/>
    <w:rsid w:val="002D3DAE"/>
    <w:rsid w:val="002D4078"/>
    <w:rsid w:val="002D4263"/>
    <w:rsid w:val="002D4B5B"/>
    <w:rsid w:val="002D4C3F"/>
    <w:rsid w:val="002D537B"/>
    <w:rsid w:val="002D5982"/>
    <w:rsid w:val="002D67D1"/>
    <w:rsid w:val="002D7088"/>
    <w:rsid w:val="002D7891"/>
    <w:rsid w:val="002D7B9F"/>
    <w:rsid w:val="002D7E22"/>
    <w:rsid w:val="002E01D8"/>
    <w:rsid w:val="002E0370"/>
    <w:rsid w:val="002E03E1"/>
    <w:rsid w:val="002E085B"/>
    <w:rsid w:val="002E1F52"/>
    <w:rsid w:val="002E21BC"/>
    <w:rsid w:val="002E240D"/>
    <w:rsid w:val="002E29D4"/>
    <w:rsid w:val="002E2A42"/>
    <w:rsid w:val="002E34F0"/>
    <w:rsid w:val="002E3F9B"/>
    <w:rsid w:val="002E45D4"/>
    <w:rsid w:val="002E51C3"/>
    <w:rsid w:val="002E5CC3"/>
    <w:rsid w:val="002E5F7C"/>
    <w:rsid w:val="002E6478"/>
    <w:rsid w:val="002E651B"/>
    <w:rsid w:val="002E65E9"/>
    <w:rsid w:val="002E6987"/>
    <w:rsid w:val="002E6CC6"/>
    <w:rsid w:val="002E6D65"/>
    <w:rsid w:val="002E6FE9"/>
    <w:rsid w:val="002E7088"/>
    <w:rsid w:val="002E758C"/>
    <w:rsid w:val="002E79E0"/>
    <w:rsid w:val="002E7A0D"/>
    <w:rsid w:val="002F033A"/>
    <w:rsid w:val="002F0C8E"/>
    <w:rsid w:val="002F0E0D"/>
    <w:rsid w:val="002F2167"/>
    <w:rsid w:val="002F282F"/>
    <w:rsid w:val="002F30DD"/>
    <w:rsid w:val="002F331A"/>
    <w:rsid w:val="002F3474"/>
    <w:rsid w:val="002F347F"/>
    <w:rsid w:val="002F3880"/>
    <w:rsid w:val="002F38CE"/>
    <w:rsid w:val="002F3B21"/>
    <w:rsid w:val="002F3D88"/>
    <w:rsid w:val="002F3F5C"/>
    <w:rsid w:val="002F4109"/>
    <w:rsid w:val="002F4364"/>
    <w:rsid w:val="002F436B"/>
    <w:rsid w:val="002F465B"/>
    <w:rsid w:val="002F46C6"/>
    <w:rsid w:val="002F4962"/>
    <w:rsid w:val="002F4F66"/>
    <w:rsid w:val="002F544F"/>
    <w:rsid w:val="002F5939"/>
    <w:rsid w:val="002F5EA2"/>
    <w:rsid w:val="002F6F6B"/>
    <w:rsid w:val="002F7294"/>
    <w:rsid w:val="002F7855"/>
    <w:rsid w:val="002F7A75"/>
    <w:rsid w:val="00300740"/>
    <w:rsid w:val="0030104A"/>
    <w:rsid w:val="00301053"/>
    <w:rsid w:val="0030171E"/>
    <w:rsid w:val="003017F8"/>
    <w:rsid w:val="0030182A"/>
    <w:rsid w:val="00301FD6"/>
    <w:rsid w:val="003022C1"/>
    <w:rsid w:val="003024F0"/>
    <w:rsid w:val="003026DC"/>
    <w:rsid w:val="003039B3"/>
    <w:rsid w:val="00303A23"/>
    <w:rsid w:val="00303A52"/>
    <w:rsid w:val="00303E19"/>
    <w:rsid w:val="00304001"/>
    <w:rsid w:val="0030417E"/>
    <w:rsid w:val="0030466B"/>
    <w:rsid w:val="00304CB9"/>
    <w:rsid w:val="00304FFA"/>
    <w:rsid w:val="00305389"/>
    <w:rsid w:val="00305398"/>
    <w:rsid w:val="0030578D"/>
    <w:rsid w:val="003067E9"/>
    <w:rsid w:val="003069B5"/>
    <w:rsid w:val="00307119"/>
    <w:rsid w:val="00307875"/>
    <w:rsid w:val="00307920"/>
    <w:rsid w:val="00307B40"/>
    <w:rsid w:val="00307B81"/>
    <w:rsid w:val="00307E69"/>
    <w:rsid w:val="00310BA2"/>
    <w:rsid w:val="00310EDB"/>
    <w:rsid w:val="00311032"/>
    <w:rsid w:val="0031114C"/>
    <w:rsid w:val="00311191"/>
    <w:rsid w:val="00311920"/>
    <w:rsid w:val="00311A56"/>
    <w:rsid w:val="00311E41"/>
    <w:rsid w:val="00312450"/>
    <w:rsid w:val="00313742"/>
    <w:rsid w:val="00313AF6"/>
    <w:rsid w:val="00313BE1"/>
    <w:rsid w:val="00314C8C"/>
    <w:rsid w:val="0031539C"/>
    <w:rsid w:val="00315FF3"/>
    <w:rsid w:val="00316324"/>
    <w:rsid w:val="00316655"/>
    <w:rsid w:val="0031680B"/>
    <w:rsid w:val="00317161"/>
    <w:rsid w:val="003212C8"/>
    <w:rsid w:val="003220F4"/>
    <w:rsid w:val="00322E42"/>
    <w:rsid w:val="00323352"/>
    <w:rsid w:val="003235F3"/>
    <w:rsid w:val="00323684"/>
    <w:rsid w:val="00323B45"/>
    <w:rsid w:val="00323EE0"/>
    <w:rsid w:val="003247D8"/>
    <w:rsid w:val="00324959"/>
    <w:rsid w:val="0032523C"/>
    <w:rsid w:val="00326BF3"/>
    <w:rsid w:val="00326EAF"/>
    <w:rsid w:val="0032700A"/>
    <w:rsid w:val="0032701C"/>
    <w:rsid w:val="00327480"/>
    <w:rsid w:val="0032754D"/>
    <w:rsid w:val="003277BA"/>
    <w:rsid w:val="00327BFE"/>
    <w:rsid w:val="00327E13"/>
    <w:rsid w:val="00327E9D"/>
    <w:rsid w:val="003301E0"/>
    <w:rsid w:val="003301F1"/>
    <w:rsid w:val="003307A3"/>
    <w:rsid w:val="003317F7"/>
    <w:rsid w:val="00331B21"/>
    <w:rsid w:val="00331BB0"/>
    <w:rsid w:val="00331C92"/>
    <w:rsid w:val="003323F7"/>
    <w:rsid w:val="00332A78"/>
    <w:rsid w:val="00332FC0"/>
    <w:rsid w:val="00333D00"/>
    <w:rsid w:val="00333D4C"/>
    <w:rsid w:val="0033407D"/>
    <w:rsid w:val="003340E5"/>
    <w:rsid w:val="003349AF"/>
    <w:rsid w:val="00334B17"/>
    <w:rsid w:val="00335DE8"/>
    <w:rsid w:val="00335E43"/>
    <w:rsid w:val="00336080"/>
    <w:rsid w:val="00336469"/>
    <w:rsid w:val="003364C9"/>
    <w:rsid w:val="00336C99"/>
    <w:rsid w:val="00336E8F"/>
    <w:rsid w:val="00336F74"/>
    <w:rsid w:val="00337D84"/>
    <w:rsid w:val="0034081E"/>
    <w:rsid w:val="003408A9"/>
    <w:rsid w:val="00340C61"/>
    <w:rsid w:val="00340C77"/>
    <w:rsid w:val="00340D4F"/>
    <w:rsid w:val="00340D5A"/>
    <w:rsid w:val="00341276"/>
    <w:rsid w:val="0034145F"/>
    <w:rsid w:val="0034186A"/>
    <w:rsid w:val="003419DA"/>
    <w:rsid w:val="00342535"/>
    <w:rsid w:val="003429D6"/>
    <w:rsid w:val="0034340A"/>
    <w:rsid w:val="003437F3"/>
    <w:rsid w:val="00343932"/>
    <w:rsid w:val="003439FE"/>
    <w:rsid w:val="003445B8"/>
    <w:rsid w:val="00344C62"/>
    <w:rsid w:val="00345C63"/>
    <w:rsid w:val="00345D6C"/>
    <w:rsid w:val="00345DB2"/>
    <w:rsid w:val="00346069"/>
    <w:rsid w:val="003467F2"/>
    <w:rsid w:val="00346D44"/>
    <w:rsid w:val="003477FE"/>
    <w:rsid w:val="00347A04"/>
    <w:rsid w:val="0035014B"/>
    <w:rsid w:val="00350206"/>
    <w:rsid w:val="003504D0"/>
    <w:rsid w:val="00350C67"/>
    <w:rsid w:val="003513CB"/>
    <w:rsid w:val="00351671"/>
    <w:rsid w:val="00351CDF"/>
    <w:rsid w:val="00351D24"/>
    <w:rsid w:val="003525B2"/>
    <w:rsid w:val="00352BCB"/>
    <w:rsid w:val="003537C7"/>
    <w:rsid w:val="003539D2"/>
    <w:rsid w:val="00354537"/>
    <w:rsid w:val="00355492"/>
    <w:rsid w:val="003556D6"/>
    <w:rsid w:val="00355CF6"/>
    <w:rsid w:val="00355CFF"/>
    <w:rsid w:val="00356892"/>
    <w:rsid w:val="00356E98"/>
    <w:rsid w:val="00357432"/>
    <w:rsid w:val="003574FE"/>
    <w:rsid w:val="00357F33"/>
    <w:rsid w:val="003602A7"/>
    <w:rsid w:val="00360442"/>
    <w:rsid w:val="0036065D"/>
    <w:rsid w:val="00360B32"/>
    <w:rsid w:val="00360EFE"/>
    <w:rsid w:val="00361173"/>
    <w:rsid w:val="003615D8"/>
    <w:rsid w:val="00361625"/>
    <w:rsid w:val="00361A15"/>
    <w:rsid w:val="00362955"/>
    <w:rsid w:val="00362B41"/>
    <w:rsid w:val="0036372C"/>
    <w:rsid w:val="003648E3"/>
    <w:rsid w:val="0036553A"/>
    <w:rsid w:val="00365A6C"/>
    <w:rsid w:val="003662AA"/>
    <w:rsid w:val="003663CA"/>
    <w:rsid w:val="00366567"/>
    <w:rsid w:val="003669AA"/>
    <w:rsid w:val="00366A00"/>
    <w:rsid w:val="003673F0"/>
    <w:rsid w:val="003674E6"/>
    <w:rsid w:val="00367AA3"/>
    <w:rsid w:val="00367B25"/>
    <w:rsid w:val="00370142"/>
    <w:rsid w:val="003701FE"/>
    <w:rsid w:val="00370575"/>
    <w:rsid w:val="00370809"/>
    <w:rsid w:val="00370A71"/>
    <w:rsid w:val="0037168F"/>
    <w:rsid w:val="00371C5B"/>
    <w:rsid w:val="00371CB8"/>
    <w:rsid w:val="0037201D"/>
    <w:rsid w:val="0037211A"/>
    <w:rsid w:val="003722C2"/>
    <w:rsid w:val="00372638"/>
    <w:rsid w:val="00373466"/>
    <w:rsid w:val="0037346F"/>
    <w:rsid w:val="00373A82"/>
    <w:rsid w:val="00374408"/>
    <w:rsid w:val="0037486C"/>
    <w:rsid w:val="0037518A"/>
    <w:rsid w:val="003754D2"/>
    <w:rsid w:val="00375587"/>
    <w:rsid w:val="0037578F"/>
    <w:rsid w:val="00375907"/>
    <w:rsid w:val="003760DF"/>
    <w:rsid w:val="003761FB"/>
    <w:rsid w:val="003766DE"/>
    <w:rsid w:val="00377A0A"/>
    <w:rsid w:val="00377B51"/>
    <w:rsid w:val="00380A7E"/>
    <w:rsid w:val="003811DF"/>
    <w:rsid w:val="003813D0"/>
    <w:rsid w:val="003814E3"/>
    <w:rsid w:val="00381A6C"/>
    <w:rsid w:val="00381D56"/>
    <w:rsid w:val="00381D8C"/>
    <w:rsid w:val="00381D8E"/>
    <w:rsid w:val="00381DF9"/>
    <w:rsid w:val="00382BC0"/>
    <w:rsid w:val="00384D95"/>
    <w:rsid w:val="003858E6"/>
    <w:rsid w:val="0038628C"/>
    <w:rsid w:val="00387234"/>
    <w:rsid w:val="00387469"/>
    <w:rsid w:val="00387959"/>
    <w:rsid w:val="00387D0E"/>
    <w:rsid w:val="0039023D"/>
    <w:rsid w:val="0039026A"/>
    <w:rsid w:val="003902A5"/>
    <w:rsid w:val="0039046D"/>
    <w:rsid w:val="003908C3"/>
    <w:rsid w:val="00390A29"/>
    <w:rsid w:val="00390F33"/>
    <w:rsid w:val="00391094"/>
    <w:rsid w:val="00391411"/>
    <w:rsid w:val="003919C1"/>
    <w:rsid w:val="00391A0C"/>
    <w:rsid w:val="00391C86"/>
    <w:rsid w:val="00391DDE"/>
    <w:rsid w:val="003925A1"/>
    <w:rsid w:val="00392764"/>
    <w:rsid w:val="00392D2E"/>
    <w:rsid w:val="00392D77"/>
    <w:rsid w:val="003932B6"/>
    <w:rsid w:val="00393407"/>
    <w:rsid w:val="0039374A"/>
    <w:rsid w:val="00393847"/>
    <w:rsid w:val="00393B0C"/>
    <w:rsid w:val="00393D9D"/>
    <w:rsid w:val="00393FE2"/>
    <w:rsid w:val="003946E8"/>
    <w:rsid w:val="00394AF7"/>
    <w:rsid w:val="00394C1B"/>
    <w:rsid w:val="0039576B"/>
    <w:rsid w:val="00395E49"/>
    <w:rsid w:val="00395F2A"/>
    <w:rsid w:val="00396F39"/>
    <w:rsid w:val="00397B3D"/>
    <w:rsid w:val="003A0A93"/>
    <w:rsid w:val="003A0C8F"/>
    <w:rsid w:val="003A1240"/>
    <w:rsid w:val="003A152F"/>
    <w:rsid w:val="003A23CA"/>
    <w:rsid w:val="003A2424"/>
    <w:rsid w:val="003A2C52"/>
    <w:rsid w:val="003A2CFB"/>
    <w:rsid w:val="003A2F38"/>
    <w:rsid w:val="003A3A85"/>
    <w:rsid w:val="003A3AC9"/>
    <w:rsid w:val="003A3D43"/>
    <w:rsid w:val="003A5604"/>
    <w:rsid w:val="003A5A5F"/>
    <w:rsid w:val="003A5DBD"/>
    <w:rsid w:val="003A5E5A"/>
    <w:rsid w:val="003A6648"/>
    <w:rsid w:val="003A6D3C"/>
    <w:rsid w:val="003A6E0F"/>
    <w:rsid w:val="003A6E92"/>
    <w:rsid w:val="003A6F0C"/>
    <w:rsid w:val="003A6FE4"/>
    <w:rsid w:val="003A7277"/>
    <w:rsid w:val="003A77F1"/>
    <w:rsid w:val="003A7965"/>
    <w:rsid w:val="003B11E1"/>
    <w:rsid w:val="003B1EC7"/>
    <w:rsid w:val="003B202B"/>
    <w:rsid w:val="003B24C9"/>
    <w:rsid w:val="003B2CC8"/>
    <w:rsid w:val="003B3B01"/>
    <w:rsid w:val="003B3EA5"/>
    <w:rsid w:val="003B434E"/>
    <w:rsid w:val="003B463F"/>
    <w:rsid w:val="003B48F8"/>
    <w:rsid w:val="003B4D46"/>
    <w:rsid w:val="003B5AE4"/>
    <w:rsid w:val="003B6297"/>
    <w:rsid w:val="003B77EE"/>
    <w:rsid w:val="003B7AD5"/>
    <w:rsid w:val="003B7CB5"/>
    <w:rsid w:val="003C04B9"/>
    <w:rsid w:val="003C05B1"/>
    <w:rsid w:val="003C0BBE"/>
    <w:rsid w:val="003C0F70"/>
    <w:rsid w:val="003C104E"/>
    <w:rsid w:val="003C1892"/>
    <w:rsid w:val="003C18A2"/>
    <w:rsid w:val="003C2188"/>
    <w:rsid w:val="003C2ADF"/>
    <w:rsid w:val="003C3B8E"/>
    <w:rsid w:val="003C4179"/>
    <w:rsid w:val="003C4322"/>
    <w:rsid w:val="003C432D"/>
    <w:rsid w:val="003C44F2"/>
    <w:rsid w:val="003C5ACA"/>
    <w:rsid w:val="003C5D45"/>
    <w:rsid w:val="003C63FD"/>
    <w:rsid w:val="003C6A85"/>
    <w:rsid w:val="003C7104"/>
    <w:rsid w:val="003C7DA1"/>
    <w:rsid w:val="003D00F0"/>
    <w:rsid w:val="003D012B"/>
    <w:rsid w:val="003D03FD"/>
    <w:rsid w:val="003D1287"/>
    <w:rsid w:val="003D1F9D"/>
    <w:rsid w:val="003D24C4"/>
    <w:rsid w:val="003D256E"/>
    <w:rsid w:val="003D2981"/>
    <w:rsid w:val="003D2EC1"/>
    <w:rsid w:val="003D328E"/>
    <w:rsid w:val="003D39E6"/>
    <w:rsid w:val="003D3BB5"/>
    <w:rsid w:val="003D4029"/>
    <w:rsid w:val="003D43BF"/>
    <w:rsid w:val="003D4435"/>
    <w:rsid w:val="003D4A8C"/>
    <w:rsid w:val="003D505B"/>
    <w:rsid w:val="003D5BA9"/>
    <w:rsid w:val="003D5BD4"/>
    <w:rsid w:val="003D5C04"/>
    <w:rsid w:val="003D5C50"/>
    <w:rsid w:val="003D61B7"/>
    <w:rsid w:val="003D6BE9"/>
    <w:rsid w:val="003D7561"/>
    <w:rsid w:val="003D768D"/>
    <w:rsid w:val="003D76F7"/>
    <w:rsid w:val="003D7E81"/>
    <w:rsid w:val="003D7FBA"/>
    <w:rsid w:val="003E1124"/>
    <w:rsid w:val="003E1143"/>
    <w:rsid w:val="003E1986"/>
    <w:rsid w:val="003E1BD6"/>
    <w:rsid w:val="003E1FA6"/>
    <w:rsid w:val="003E26F8"/>
    <w:rsid w:val="003E2826"/>
    <w:rsid w:val="003E3870"/>
    <w:rsid w:val="003E3AB1"/>
    <w:rsid w:val="003E3D8D"/>
    <w:rsid w:val="003E3FAE"/>
    <w:rsid w:val="003E42C7"/>
    <w:rsid w:val="003E4427"/>
    <w:rsid w:val="003E49E1"/>
    <w:rsid w:val="003E5137"/>
    <w:rsid w:val="003E572C"/>
    <w:rsid w:val="003E57C3"/>
    <w:rsid w:val="003E58F1"/>
    <w:rsid w:val="003E63BB"/>
    <w:rsid w:val="003E6400"/>
    <w:rsid w:val="003E7D64"/>
    <w:rsid w:val="003E7F5D"/>
    <w:rsid w:val="003F052C"/>
    <w:rsid w:val="003F0B71"/>
    <w:rsid w:val="003F0F46"/>
    <w:rsid w:val="003F0F53"/>
    <w:rsid w:val="003F108E"/>
    <w:rsid w:val="003F1352"/>
    <w:rsid w:val="003F13D9"/>
    <w:rsid w:val="003F1BCC"/>
    <w:rsid w:val="003F1C66"/>
    <w:rsid w:val="003F1E1F"/>
    <w:rsid w:val="003F275B"/>
    <w:rsid w:val="003F2A40"/>
    <w:rsid w:val="003F30BF"/>
    <w:rsid w:val="003F37F2"/>
    <w:rsid w:val="003F3AE4"/>
    <w:rsid w:val="003F4003"/>
    <w:rsid w:val="003F40C8"/>
    <w:rsid w:val="003F419C"/>
    <w:rsid w:val="003F4584"/>
    <w:rsid w:val="003F4C68"/>
    <w:rsid w:val="003F4F63"/>
    <w:rsid w:val="003F5188"/>
    <w:rsid w:val="003F5376"/>
    <w:rsid w:val="003F55CC"/>
    <w:rsid w:val="003F57E5"/>
    <w:rsid w:val="003F6D2E"/>
    <w:rsid w:val="003F6D88"/>
    <w:rsid w:val="003F7B36"/>
    <w:rsid w:val="004012B2"/>
    <w:rsid w:val="0040173B"/>
    <w:rsid w:val="00401AFB"/>
    <w:rsid w:val="004021E7"/>
    <w:rsid w:val="00402B29"/>
    <w:rsid w:val="00402D68"/>
    <w:rsid w:val="00402F3A"/>
    <w:rsid w:val="00402FBA"/>
    <w:rsid w:val="00403470"/>
    <w:rsid w:val="0040382B"/>
    <w:rsid w:val="00403927"/>
    <w:rsid w:val="00403D6C"/>
    <w:rsid w:val="004046D1"/>
    <w:rsid w:val="00404C8C"/>
    <w:rsid w:val="00404CCA"/>
    <w:rsid w:val="00405098"/>
    <w:rsid w:val="0040515C"/>
    <w:rsid w:val="0040527D"/>
    <w:rsid w:val="00406C4D"/>
    <w:rsid w:val="00407316"/>
    <w:rsid w:val="00407A6C"/>
    <w:rsid w:val="00407BC5"/>
    <w:rsid w:val="00407F08"/>
    <w:rsid w:val="004100D3"/>
    <w:rsid w:val="00410604"/>
    <w:rsid w:val="004106F8"/>
    <w:rsid w:val="00410748"/>
    <w:rsid w:val="004108AB"/>
    <w:rsid w:val="00411C35"/>
    <w:rsid w:val="0041225D"/>
    <w:rsid w:val="00412985"/>
    <w:rsid w:val="00412AD3"/>
    <w:rsid w:val="004130D5"/>
    <w:rsid w:val="00413495"/>
    <w:rsid w:val="00413FF9"/>
    <w:rsid w:val="0041469E"/>
    <w:rsid w:val="00414743"/>
    <w:rsid w:val="004147FD"/>
    <w:rsid w:val="0041480F"/>
    <w:rsid w:val="004148E6"/>
    <w:rsid w:val="004149A7"/>
    <w:rsid w:val="0041501B"/>
    <w:rsid w:val="004153EE"/>
    <w:rsid w:val="00415E0B"/>
    <w:rsid w:val="00415E62"/>
    <w:rsid w:val="0041605E"/>
    <w:rsid w:val="004167AC"/>
    <w:rsid w:val="004177F9"/>
    <w:rsid w:val="004200AD"/>
    <w:rsid w:val="004227CB"/>
    <w:rsid w:val="00422B3A"/>
    <w:rsid w:val="0042304B"/>
    <w:rsid w:val="0042333C"/>
    <w:rsid w:val="004237BD"/>
    <w:rsid w:val="004240C6"/>
    <w:rsid w:val="004241F8"/>
    <w:rsid w:val="004246DB"/>
    <w:rsid w:val="00424EDD"/>
    <w:rsid w:val="004254FA"/>
    <w:rsid w:val="0042590F"/>
    <w:rsid w:val="00425D71"/>
    <w:rsid w:val="0042651A"/>
    <w:rsid w:val="00427356"/>
    <w:rsid w:val="00427731"/>
    <w:rsid w:val="00430981"/>
    <w:rsid w:val="00430B5D"/>
    <w:rsid w:val="00430B69"/>
    <w:rsid w:val="004317D2"/>
    <w:rsid w:val="00432885"/>
    <w:rsid w:val="00433F42"/>
    <w:rsid w:val="00434205"/>
    <w:rsid w:val="00434386"/>
    <w:rsid w:val="004346BB"/>
    <w:rsid w:val="004348CF"/>
    <w:rsid w:val="004349E4"/>
    <w:rsid w:val="00434C15"/>
    <w:rsid w:val="00434ECE"/>
    <w:rsid w:val="00435124"/>
    <w:rsid w:val="004354D5"/>
    <w:rsid w:val="00435C10"/>
    <w:rsid w:val="0043632C"/>
    <w:rsid w:val="00436590"/>
    <w:rsid w:val="00436CF9"/>
    <w:rsid w:val="00437884"/>
    <w:rsid w:val="0044024F"/>
    <w:rsid w:val="00440798"/>
    <w:rsid w:val="004407C8"/>
    <w:rsid w:val="004408BB"/>
    <w:rsid w:val="00440C8D"/>
    <w:rsid w:val="00440EBE"/>
    <w:rsid w:val="0044121C"/>
    <w:rsid w:val="00441542"/>
    <w:rsid w:val="00441B9B"/>
    <w:rsid w:val="004431C8"/>
    <w:rsid w:val="0044340F"/>
    <w:rsid w:val="00443644"/>
    <w:rsid w:val="004441DE"/>
    <w:rsid w:val="004442F8"/>
    <w:rsid w:val="0044473A"/>
    <w:rsid w:val="00444892"/>
    <w:rsid w:val="004450A3"/>
    <w:rsid w:val="00445C2C"/>
    <w:rsid w:val="00445D6E"/>
    <w:rsid w:val="00446525"/>
    <w:rsid w:val="004465A2"/>
    <w:rsid w:val="00446D95"/>
    <w:rsid w:val="004473CF"/>
    <w:rsid w:val="004479E5"/>
    <w:rsid w:val="00450E6B"/>
    <w:rsid w:val="00450F74"/>
    <w:rsid w:val="00450FA4"/>
    <w:rsid w:val="004510E8"/>
    <w:rsid w:val="004511AC"/>
    <w:rsid w:val="004515FC"/>
    <w:rsid w:val="00451A5A"/>
    <w:rsid w:val="00452057"/>
    <w:rsid w:val="004520AE"/>
    <w:rsid w:val="00452BBF"/>
    <w:rsid w:val="00452BFB"/>
    <w:rsid w:val="00453A60"/>
    <w:rsid w:val="00453C7A"/>
    <w:rsid w:val="00453E23"/>
    <w:rsid w:val="0045442B"/>
    <w:rsid w:val="00454B31"/>
    <w:rsid w:val="004553B9"/>
    <w:rsid w:val="00455466"/>
    <w:rsid w:val="004562A2"/>
    <w:rsid w:val="004566D7"/>
    <w:rsid w:val="00456768"/>
    <w:rsid w:val="00457019"/>
    <w:rsid w:val="00457DF4"/>
    <w:rsid w:val="004600C2"/>
    <w:rsid w:val="0046071B"/>
    <w:rsid w:val="00460927"/>
    <w:rsid w:val="00460BED"/>
    <w:rsid w:val="00460E66"/>
    <w:rsid w:val="004611B3"/>
    <w:rsid w:val="00461B55"/>
    <w:rsid w:val="00461EAA"/>
    <w:rsid w:val="00461FFC"/>
    <w:rsid w:val="004621A4"/>
    <w:rsid w:val="004622AE"/>
    <w:rsid w:val="00462381"/>
    <w:rsid w:val="00462AC0"/>
    <w:rsid w:val="00463505"/>
    <w:rsid w:val="00463815"/>
    <w:rsid w:val="00463957"/>
    <w:rsid w:val="004639FD"/>
    <w:rsid w:val="004640CA"/>
    <w:rsid w:val="00464515"/>
    <w:rsid w:val="00465433"/>
    <w:rsid w:val="00465508"/>
    <w:rsid w:val="00465BAE"/>
    <w:rsid w:val="00466426"/>
    <w:rsid w:val="00466E93"/>
    <w:rsid w:val="00466F30"/>
    <w:rsid w:val="00467040"/>
    <w:rsid w:val="00467380"/>
    <w:rsid w:val="0046741E"/>
    <w:rsid w:val="0046764A"/>
    <w:rsid w:val="004677D9"/>
    <w:rsid w:val="00467EFF"/>
    <w:rsid w:val="0047069D"/>
    <w:rsid w:val="0047072D"/>
    <w:rsid w:val="004711AB"/>
    <w:rsid w:val="0047140F"/>
    <w:rsid w:val="004719E7"/>
    <w:rsid w:val="004724AD"/>
    <w:rsid w:val="0047273F"/>
    <w:rsid w:val="00472D11"/>
    <w:rsid w:val="00472F62"/>
    <w:rsid w:val="004731B9"/>
    <w:rsid w:val="004738F2"/>
    <w:rsid w:val="0047397D"/>
    <w:rsid w:val="00474FF9"/>
    <w:rsid w:val="00475E1E"/>
    <w:rsid w:val="00475EF4"/>
    <w:rsid w:val="00475FB4"/>
    <w:rsid w:val="00475FC9"/>
    <w:rsid w:val="004760BD"/>
    <w:rsid w:val="00476204"/>
    <w:rsid w:val="004765D2"/>
    <w:rsid w:val="00476AA0"/>
    <w:rsid w:val="00477253"/>
    <w:rsid w:val="00477380"/>
    <w:rsid w:val="00477C30"/>
    <w:rsid w:val="00480126"/>
    <w:rsid w:val="0048047D"/>
    <w:rsid w:val="00481094"/>
    <w:rsid w:val="004817B5"/>
    <w:rsid w:val="00481830"/>
    <w:rsid w:val="0048316A"/>
    <w:rsid w:val="00483D56"/>
    <w:rsid w:val="00483E7B"/>
    <w:rsid w:val="00484257"/>
    <w:rsid w:val="00484410"/>
    <w:rsid w:val="0048454F"/>
    <w:rsid w:val="004847BE"/>
    <w:rsid w:val="00484A6A"/>
    <w:rsid w:val="0048514A"/>
    <w:rsid w:val="00485213"/>
    <w:rsid w:val="00485CB7"/>
    <w:rsid w:val="0048606E"/>
    <w:rsid w:val="004861BC"/>
    <w:rsid w:val="00486328"/>
    <w:rsid w:val="00486F59"/>
    <w:rsid w:val="004872FA"/>
    <w:rsid w:val="0048791F"/>
    <w:rsid w:val="00487D0B"/>
    <w:rsid w:val="004902AD"/>
    <w:rsid w:val="004910F7"/>
    <w:rsid w:val="0049130F"/>
    <w:rsid w:val="0049151B"/>
    <w:rsid w:val="004917E4"/>
    <w:rsid w:val="004922A8"/>
    <w:rsid w:val="00492EEC"/>
    <w:rsid w:val="00493013"/>
    <w:rsid w:val="00493037"/>
    <w:rsid w:val="0049309A"/>
    <w:rsid w:val="0049322C"/>
    <w:rsid w:val="00493635"/>
    <w:rsid w:val="0049395D"/>
    <w:rsid w:val="00493974"/>
    <w:rsid w:val="00493C2A"/>
    <w:rsid w:val="004949AC"/>
    <w:rsid w:val="00494D23"/>
    <w:rsid w:val="00495753"/>
    <w:rsid w:val="004961F6"/>
    <w:rsid w:val="004962D0"/>
    <w:rsid w:val="004966C2"/>
    <w:rsid w:val="00496705"/>
    <w:rsid w:val="00497114"/>
    <w:rsid w:val="00497643"/>
    <w:rsid w:val="00497983"/>
    <w:rsid w:val="004A074C"/>
    <w:rsid w:val="004A0814"/>
    <w:rsid w:val="004A100B"/>
    <w:rsid w:val="004A140C"/>
    <w:rsid w:val="004A1913"/>
    <w:rsid w:val="004A1F28"/>
    <w:rsid w:val="004A1F58"/>
    <w:rsid w:val="004A21D1"/>
    <w:rsid w:val="004A257E"/>
    <w:rsid w:val="004A2C7E"/>
    <w:rsid w:val="004A322B"/>
    <w:rsid w:val="004A3448"/>
    <w:rsid w:val="004A3E60"/>
    <w:rsid w:val="004A413D"/>
    <w:rsid w:val="004A42E5"/>
    <w:rsid w:val="004A4B3C"/>
    <w:rsid w:val="004A4CD7"/>
    <w:rsid w:val="004A5409"/>
    <w:rsid w:val="004A5C5B"/>
    <w:rsid w:val="004A5F90"/>
    <w:rsid w:val="004A6025"/>
    <w:rsid w:val="004A6303"/>
    <w:rsid w:val="004A640E"/>
    <w:rsid w:val="004A6954"/>
    <w:rsid w:val="004A6AEC"/>
    <w:rsid w:val="004A7765"/>
    <w:rsid w:val="004A7A71"/>
    <w:rsid w:val="004B01B4"/>
    <w:rsid w:val="004B01F0"/>
    <w:rsid w:val="004B021D"/>
    <w:rsid w:val="004B0616"/>
    <w:rsid w:val="004B0964"/>
    <w:rsid w:val="004B13A3"/>
    <w:rsid w:val="004B1909"/>
    <w:rsid w:val="004B2391"/>
    <w:rsid w:val="004B26EB"/>
    <w:rsid w:val="004B27A6"/>
    <w:rsid w:val="004B2AEA"/>
    <w:rsid w:val="004B2BBB"/>
    <w:rsid w:val="004B3475"/>
    <w:rsid w:val="004B3B99"/>
    <w:rsid w:val="004B3C8A"/>
    <w:rsid w:val="004B3CE7"/>
    <w:rsid w:val="004B4A9D"/>
    <w:rsid w:val="004B4BA5"/>
    <w:rsid w:val="004B4FB2"/>
    <w:rsid w:val="004B517A"/>
    <w:rsid w:val="004B52F9"/>
    <w:rsid w:val="004B5561"/>
    <w:rsid w:val="004B5990"/>
    <w:rsid w:val="004B5998"/>
    <w:rsid w:val="004B5C93"/>
    <w:rsid w:val="004B630A"/>
    <w:rsid w:val="004B632B"/>
    <w:rsid w:val="004B6725"/>
    <w:rsid w:val="004C03AF"/>
    <w:rsid w:val="004C03EA"/>
    <w:rsid w:val="004C0D47"/>
    <w:rsid w:val="004C131E"/>
    <w:rsid w:val="004C235A"/>
    <w:rsid w:val="004C2A5F"/>
    <w:rsid w:val="004C2B4C"/>
    <w:rsid w:val="004C393D"/>
    <w:rsid w:val="004C397E"/>
    <w:rsid w:val="004C3984"/>
    <w:rsid w:val="004C45DD"/>
    <w:rsid w:val="004C46D9"/>
    <w:rsid w:val="004C4C45"/>
    <w:rsid w:val="004C4DBB"/>
    <w:rsid w:val="004C4FF9"/>
    <w:rsid w:val="004C523E"/>
    <w:rsid w:val="004C55B9"/>
    <w:rsid w:val="004C55EE"/>
    <w:rsid w:val="004C5AE5"/>
    <w:rsid w:val="004C6537"/>
    <w:rsid w:val="004C692E"/>
    <w:rsid w:val="004C6FEA"/>
    <w:rsid w:val="004C70B7"/>
    <w:rsid w:val="004C7125"/>
    <w:rsid w:val="004C7AB8"/>
    <w:rsid w:val="004D091D"/>
    <w:rsid w:val="004D1000"/>
    <w:rsid w:val="004D1AAD"/>
    <w:rsid w:val="004D1DA9"/>
    <w:rsid w:val="004D320B"/>
    <w:rsid w:val="004D3A83"/>
    <w:rsid w:val="004D3FD8"/>
    <w:rsid w:val="004D4A62"/>
    <w:rsid w:val="004D4FFB"/>
    <w:rsid w:val="004D5C4B"/>
    <w:rsid w:val="004D6473"/>
    <w:rsid w:val="004D6B77"/>
    <w:rsid w:val="004D6C66"/>
    <w:rsid w:val="004D7CBF"/>
    <w:rsid w:val="004E0E84"/>
    <w:rsid w:val="004E11D6"/>
    <w:rsid w:val="004E1414"/>
    <w:rsid w:val="004E15E7"/>
    <w:rsid w:val="004E1A4D"/>
    <w:rsid w:val="004E2C62"/>
    <w:rsid w:val="004E3AFE"/>
    <w:rsid w:val="004E42D2"/>
    <w:rsid w:val="004E4B87"/>
    <w:rsid w:val="004E4C69"/>
    <w:rsid w:val="004E4C8E"/>
    <w:rsid w:val="004E4D09"/>
    <w:rsid w:val="004E50C7"/>
    <w:rsid w:val="004E53E3"/>
    <w:rsid w:val="004E55FA"/>
    <w:rsid w:val="004E56FB"/>
    <w:rsid w:val="004E591D"/>
    <w:rsid w:val="004E5CE3"/>
    <w:rsid w:val="004E5EC0"/>
    <w:rsid w:val="004E6302"/>
    <w:rsid w:val="004E6597"/>
    <w:rsid w:val="004E7277"/>
    <w:rsid w:val="004E7D89"/>
    <w:rsid w:val="004F061B"/>
    <w:rsid w:val="004F2979"/>
    <w:rsid w:val="004F2F5D"/>
    <w:rsid w:val="004F2FD7"/>
    <w:rsid w:val="004F3559"/>
    <w:rsid w:val="004F3690"/>
    <w:rsid w:val="004F3692"/>
    <w:rsid w:val="004F37EA"/>
    <w:rsid w:val="004F38AC"/>
    <w:rsid w:val="004F3C37"/>
    <w:rsid w:val="004F416F"/>
    <w:rsid w:val="004F4985"/>
    <w:rsid w:val="004F5330"/>
    <w:rsid w:val="004F5F1E"/>
    <w:rsid w:val="004F667F"/>
    <w:rsid w:val="004F6B49"/>
    <w:rsid w:val="004F7183"/>
    <w:rsid w:val="004F72CB"/>
    <w:rsid w:val="004F76E7"/>
    <w:rsid w:val="004F7D09"/>
    <w:rsid w:val="004F7E6F"/>
    <w:rsid w:val="004F7F36"/>
    <w:rsid w:val="005000EC"/>
    <w:rsid w:val="0050011F"/>
    <w:rsid w:val="00501683"/>
    <w:rsid w:val="00501CAD"/>
    <w:rsid w:val="00502A64"/>
    <w:rsid w:val="0050331F"/>
    <w:rsid w:val="005041B9"/>
    <w:rsid w:val="00504C5F"/>
    <w:rsid w:val="00504E12"/>
    <w:rsid w:val="005055B3"/>
    <w:rsid w:val="005060FC"/>
    <w:rsid w:val="0050617C"/>
    <w:rsid w:val="00507234"/>
    <w:rsid w:val="00507C6B"/>
    <w:rsid w:val="0051016F"/>
    <w:rsid w:val="005101B2"/>
    <w:rsid w:val="005105D7"/>
    <w:rsid w:val="005115DF"/>
    <w:rsid w:val="00511C92"/>
    <w:rsid w:val="005121AE"/>
    <w:rsid w:val="00512571"/>
    <w:rsid w:val="0051299C"/>
    <w:rsid w:val="00512C42"/>
    <w:rsid w:val="00512C5A"/>
    <w:rsid w:val="00512EE5"/>
    <w:rsid w:val="005135A0"/>
    <w:rsid w:val="005139AB"/>
    <w:rsid w:val="00514418"/>
    <w:rsid w:val="00514509"/>
    <w:rsid w:val="0051590B"/>
    <w:rsid w:val="00515B48"/>
    <w:rsid w:val="00516700"/>
    <w:rsid w:val="005168B3"/>
    <w:rsid w:val="00516BDD"/>
    <w:rsid w:val="00517A93"/>
    <w:rsid w:val="00517DC1"/>
    <w:rsid w:val="00520078"/>
    <w:rsid w:val="0052015E"/>
    <w:rsid w:val="00520786"/>
    <w:rsid w:val="00520A28"/>
    <w:rsid w:val="00520E6B"/>
    <w:rsid w:val="00521171"/>
    <w:rsid w:val="0052207F"/>
    <w:rsid w:val="005223A5"/>
    <w:rsid w:val="00522464"/>
    <w:rsid w:val="0052275C"/>
    <w:rsid w:val="00522C8A"/>
    <w:rsid w:val="00522E63"/>
    <w:rsid w:val="0052419A"/>
    <w:rsid w:val="00524678"/>
    <w:rsid w:val="00524702"/>
    <w:rsid w:val="00524DBB"/>
    <w:rsid w:val="00525247"/>
    <w:rsid w:val="0052535E"/>
    <w:rsid w:val="0052577C"/>
    <w:rsid w:val="00525BAA"/>
    <w:rsid w:val="005263A1"/>
    <w:rsid w:val="00526E3B"/>
    <w:rsid w:val="00526F02"/>
    <w:rsid w:val="005275CE"/>
    <w:rsid w:val="00527CDF"/>
    <w:rsid w:val="0053050C"/>
    <w:rsid w:val="00530AF1"/>
    <w:rsid w:val="00530B35"/>
    <w:rsid w:val="00530C1C"/>
    <w:rsid w:val="00530CE0"/>
    <w:rsid w:val="00530D19"/>
    <w:rsid w:val="00531CF4"/>
    <w:rsid w:val="00531DB7"/>
    <w:rsid w:val="005328CD"/>
    <w:rsid w:val="00532AE9"/>
    <w:rsid w:val="00533236"/>
    <w:rsid w:val="00533779"/>
    <w:rsid w:val="00533C2E"/>
    <w:rsid w:val="00533F58"/>
    <w:rsid w:val="005349CA"/>
    <w:rsid w:val="00534F2E"/>
    <w:rsid w:val="005354E0"/>
    <w:rsid w:val="00536911"/>
    <w:rsid w:val="00536ACE"/>
    <w:rsid w:val="00536F41"/>
    <w:rsid w:val="005371A9"/>
    <w:rsid w:val="005371FF"/>
    <w:rsid w:val="00537227"/>
    <w:rsid w:val="005404FC"/>
    <w:rsid w:val="00540614"/>
    <w:rsid w:val="005407A1"/>
    <w:rsid w:val="005410A4"/>
    <w:rsid w:val="005413B6"/>
    <w:rsid w:val="005413D5"/>
    <w:rsid w:val="005415FA"/>
    <w:rsid w:val="00541675"/>
    <w:rsid w:val="00541822"/>
    <w:rsid w:val="005425E1"/>
    <w:rsid w:val="00542853"/>
    <w:rsid w:val="00542C3E"/>
    <w:rsid w:val="00542F17"/>
    <w:rsid w:val="00542F54"/>
    <w:rsid w:val="00543D10"/>
    <w:rsid w:val="005448BD"/>
    <w:rsid w:val="0054497C"/>
    <w:rsid w:val="00544A09"/>
    <w:rsid w:val="00544BD9"/>
    <w:rsid w:val="00545296"/>
    <w:rsid w:val="005453AD"/>
    <w:rsid w:val="0054544E"/>
    <w:rsid w:val="00545CEB"/>
    <w:rsid w:val="005461C1"/>
    <w:rsid w:val="00547F18"/>
    <w:rsid w:val="0055003B"/>
    <w:rsid w:val="005501E2"/>
    <w:rsid w:val="005505A9"/>
    <w:rsid w:val="005506AB"/>
    <w:rsid w:val="00551AAB"/>
    <w:rsid w:val="00551BE0"/>
    <w:rsid w:val="00552353"/>
    <w:rsid w:val="0055288D"/>
    <w:rsid w:val="00552B8F"/>
    <w:rsid w:val="00552D54"/>
    <w:rsid w:val="00553575"/>
    <w:rsid w:val="00553A0B"/>
    <w:rsid w:val="00553A5F"/>
    <w:rsid w:val="00553CAF"/>
    <w:rsid w:val="00553E0A"/>
    <w:rsid w:val="00554048"/>
    <w:rsid w:val="00554C13"/>
    <w:rsid w:val="00554C22"/>
    <w:rsid w:val="005551AF"/>
    <w:rsid w:val="00555D9F"/>
    <w:rsid w:val="005561CF"/>
    <w:rsid w:val="005566EA"/>
    <w:rsid w:val="005567A4"/>
    <w:rsid w:val="005567DC"/>
    <w:rsid w:val="00557873"/>
    <w:rsid w:val="00560560"/>
    <w:rsid w:val="00560864"/>
    <w:rsid w:val="0056094F"/>
    <w:rsid w:val="00561139"/>
    <w:rsid w:val="00561398"/>
    <w:rsid w:val="00561621"/>
    <w:rsid w:val="005619D2"/>
    <w:rsid w:val="00562B80"/>
    <w:rsid w:val="00562BFF"/>
    <w:rsid w:val="005636BC"/>
    <w:rsid w:val="00564245"/>
    <w:rsid w:val="00564A9D"/>
    <w:rsid w:val="005659B2"/>
    <w:rsid w:val="00565C40"/>
    <w:rsid w:val="00565DB6"/>
    <w:rsid w:val="00565F68"/>
    <w:rsid w:val="005662A0"/>
    <w:rsid w:val="00566306"/>
    <w:rsid w:val="005665A7"/>
    <w:rsid w:val="005669FB"/>
    <w:rsid w:val="00567525"/>
    <w:rsid w:val="005704B3"/>
    <w:rsid w:val="00570618"/>
    <w:rsid w:val="00570DE2"/>
    <w:rsid w:val="00571168"/>
    <w:rsid w:val="0057125C"/>
    <w:rsid w:val="00571271"/>
    <w:rsid w:val="005713BE"/>
    <w:rsid w:val="005713D1"/>
    <w:rsid w:val="0057167E"/>
    <w:rsid w:val="005722AF"/>
    <w:rsid w:val="005727F6"/>
    <w:rsid w:val="00572958"/>
    <w:rsid w:val="0057394D"/>
    <w:rsid w:val="00574241"/>
    <w:rsid w:val="00574403"/>
    <w:rsid w:val="005744B8"/>
    <w:rsid w:val="00574703"/>
    <w:rsid w:val="00575587"/>
    <w:rsid w:val="005762F9"/>
    <w:rsid w:val="005764E0"/>
    <w:rsid w:val="00576CB1"/>
    <w:rsid w:val="00577CD7"/>
    <w:rsid w:val="00577E4F"/>
    <w:rsid w:val="0058056E"/>
    <w:rsid w:val="005805CF"/>
    <w:rsid w:val="0058079D"/>
    <w:rsid w:val="00580BF4"/>
    <w:rsid w:val="005812B3"/>
    <w:rsid w:val="00581480"/>
    <w:rsid w:val="005815E6"/>
    <w:rsid w:val="00581862"/>
    <w:rsid w:val="00581C7B"/>
    <w:rsid w:val="005822BF"/>
    <w:rsid w:val="005824A8"/>
    <w:rsid w:val="00582712"/>
    <w:rsid w:val="00582C79"/>
    <w:rsid w:val="00582F61"/>
    <w:rsid w:val="00583173"/>
    <w:rsid w:val="005838D0"/>
    <w:rsid w:val="005842F0"/>
    <w:rsid w:val="005847C5"/>
    <w:rsid w:val="00584A89"/>
    <w:rsid w:val="00584C29"/>
    <w:rsid w:val="0058533A"/>
    <w:rsid w:val="0058546E"/>
    <w:rsid w:val="005857C0"/>
    <w:rsid w:val="00585870"/>
    <w:rsid w:val="00586982"/>
    <w:rsid w:val="00586E6D"/>
    <w:rsid w:val="0058742F"/>
    <w:rsid w:val="005874DE"/>
    <w:rsid w:val="00587848"/>
    <w:rsid w:val="00590A3A"/>
    <w:rsid w:val="00590A84"/>
    <w:rsid w:val="00590D68"/>
    <w:rsid w:val="00590E68"/>
    <w:rsid w:val="00590FCC"/>
    <w:rsid w:val="00591385"/>
    <w:rsid w:val="00592662"/>
    <w:rsid w:val="00593680"/>
    <w:rsid w:val="00593F7D"/>
    <w:rsid w:val="00594444"/>
    <w:rsid w:val="005945A3"/>
    <w:rsid w:val="00594664"/>
    <w:rsid w:val="00595B5C"/>
    <w:rsid w:val="00595E37"/>
    <w:rsid w:val="00595E70"/>
    <w:rsid w:val="005972F3"/>
    <w:rsid w:val="0059732A"/>
    <w:rsid w:val="00597430"/>
    <w:rsid w:val="00597574"/>
    <w:rsid w:val="005A06BD"/>
    <w:rsid w:val="005A09CC"/>
    <w:rsid w:val="005A09E6"/>
    <w:rsid w:val="005A0DDA"/>
    <w:rsid w:val="005A16AB"/>
    <w:rsid w:val="005A1975"/>
    <w:rsid w:val="005A24A2"/>
    <w:rsid w:val="005A2C73"/>
    <w:rsid w:val="005A2FF8"/>
    <w:rsid w:val="005A3579"/>
    <w:rsid w:val="005A3793"/>
    <w:rsid w:val="005A3C70"/>
    <w:rsid w:val="005A3D38"/>
    <w:rsid w:val="005A50E6"/>
    <w:rsid w:val="005A5382"/>
    <w:rsid w:val="005A5578"/>
    <w:rsid w:val="005A6529"/>
    <w:rsid w:val="005A766F"/>
    <w:rsid w:val="005A77E2"/>
    <w:rsid w:val="005A7881"/>
    <w:rsid w:val="005B05BA"/>
    <w:rsid w:val="005B0859"/>
    <w:rsid w:val="005B0921"/>
    <w:rsid w:val="005B0B40"/>
    <w:rsid w:val="005B1018"/>
    <w:rsid w:val="005B1535"/>
    <w:rsid w:val="005B16BF"/>
    <w:rsid w:val="005B1A2C"/>
    <w:rsid w:val="005B1E1C"/>
    <w:rsid w:val="005B2769"/>
    <w:rsid w:val="005B3C81"/>
    <w:rsid w:val="005B4291"/>
    <w:rsid w:val="005B495B"/>
    <w:rsid w:val="005B4CD2"/>
    <w:rsid w:val="005B515B"/>
    <w:rsid w:val="005B5F95"/>
    <w:rsid w:val="005B72CA"/>
    <w:rsid w:val="005B7640"/>
    <w:rsid w:val="005B7903"/>
    <w:rsid w:val="005C0CDD"/>
    <w:rsid w:val="005C0D13"/>
    <w:rsid w:val="005C0E5F"/>
    <w:rsid w:val="005C10C3"/>
    <w:rsid w:val="005C1821"/>
    <w:rsid w:val="005C1DEC"/>
    <w:rsid w:val="005C2470"/>
    <w:rsid w:val="005C26C3"/>
    <w:rsid w:val="005C3295"/>
    <w:rsid w:val="005C370D"/>
    <w:rsid w:val="005C3AFD"/>
    <w:rsid w:val="005C4010"/>
    <w:rsid w:val="005C4029"/>
    <w:rsid w:val="005C43F8"/>
    <w:rsid w:val="005C4C80"/>
    <w:rsid w:val="005C578C"/>
    <w:rsid w:val="005C62FE"/>
    <w:rsid w:val="005C639F"/>
    <w:rsid w:val="005C6847"/>
    <w:rsid w:val="005C6E5E"/>
    <w:rsid w:val="005C6EC5"/>
    <w:rsid w:val="005C72ED"/>
    <w:rsid w:val="005C73C8"/>
    <w:rsid w:val="005C7BF2"/>
    <w:rsid w:val="005D114D"/>
    <w:rsid w:val="005D1BB8"/>
    <w:rsid w:val="005D1DB8"/>
    <w:rsid w:val="005D2566"/>
    <w:rsid w:val="005D28BC"/>
    <w:rsid w:val="005D28FC"/>
    <w:rsid w:val="005D3ABE"/>
    <w:rsid w:val="005D4793"/>
    <w:rsid w:val="005D48F5"/>
    <w:rsid w:val="005D49E6"/>
    <w:rsid w:val="005D4C2E"/>
    <w:rsid w:val="005D56C4"/>
    <w:rsid w:val="005D5EA9"/>
    <w:rsid w:val="005D6B85"/>
    <w:rsid w:val="005D6ECB"/>
    <w:rsid w:val="005D7060"/>
    <w:rsid w:val="005D71EC"/>
    <w:rsid w:val="005D763D"/>
    <w:rsid w:val="005D78BD"/>
    <w:rsid w:val="005D7ED9"/>
    <w:rsid w:val="005E04CE"/>
    <w:rsid w:val="005E0D11"/>
    <w:rsid w:val="005E0ED7"/>
    <w:rsid w:val="005E136A"/>
    <w:rsid w:val="005E1D89"/>
    <w:rsid w:val="005E1DBE"/>
    <w:rsid w:val="005E24A0"/>
    <w:rsid w:val="005E25FB"/>
    <w:rsid w:val="005E277E"/>
    <w:rsid w:val="005E2EEB"/>
    <w:rsid w:val="005E4099"/>
    <w:rsid w:val="005E4D71"/>
    <w:rsid w:val="005E5522"/>
    <w:rsid w:val="005E5806"/>
    <w:rsid w:val="005E6145"/>
    <w:rsid w:val="005E6184"/>
    <w:rsid w:val="005E7042"/>
    <w:rsid w:val="005E72AE"/>
    <w:rsid w:val="005E7317"/>
    <w:rsid w:val="005E7467"/>
    <w:rsid w:val="005E7501"/>
    <w:rsid w:val="005F085E"/>
    <w:rsid w:val="005F0FBF"/>
    <w:rsid w:val="005F1286"/>
    <w:rsid w:val="005F1555"/>
    <w:rsid w:val="005F187C"/>
    <w:rsid w:val="005F18D0"/>
    <w:rsid w:val="005F1A0D"/>
    <w:rsid w:val="005F20A1"/>
    <w:rsid w:val="005F3841"/>
    <w:rsid w:val="005F3DAF"/>
    <w:rsid w:val="005F3FC5"/>
    <w:rsid w:val="005F401C"/>
    <w:rsid w:val="005F49AC"/>
    <w:rsid w:val="005F4B8F"/>
    <w:rsid w:val="005F4D01"/>
    <w:rsid w:val="005F5257"/>
    <w:rsid w:val="005F58E2"/>
    <w:rsid w:val="005F6066"/>
    <w:rsid w:val="005F6323"/>
    <w:rsid w:val="005F6391"/>
    <w:rsid w:val="005F6E48"/>
    <w:rsid w:val="005F6E72"/>
    <w:rsid w:val="005F7B60"/>
    <w:rsid w:val="005F7FAD"/>
    <w:rsid w:val="0060036A"/>
    <w:rsid w:val="00600ADF"/>
    <w:rsid w:val="00600AFD"/>
    <w:rsid w:val="00600F9A"/>
    <w:rsid w:val="0060118C"/>
    <w:rsid w:val="00601DA1"/>
    <w:rsid w:val="006020C6"/>
    <w:rsid w:val="006026F3"/>
    <w:rsid w:val="00602721"/>
    <w:rsid w:val="00602C4B"/>
    <w:rsid w:val="006031BA"/>
    <w:rsid w:val="006031DF"/>
    <w:rsid w:val="00603334"/>
    <w:rsid w:val="006036E6"/>
    <w:rsid w:val="006037AC"/>
    <w:rsid w:val="00603930"/>
    <w:rsid w:val="00603A49"/>
    <w:rsid w:val="006040A8"/>
    <w:rsid w:val="00604180"/>
    <w:rsid w:val="006044E5"/>
    <w:rsid w:val="00604826"/>
    <w:rsid w:val="00604C99"/>
    <w:rsid w:val="00605416"/>
    <w:rsid w:val="00605784"/>
    <w:rsid w:val="00605800"/>
    <w:rsid w:val="00606128"/>
    <w:rsid w:val="00606B1B"/>
    <w:rsid w:val="00607B48"/>
    <w:rsid w:val="00607E45"/>
    <w:rsid w:val="00610324"/>
    <w:rsid w:val="00610BBB"/>
    <w:rsid w:val="00611840"/>
    <w:rsid w:val="00611A05"/>
    <w:rsid w:val="00611BB0"/>
    <w:rsid w:val="00611D17"/>
    <w:rsid w:val="00613711"/>
    <w:rsid w:val="0061401C"/>
    <w:rsid w:val="00614342"/>
    <w:rsid w:val="006145B7"/>
    <w:rsid w:val="006146E4"/>
    <w:rsid w:val="0061487C"/>
    <w:rsid w:val="006149E2"/>
    <w:rsid w:val="00615BC0"/>
    <w:rsid w:val="0061659A"/>
    <w:rsid w:val="0061708A"/>
    <w:rsid w:val="00617112"/>
    <w:rsid w:val="0061762B"/>
    <w:rsid w:val="00617F56"/>
    <w:rsid w:val="006208A1"/>
    <w:rsid w:val="006212AE"/>
    <w:rsid w:val="0062198A"/>
    <w:rsid w:val="00621C08"/>
    <w:rsid w:val="00621F8F"/>
    <w:rsid w:val="006226DA"/>
    <w:rsid w:val="00623AAF"/>
    <w:rsid w:val="00623C16"/>
    <w:rsid w:val="00623DBC"/>
    <w:rsid w:val="006245B0"/>
    <w:rsid w:val="006249B1"/>
    <w:rsid w:val="00625C6D"/>
    <w:rsid w:val="00625FE3"/>
    <w:rsid w:val="00625FE9"/>
    <w:rsid w:val="0062692F"/>
    <w:rsid w:val="006271A2"/>
    <w:rsid w:val="0062794E"/>
    <w:rsid w:val="00627C5C"/>
    <w:rsid w:val="00627FF7"/>
    <w:rsid w:val="006300D5"/>
    <w:rsid w:val="0063027D"/>
    <w:rsid w:val="00630F82"/>
    <w:rsid w:val="006311AB"/>
    <w:rsid w:val="00631529"/>
    <w:rsid w:val="006316E2"/>
    <w:rsid w:val="0063192B"/>
    <w:rsid w:val="00631C6A"/>
    <w:rsid w:val="00632A3E"/>
    <w:rsid w:val="00632D6C"/>
    <w:rsid w:val="00633765"/>
    <w:rsid w:val="006340B9"/>
    <w:rsid w:val="006345ED"/>
    <w:rsid w:val="00634E5A"/>
    <w:rsid w:val="006354FE"/>
    <w:rsid w:val="00635D65"/>
    <w:rsid w:val="006362E5"/>
    <w:rsid w:val="0063651D"/>
    <w:rsid w:val="00636A35"/>
    <w:rsid w:val="00637637"/>
    <w:rsid w:val="0063768B"/>
    <w:rsid w:val="00637BB4"/>
    <w:rsid w:val="00637DB1"/>
    <w:rsid w:val="0064009B"/>
    <w:rsid w:val="00640588"/>
    <w:rsid w:val="00640CC4"/>
    <w:rsid w:val="00640E07"/>
    <w:rsid w:val="00640F1E"/>
    <w:rsid w:val="00641105"/>
    <w:rsid w:val="00641482"/>
    <w:rsid w:val="00641682"/>
    <w:rsid w:val="00641BBB"/>
    <w:rsid w:val="0064210E"/>
    <w:rsid w:val="006424D0"/>
    <w:rsid w:val="00642762"/>
    <w:rsid w:val="006428CE"/>
    <w:rsid w:val="006429A8"/>
    <w:rsid w:val="00643082"/>
    <w:rsid w:val="00643484"/>
    <w:rsid w:val="00643647"/>
    <w:rsid w:val="006436DC"/>
    <w:rsid w:val="00643776"/>
    <w:rsid w:val="00643CDF"/>
    <w:rsid w:val="00644530"/>
    <w:rsid w:val="00644D04"/>
    <w:rsid w:val="00644E37"/>
    <w:rsid w:val="00644F34"/>
    <w:rsid w:val="006453A9"/>
    <w:rsid w:val="00645510"/>
    <w:rsid w:val="00645D37"/>
    <w:rsid w:val="0064615A"/>
    <w:rsid w:val="00646A7E"/>
    <w:rsid w:val="00646CD4"/>
    <w:rsid w:val="00647280"/>
    <w:rsid w:val="00650986"/>
    <w:rsid w:val="00650BCB"/>
    <w:rsid w:val="00650E30"/>
    <w:rsid w:val="00650EC5"/>
    <w:rsid w:val="00650FCF"/>
    <w:rsid w:val="006511B5"/>
    <w:rsid w:val="00651906"/>
    <w:rsid w:val="006522A9"/>
    <w:rsid w:val="006534D4"/>
    <w:rsid w:val="00654192"/>
    <w:rsid w:val="0065436B"/>
    <w:rsid w:val="00654494"/>
    <w:rsid w:val="006544DC"/>
    <w:rsid w:val="00654AEE"/>
    <w:rsid w:val="006565CC"/>
    <w:rsid w:val="00656ACE"/>
    <w:rsid w:val="00656B1A"/>
    <w:rsid w:val="00656E95"/>
    <w:rsid w:val="00657530"/>
    <w:rsid w:val="00657AF2"/>
    <w:rsid w:val="0066050B"/>
    <w:rsid w:val="0066108F"/>
    <w:rsid w:val="00661113"/>
    <w:rsid w:val="00661694"/>
    <w:rsid w:val="00661930"/>
    <w:rsid w:val="00662134"/>
    <w:rsid w:val="00662201"/>
    <w:rsid w:val="006623BB"/>
    <w:rsid w:val="00662640"/>
    <w:rsid w:val="00662DA3"/>
    <w:rsid w:val="00662EBD"/>
    <w:rsid w:val="00662FC0"/>
    <w:rsid w:val="00663578"/>
    <w:rsid w:val="006635E9"/>
    <w:rsid w:val="00663D0E"/>
    <w:rsid w:val="00663E0B"/>
    <w:rsid w:val="00664712"/>
    <w:rsid w:val="00664B06"/>
    <w:rsid w:val="00664D2F"/>
    <w:rsid w:val="006650ED"/>
    <w:rsid w:val="00665422"/>
    <w:rsid w:val="0066566F"/>
    <w:rsid w:val="00666722"/>
    <w:rsid w:val="0066682F"/>
    <w:rsid w:val="00666881"/>
    <w:rsid w:val="00666A99"/>
    <w:rsid w:val="00667285"/>
    <w:rsid w:val="00667B20"/>
    <w:rsid w:val="00667F91"/>
    <w:rsid w:val="00667FD4"/>
    <w:rsid w:val="006703FE"/>
    <w:rsid w:val="0067064B"/>
    <w:rsid w:val="00671108"/>
    <w:rsid w:val="00671AF0"/>
    <w:rsid w:val="0067224C"/>
    <w:rsid w:val="006722D6"/>
    <w:rsid w:val="006724C5"/>
    <w:rsid w:val="006726A1"/>
    <w:rsid w:val="006729F5"/>
    <w:rsid w:val="00673E6C"/>
    <w:rsid w:val="00673F4A"/>
    <w:rsid w:val="006746B1"/>
    <w:rsid w:val="00674D92"/>
    <w:rsid w:val="0067504B"/>
    <w:rsid w:val="006750F4"/>
    <w:rsid w:val="00675582"/>
    <w:rsid w:val="00675926"/>
    <w:rsid w:val="0067593A"/>
    <w:rsid w:val="00675A04"/>
    <w:rsid w:val="0067630C"/>
    <w:rsid w:val="00677D9F"/>
    <w:rsid w:val="00677E0D"/>
    <w:rsid w:val="006801EC"/>
    <w:rsid w:val="0068083D"/>
    <w:rsid w:val="00680DE3"/>
    <w:rsid w:val="0068142E"/>
    <w:rsid w:val="00681A37"/>
    <w:rsid w:val="00681BB8"/>
    <w:rsid w:val="00681D16"/>
    <w:rsid w:val="00681E8A"/>
    <w:rsid w:val="00681F28"/>
    <w:rsid w:val="006823F1"/>
    <w:rsid w:val="00682B15"/>
    <w:rsid w:val="006830F7"/>
    <w:rsid w:val="00683758"/>
    <w:rsid w:val="00683EB4"/>
    <w:rsid w:val="0068410A"/>
    <w:rsid w:val="00685037"/>
    <w:rsid w:val="006857E2"/>
    <w:rsid w:val="00685F40"/>
    <w:rsid w:val="00686685"/>
    <w:rsid w:val="00687030"/>
    <w:rsid w:val="00687A1B"/>
    <w:rsid w:val="006903C8"/>
    <w:rsid w:val="00690641"/>
    <w:rsid w:val="00690BF7"/>
    <w:rsid w:val="006919E4"/>
    <w:rsid w:val="00691C1B"/>
    <w:rsid w:val="00691F01"/>
    <w:rsid w:val="0069209C"/>
    <w:rsid w:val="006920A4"/>
    <w:rsid w:val="0069230F"/>
    <w:rsid w:val="0069248C"/>
    <w:rsid w:val="006928C4"/>
    <w:rsid w:val="006943A7"/>
    <w:rsid w:val="0069473E"/>
    <w:rsid w:val="00694F09"/>
    <w:rsid w:val="0069543B"/>
    <w:rsid w:val="00695781"/>
    <w:rsid w:val="00697096"/>
    <w:rsid w:val="006976C0"/>
    <w:rsid w:val="006976F3"/>
    <w:rsid w:val="00697B00"/>
    <w:rsid w:val="006A06F6"/>
    <w:rsid w:val="006A074A"/>
    <w:rsid w:val="006A0B02"/>
    <w:rsid w:val="006A0E99"/>
    <w:rsid w:val="006A11FC"/>
    <w:rsid w:val="006A220E"/>
    <w:rsid w:val="006A276B"/>
    <w:rsid w:val="006A2A1D"/>
    <w:rsid w:val="006A30A9"/>
    <w:rsid w:val="006A31BD"/>
    <w:rsid w:val="006A32A1"/>
    <w:rsid w:val="006A3711"/>
    <w:rsid w:val="006A3FC7"/>
    <w:rsid w:val="006A4057"/>
    <w:rsid w:val="006A4959"/>
    <w:rsid w:val="006A4971"/>
    <w:rsid w:val="006A4AA2"/>
    <w:rsid w:val="006A4C82"/>
    <w:rsid w:val="006A4D77"/>
    <w:rsid w:val="006A4E8D"/>
    <w:rsid w:val="006A52F0"/>
    <w:rsid w:val="006A54D1"/>
    <w:rsid w:val="006A5E34"/>
    <w:rsid w:val="006A61D4"/>
    <w:rsid w:val="006A6D09"/>
    <w:rsid w:val="006A6D88"/>
    <w:rsid w:val="006B137F"/>
    <w:rsid w:val="006B14B1"/>
    <w:rsid w:val="006B162B"/>
    <w:rsid w:val="006B1830"/>
    <w:rsid w:val="006B1C9A"/>
    <w:rsid w:val="006B2065"/>
    <w:rsid w:val="006B231C"/>
    <w:rsid w:val="006B2625"/>
    <w:rsid w:val="006B2634"/>
    <w:rsid w:val="006B2AC9"/>
    <w:rsid w:val="006B351F"/>
    <w:rsid w:val="006B3853"/>
    <w:rsid w:val="006B3919"/>
    <w:rsid w:val="006B3929"/>
    <w:rsid w:val="006B3EEE"/>
    <w:rsid w:val="006B42FC"/>
    <w:rsid w:val="006B4601"/>
    <w:rsid w:val="006B4AEF"/>
    <w:rsid w:val="006B5478"/>
    <w:rsid w:val="006B59CF"/>
    <w:rsid w:val="006B5EC1"/>
    <w:rsid w:val="006B6025"/>
    <w:rsid w:val="006B6C05"/>
    <w:rsid w:val="006B6F1D"/>
    <w:rsid w:val="006B7135"/>
    <w:rsid w:val="006B771E"/>
    <w:rsid w:val="006C027E"/>
    <w:rsid w:val="006C08FA"/>
    <w:rsid w:val="006C1063"/>
    <w:rsid w:val="006C2B57"/>
    <w:rsid w:val="006C2C98"/>
    <w:rsid w:val="006C2CC4"/>
    <w:rsid w:val="006C2E9F"/>
    <w:rsid w:val="006C3282"/>
    <w:rsid w:val="006C3FB3"/>
    <w:rsid w:val="006C475E"/>
    <w:rsid w:val="006C51DB"/>
    <w:rsid w:val="006C5557"/>
    <w:rsid w:val="006C5589"/>
    <w:rsid w:val="006C6215"/>
    <w:rsid w:val="006C655D"/>
    <w:rsid w:val="006C6917"/>
    <w:rsid w:val="006C7632"/>
    <w:rsid w:val="006C7888"/>
    <w:rsid w:val="006D04CB"/>
    <w:rsid w:val="006D09CD"/>
    <w:rsid w:val="006D0B75"/>
    <w:rsid w:val="006D14CE"/>
    <w:rsid w:val="006D15C9"/>
    <w:rsid w:val="006D18E1"/>
    <w:rsid w:val="006D1CC2"/>
    <w:rsid w:val="006D1DBA"/>
    <w:rsid w:val="006D2C78"/>
    <w:rsid w:val="006D2E39"/>
    <w:rsid w:val="006D30E3"/>
    <w:rsid w:val="006D380C"/>
    <w:rsid w:val="006D3C8C"/>
    <w:rsid w:val="006D3CAD"/>
    <w:rsid w:val="006D576E"/>
    <w:rsid w:val="006D5B01"/>
    <w:rsid w:val="006D5BD1"/>
    <w:rsid w:val="006D5C78"/>
    <w:rsid w:val="006D6033"/>
    <w:rsid w:val="006D6350"/>
    <w:rsid w:val="006D6357"/>
    <w:rsid w:val="006D6753"/>
    <w:rsid w:val="006D6AD1"/>
    <w:rsid w:val="006D6CFE"/>
    <w:rsid w:val="006D6F05"/>
    <w:rsid w:val="006D73CA"/>
    <w:rsid w:val="006D7571"/>
    <w:rsid w:val="006D775B"/>
    <w:rsid w:val="006E03CD"/>
    <w:rsid w:val="006E045A"/>
    <w:rsid w:val="006E136E"/>
    <w:rsid w:val="006E1AED"/>
    <w:rsid w:val="006E1FEB"/>
    <w:rsid w:val="006E24FD"/>
    <w:rsid w:val="006E2897"/>
    <w:rsid w:val="006E296C"/>
    <w:rsid w:val="006E2D67"/>
    <w:rsid w:val="006E32EC"/>
    <w:rsid w:val="006E3AFA"/>
    <w:rsid w:val="006E53BF"/>
    <w:rsid w:val="006E56FD"/>
    <w:rsid w:val="006E57C1"/>
    <w:rsid w:val="006E5DF4"/>
    <w:rsid w:val="006E5F9A"/>
    <w:rsid w:val="006E65E9"/>
    <w:rsid w:val="006E7A44"/>
    <w:rsid w:val="006F03BC"/>
    <w:rsid w:val="006F07E8"/>
    <w:rsid w:val="006F098F"/>
    <w:rsid w:val="006F1180"/>
    <w:rsid w:val="006F1368"/>
    <w:rsid w:val="006F1748"/>
    <w:rsid w:val="006F1F6F"/>
    <w:rsid w:val="006F299F"/>
    <w:rsid w:val="006F37D4"/>
    <w:rsid w:val="006F39AF"/>
    <w:rsid w:val="006F3A34"/>
    <w:rsid w:val="006F3F1C"/>
    <w:rsid w:val="006F3FB2"/>
    <w:rsid w:val="006F473B"/>
    <w:rsid w:val="006F4A13"/>
    <w:rsid w:val="006F4B6D"/>
    <w:rsid w:val="006F4CC9"/>
    <w:rsid w:val="006F4E0A"/>
    <w:rsid w:val="006F4F2E"/>
    <w:rsid w:val="006F51F1"/>
    <w:rsid w:val="006F536B"/>
    <w:rsid w:val="006F5896"/>
    <w:rsid w:val="006F5F19"/>
    <w:rsid w:val="006F60F9"/>
    <w:rsid w:val="006F61F0"/>
    <w:rsid w:val="006F6204"/>
    <w:rsid w:val="006F646D"/>
    <w:rsid w:val="006F6528"/>
    <w:rsid w:val="006F6B10"/>
    <w:rsid w:val="006F72C3"/>
    <w:rsid w:val="006F72ED"/>
    <w:rsid w:val="006F7827"/>
    <w:rsid w:val="007005C3"/>
    <w:rsid w:val="00701097"/>
    <w:rsid w:val="0070153D"/>
    <w:rsid w:val="00701559"/>
    <w:rsid w:val="0070188A"/>
    <w:rsid w:val="00702738"/>
    <w:rsid w:val="00702B18"/>
    <w:rsid w:val="00703638"/>
    <w:rsid w:val="007038CD"/>
    <w:rsid w:val="00703F88"/>
    <w:rsid w:val="00704200"/>
    <w:rsid w:val="00704214"/>
    <w:rsid w:val="007043AB"/>
    <w:rsid w:val="0070488C"/>
    <w:rsid w:val="007067BF"/>
    <w:rsid w:val="00706AE8"/>
    <w:rsid w:val="00706C3E"/>
    <w:rsid w:val="0071068D"/>
    <w:rsid w:val="007112A0"/>
    <w:rsid w:val="00711573"/>
    <w:rsid w:val="0071195E"/>
    <w:rsid w:val="007123AA"/>
    <w:rsid w:val="007124A1"/>
    <w:rsid w:val="0071257B"/>
    <w:rsid w:val="007136BF"/>
    <w:rsid w:val="0071448B"/>
    <w:rsid w:val="007144BC"/>
    <w:rsid w:val="00714E65"/>
    <w:rsid w:val="007152C7"/>
    <w:rsid w:val="00715483"/>
    <w:rsid w:val="00715746"/>
    <w:rsid w:val="00715EBB"/>
    <w:rsid w:val="007160B9"/>
    <w:rsid w:val="0071666C"/>
    <w:rsid w:val="00716820"/>
    <w:rsid w:val="00716BCF"/>
    <w:rsid w:val="00716D18"/>
    <w:rsid w:val="007174BD"/>
    <w:rsid w:val="0071769A"/>
    <w:rsid w:val="007179A7"/>
    <w:rsid w:val="00717A87"/>
    <w:rsid w:val="00720A68"/>
    <w:rsid w:val="00720CD9"/>
    <w:rsid w:val="0072129D"/>
    <w:rsid w:val="00721CF4"/>
    <w:rsid w:val="00722277"/>
    <w:rsid w:val="00722455"/>
    <w:rsid w:val="0072247F"/>
    <w:rsid w:val="00722702"/>
    <w:rsid w:val="00722A12"/>
    <w:rsid w:val="00722B17"/>
    <w:rsid w:val="00722D6C"/>
    <w:rsid w:val="007233B2"/>
    <w:rsid w:val="007241E8"/>
    <w:rsid w:val="00724498"/>
    <w:rsid w:val="0072485A"/>
    <w:rsid w:val="00724D2C"/>
    <w:rsid w:val="00724DD1"/>
    <w:rsid w:val="0072583C"/>
    <w:rsid w:val="00725E3D"/>
    <w:rsid w:val="00726401"/>
    <w:rsid w:val="00726F03"/>
    <w:rsid w:val="00726F2C"/>
    <w:rsid w:val="0072735D"/>
    <w:rsid w:val="0072789F"/>
    <w:rsid w:val="0072793B"/>
    <w:rsid w:val="00727D26"/>
    <w:rsid w:val="00727DC9"/>
    <w:rsid w:val="00727E1B"/>
    <w:rsid w:val="00727F24"/>
    <w:rsid w:val="00730046"/>
    <w:rsid w:val="00730BF4"/>
    <w:rsid w:val="00730FA8"/>
    <w:rsid w:val="00732083"/>
    <w:rsid w:val="0073239D"/>
    <w:rsid w:val="007323B5"/>
    <w:rsid w:val="00732C04"/>
    <w:rsid w:val="00732E31"/>
    <w:rsid w:val="00733391"/>
    <w:rsid w:val="00734959"/>
    <w:rsid w:val="00735641"/>
    <w:rsid w:val="00735733"/>
    <w:rsid w:val="00735B11"/>
    <w:rsid w:val="007364D7"/>
    <w:rsid w:val="00736C49"/>
    <w:rsid w:val="00736D62"/>
    <w:rsid w:val="00736EC2"/>
    <w:rsid w:val="00737D19"/>
    <w:rsid w:val="0074051E"/>
    <w:rsid w:val="00740AF7"/>
    <w:rsid w:val="00740FF1"/>
    <w:rsid w:val="007410AF"/>
    <w:rsid w:val="00741125"/>
    <w:rsid w:val="007422C5"/>
    <w:rsid w:val="0074240E"/>
    <w:rsid w:val="00742836"/>
    <w:rsid w:val="00742C1C"/>
    <w:rsid w:val="0074305B"/>
    <w:rsid w:val="007433D0"/>
    <w:rsid w:val="00743DA3"/>
    <w:rsid w:val="00744290"/>
    <w:rsid w:val="007447DC"/>
    <w:rsid w:val="00744C38"/>
    <w:rsid w:val="00744CCB"/>
    <w:rsid w:val="007450EE"/>
    <w:rsid w:val="0074540E"/>
    <w:rsid w:val="00745D1A"/>
    <w:rsid w:val="007468AA"/>
    <w:rsid w:val="00746909"/>
    <w:rsid w:val="00746A55"/>
    <w:rsid w:val="0074767C"/>
    <w:rsid w:val="00747F5C"/>
    <w:rsid w:val="0075023A"/>
    <w:rsid w:val="007503A9"/>
    <w:rsid w:val="00750415"/>
    <w:rsid w:val="00750D65"/>
    <w:rsid w:val="0075165D"/>
    <w:rsid w:val="007517C6"/>
    <w:rsid w:val="007520F4"/>
    <w:rsid w:val="007523DE"/>
    <w:rsid w:val="007525EC"/>
    <w:rsid w:val="007527D0"/>
    <w:rsid w:val="00752D25"/>
    <w:rsid w:val="00752D75"/>
    <w:rsid w:val="00753245"/>
    <w:rsid w:val="0075350C"/>
    <w:rsid w:val="00753591"/>
    <w:rsid w:val="007538EB"/>
    <w:rsid w:val="00753AE2"/>
    <w:rsid w:val="00753BCB"/>
    <w:rsid w:val="00754001"/>
    <w:rsid w:val="0075575E"/>
    <w:rsid w:val="00755E53"/>
    <w:rsid w:val="007560AA"/>
    <w:rsid w:val="007562A0"/>
    <w:rsid w:val="00756736"/>
    <w:rsid w:val="00756A43"/>
    <w:rsid w:val="00757B49"/>
    <w:rsid w:val="007602FA"/>
    <w:rsid w:val="0076066B"/>
    <w:rsid w:val="00760690"/>
    <w:rsid w:val="00760845"/>
    <w:rsid w:val="0076103F"/>
    <w:rsid w:val="00761204"/>
    <w:rsid w:val="007614A5"/>
    <w:rsid w:val="007617D0"/>
    <w:rsid w:val="00761823"/>
    <w:rsid w:val="00761E58"/>
    <w:rsid w:val="0076210D"/>
    <w:rsid w:val="007622DF"/>
    <w:rsid w:val="0076241C"/>
    <w:rsid w:val="00762518"/>
    <w:rsid w:val="0076256C"/>
    <w:rsid w:val="007627CF"/>
    <w:rsid w:val="007629D9"/>
    <w:rsid w:val="0076389B"/>
    <w:rsid w:val="00763E6B"/>
    <w:rsid w:val="00763FE4"/>
    <w:rsid w:val="007641D6"/>
    <w:rsid w:val="007642CF"/>
    <w:rsid w:val="00764A05"/>
    <w:rsid w:val="00764F12"/>
    <w:rsid w:val="00765049"/>
    <w:rsid w:val="00765A69"/>
    <w:rsid w:val="0076644C"/>
    <w:rsid w:val="00766451"/>
    <w:rsid w:val="0076663A"/>
    <w:rsid w:val="00766E47"/>
    <w:rsid w:val="00766E7E"/>
    <w:rsid w:val="00766EC0"/>
    <w:rsid w:val="007674AF"/>
    <w:rsid w:val="00767980"/>
    <w:rsid w:val="00770999"/>
    <w:rsid w:val="00770C3C"/>
    <w:rsid w:val="00770C53"/>
    <w:rsid w:val="00772761"/>
    <w:rsid w:val="00772997"/>
    <w:rsid w:val="00772A54"/>
    <w:rsid w:val="00772A9F"/>
    <w:rsid w:val="00772BF8"/>
    <w:rsid w:val="00772DA6"/>
    <w:rsid w:val="0077331D"/>
    <w:rsid w:val="007733F0"/>
    <w:rsid w:val="00773828"/>
    <w:rsid w:val="00773CFD"/>
    <w:rsid w:val="00773D52"/>
    <w:rsid w:val="00774B0A"/>
    <w:rsid w:val="00774FF6"/>
    <w:rsid w:val="00775271"/>
    <w:rsid w:val="0077539F"/>
    <w:rsid w:val="007755DD"/>
    <w:rsid w:val="0077662E"/>
    <w:rsid w:val="007767AC"/>
    <w:rsid w:val="0077696A"/>
    <w:rsid w:val="007769C0"/>
    <w:rsid w:val="00776C9E"/>
    <w:rsid w:val="00776D8B"/>
    <w:rsid w:val="00776FE8"/>
    <w:rsid w:val="00777CB9"/>
    <w:rsid w:val="00777EC2"/>
    <w:rsid w:val="00777FAA"/>
    <w:rsid w:val="0078035D"/>
    <w:rsid w:val="00781685"/>
    <w:rsid w:val="00781BBA"/>
    <w:rsid w:val="007826D7"/>
    <w:rsid w:val="00782A55"/>
    <w:rsid w:val="00782B47"/>
    <w:rsid w:val="00782D47"/>
    <w:rsid w:val="00782E0D"/>
    <w:rsid w:val="00783100"/>
    <w:rsid w:val="0078381F"/>
    <w:rsid w:val="00784482"/>
    <w:rsid w:val="00784C83"/>
    <w:rsid w:val="0078578C"/>
    <w:rsid w:val="00785D29"/>
    <w:rsid w:val="00785EEE"/>
    <w:rsid w:val="0078641A"/>
    <w:rsid w:val="00786774"/>
    <w:rsid w:val="0078680B"/>
    <w:rsid w:val="0078716E"/>
    <w:rsid w:val="0078750B"/>
    <w:rsid w:val="00787A1B"/>
    <w:rsid w:val="00787F34"/>
    <w:rsid w:val="00790298"/>
    <w:rsid w:val="00790AD8"/>
    <w:rsid w:val="0079153D"/>
    <w:rsid w:val="0079186A"/>
    <w:rsid w:val="00791C05"/>
    <w:rsid w:val="00791FDF"/>
    <w:rsid w:val="00792755"/>
    <w:rsid w:val="007939DB"/>
    <w:rsid w:val="00793B56"/>
    <w:rsid w:val="00793FEB"/>
    <w:rsid w:val="00794BA6"/>
    <w:rsid w:val="00794EA1"/>
    <w:rsid w:val="00794EEB"/>
    <w:rsid w:val="00795692"/>
    <w:rsid w:val="00795EC9"/>
    <w:rsid w:val="00796459"/>
    <w:rsid w:val="00796873"/>
    <w:rsid w:val="00796D8A"/>
    <w:rsid w:val="00797855"/>
    <w:rsid w:val="007A044D"/>
    <w:rsid w:val="007A14D2"/>
    <w:rsid w:val="007A1B1C"/>
    <w:rsid w:val="007A1BB1"/>
    <w:rsid w:val="007A2802"/>
    <w:rsid w:val="007A2D14"/>
    <w:rsid w:val="007A30B2"/>
    <w:rsid w:val="007A3251"/>
    <w:rsid w:val="007A36C3"/>
    <w:rsid w:val="007A3EEC"/>
    <w:rsid w:val="007A5028"/>
    <w:rsid w:val="007A560A"/>
    <w:rsid w:val="007A6997"/>
    <w:rsid w:val="007A6B94"/>
    <w:rsid w:val="007A6BCD"/>
    <w:rsid w:val="007A720E"/>
    <w:rsid w:val="007B07E1"/>
    <w:rsid w:val="007B0AB8"/>
    <w:rsid w:val="007B0C62"/>
    <w:rsid w:val="007B117F"/>
    <w:rsid w:val="007B1B0C"/>
    <w:rsid w:val="007B1BD9"/>
    <w:rsid w:val="007B2B58"/>
    <w:rsid w:val="007B3287"/>
    <w:rsid w:val="007B374E"/>
    <w:rsid w:val="007B377F"/>
    <w:rsid w:val="007B3DEE"/>
    <w:rsid w:val="007B4004"/>
    <w:rsid w:val="007B4249"/>
    <w:rsid w:val="007B4511"/>
    <w:rsid w:val="007B4743"/>
    <w:rsid w:val="007B4904"/>
    <w:rsid w:val="007B4E2B"/>
    <w:rsid w:val="007B5CB7"/>
    <w:rsid w:val="007B5FF2"/>
    <w:rsid w:val="007B6648"/>
    <w:rsid w:val="007B6A16"/>
    <w:rsid w:val="007B76DF"/>
    <w:rsid w:val="007C0C20"/>
    <w:rsid w:val="007C127C"/>
    <w:rsid w:val="007C1583"/>
    <w:rsid w:val="007C167F"/>
    <w:rsid w:val="007C1906"/>
    <w:rsid w:val="007C1C5E"/>
    <w:rsid w:val="007C1DE9"/>
    <w:rsid w:val="007C1E2B"/>
    <w:rsid w:val="007C20C6"/>
    <w:rsid w:val="007C3835"/>
    <w:rsid w:val="007C3B0C"/>
    <w:rsid w:val="007C3EC9"/>
    <w:rsid w:val="007C5661"/>
    <w:rsid w:val="007C5A0F"/>
    <w:rsid w:val="007C612F"/>
    <w:rsid w:val="007C62BF"/>
    <w:rsid w:val="007C62C8"/>
    <w:rsid w:val="007C63F6"/>
    <w:rsid w:val="007C69D4"/>
    <w:rsid w:val="007C6A16"/>
    <w:rsid w:val="007C6A3F"/>
    <w:rsid w:val="007C751E"/>
    <w:rsid w:val="007D01C9"/>
    <w:rsid w:val="007D0389"/>
    <w:rsid w:val="007D071B"/>
    <w:rsid w:val="007D186E"/>
    <w:rsid w:val="007D1C33"/>
    <w:rsid w:val="007D2552"/>
    <w:rsid w:val="007D3688"/>
    <w:rsid w:val="007D373F"/>
    <w:rsid w:val="007D37B5"/>
    <w:rsid w:val="007D3E30"/>
    <w:rsid w:val="007D4177"/>
    <w:rsid w:val="007D4625"/>
    <w:rsid w:val="007D4B6A"/>
    <w:rsid w:val="007D4C97"/>
    <w:rsid w:val="007D5A80"/>
    <w:rsid w:val="007D61C9"/>
    <w:rsid w:val="007D6B0D"/>
    <w:rsid w:val="007D6B16"/>
    <w:rsid w:val="007D6D81"/>
    <w:rsid w:val="007D6EAF"/>
    <w:rsid w:val="007D6F7A"/>
    <w:rsid w:val="007E0284"/>
    <w:rsid w:val="007E06AB"/>
    <w:rsid w:val="007E079D"/>
    <w:rsid w:val="007E0F46"/>
    <w:rsid w:val="007E1813"/>
    <w:rsid w:val="007E1D55"/>
    <w:rsid w:val="007E1EA6"/>
    <w:rsid w:val="007E1F88"/>
    <w:rsid w:val="007E2191"/>
    <w:rsid w:val="007E22A0"/>
    <w:rsid w:val="007E288A"/>
    <w:rsid w:val="007E2A2C"/>
    <w:rsid w:val="007E3522"/>
    <w:rsid w:val="007E3A91"/>
    <w:rsid w:val="007E409E"/>
    <w:rsid w:val="007E415F"/>
    <w:rsid w:val="007E4188"/>
    <w:rsid w:val="007E4361"/>
    <w:rsid w:val="007E4406"/>
    <w:rsid w:val="007E4682"/>
    <w:rsid w:val="007E47BB"/>
    <w:rsid w:val="007E5882"/>
    <w:rsid w:val="007E60B5"/>
    <w:rsid w:val="007E6231"/>
    <w:rsid w:val="007E661B"/>
    <w:rsid w:val="007E6D74"/>
    <w:rsid w:val="007E702C"/>
    <w:rsid w:val="007E7576"/>
    <w:rsid w:val="007E7784"/>
    <w:rsid w:val="007E7F03"/>
    <w:rsid w:val="007E7F10"/>
    <w:rsid w:val="007F0046"/>
    <w:rsid w:val="007F04EC"/>
    <w:rsid w:val="007F05F4"/>
    <w:rsid w:val="007F0EA2"/>
    <w:rsid w:val="007F164A"/>
    <w:rsid w:val="007F2162"/>
    <w:rsid w:val="007F260F"/>
    <w:rsid w:val="007F2BCA"/>
    <w:rsid w:val="007F338F"/>
    <w:rsid w:val="007F3764"/>
    <w:rsid w:val="007F3808"/>
    <w:rsid w:val="007F3B2C"/>
    <w:rsid w:val="007F4300"/>
    <w:rsid w:val="007F46A4"/>
    <w:rsid w:val="007F4E91"/>
    <w:rsid w:val="007F5573"/>
    <w:rsid w:val="007F5FCF"/>
    <w:rsid w:val="007F6758"/>
    <w:rsid w:val="007F690E"/>
    <w:rsid w:val="007F6A3F"/>
    <w:rsid w:val="007F6DEC"/>
    <w:rsid w:val="007F6F54"/>
    <w:rsid w:val="007F7717"/>
    <w:rsid w:val="007F7836"/>
    <w:rsid w:val="008012B1"/>
    <w:rsid w:val="008012B9"/>
    <w:rsid w:val="008014CB"/>
    <w:rsid w:val="008017E2"/>
    <w:rsid w:val="008025F0"/>
    <w:rsid w:val="0080266D"/>
    <w:rsid w:val="00802697"/>
    <w:rsid w:val="008029D9"/>
    <w:rsid w:val="00802CC9"/>
    <w:rsid w:val="008030BE"/>
    <w:rsid w:val="00803303"/>
    <w:rsid w:val="00803744"/>
    <w:rsid w:val="00804286"/>
    <w:rsid w:val="00804334"/>
    <w:rsid w:val="00804528"/>
    <w:rsid w:val="008046FC"/>
    <w:rsid w:val="00804AD1"/>
    <w:rsid w:val="00804B29"/>
    <w:rsid w:val="008055F2"/>
    <w:rsid w:val="00805A4D"/>
    <w:rsid w:val="00805F3F"/>
    <w:rsid w:val="00805F69"/>
    <w:rsid w:val="008062AC"/>
    <w:rsid w:val="00806829"/>
    <w:rsid w:val="00807264"/>
    <w:rsid w:val="0080760A"/>
    <w:rsid w:val="00807797"/>
    <w:rsid w:val="00807C13"/>
    <w:rsid w:val="00807CD5"/>
    <w:rsid w:val="00807EE6"/>
    <w:rsid w:val="00810088"/>
    <w:rsid w:val="008109E8"/>
    <w:rsid w:val="00810F27"/>
    <w:rsid w:val="00810FFF"/>
    <w:rsid w:val="00811465"/>
    <w:rsid w:val="008118B8"/>
    <w:rsid w:val="00812E26"/>
    <w:rsid w:val="00813A08"/>
    <w:rsid w:val="008143E0"/>
    <w:rsid w:val="00814C3D"/>
    <w:rsid w:val="00814F2D"/>
    <w:rsid w:val="00815CCF"/>
    <w:rsid w:val="0081611D"/>
    <w:rsid w:val="00816514"/>
    <w:rsid w:val="00816EC9"/>
    <w:rsid w:val="008174E2"/>
    <w:rsid w:val="00817757"/>
    <w:rsid w:val="008178C8"/>
    <w:rsid w:val="00817D14"/>
    <w:rsid w:val="008200A6"/>
    <w:rsid w:val="00820160"/>
    <w:rsid w:val="00820684"/>
    <w:rsid w:val="00820E8A"/>
    <w:rsid w:val="00821E1E"/>
    <w:rsid w:val="008225BD"/>
    <w:rsid w:val="00822AA7"/>
    <w:rsid w:val="008231AD"/>
    <w:rsid w:val="008233A6"/>
    <w:rsid w:val="008238AB"/>
    <w:rsid w:val="008245CD"/>
    <w:rsid w:val="00824791"/>
    <w:rsid w:val="008247A4"/>
    <w:rsid w:val="00824C66"/>
    <w:rsid w:val="00825519"/>
    <w:rsid w:val="0082640F"/>
    <w:rsid w:val="00826478"/>
    <w:rsid w:val="00826B4E"/>
    <w:rsid w:val="008270F4"/>
    <w:rsid w:val="00827153"/>
    <w:rsid w:val="008271D5"/>
    <w:rsid w:val="008271F9"/>
    <w:rsid w:val="00827433"/>
    <w:rsid w:val="00827846"/>
    <w:rsid w:val="00827955"/>
    <w:rsid w:val="00827A61"/>
    <w:rsid w:val="00827AEB"/>
    <w:rsid w:val="00827B3A"/>
    <w:rsid w:val="00827D33"/>
    <w:rsid w:val="00827E4E"/>
    <w:rsid w:val="008307FE"/>
    <w:rsid w:val="008308A4"/>
    <w:rsid w:val="00831044"/>
    <w:rsid w:val="00831251"/>
    <w:rsid w:val="00831AA9"/>
    <w:rsid w:val="00832477"/>
    <w:rsid w:val="008328A9"/>
    <w:rsid w:val="008328C8"/>
    <w:rsid w:val="00832FC7"/>
    <w:rsid w:val="008331E0"/>
    <w:rsid w:val="008335CF"/>
    <w:rsid w:val="0083428E"/>
    <w:rsid w:val="00834742"/>
    <w:rsid w:val="00834811"/>
    <w:rsid w:val="008353EE"/>
    <w:rsid w:val="0083584D"/>
    <w:rsid w:val="008360A0"/>
    <w:rsid w:val="00836E3C"/>
    <w:rsid w:val="00837092"/>
    <w:rsid w:val="008373B7"/>
    <w:rsid w:val="00840519"/>
    <w:rsid w:val="00840A39"/>
    <w:rsid w:val="008415A3"/>
    <w:rsid w:val="00842265"/>
    <w:rsid w:val="0084269E"/>
    <w:rsid w:val="00842724"/>
    <w:rsid w:val="00842943"/>
    <w:rsid w:val="00842B6C"/>
    <w:rsid w:val="008434AD"/>
    <w:rsid w:val="00843655"/>
    <w:rsid w:val="008436A0"/>
    <w:rsid w:val="00843A89"/>
    <w:rsid w:val="00843B23"/>
    <w:rsid w:val="0084465E"/>
    <w:rsid w:val="008448D3"/>
    <w:rsid w:val="0084497C"/>
    <w:rsid w:val="00844A8B"/>
    <w:rsid w:val="00844BAB"/>
    <w:rsid w:val="008452FE"/>
    <w:rsid w:val="0084576A"/>
    <w:rsid w:val="00845AC0"/>
    <w:rsid w:val="00845AC8"/>
    <w:rsid w:val="00846138"/>
    <w:rsid w:val="008464AA"/>
    <w:rsid w:val="0084652E"/>
    <w:rsid w:val="00847EE9"/>
    <w:rsid w:val="00850807"/>
    <w:rsid w:val="008509FF"/>
    <w:rsid w:val="00851412"/>
    <w:rsid w:val="0085143B"/>
    <w:rsid w:val="00851670"/>
    <w:rsid w:val="008520A7"/>
    <w:rsid w:val="008525EA"/>
    <w:rsid w:val="00852749"/>
    <w:rsid w:val="0085288B"/>
    <w:rsid w:val="0085343D"/>
    <w:rsid w:val="008537F1"/>
    <w:rsid w:val="00855028"/>
    <w:rsid w:val="00855982"/>
    <w:rsid w:val="00855C86"/>
    <w:rsid w:val="00855FEC"/>
    <w:rsid w:val="008560F8"/>
    <w:rsid w:val="0085615A"/>
    <w:rsid w:val="00856526"/>
    <w:rsid w:val="008574F3"/>
    <w:rsid w:val="0086022B"/>
    <w:rsid w:val="00860988"/>
    <w:rsid w:val="00861C69"/>
    <w:rsid w:val="00861EE4"/>
    <w:rsid w:val="0086279F"/>
    <w:rsid w:val="008628A4"/>
    <w:rsid w:val="008629A3"/>
    <w:rsid w:val="00862E61"/>
    <w:rsid w:val="0086326B"/>
    <w:rsid w:val="00863806"/>
    <w:rsid w:val="008645EB"/>
    <w:rsid w:val="00864B40"/>
    <w:rsid w:val="00864BA0"/>
    <w:rsid w:val="00865033"/>
    <w:rsid w:val="008652C5"/>
    <w:rsid w:val="008656D9"/>
    <w:rsid w:val="00865839"/>
    <w:rsid w:val="00865E15"/>
    <w:rsid w:val="008663D6"/>
    <w:rsid w:val="00866436"/>
    <w:rsid w:val="008667D8"/>
    <w:rsid w:val="008677C9"/>
    <w:rsid w:val="008678B8"/>
    <w:rsid w:val="0087009F"/>
    <w:rsid w:val="0087020D"/>
    <w:rsid w:val="0087077B"/>
    <w:rsid w:val="008708BE"/>
    <w:rsid w:val="00870BC2"/>
    <w:rsid w:val="0087140A"/>
    <w:rsid w:val="00872299"/>
    <w:rsid w:val="008722B7"/>
    <w:rsid w:val="00872720"/>
    <w:rsid w:val="008728A4"/>
    <w:rsid w:val="0087352C"/>
    <w:rsid w:val="00873CC3"/>
    <w:rsid w:val="008740B4"/>
    <w:rsid w:val="0087418C"/>
    <w:rsid w:val="0087438E"/>
    <w:rsid w:val="008744E1"/>
    <w:rsid w:val="008744FB"/>
    <w:rsid w:val="008747A2"/>
    <w:rsid w:val="00874885"/>
    <w:rsid w:val="00874B34"/>
    <w:rsid w:val="00874FC0"/>
    <w:rsid w:val="008757CE"/>
    <w:rsid w:val="00875838"/>
    <w:rsid w:val="00875C56"/>
    <w:rsid w:val="00875D50"/>
    <w:rsid w:val="00876061"/>
    <w:rsid w:val="008761E3"/>
    <w:rsid w:val="008762FF"/>
    <w:rsid w:val="00876407"/>
    <w:rsid w:val="00876657"/>
    <w:rsid w:val="0087695D"/>
    <w:rsid w:val="00876964"/>
    <w:rsid w:val="00876D68"/>
    <w:rsid w:val="00877360"/>
    <w:rsid w:val="008774BC"/>
    <w:rsid w:val="00877B3A"/>
    <w:rsid w:val="00877B43"/>
    <w:rsid w:val="00877DA6"/>
    <w:rsid w:val="008800BB"/>
    <w:rsid w:val="0088057D"/>
    <w:rsid w:val="00880A94"/>
    <w:rsid w:val="00880AE7"/>
    <w:rsid w:val="0088119A"/>
    <w:rsid w:val="00881665"/>
    <w:rsid w:val="00881724"/>
    <w:rsid w:val="00881981"/>
    <w:rsid w:val="00882C85"/>
    <w:rsid w:val="00882E2C"/>
    <w:rsid w:val="008831D2"/>
    <w:rsid w:val="008833E7"/>
    <w:rsid w:val="00883CE4"/>
    <w:rsid w:val="00883EAC"/>
    <w:rsid w:val="00884151"/>
    <w:rsid w:val="008845E4"/>
    <w:rsid w:val="0088477C"/>
    <w:rsid w:val="008848DF"/>
    <w:rsid w:val="00885536"/>
    <w:rsid w:val="00885896"/>
    <w:rsid w:val="00885E3E"/>
    <w:rsid w:val="0088641C"/>
    <w:rsid w:val="00886487"/>
    <w:rsid w:val="008867AA"/>
    <w:rsid w:val="00886C9C"/>
    <w:rsid w:val="00887257"/>
    <w:rsid w:val="00890084"/>
    <w:rsid w:val="00890755"/>
    <w:rsid w:val="008909CC"/>
    <w:rsid w:val="00890A6B"/>
    <w:rsid w:val="00892237"/>
    <w:rsid w:val="0089223B"/>
    <w:rsid w:val="008923D1"/>
    <w:rsid w:val="00892DCF"/>
    <w:rsid w:val="008935E8"/>
    <w:rsid w:val="00893B14"/>
    <w:rsid w:val="0089496B"/>
    <w:rsid w:val="00895747"/>
    <w:rsid w:val="008959B7"/>
    <w:rsid w:val="00895A20"/>
    <w:rsid w:val="00895BB5"/>
    <w:rsid w:val="00895E97"/>
    <w:rsid w:val="00896380"/>
    <w:rsid w:val="0089646F"/>
    <w:rsid w:val="0089657A"/>
    <w:rsid w:val="00897067"/>
    <w:rsid w:val="0089728D"/>
    <w:rsid w:val="00897412"/>
    <w:rsid w:val="00897588"/>
    <w:rsid w:val="008A00F3"/>
    <w:rsid w:val="008A013A"/>
    <w:rsid w:val="008A01C3"/>
    <w:rsid w:val="008A0FA8"/>
    <w:rsid w:val="008A1D13"/>
    <w:rsid w:val="008A1EFD"/>
    <w:rsid w:val="008A2118"/>
    <w:rsid w:val="008A23CF"/>
    <w:rsid w:val="008A240D"/>
    <w:rsid w:val="008A2628"/>
    <w:rsid w:val="008A271B"/>
    <w:rsid w:val="008A3601"/>
    <w:rsid w:val="008A3725"/>
    <w:rsid w:val="008A3A9A"/>
    <w:rsid w:val="008A3AC4"/>
    <w:rsid w:val="008A3DF4"/>
    <w:rsid w:val="008A3E76"/>
    <w:rsid w:val="008A4634"/>
    <w:rsid w:val="008A48A8"/>
    <w:rsid w:val="008A4912"/>
    <w:rsid w:val="008A49CE"/>
    <w:rsid w:val="008A4DD1"/>
    <w:rsid w:val="008A5534"/>
    <w:rsid w:val="008A6B2E"/>
    <w:rsid w:val="008A6CDB"/>
    <w:rsid w:val="008A6E8B"/>
    <w:rsid w:val="008A7082"/>
    <w:rsid w:val="008A7168"/>
    <w:rsid w:val="008A73EC"/>
    <w:rsid w:val="008A7590"/>
    <w:rsid w:val="008A7908"/>
    <w:rsid w:val="008A7EC2"/>
    <w:rsid w:val="008B093C"/>
    <w:rsid w:val="008B0B78"/>
    <w:rsid w:val="008B15FD"/>
    <w:rsid w:val="008B20AA"/>
    <w:rsid w:val="008B2AD6"/>
    <w:rsid w:val="008B2B07"/>
    <w:rsid w:val="008B2BE9"/>
    <w:rsid w:val="008B30F3"/>
    <w:rsid w:val="008B3282"/>
    <w:rsid w:val="008B34EE"/>
    <w:rsid w:val="008B3B70"/>
    <w:rsid w:val="008B438D"/>
    <w:rsid w:val="008B4690"/>
    <w:rsid w:val="008B55D0"/>
    <w:rsid w:val="008B58E8"/>
    <w:rsid w:val="008B599F"/>
    <w:rsid w:val="008B5BE3"/>
    <w:rsid w:val="008B5D33"/>
    <w:rsid w:val="008B62A2"/>
    <w:rsid w:val="008B7130"/>
    <w:rsid w:val="008B7352"/>
    <w:rsid w:val="008C0E8C"/>
    <w:rsid w:val="008C15D4"/>
    <w:rsid w:val="008C179C"/>
    <w:rsid w:val="008C17A9"/>
    <w:rsid w:val="008C1AFF"/>
    <w:rsid w:val="008C2338"/>
    <w:rsid w:val="008C2D05"/>
    <w:rsid w:val="008C2E7A"/>
    <w:rsid w:val="008C3262"/>
    <w:rsid w:val="008C349B"/>
    <w:rsid w:val="008C3BFF"/>
    <w:rsid w:val="008C3CE4"/>
    <w:rsid w:val="008C4129"/>
    <w:rsid w:val="008C4D42"/>
    <w:rsid w:val="008C4E73"/>
    <w:rsid w:val="008C5056"/>
    <w:rsid w:val="008C5E59"/>
    <w:rsid w:val="008C5F88"/>
    <w:rsid w:val="008C606F"/>
    <w:rsid w:val="008C6141"/>
    <w:rsid w:val="008C62E1"/>
    <w:rsid w:val="008C6EC6"/>
    <w:rsid w:val="008C6FDF"/>
    <w:rsid w:val="008C7B8A"/>
    <w:rsid w:val="008D0468"/>
    <w:rsid w:val="008D0C9A"/>
    <w:rsid w:val="008D1444"/>
    <w:rsid w:val="008D14A9"/>
    <w:rsid w:val="008D1E0D"/>
    <w:rsid w:val="008D1E21"/>
    <w:rsid w:val="008D228A"/>
    <w:rsid w:val="008D29A1"/>
    <w:rsid w:val="008D2C52"/>
    <w:rsid w:val="008D2FE9"/>
    <w:rsid w:val="008D3136"/>
    <w:rsid w:val="008D3506"/>
    <w:rsid w:val="008D36DD"/>
    <w:rsid w:val="008D3895"/>
    <w:rsid w:val="008D3BDF"/>
    <w:rsid w:val="008D3EA2"/>
    <w:rsid w:val="008D3F76"/>
    <w:rsid w:val="008D40F9"/>
    <w:rsid w:val="008D5E05"/>
    <w:rsid w:val="008D5F8E"/>
    <w:rsid w:val="008D63BA"/>
    <w:rsid w:val="008D645A"/>
    <w:rsid w:val="008D6512"/>
    <w:rsid w:val="008D66BC"/>
    <w:rsid w:val="008D6C9B"/>
    <w:rsid w:val="008D7A89"/>
    <w:rsid w:val="008E0790"/>
    <w:rsid w:val="008E0853"/>
    <w:rsid w:val="008E0EC2"/>
    <w:rsid w:val="008E22CF"/>
    <w:rsid w:val="008E24D0"/>
    <w:rsid w:val="008E25CB"/>
    <w:rsid w:val="008E2CDB"/>
    <w:rsid w:val="008E2CFB"/>
    <w:rsid w:val="008E4ABF"/>
    <w:rsid w:val="008E51E8"/>
    <w:rsid w:val="008E5632"/>
    <w:rsid w:val="008E5CAE"/>
    <w:rsid w:val="008E61C1"/>
    <w:rsid w:val="008E6B48"/>
    <w:rsid w:val="008E6CB5"/>
    <w:rsid w:val="008E6DBD"/>
    <w:rsid w:val="008E6EA1"/>
    <w:rsid w:val="008E7201"/>
    <w:rsid w:val="008E72D7"/>
    <w:rsid w:val="008E7B10"/>
    <w:rsid w:val="008E7C45"/>
    <w:rsid w:val="008E7DD0"/>
    <w:rsid w:val="008E7E99"/>
    <w:rsid w:val="008E7F6A"/>
    <w:rsid w:val="008F02C7"/>
    <w:rsid w:val="008F0664"/>
    <w:rsid w:val="008F0D1D"/>
    <w:rsid w:val="008F0ECB"/>
    <w:rsid w:val="008F103A"/>
    <w:rsid w:val="008F1AB8"/>
    <w:rsid w:val="008F23D4"/>
    <w:rsid w:val="008F2E0E"/>
    <w:rsid w:val="008F324A"/>
    <w:rsid w:val="008F39FC"/>
    <w:rsid w:val="008F457F"/>
    <w:rsid w:val="008F474C"/>
    <w:rsid w:val="008F48A0"/>
    <w:rsid w:val="008F4986"/>
    <w:rsid w:val="008F5604"/>
    <w:rsid w:val="008F7084"/>
    <w:rsid w:val="008F712A"/>
    <w:rsid w:val="008F74D0"/>
    <w:rsid w:val="008F782A"/>
    <w:rsid w:val="008F7D9E"/>
    <w:rsid w:val="00900487"/>
    <w:rsid w:val="00900585"/>
    <w:rsid w:val="00900874"/>
    <w:rsid w:val="00900CFB"/>
    <w:rsid w:val="00901455"/>
    <w:rsid w:val="00901CC8"/>
    <w:rsid w:val="009039C2"/>
    <w:rsid w:val="00904494"/>
    <w:rsid w:val="00904577"/>
    <w:rsid w:val="00904885"/>
    <w:rsid w:val="00904B69"/>
    <w:rsid w:val="00904F83"/>
    <w:rsid w:val="009053D6"/>
    <w:rsid w:val="00905D4B"/>
    <w:rsid w:val="00906039"/>
    <w:rsid w:val="00906086"/>
    <w:rsid w:val="00906335"/>
    <w:rsid w:val="00906346"/>
    <w:rsid w:val="00906890"/>
    <w:rsid w:val="00906ACF"/>
    <w:rsid w:val="00906CE0"/>
    <w:rsid w:val="00907135"/>
    <w:rsid w:val="00907644"/>
    <w:rsid w:val="0091063C"/>
    <w:rsid w:val="00910A38"/>
    <w:rsid w:val="00911389"/>
    <w:rsid w:val="00911743"/>
    <w:rsid w:val="00911A73"/>
    <w:rsid w:val="00911F6C"/>
    <w:rsid w:val="009123F4"/>
    <w:rsid w:val="009132B2"/>
    <w:rsid w:val="009134C4"/>
    <w:rsid w:val="00913A33"/>
    <w:rsid w:val="00913BA5"/>
    <w:rsid w:val="00913F1E"/>
    <w:rsid w:val="00915239"/>
    <w:rsid w:val="00915CB2"/>
    <w:rsid w:val="0091610B"/>
    <w:rsid w:val="00916FA4"/>
    <w:rsid w:val="009172B2"/>
    <w:rsid w:val="00917305"/>
    <w:rsid w:val="00917359"/>
    <w:rsid w:val="009177F0"/>
    <w:rsid w:val="00917CC6"/>
    <w:rsid w:val="009201C8"/>
    <w:rsid w:val="009202A9"/>
    <w:rsid w:val="00920420"/>
    <w:rsid w:val="009209A7"/>
    <w:rsid w:val="00920E01"/>
    <w:rsid w:val="00920F64"/>
    <w:rsid w:val="00921163"/>
    <w:rsid w:val="009216D1"/>
    <w:rsid w:val="00921D15"/>
    <w:rsid w:val="00922169"/>
    <w:rsid w:val="009222E2"/>
    <w:rsid w:val="009229B6"/>
    <w:rsid w:val="00922B94"/>
    <w:rsid w:val="009236DC"/>
    <w:rsid w:val="00924593"/>
    <w:rsid w:val="00925A3E"/>
    <w:rsid w:val="00926087"/>
    <w:rsid w:val="00926104"/>
    <w:rsid w:val="00926177"/>
    <w:rsid w:val="00926B34"/>
    <w:rsid w:val="00926DE3"/>
    <w:rsid w:val="009276CE"/>
    <w:rsid w:val="0092778E"/>
    <w:rsid w:val="009277CC"/>
    <w:rsid w:val="009278EC"/>
    <w:rsid w:val="00927F15"/>
    <w:rsid w:val="009302D9"/>
    <w:rsid w:val="0093049B"/>
    <w:rsid w:val="009309BA"/>
    <w:rsid w:val="00930C9E"/>
    <w:rsid w:val="00930F17"/>
    <w:rsid w:val="00931140"/>
    <w:rsid w:val="00931917"/>
    <w:rsid w:val="00931CC0"/>
    <w:rsid w:val="00932206"/>
    <w:rsid w:val="009324CD"/>
    <w:rsid w:val="009324EB"/>
    <w:rsid w:val="00932952"/>
    <w:rsid w:val="00934DAB"/>
    <w:rsid w:val="009355AF"/>
    <w:rsid w:val="009358C7"/>
    <w:rsid w:val="00935AD8"/>
    <w:rsid w:val="00935D22"/>
    <w:rsid w:val="009364A5"/>
    <w:rsid w:val="009367B3"/>
    <w:rsid w:val="009370C5"/>
    <w:rsid w:val="0093756D"/>
    <w:rsid w:val="00940A02"/>
    <w:rsid w:val="00940CA8"/>
    <w:rsid w:val="009415EB"/>
    <w:rsid w:val="0094184A"/>
    <w:rsid w:val="00941EB2"/>
    <w:rsid w:val="0094234A"/>
    <w:rsid w:val="0094244F"/>
    <w:rsid w:val="009427F1"/>
    <w:rsid w:val="00942B32"/>
    <w:rsid w:val="00942D26"/>
    <w:rsid w:val="00942DEE"/>
    <w:rsid w:val="00943875"/>
    <w:rsid w:val="00943DEC"/>
    <w:rsid w:val="0094428B"/>
    <w:rsid w:val="0094447A"/>
    <w:rsid w:val="00944A7F"/>
    <w:rsid w:val="00944F8A"/>
    <w:rsid w:val="00945457"/>
    <w:rsid w:val="00945573"/>
    <w:rsid w:val="00945659"/>
    <w:rsid w:val="00945749"/>
    <w:rsid w:val="00945810"/>
    <w:rsid w:val="009459C1"/>
    <w:rsid w:val="00945C04"/>
    <w:rsid w:val="00945FA5"/>
    <w:rsid w:val="009462E5"/>
    <w:rsid w:val="009475B3"/>
    <w:rsid w:val="00950090"/>
    <w:rsid w:val="009509C6"/>
    <w:rsid w:val="00951729"/>
    <w:rsid w:val="00952090"/>
    <w:rsid w:val="00952A2A"/>
    <w:rsid w:val="00953697"/>
    <w:rsid w:val="009551E4"/>
    <w:rsid w:val="009553F2"/>
    <w:rsid w:val="00955461"/>
    <w:rsid w:val="009557C9"/>
    <w:rsid w:val="00955F17"/>
    <w:rsid w:val="00956560"/>
    <w:rsid w:val="009571EC"/>
    <w:rsid w:val="00957CAA"/>
    <w:rsid w:val="00960193"/>
    <w:rsid w:val="00960A65"/>
    <w:rsid w:val="00960D4C"/>
    <w:rsid w:val="00960D6E"/>
    <w:rsid w:val="00960F4F"/>
    <w:rsid w:val="00961085"/>
    <w:rsid w:val="00961447"/>
    <w:rsid w:val="00961935"/>
    <w:rsid w:val="00961A6C"/>
    <w:rsid w:val="0096209C"/>
    <w:rsid w:val="0096257A"/>
    <w:rsid w:val="00962790"/>
    <w:rsid w:val="009627AC"/>
    <w:rsid w:val="00962A2B"/>
    <w:rsid w:val="00963709"/>
    <w:rsid w:val="00963822"/>
    <w:rsid w:val="00963926"/>
    <w:rsid w:val="00963C71"/>
    <w:rsid w:val="00963F9B"/>
    <w:rsid w:val="00963F9D"/>
    <w:rsid w:val="009642D4"/>
    <w:rsid w:val="00964C51"/>
    <w:rsid w:val="00964E99"/>
    <w:rsid w:val="00966500"/>
    <w:rsid w:val="00966977"/>
    <w:rsid w:val="00966BB1"/>
    <w:rsid w:val="00970103"/>
    <w:rsid w:val="00970414"/>
    <w:rsid w:val="009706A5"/>
    <w:rsid w:val="00970A6E"/>
    <w:rsid w:val="00970E6E"/>
    <w:rsid w:val="00971644"/>
    <w:rsid w:val="0097188E"/>
    <w:rsid w:val="009718C4"/>
    <w:rsid w:val="00971C44"/>
    <w:rsid w:val="00971CFC"/>
    <w:rsid w:val="00972850"/>
    <w:rsid w:val="009729BE"/>
    <w:rsid w:val="0097317C"/>
    <w:rsid w:val="00973962"/>
    <w:rsid w:val="00973972"/>
    <w:rsid w:val="00973AE5"/>
    <w:rsid w:val="00973E38"/>
    <w:rsid w:val="00973FA0"/>
    <w:rsid w:val="00974110"/>
    <w:rsid w:val="009750A1"/>
    <w:rsid w:val="00975130"/>
    <w:rsid w:val="009752C7"/>
    <w:rsid w:val="00975561"/>
    <w:rsid w:val="009757E2"/>
    <w:rsid w:val="00975923"/>
    <w:rsid w:val="00975F89"/>
    <w:rsid w:val="00976638"/>
    <w:rsid w:val="009767FD"/>
    <w:rsid w:val="00976E41"/>
    <w:rsid w:val="00977241"/>
    <w:rsid w:val="009804EE"/>
    <w:rsid w:val="009805B3"/>
    <w:rsid w:val="009809B9"/>
    <w:rsid w:val="0098122A"/>
    <w:rsid w:val="00982471"/>
    <w:rsid w:val="00982668"/>
    <w:rsid w:val="0098277C"/>
    <w:rsid w:val="0098299B"/>
    <w:rsid w:val="009829D8"/>
    <w:rsid w:val="00983675"/>
    <w:rsid w:val="00983D72"/>
    <w:rsid w:val="00983F70"/>
    <w:rsid w:val="009842BB"/>
    <w:rsid w:val="00984719"/>
    <w:rsid w:val="00985133"/>
    <w:rsid w:val="0098625A"/>
    <w:rsid w:val="009867E2"/>
    <w:rsid w:val="009868EF"/>
    <w:rsid w:val="00986B6D"/>
    <w:rsid w:val="00987541"/>
    <w:rsid w:val="009875EC"/>
    <w:rsid w:val="00987792"/>
    <w:rsid w:val="0098780A"/>
    <w:rsid w:val="00987D07"/>
    <w:rsid w:val="00990ACB"/>
    <w:rsid w:val="00990C32"/>
    <w:rsid w:val="0099118F"/>
    <w:rsid w:val="009918F3"/>
    <w:rsid w:val="00992546"/>
    <w:rsid w:val="00993088"/>
    <w:rsid w:val="009931E5"/>
    <w:rsid w:val="00993C23"/>
    <w:rsid w:val="00994132"/>
    <w:rsid w:val="00994C67"/>
    <w:rsid w:val="00994F11"/>
    <w:rsid w:val="009958FA"/>
    <w:rsid w:val="00995B9D"/>
    <w:rsid w:val="00995F1C"/>
    <w:rsid w:val="009960FF"/>
    <w:rsid w:val="0099641A"/>
    <w:rsid w:val="009964FF"/>
    <w:rsid w:val="00996681"/>
    <w:rsid w:val="00996871"/>
    <w:rsid w:val="00996A38"/>
    <w:rsid w:val="00996CA1"/>
    <w:rsid w:val="00997187"/>
    <w:rsid w:val="0099793B"/>
    <w:rsid w:val="00997D45"/>
    <w:rsid w:val="009A139E"/>
    <w:rsid w:val="009A1B9F"/>
    <w:rsid w:val="009A1F57"/>
    <w:rsid w:val="009A20D7"/>
    <w:rsid w:val="009A27E6"/>
    <w:rsid w:val="009A2862"/>
    <w:rsid w:val="009A2923"/>
    <w:rsid w:val="009A2BB6"/>
    <w:rsid w:val="009A2CBD"/>
    <w:rsid w:val="009A2F44"/>
    <w:rsid w:val="009A2FE7"/>
    <w:rsid w:val="009A4107"/>
    <w:rsid w:val="009A42DD"/>
    <w:rsid w:val="009A4867"/>
    <w:rsid w:val="009A4E65"/>
    <w:rsid w:val="009A4FB0"/>
    <w:rsid w:val="009A5586"/>
    <w:rsid w:val="009A5AD3"/>
    <w:rsid w:val="009A67D6"/>
    <w:rsid w:val="009A6AC6"/>
    <w:rsid w:val="009A71FC"/>
    <w:rsid w:val="009A735B"/>
    <w:rsid w:val="009B07CD"/>
    <w:rsid w:val="009B07EE"/>
    <w:rsid w:val="009B0BC2"/>
    <w:rsid w:val="009B0F3B"/>
    <w:rsid w:val="009B118E"/>
    <w:rsid w:val="009B1281"/>
    <w:rsid w:val="009B1649"/>
    <w:rsid w:val="009B1CA8"/>
    <w:rsid w:val="009B1FDE"/>
    <w:rsid w:val="009B2277"/>
    <w:rsid w:val="009B22FF"/>
    <w:rsid w:val="009B25D5"/>
    <w:rsid w:val="009B276F"/>
    <w:rsid w:val="009B3A26"/>
    <w:rsid w:val="009B3A37"/>
    <w:rsid w:val="009B44D4"/>
    <w:rsid w:val="009B467B"/>
    <w:rsid w:val="009B48AE"/>
    <w:rsid w:val="009B4F07"/>
    <w:rsid w:val="009B6110"/>
    <w:rsid w:val="009B664A"/>
    <w:rsid w:val="009B6A1B"/>
    <w:rsid w:val="009B6C97"/>
    <w:rsid w:val="009B78B1"/>
    <w:rsid w:val="009C072D"/>
    <w:rsid w:val="009C0A2A"/>
    <w:rsid w:val="009C0E5C"/>
    <w:rsid w:val="009C1396"/>
    <w:rsid w:val="009C19E9"/>
    <w:rsid w:val="009C1AC8"/>
    <w:rsid w:val="009C2049"/>
    <w:rsid w:val="009C252D"/>
    <w:rsid w:val="009C28B7"/>
    <w:rsid w:val="009C2970"/>
    <w:rsid w:val="009C31ED"/>
    <w:rsid w:val="009C4411"/>
    <w:rsid w:val="009C446C"/>
    <w:rsid w:val="009C48E8"/>
    <w:rsid w:val="009C4922"/>
    <w:rsid w:val="009C67C4"/>
    <w:rsid w:val="009C694F"/>
    <w:rsid w:val="009C6C28"/>
    <w:rsid w:val="009C6FD8"/>
    <w:rsid w:val="009C71DD"/>
    <w:rsid w:val="009C7CC3"/>
    <w:rsid w:val="009C7E7B"/>
    <w:rsid w:val="009D0035"/>
    <w:rsid w:val="009D0529"/>
    <w:rsid w:val="009D0DA4"/>
    <w:rsid w:val="009D1501"/>
    <w:rsid w:val="009D2CA5"/>
    <w:rsid w:val="009D5432"/>
    <w:rsid w:val="009D55D6"/>
    <w:rsid w:val="009D5E30"/>
    <w:rsid w:val="009D63E7"/>
    <w:rsid w:val="009D6455"/>
    <w:rsid w:val="009D64AA"/>
    <w:rsid w:val="009D6F90"/>
    <w:rsid w:val="009D715E"/>
    <w:rsid w:val="009D7A4C"/>
    <w:rsid w:val="009D7FE4"/>
    <w:rsid w:val="009D7FF1"/>
    <w:rsid w:val="009E08A9"/>
    <w:rsid w:val="009E0923"/>
    <w:rsid w:val="009E0AD6"/>
    <w:rsid w:val="009E12F1"/>
    <w:rsid w:val="009E156E"/>
    <w:rsid w:val="009E1C4B"/>
    <w:rsid w:val="009E1E50"/>
    <w:rsid w:val="009E257C"/>
    <w:rsid w:val="009E2D5A"/>
    <w:rsid w:val="009E3038"/>
    <w:rsid w:val="009E384B"/>
    <w:rsid w:val="009E38B9"/>
    <w:rsid w:val="009E3A68"/>
    <w:rsid w:val="009E3BD2"/>
    <w:rsid w:val="009E406B"/>
    <w:rsid w:val="009E40DF"/>
    <w:rsid w:val="009E411F"/>
    <w:rsid w:val="009E4792"/>
    <w:rsid w:val="009E4C81"/>
    <w:rsid w:val="009E5713"/>
    <w:rsid w:val="009E6294"/>
    <w:rsid w:val="009E6987"/>
    <w:rsid w:val="009E6D5D"/>
    <w:rsid w:val="009E73E8"/>
    <w:rsid w:val="009E7709"/>
    <w:rsid w:val="009E7DD4"/>
    <w:rsid w:val="009F003C"/>
    <w:rsid w:val="009F0206"/>
    <w:rsid w:val="009F037F"/>
    <w:rsid w:val="009F0C9F"/>
    <w:rsid w:val="009F113F"/>
    <w:rsid w:val="009F1474"/>
    <w:rsid w:val="009F1610"/>
    <w:rsid w:val="009F2493"/>
    <w:rsid w:val="009F267E"/>
    <w:rsid w:val="009F294B"/>
    <w:rsid w:val="009F2A34"/>
    <w:rsid w:val="009F3C84"/>
    <w:rsid w:val="009F4280"/>
    <w:rsid w:val="009F4724"/>
    <w:rsid w:val="009F4CE1"/>
    <w:rsid w:val="009F5454"/>
    <w:rsid w:val="009F5CDE"/>
    <w:rsid w:val="009F5DDA"/>
    <w:rsid w:val="009F5E00"/>
    <w:rsid w:val="009F61E5"/>
    <w:rsid w:val="009F641B"/>
    <w:rsid w:val="009F6667"/>
    <w:rsid w:val="009F7456"/>
    <w:rsid w:val="009F7917"/>
    <w:rsid w:val="009F7D88"/>
    <w:rsid w:val="00A00A4D"/>
    <w:rsid w:val="00A00D0D"/>
    <w:rsid w:val="00A00F2E"/>
    <w:rsid w:val="00A016D8"/>
    <w:rsid w:val="00A01E7A"/>
    <w:rsid w:val="00A0208D"/>
    <w:rsid w:val="00A0239C"/>
    <w:rsid w:val="00A027F3"/>
    <w:rsid w:val="00A02E83"/>
    <w:rsid w:val="00A0429A"/>
    <w:rsid w:val="00A04AE7"/>
    <w:rsid w:val="00A04DA8"/>
    <w:rsid w:val="00A053AB"/>
    <w:rsid w:val="00A0542C"/>
    <w:rsid w:val="00A055FB"/>
    <w:rsid w:val="00A10C72"/>
    <w:rsid w:val="00A11531"/>
    <w:rsid w:val="00A12386"/>
    <w:rsid w:val="00A12AB4"/>
    <w:rsid w:val="00A12D8A"/>
    <w:rsid w:val="00A136DD"/>
    <w:rsid w:val="00A1399D"/>
    <w:rsid w:val="00A13D81"/>
    <w:rsid w:val="00A140D6"/>
    <w:rsid w:val="00A14820"/>
    <w:rsid w:val="00A14C2E"/>
    <w:rsid w:val="00A14E62"/>
    <w:rsid w:val="00A14E8A"/>
    <w:rsid w:val="00A15ECE"/>
    <w:rsid w:val="00A15F1E"/>
    <w:rsid w:val="00A16307"/>
    <w:rsid w:val="00A16400"/>
    <w:rsid w:val="00A174E2"/>
    <w:rsid w:val="00A17999"/>
    <w:rsid w:val="00A20001"/>
    <w:rsid w:val="00A202CC"/>
    <w:rsid w:val="00A209D9"/>
    <w:rsid w:val="00A20DC6"/>
    <w:rsid w:val="00A20DFC"/>
    <w:rsid w:val="00A212F3"/>
    <w:rsid w:val="00A213E7"/>
    <w:rsid w:val="00A21514"/>
    <w:rsid w:val="00A21749"/>
    <w:rsid w:val="00A2243D"/>
    <w:rsid w:val="00A224E7"/>
    <w:rsid w:val="00A22D34"/>
    <w:rsid w:val="00A22E64"/>
    <w:rsid w:val="00A2309F"/>
    <w:rsid w:val="00A23249"/>
    <w:rsid w:val="00A23752"/>
    <w:rsid w:val="00A23C4E"/>
    <w:rsid w:val="00A23CE8"/>
    <w:rsid w:val="00A2437E"/>
    <w:rsid w:val="00A2447F"/>
    <w:rsid w:val="00A24716"/>
    <w:rsid w:val="00A249C7"/>
    <w:rsid w:val="00A25102"/>
    <w:rsid w:val="00A256C7"/>
    <w:rsid w:val="00A263E7"/>
    <w:rsid w:val="00A26A5C"/>
    <w:rsid w:val="00A26C76"/>
    <w:rsid w:val="00A270F9"/>
    <w:rsid w:val="00A27C50"/>
    <w:rsid w:val="00A27C7F"/>
    <w:rsid w:val="00A30181"/>
    <w:rsid w:val="00A31129"/>
    <w:rsid w:val="00A31AA5"/>
    <w:rsid w:val="00A31B1F"/>
    <w:rsid w:val="00A325E1"/>
    <w:rsid w:val="00A32D38"/>
    <w:rsid w:val="00A32E20"/>
    <w:rsid w:val="00A330C2"/>
    <w:rsid w:val="00A33676"/>
    <w:rsid w:val="00A33B40"/>
    <w:rsid w:val="00A341D9"/>
    <w:rsid w:val="00A34611"/>
    <w:rsid w:val="00A347E6"/>
    <w:rsid w:val="00A34922"/>
    <w:rsid w:val="00A349B1"/>
    <w:rsid w:val="00A355B8"/>
    <w:rsid w:val="00A355F8"/>
    <w:rsid w:val="00A35A91"/>
    <w:rsid w:val="00A36449"/>
    <w:rsid w:val="00A375CC"/>
    <w:rsid w:val="00A4028C"/>
    <w:rsid w:val="00A40688"/>
    <w:rsid w:val="00A40F58"/>
    <w:rsid w:val="00A41158"/>
    <w:rsid w:val="00A41358"/>
    <w:rsid w:val="00A41966"/>
    <w:rsid w:val="00A42657"/>
    <w:rsid w:val="00A42917"/>
    <w:rsid w:val="00A42F90"/>
    <w:rsid w:val="00A439A9"/>
    <w:rsid w:val="00A43FB5"/>
    <w:rsid w:val="00A43FF6"/>
    <w:rsid w:val="00A440F9"/>
    <w:rsid w:val="00A444C5"/>
    <w:rsid w:val="00A445F5"/>
    <w:rsid w:val="00A448D9"/>
    <w:rsid w:val="00A44EAC"/>
    <w:rsid w:val="00A4590F"/>
    <w:rsid w:val="00A45BA7"/>
    <w:rsid w:val="00A468C9"/>
    <w:rsid w:val="00A4694B"/>
    <w:rsid w:val="00A47516"/>
    <w:rsid w:val="00A50C22"/>
    <w:rsid w:val="00A510FF"/>
    <w:rsid w:val="00A51374"/>
    <w:rsid w:val="00A51473"/>
    <w:rsid w:val="00A515FC"/>
    <w:rsid w:val="00A517EC"/>
    <w:rsid w:val="00A51D52"/>
    <w:rsid w:val="00A520EF"/>
    <w:rsid w:val="00A522D0"/>
    <w:rsid w:val="00A5252C"/>
    <w:rsid w:val="00A52A0E"/>
    <w:rsid w:val="00A5333E"/>
    <w:rsid w:val="00A53755"/>
    <w:rsid w:val="00A54AAE"/>
    <w:rsid w:val="00A54C11"/>
    <w:rsid w:val="00A54E4A"/>
    <w:rsid w:val="00A55909"/>
    <w:rsid w:val="00A565B7"/>
    <w:rsid w:val="00A56B3A"/>
    <w:rsid w:val="00A5755C"/>
    <w:rsid w:val="00A57723"/>
    <w:rsid w:val="00A57DCF"/>
    <w:rsid w:val="00A600F6"/>
    <w:rsid w:val="00A606DD"/>
    <w:rsid w:val="00A60815"/>
    <w:rsid w:val="00A60B43"/>
    <w:rsid w:val="00A60D75"/>
    <w:rsid w:val="00A61119"/>
    <w:rsid w:val="00A61142"/>
    <w:rsid w:val="00A61219"/>
    <w:rsid w:val="00A61E1D"/>
    <w:rsid w:val="00A61EF1"/>
    <w:rsid w:val="00A620CD"/>
    <w:rsid w:val="00A6216F"/>
    <w:rsid w:val="00A62287"/>
    <w:rsid w:val="00A62A7D"/>
    <w:rsid w:val="00A63FC6"/>
    <w:rsid w:val="00A64F78"/>
    <w:rsid w:val="00A65FFE"/>
    <w:rsid w:val="00A67017"/>
    <w:rsid w:val="00A67207"/>
    <w:rsid w:val="00A672CA"/>
    <w:rsid w:val="00A6785E"/>
    <w:rsid w:val="00A70122"/>
    <w:rsid w:val="00A7049C"/>
    <w:rsid w:val="00A706A3"/>
    <w:rsid w:val="00A7071E"/>
    <w:rsid w:val="00A70B81"/>
    <w:rsid w:val="00A70C2F"/>
    <w:rsid w:val="00A70E78"/>
    <w:rsid w:val="00A714C6"/>
    <w:rsid w:val="00A71A9A"/>
    <w:rsid w:val="00A71ABC"/>
    <w:rsid w:val="00A71C29"/>
    <w:rsid w:val="00A71C81"/>
    <w:rsid w:val="00A71F22"/>
    <w:rsid w:val="00A71F46"/>
    <w:rsid w:val="00A72042"/>
    <w:rsid w:val="00A721F0"/>
    <w:rsid w:val="00A72FCA"/>
    <w:rsid w:val="00A73010"/>
    <w:rsid w:val="00A73524"/>
    <w:rsid w:val="00A73966"/>
    <w:rsid w:val="00A7411A"/>
    <w:rsid w:val="00A74682"/>
    <w:rsid w:val="00A74C85"/>
    <w:rsid w:val="00A74CC9"/>
    <w:rsid w:val="00A74FC4"/>
    <w:rsid w:val="00A755E4"/>
    <w:rsid w:val="00A75BED"/>
    <w:rsid w:val="00A7692A"/>
    <w:rsid w:val="00A76C2B"/>
    <w:rsid w:val="00A77930"/>
    <w:rsid w:val="00A800FC"/>
    <w:rsid w:val="00A804AB"/>
    <w:rsid w:val="00A80B88"/>
    <w:rsid w:val="00A80C41"/>
    <w:rsid w:val="00A80C50"/>
    <w:rsid w:val="00A80D64"/>
    <w:rsid w:val="00A810BF"/>
    <w:rsid w:val="00A81624"/>
    <w:rsid w:val="00A81CB4"/>
    <w:rsid w:val="00A82359"/>
    <w:rsid w:val="00A823BD"/>
    <w:rsid w:val="00A827B0"/>
    <w:rsid w:val="00A82B17"/>
    <w:rsid w:val="00A8325E"/>
    <w:rsid w:val="00A8387D"/>
    <w:rsid w:val="00A83B05"/>
    <w:rsid w:val="00A848BD"/>
    <w:rsid w:val="00A8539C"/>
    <w:rsid w:val="00A859ED"/>
    <w:rsid w:val="00A86036"/>
    <w:rsid w:val="00A86ED8"/>
    <w:rsid w:val="00A87588"/>
    <w:rsid w:val="00A87936"/>
    <w:rsid w:val="00A9007B"/>
    <w:rsid w:val="00A90664"/>
    <w:rsid w:val="00A909CC"/>
    <w:rsid w:val="00A90C01"/>
    <w:rsid w:val="00A90CF3"/>
    <w:rsid w:val="00A90DB3"/>
    <w:rsid w:val="00A90EE0"/>
    <w:rsid w:val="00A910BC"/>
    <w:rsid w:val="00A91BCC"/>
    <w:rsid w:val="00A91DE5"/>
    <w:rsid w:val="00A91ECD"/>
    <w:rsid w:val="00A9208C"/>
    <w:rsid w:val="00A9335E"/>
    <w:rsid w:val="00A9393B"/>
    <w:rsid w:val="00A93C7A"/>
    <w:rsid w:val="00A94446"/>
    <w:rsid w:val="00A94819"/>
    <w:rsid w:val="00A94E3C"/>
    <w:rsid w:val="00A94F37"/>
    <w:rsid w:val="00A9504F"/>
    <w:rsid w:val="00A958F7"/>
    <w:rsid w:val="00A95E8A"/>
    <w:rsid w:val="00A95FD6"/>
    <w:rsid w:val="00A962E2"/>
    <w:rsid w:val="00A966AF"/>
    <w:rsid w:val="00A97872"/>
    <w:rsid w:val="00AA0262"/>
    <w:rsid w:val="00AA0A9B"/>
    <w:rsid w:val="00AA0C5F"/>
    <w:rsid w:val="00AA0CEC"/>
    <w:rsid w:val="00AA0D1F"/>
    <w:rsid w:val="00AA1893"/>
    <w:rsid w:val="00AA2619"/>
    <w:rsid w:val="00AA2A43"/>
    <w:rsid w:val="00AA2B25"/>
    <w:rsid w:val="00AA4A0C"/>
    <w:rsid w:val="00AA549B"/>
    <w:rsid w:val="00AA5721"/>
    <w:rsid w:val="00AA5E51"/>
    <w:rsid w:val="00AA61D9"/>
    <w:rsid w:val="00AA61E2"/>
    <w:rsid w:val="00AA6AC3"/>
    <w:rsid w:val="00AA6C7F"/>
    <w:rsid w:val="00AA7581"/>
    <w:rsid w:val="00AB05CD"/>
    <w:rsid w:val="00AB0905"/>
    <w:rsid w:val="00AB0961"/>
    <w:rsid w:val="00AB11AE"/>
    <w:rsid w:val="00AB1C18"/>
    <w:rsid w:val="00AB2497"/>
    <w:rsid w:val="00AB266D"/>
    <w:rsid w:val="00AB2985"/>
    <w:rsid w:val="00AB30A2"/>
    <w:rsid w:val="00AB3F45"/>
    <w:rsid w:val="00AB4560"/>
    <w:rsid w:val="00AB4BFD"/>
    <w:rsid w:val="00AB4E16"/>
    <w:rsid w:val="00AB4F26"/>
    <w:rsid w:val="00AB5F6A"/>
    <w:rsid w:val="00AB6C38"/>
    <w:rsid w:val="00AB76F3"/>
    <w:rsid w:val="00AC0324"/>
    <w:rsid w:val="00AC0956"/>
    <w:rsid w:val="00AC0B2E"/>
    <w:rsid w:val="00AC0BD0"/>
    <w:rsid w:val="00AC12A6"/>
    <w:rsid w:val="00AC1C4C"/>
    <w:rsid w:val="00AC1FEF"/>
    <w:rsid w:val="00AC26C4"/>
    <w:rsid w:val="00AC2F30"/>
    <w:rsid w:val="00AC3346"/>
    <w:rsid w:val="00AC3854"/>
    <w:rsid w:val="00AC3DFD"/>
    <w:rsid w:val="00AC3F9A"/>
    <w:rsid w:val="00AC4275"/>
    <w:rsid w:val="00AC4673"/>
    <w:rsid w:val="00AC5393"/>
    <w:rsid w:val="00AC5C8E"/>
    <w:rsid w:val="00AC67C3"/>
    <w:rsid w:val="00AC7073"/>
    <w:rsid w:val="00AC7DAB"/>
    <w:rsid w:val="00AD1B3C"/>
    <w:rsid w:val="00AD281A"/>
    <w:rsid w:val="00AD282F"/>
    <w:rsid w:val="00AD28A8"/>
    <w:rsid w:val="00AD2D34"/>
    <w:rsid w:val="00AD326C"/>
    <w:rsid w:val="00AD3F9C"/>
    <w:rsid w:val="00AD43F3"/>
    <w:rsid w:val="00AD53E3"/>
    <w:rsid w:val="00AD55FD"/>
    <w:rsid w:val="00AD56CC"/>
    <w:rsid w:val="00AD5D0F"/>
    <w:rsid w:val="00AD5E9A"/>
    <w:rsid w:val="00AD617F"/>
    <w:rsid w:val="00AD6189"/>
    <w:rsid w:val="00AD640A"/>
    <w:rsid w:val="00AD65EC"/>
    <w:rsid w:val="00AD68AA"/>
    <w:rsid w:val="00AD75EE"/>
    <w:rsid w:val="00AE0407"/>
    <w:rsid w:val="00AE0B2C"/>
    <w:rsid w:val="00AE0BD8"/>
    <w:rsid w:val="00AE1A76"/>
    <w:rsid w:val="00AE1AE8"/>
    <w:rsid w:val="00AE1B86"/>
    <w:rsid w:val="00AE1C87"/>
    <w:rsid w:val="00AE1D28"/>
    <w:rsid w:val="00AE1F90"/>
    <w:rsid w:val="00AE24CE"/>
    <w:rsid w:val="00AE344E"/>
    <w:rsid w:val="00AE3759"/>
    <w:rsid w:val="00AE390E"/>
    <w:rsid w:val="00AE3E18"/>
    <w:rsid w:val="00AE3F19"/>
    <w:rsid w:val="00AE3F8B"/>
    <w:rsid w:val="00AE4366"/>
    <w:rsid w:val="00AE44D3"/>
    <w:rsid w:val="00AE49C9"/>
    <w:rsid w:val="00AE57CC"/>
    <w:rsid w:val="00AE5CDB"/>
    <w:rsid w:val="00AE5F91"/>
    <w:rsid w:val="00AE67DC"/>
    <w:rsid w:val="00AE6CE1"/>
    <w:rsid w:val="00AE6F44"/>
    <w:rsid w:val="00AE77DF"/>
    <w:rsid w:val="00AE7863"/>
    <w:rsid w:val="00AE7936"/>
    <w:rsid w:val="00AF021A"/>
    <w:rsid w:val="00AF0C15"/>
    <w:rsid w:val="00AF1122"/>
    <w:rsid w:val="00AF1140"/>
    <w:rsid w:val="00AF11D4"/>
    <w:rsid w:val="00AF2196"/>
    <w:rsid w:val="00AF25CF"/>
    <w:rsid w:val="00AF26FD"/>
    <w:rsid w:val="00AF29F7"/>
    <w:rsid w:val="00AF379A"/>
    <w:rsid w:val="00AF395B"/>
    <w:rsid w:val="00AF3D1A"/>
    <w:rsid w:val="00AF42FF"/>
    <w:rsid w:val="00AF43F7"/>
    <w:rsid w:val="00AF4838"/>
    <w:rsid w:val="00AF4A94"/>
    <w:rsid w:val="00AF5564"/>
    <w:rsid w:val="00AF57BA"/>
    <w:rsid w:val="00AF64D6"/>
    <w:rsid w:val="00AF6980"/>
    <w:rsid w:val="00AF6B87"/>
    <w:rsid w:val="00AF6C32"/>
    <w:rsid w:val="00AF6DF1"/>
    <w:rsid w:val="00AF6FEE"/>
    <w:rsid w:val="00AF72EB"/>
    <w:rsid w:val="00AF7BFE"/>
    <w:rsid w:val="00B00120"/>
    <w:rsid w:val="00B00378"/>
    <w:rsid w:val="00B00A6C"/>
    <w:rsid w:val="00B01262"/>
    <w:rsid w:val="00B01C2C"/>
    <w:rsid w:val="00B01CD4"/>
    <w:rsid w:val="00B01D1B"/>
    <w:rsid w:val="00B01E5E"/>
    <w:rsid w:val="00B02640"/>
    <w:rsid w:val="00B0267E"/>
    <w:rsid w:val="00B02C54"/>
    <w:rsid w:val="00B02E16"/>
    <w:rsid w:val="00B034FC"/>
    <w:rsid w:val="00B0372E"/>
    <w:rsid w:val="00B03F6D"/>
    <w:rsid w:val="00B045F0"/>
    <w:rsid w:val="00B04BFF"/>
    <w:rsid w:val="00B04C7A"/>
    <w:rsid w:val="00B04D03"/>
    <w:rsid w:val="00B04DBA"/>
    <w:rsid w:val="00B051D0"/>
    <w:rsid w:val="00B0569A"/>
    <w:rsid w:val="00B06153"/>
    <w:rsid w:val="00B064F7"/>
    <w:rsid w:val="00B066DB"/>
    <w:rsid w:val="00B10A9A"/>
    <w:rsid w:val="00B123A0"/>
    <w:rsid w:val="00B12BBB"/>
    <w:rsid w:val="00B12FD0"/>
    <w:rsid w:val="00B13015"/>
    <w:rsid w:val="00B13182"/>
    <w:rsid w:val="00B13343"/>
    <w:rsid w:val="00B13BA2"/>
    <w:rsid w:val="00B144F7"/>
    <w:rsid w:val="00B147A9"/>
    <w:rsid w:val="00B14E51"/>
    <w:rsid w:val="00B150DE"/>
    <w:rsid w:val="00B159CB"/>
    <w:rsid w:val="00B159F6"/>
    <w:rsid w:val="00B15BA4"/>
    <w:rsid w:val="00B15E55"/>
    <w:rsid w:val="00B15FCA"/>
    <w:rsid w:val="00B16020"/>
    <w:rsid w:val="00B16409"/>
    <w:rsid w:val="00B16BB0"/>
    <w:rsid w:val="00B1710A"/>
    <w:rsid w:val="00B1765A"/>
    <w:rsid w:val="00B17B04"/>
    <w:rsid w:val="00B17BCA"/>
    <w:rsid w:val="00B20158"/>
    <w:rsid w:val="00B201E7"/>
    <w:rsid w:val="00B204FA"/>
    <w:rsid w:val="00B20563"/>
    <w:rsid w:val="00B205A7"/>
    <w:rsid w:val="00B20B54"/>
    <w:rsid w:val="00B216D3"/>
    <w:rsid w:val="00B216FE"/>
    <w:rsid w:val="00B21826"/>
    <w:rsid w:val="00B21A93"/>
    <w:rsid w:val="00B22053"/>
    <w:rsid w:val="00B2217E"/>
    <w:rsid w:val="00B2277F"/>
    <w:rsid w:val="00B22886"/>
    <w:rsid w:val="00B229B9"/>
    <w:rsid w:val="00B22D2F"/>
    <w:rsid w:val="00B22FC5"/>
    <w:rsid w:val="00B2304B"/>
    <w:rsid w:val="00B23662"/>
    <w:rsid w:val="00B24CAA"/>
    <w:rsid w:val="00B24FC1"/>
    <w:rsid w:val="00B25240"/>
    <w:rsid w:val="00B260DD"/>
    <w:rsid w:val="00B2614F"/>
    <w:rsid w:val="00B262CC"/>
    <w:rsid w:val="00B275F8"/>
    <w:rsid w:val="00B27DD4"/>
    <w:rsid w:val="00B3069F"/>
    <w:rsid w:val="00B30E5D"/>
    <w:rsid w:val="00B319D6"/>
    <w:rsid w:val="00B319FE"/>
    <w:rsid w:val="00B31A70"/>
    <w:rsid w:val="00B31C77"/>
    <w:rsid w:val="00B31D89"/>
    <w:rsid w:val="00B32A1C"/>
    <w:rsid w:val="00B32AAC"/>
    <w:rsid w:val="00B32AB8"/>
    <w:rsid w:val="00B32D60"/>
    <w:rsid w:val="00B334B8"/>
    <w:rsid w:val="00B33623"/>
    <w:rsid w:val="00B33B06"/>
    <w:rsid w:val="00B33DFA"/>
    <w:rsid w:val="00B344B8"/>
    <w:rsid w:val="00B34D7D"/>
    <w:rsid w:val="00B35551"/>
    <w:rsid w:val="00B35F22"/>
    <w:rsid w:val="00B35F44"/>
    <w:rsid w:val="00B362BE"/>
    <w:rsid w:val="00B365D5"/>
    <w:rsid w:val="00B366A0"/>
    <w:rsid w:val="00B36B68"/>
    <w:rsid w:val="00B3708D"/>
    <w:rsid w:val="00B37447"/>
    <w:rsid w:val="00B37B9C"/>
    <w:rsid w:val="00B37C7A"/>
    <w:rsid w:val="00B37E05"/>
    <w:rsid w:val="00B40096"/>
    <w:rsid w:val="00B400D7"/>
    <w:rsid w:val="00B402A8"/>
    <w:rsid w:val="00B40496"/>
    <w:rsid w:val="00B406D4"/>
    <w:rsid w:val="00B40BC2"/>
    <w:rsid w:val="00B42053"/>
    <w:rsid w:val="00B424D2"/>
    <w:rsid w:val="00B43033"/>
    <w:rsid w:val="00B4363E"/>
    <w:rsid w:val="00B436AF"/>
    <w:rsid w:val="00B43A64"/>
    <w:rsid w:val="00B44BBA"/>
    <w:rsid w:val="00B45FCD"/>
    <w:rsid w:val="00B468BD"/>
    <w:rsid w:val="00B46941"/>
    <w:rsid w:val="00B46D4C"/>
    <w:rsid w:val="00B477F3"/>
    <w:rsid w:val="00B47AA9"/>
    <w:rsid w:val="00B50622"/>
    <w:rsid w:val="00B5085D"/>
    <w:rsid w:val="00B51009"/>
    <w:rsid w:val="00B513B4"/>
    <w:rsid w:val="00B51444"/>
    <w:rsid w:val="00B51679"/>
    <w:rsid w:val="00B51681"/>
    <w:rsid w:val="00B51955"/>
    <w:rsid w:val="00B51B78"/>
    <w:rsid w:val="00B51DF8"/>
    <w:rsid w:val="00B5206F"/>
    <w:rsid w:val="00B52F59"/>
    <w:rsid w:val="00B533D4"/>
    <w:rsid w:val="00B53C3F"/>
    <w:rsid w:val="00B53D56"/>
    <w:rsid w:val="00B54152"/>
    <w:rsid w:val="00B54437"/>
    <w:rsid w:val="00B5447A"/>
    <w:rsid w:val="00B5470D"/>
    <w:rsid w:val="00B551E1"/>
    <w:rsid w:val="00B5549D"/>
    <w:rsid w:val="00B55928"/>
    <w:rsid w:val="00B559E2"/>
    <w:rsid w:val="00B55A2D"/>
    <w:rsid w:val="00B55F2D"/>
    <w:rsid w:val="00B567EF"/>
    <w:rsid w:val="00B570C4"/>
    <w:rsid w:val="00B57111"/>
    <w:rsid w:val="00B572E8"/>
    <w:rsid w:val="00B5743C"/>
    <w:rsid w:val="00B60279"/>
    <w:rsid w:val="00B602E2"/>
    <w:rsid w:val="00B6031D"/>
    <w:rsid w:val="00B605DD"/>
    <w:rsid w:val="00B6061C"/>
    <w:rsid w:val="00B606ED"/>
    <w:rsid w:val="00B6125B"/>
    <w:rsid w:val="00B615DD"/>
    <w:rsid w:val="00B6171A"/>
    <w:rsid w:val="00B61914"/>
    <w:rsid w:val="00B61BC5"/>
    <w:rsid w:val="00B623B6"/>
    <w:rsid w:val="00B62707"/>
    <w:rsid w:val="00B62FFA"/>
    <w:rsid w:val="00B6312C"/>
    <w:rsid w:val="00B63624"/>
    <w:rsid w:val="00B63EF2"/>
    <w:rsid w:val="00B64239"/>
    <w:rsid w:val="00B6447B"/>
    <w:rsid w:val="00B647A1"/>
    <w:rsid w:val="00B64AA6"/>
    <w:rsid w:val="00B6530F"/>
    <w:rsid w:val="00B653AF"/>
    <w:rsid w:val="00B65A81"/>
    <w:rsid w:val="00B66357"/>
    <w:rsid w:val="00B6671F"/>
    <w:rsid w:val="00B66811"/>
    <w:rsid w:val="00B66D6F"/>
    <w:rsid w:val="00B67B78"/>
    <w:rsid w:val="00B707DF"/>
    <w:rsid w:val="00B70BF2"/>
    <w:rsid w:val="00B70FC0"/>
    <w:rsid w:val="00B71627"/>
    <w:rsid w:val="00B71838"/>
    <w:rsid w:val="00B71B35"/>
    <w:rsid w:val="00B71E5B"/>
    <w:rsid w:val="00B72371"/>
    <w:rsid w:val="00B72392"/>
    <w:rsid w:val="00B72B4A"/>
    <w:rsid w:val="00B72BF1"/>
    <w:rsid w:val="00B72ED5"/>
    <w:rsid w:val="00B73672"/>
    <w:rsid w:val="00B73ADC"/>
    <w:rsid w:val="00B74853"/>
    <w:rsid w:val="00B74DBE"/>
    <w:rsid w:val="00B750F3"/>
    <w:rsid w:val="00B75E3F"/>
    <w:rsid w:val="00B75E68"/>
    <w:rsid w:val="00B76CAE"/>
    <w:rsid w:val="00B7700B"/>
    <w:rsid w:val="00B771EE"/>
    <w:rsid w:val="00B7725A"/>
    <w:rsid w:val="00B77A22"/>
    <w:rsid w:val="00B77A44"/>
    <w:rsid w:val="00B77DF5"/>
    <w:rsid w:val="00B80232"/>
    <w:rsid w:val="00B805E3"/>
    <w:rsid w:val="00B80613"/>
    <w:rsid w:val="00B80B16"/>
    <w:rsid w:val="00B80C5E"/>
    <w:rsid w:val="00B81057"/>
    <w:rsid w:val="00B812BC"/>
    <w:rsid w:val="00B81C99"/>
    <w:rsid w:val="00B81CF8"/>
    <w:rsid w:val="00B8230C"/>
    <w:rsid w:val="00B82405"/>
    <w:rsid w:val="00B82E14"/>
    <w:rsid w:val="00B82FB6"/>
    <w:rsid w:val="00B83425"/>
    <w:rsid w:val="00B8370D"/>
    <w:rsid w:val="00B838F0"/>
    <w:rsid w:val="00B846B1"/>
    <w:rsid w:val="00B846F0"/>
    <w:rsid w:val="00B84848"/>
    <w:rsid w:val="00B84E71"/>
    <w:rsid w:val="00B8579E"/>
    <w:rsid w:val="00B85CFC"/>
    <w:rsid w:val="00B85EF4"/>
    <w:rsid w:val="00B86436"/>
    <w:rsid w:val="00B868E8"/>
    <w:rsid w:val="00B86A1A"/>
    <w:rsid w:val="00B86C4A"/>
    <w:rsid w:val="00B87176"/>
    <w:rsid w:val="00B8786B"/>
    <w:rsid w:val="00B87BEA"/>
    <w:rsid w:val="00B9023A"/>
    <w:rsid w:val="00B909E1"/>
    <w:rsid w:val="00B90EA8"/>
    <w:rsid w:val="00B9101B"/>
    <w:rsid w:val="00B91083"/>
    <w:rsid w:val="00B91EB6"/>
    <w:rsid w:val="00B92335"/>
    <w:rsid w:val="00B9245E"/>
    <w:rsid w:val="00B92821"/>
    <w:rsid w:val="00B93969"/>
    <w:rsid w:val="00B93995"/>
    <w:rsid w:val="00B939CD"/>
    <w:rsid w:val="00B93BDD"/>
    <w:rsid w:val="00B93EF8"/>
    <w:rsid w:val="00B94287"/>
    <w:rsid w:val="00B94796"/>
    <w:rsid w:val="00B94B9E"/>
    <w:rsid w:val="00B95AD5"/>
    <w:rsid w:val="00B960DF"/>
    <w:rsid w:val="00B9690B"/>
    <w:rsid w:val="00B97132"/>
    <w:rsid w:val="00B97E08"/>
    <w:rsid w:val="00BA0010"/>
    <w:rsid w:val="00BA0819"/>
    <w:rsid w:val="00BA09CE"/>
    <w:rsid w:val="00BA1685"/>
    <w:rsid w:val="00BA1E88"/>
    <w:rsid w:val="00BA251C"/>
    <w:rsid w:val="00BA2B4F"/>
    <w:rsid w:val="00BA2CE5"/>
    <w:rsid w:val="00BA2DB2"/>
    <w:rsid w:val="00BA3219"/>
    <w:rsid w:val="00BA3C64"/>
    <w:rsid w:val="00BA3FA2"/>
    <w:rsid w:val="00BA412D"/>
    <w:rsid w:val="00BA490F"/>
    <w:rsid w:val="00BA4D01"/>
    <w:rsid w:val="00BA4DAF"/>
    <w:rsid w:val="00BA4ED0"/>
    <w:rsid w:val="00BA4F0B"/>
    <w:rsid w:val="00BA59D0"/>
    <w:rsid w:val="00BA60F6"/>
    <w:rsid w:val="00BA61C8"/>
    <w:rsid w:val="00BA6204"/>
    <w:rsid w:val="00BA6FD5"/>
    <w:rsid w:val="00BA7057"/>
    <w:rsid w:val="00BA78CF"/>
    <w:rsid w:val="00BA7BEA"/>
    <w:rsid w:val="00BA7F21"/>
    <w:rsid w:val="00BB0507"/>
    <w:rsid w:val="00BB087A"/>
    <w:rsid w:val="00BB0B1D"/>
    <w:rsid w:val="00BB1412"/>
    <w:rsid w:val="00BB1CB5"/>
    <w:rsid w:val="00BB1E9A"/>
    <w:rsid w:val="00BB1FA0"/>
    <w:rsid w:val="00BB2178"/>
    <w:rsid w:val="00BB30AB"/>
    <w:rsid w:val="00BB33A9"/>
    <w:rsid w:val="00BB34D4"/>
    <w:rsid w:val="00BB3F27"/>
    <w:rsid w:val="00BB4E11"/>
    <w:rsid w:val="00BB5BBD"/>
    <w:rsid w:val="00BB5DAA"/>
    <w:rsid w:val="00BB5E70"/>
    <w:rsid w:val="00BB631C"/>
    <w:rsid w:val="00BB75F9"/>
    <w:rsid w:val="00BB7ACE"/>
    <w:rsid w:val="00BB7F6A"/>
    <w:rsid w:val="00BC044D"/>
    <w:rsid w:val="00BC05E4"/>
    <w:rsid w:val="00BC0B16"/>
    <w:rsid w:val="00BC0C39"/>
    <w:rsid w:val="00BC0D5F"/>
    <w:rsid w:val="00BC0F38"/>
    <w:rsid w:val="00BC0F91"/>
    <w:rsid w:val="00BC16E9"/>
    <w:rsid w:val="00BC190A"/>
    <w:rsid w:val="00BC1C44"/>
    <w:rsid w:val="00BC1CF5"/>
    <w:rsid w:val="00BC2320"/>
    <w:rsid w:val="00BC2644"/>
    <w:rsid w:val="00BC2699"/>
    <w:rsid w:val="00BC2AD2"/>
    <w:rsid w:val="00BC2AE6"/>
    <w:rsid w:val="00BC2C6E"/>
    <w:rsid w:val="00BC3546"/>
    <w:rsid w:val="00BC3622"/>
    <w:rsid w:val="00BC392C"/>
    <w:rsid w:val="00BC3BC6"/>
    <w:rsid w:val="00BC3C99"/>
    <w:rsid w:val="00BC4479"/>
    <w:rsid w:val="00BC4558"/>
    <w:rsid w:val="00BC5566"/>
    <w:rsid w:val="00BC5CD0"/>
    <w:rsid w:val="00BC660C"/>
    <w:rsid w:val="00BC6A64"/>
    <w:rsid w:val="00BC6B2E"/>
    <w:rsid w:val="00BC6CE5"/>
    <w:rsid w:val="00BC6D3B"/>
    <w:rsid w:val="00BD07B8"/>
    <w:rsid w:val="00BD0941"/>
    <w:rsid w:val="00BD0A07"/>
    <w:rsid w:val="00BD0E3E"/>
    <w:rsid w:val="00BD11DC"/>
    <w:rsid w:val="00BD163A"/>
    <w:rsid w:val="00BD18B5"/>
    <w:rsid w:val="00BD3072"/>
    <w:rsid w:val="00BD32E8"/>
    <w:rsid w:val="00BD3630"/>
    <w:rsid w:val="00BD3661"/>
    <w:rsid w:val="00BD3DAA"/>
    <w:rsid w:val="00BD4028"/>
    <w:rsid w:val="00BD412A"/>
    <w:rsid w:val="00BD4950"/>
    <w:rsid w:val="00BD49A5"/>
    <w:rsid w:val="00BD4AB1"/>
    <w:rsid w:val="00BD4EEB"/>
    <w:rsid w:val="00BD5D8E"/>
    <w:rsid w:val="00BD634D"/>
    <w:rsid w:val="00BD66C1"/>
    <w:rsid w:val="00BD676D"/>
    <w:rsid w:val="00BD6EC0"/>
    <w:rsid w:val="00BD74A5"/>
    <w:rsid w:val="00BD79B0"/>
    <w:rsid w:val="00BD7D65"/>
    <w:rsid w:val="00BE0F11"/>
    <w:rsid w:val="00BE1931"/>
    <w:rsid w:val="00BE1AC6"/>
    <w:rsid w:val="00BE1C0E"/>
    <w:rsid w:val="00BE2084"/>
    <w:rsid w:val="00BE2A74"/>
    <w:rsid w:val="00BE42E9"/>
    <w:rsid w:val="00BE48BD"/>
    <w:rsid w:val="00BE4926"/>
    <w:rsid w:val="00BE53B6"/>
    <w:rsid w:val="00BE5528"/>
    <w:rsid w:val="00BE597B"/>
    <w:rsid w:val="00BE5E9A"/>
    <w:rsid w:val="00BE683F"/>
    <w:rsid w:val="00BE68D6"/>
    <w:rsid w:val="00BE6CBB"/>
    <w:rsid w:val="00BE72E5"/>
    <w:rsid w:val="00BE7780"/>
    <w:rsid w:val="00BE7E58"/>
    <w:rsid w:val="00BF04EB"/>
    <w:rsid w:val="00BF05B8"/>
    <w:rsid w:val="00BF0ACD"/>
    <w:rsid w:val="00BF1674"/>
    <w:rsid w:val="00BF1AC2"/>
    <w:rsid w:val="00BF1ADE"/>
    <w:rsid w:val="00BF1CA3"/>
    <w:rsid w:val="00BF1CAA"/>
    <w:rsid w:val="00BF1EE0"/>
    <w:rsid w:val="00BF2552"/>
    <w:rsid w:val="00BF27C7"/>
    <w:rsid w:val="00BF2894"/>
    <w:rsid w:val="00BF30EA"/>
    <w:rsid w:val="00BF33A6"/>
    <w:rsid w:val="00BF3D32"/>
    <w:rsid w:val="00BF4700"/>
    <w:rsid w:val="00BF4F1F"/>
    <w:rsid w:val="00BF5306"/>
    <w:rsid w:val="00BF56E5"/>
    <w:rsid w:val="00BF60E0"/>
    <w:rsid w:val="00BF664B"/>
    <w:rsid w:val="00BF6D70"/>
    <w:rsid w:val="00BF6E59"/>
    <w:rsid w:val="00BF6F73"/>
    <w:rsid w:val="00BF75E9"/>
    <w:rsid w:val="00BF76EC"/>
    <w:rsid w:val="00BF784E"/>
    <w:rsid w:val="00BF795A"/>
    <w:rsid w:val="00BF7980"/>
    <w:rsid w:val="00C002BE"/>
    <w:rsid w:val="00C00B34"/>
    <w:rsid w:val="00C01BBE"/>
    <w:rsid w:val="00C01F78"/>
    <w:rsid w:val="00C0290B"/>
    <w:rsid w:val="00C029E9"/>
    <w:rsid w:val="00C02B15"/>
    <w:rsid w:val="00C02D24"/>
    <w:rsid w:val="00C0312B"/>
    <w:rsid w:val="00C037DB"/>
    <w:rsid w:val="00C03810"/>
    <w:rsid w:val="00C04910"/>
    <w:rsid w:val="00C04B5C"/>
    <w:rsid w:val="00C04F2A"/>
    <w:rsid w:val="00C0523D"/>
    <w:rsid w:val="00C05668"/>
    <w:rsid w:val="00C05AB7"/>
    <w:rsid w:val="00C060CE"/>
    <w:rsid w:val="00C0659F"/>
    <w:rsid w:val="00C06796"/>
    <w:rsid w:val="00C0697B"/>
    <w:rsid w:val="00C06994"/>
    <w:rsid w:val="00C06C25"/>
    <w:rsid w:val="00C06C45"/>
    <w:rsid w:val="00C07785"/>
    <w:rsid w:val="00C0799D"/>
    <w:rsid w:val="00C07E03"/>
    <w:rsid w:val="00C104F5"/>
    <w:rsid w:val="00C10818"/>
    <w:rsid w:val="00C10A09"/>
    <w:rsid w:val="00C113F3"/>
    <w:rsid w:val="00C11C66"/>
    <w:rsid w:val="00C11DE5"/>
    <w:rsid w:val="00C11ED1"/>
    <w:rsid w:val="00C127CB"/>
    <w:rsid w:val="00C12FE1"/>
    <w:rsid w:val="00C132C5"/>
    <w:rsid w:val="00C132D2"/>
    <w:rsid w:val="00C132DD"/>
    <w:rsid w:val="00C13594"/>
    <w:rsid w:val="00C135AC"/>
    <w:rsid w:val="00C15108"/>
    <w:rsid w:val="00C15698"/>
    <w:rsid w:val="00C15809"/>
    <w:rsid w:val="00C15B1B"/>
    <w:rsid w:val="00C15CE8"/>
    <w:rsid w:val="00C1629E"/>
    <w:rsid w:val="00C16391"/>
    <w:rsid w:val="00C16A56"/>
    <w:rsid w:val="00C173BC"/>
    <w:rsid w:val="00C176F8"/>
    <w:rsid w:val="00C205AD"/>
    <w:rsid w:val="00C20733"/>
    <w:rsid w:val="00C20E39"/>
    <w:rsid w:val="00C21229"/>
    <w:rsid w:val="00C221E9"/>
    <w:rsid w:val="00C228EA"/>
    <w:rsid w:val="00C22952"/>
    <w:rsid w:val="00C22AD6"/>
    <w:rsid w:val="00C22F70"/>
    <w:rsid w:val="00C233E3"/>
    <w:rsid w:val="00C2363F"/>
    <w:rsid w:val="00C23B1B"/>
    <w:rsid w:val="00C23C85"/>
    <w:rsid w:val="00C25254"/>
    <w:rsid w:val="00C259D2"/>
    <w:rsid w:val="00C25D42"/>
    <w:rsid w:val="00C2659A"/>
    <w:rsid w:val="00C274F1"/>
    <w:rsid w:val="00C276FE"/>
    <w:rsid w:val="00C30038"/>
    <w:rsid w:val="00C300B2"/>
    <w:rsid w:val="00C304B6"/>
    <w:rsid w:val="00C30564"/>
    <w:rsid w:val="00C308F2"/>
    <w:rsid w:val="00C311E1"/>
    <w:rsid w:val="00C317B1"/>
    <w:rsid w:val="00C31F7B"/>
    <w:rsid w:val="00C325D2"/>
    <w:rsid w:val="00C334C2"/>
    <w:rsid w:val="00C33E83"/>
    <w:rsid w:val="00C345CB"/>
    <w:rsid w:val="00C34872"/>
    <w:rsid w:val="00C349A6"/>
    <w:rsid w:val="00C34BC4"/>
    <w:rsid w:val="00C34F1B"/>
    <w:rsid w:val="00C35065"/>
    <w:rsid w:val="00C3521C"/>
    <w:rsid w:val="00C35771"/>
    <w:rsid w:val="00C358D9"/>
    <w:rsid w:val="00C359D4"/>
    <w:rsid w:val="00C35E29"/>
    <w:rsid w:val="00C3693B"/>
    <w:rsid w:val="00C36A66"/>
    <w:rsid w:val="00C3707D"/>
    <w:rsid w:val="00C3718F"/>
    <w:rsid w:val="00C37545"/>
    <w:rsid w:val="00C37A82"/>
    <w:rsid w:val="00C37C44"/>
    <w:rsid w:val="00C40B55"/>
    <w:rsid w:val="00C40EF0"/>
    <w:rsid w:val="00C4106A"/>
    <w:rsid w:val="00C41087"/>
    <w:rsid w:val="00C41320"/>
    <w:rsid w:val="00C41BC6"/>
    <w:rsid w:val="00C41C30"/>
    <w:rsid w:val="00C41E2A"/>
    <w:rsid w:val="00C4260A"/>
    <w:rsid w:val="00C42D07"/>
    <w:rsid w:val="00C42DDB"/>
    <w:rsid w:val="00C42E69"/>
    <w:rsid w:val="00C42F3D"/>
    <w:rsid w:val="00C43B5D"/>
    <w:rsid w:val="00C4480E"/>
    <w:rsid w:val="00C44D8D"/>
    <w:rsid w:val="00C44E56"/>
    <w:rsid w:val="00C450C4"/>
    <w:rsid w:val="00C454B1"/>
    <w:rsid w:val="00C454EE"/>
    <w:rsid w:val="00C46247"/>
    <w:rsid w:val="00C46487"/>
    <w:rsid w:val="00C469EA"/>
    <w:rsid w:val="00C4750C"/>
    <w:rsid w:val="00C47A9B"/>
    <w:rsid w:val="00C47F56"/>
    <w:rsid w:val="00C5007B"/>
    <w:rsid w:val="00C5068C"/>
    <w:rsid w:val="00C5069F"/>
    <w:rsid w:val="00C50CE2"/>
    <w:rsid w:val="00C51FA7"/>
    <w:rsid w:val="00C520B1"/>
    <w:rsid w:val="00C5258C"/>
    <w:rsid w:val="00C52B26"/>
    <w:rsid w:val="00C52DCD"/>
    <w:rsid w:val="00C52FE0"/>
    <w:rsid w:val="00C53062"/>
    <w:rsid w:val="00C5316D"/>
    <w:rsid w:val="00C53182"/>
    <w:rsid w:val="00C53730"/>
    <w:rsid w:val="00C53C44"/>
    <w:rsid w:val="00C542A4"/>
    <w:rsid w:val="00C55D9A"/>
    <w:rsid w:val="00C55F48"/>
    <w:rsid w:val="00C56225"/>
    <w:rsid w:val="00C56273"/>
    <w:rsid w:val="00C565F3"/>
    <w:rsid w:val="00C56C2C"/>
    <w:rsid w:val="00C56FFD"/>
    <w:rsid w:val="00C570B5"/>
    <w:rsid w:val="00C5710C"/>
    <w:rsid w:val="00C5762C"/>
    <w:rsid w:val="00C57869"/>
    <w:rsid w:val="00C5799F"/>
    <w:rsid w:val="00C57C77"/>
    <w:rsid w:val="00C6048D"/>
    <w:rsid w:val="00C6076A"/>
    <w:rsid w:val="00C61035"/>
    <w:rsid w:val="00C611A8"/>
    <w:rsid w:val="00C6151A"/>
    <w:rsid w:val="00C619D5"/>
    <w:rsid w:val="00C62458"/>
    <w:rsid w:val="00C62735"/>
    <w:rsid w:val="00C62B2A"/>
    <w:rsid w:val="00C62FFD"/>
    <w:rsid w:val="00C63A2F"/>
    <w:rsid w:val="00C643CA"/>
    <w:rsid w:val="00C6498D"/>
    <w:rsid w:val="00C64CE8"/>
    <w:rsid w:val="00C6586D"/>
    <w:rsid w:val="00C65968"/>
    <w:rsid w:val="00C65A18"/>
    <w:rsid w:val="00C662E6"/>
    <w:rsid w:val="00C66F42"/>
    <w:rsid w:val="00C67091"/>
    <w:rsid w:val="00C673F6"/>
    <w:rsid w:val="00C70164"/>
    <w:rsid w:val="00C70648"/>
    <w:rsid w:val="00C709BA"/>
    <w:rsid w:val="00C717C4"/>
    <w:rsid w:val="00C71D23"/>
    <w:rsid w:val="00C71F41"/>
    <w:rsid w:val="00C72C99"/>
    <w:rsid w:val="00C7301B"/>
    <w:rsid w:val="00C74844"/>
    <w:rsid w:val="00C74944"/>
    <w:rsid w:val="00C7574D"/>
    <w:rsid w:val="00C75F2E"/>
    <w:rsid w:val="00C75F81"/>
    <w:rsid w:val="00C7654B"/>
    <w:rsid w:val="00C770E8"/>
    <w:rsid w:val="00C77837"/>
    <w:rsid w:val="00C77D1D"/>
    <w:rsid w:val="00C80192"/>
    <w:rsid w:val="00C810DF"/>
    <w:rsid w:val="00C812B9"/>
    <w:rsid w:val="00C81B09"/>
    <w:rsid w:val="00C8201D"/>
    <w:rsid w:val="00C820C8"/>
    <w:rsid w:val="00C8283B"/>
    <w:rsid w:val="00C82F0C"/>
    <w:rsid w:val="00C8423E"/>
    <w:rsid w:val="00C8472B"/>
    <w:rsid w:val="00C8532B"/>
    <w:rsid w:val="00C85683"/>
    <w:rsid w:val="00C8650A"/>
    <w:rsid w:val="00C86617"/>
    <w:rsid w:val="00C86ABE"/>
    <w:rsid w:val="00C86C3C"/>
    <w:rsid w:val="00C86FAE"/>
    <w:rsid w:val="00C871BE"/>
    <w:rsid w:val="00C8770D"/>
    <w:rsid w:val="00C87A26"/>
    <w:rsid w:val="00C87CC1"/>
    <w:rsid w:val="00C87F58"/>
    <w:rsid w:val="00C87F60"/>
    <w:rsid w:val="00C9078A"/>
    <w:rsid w:val="00C90985"/>
    <w:rsid w:val="00C91417"/>
    <w:rsid w:val="00C91728"/>
    <w:rsid w:val="00C917C6"/>
    <w:rsid w:val="00C91AEA"/>
    <w:rsid w:val="00C920E5"/>
    <w:rsid w:val="00C92CE0"/>
    <w:rsid w:val="00C92E39"/>
    <w:rsid w:val="00C93224"/>
    <w:rsid w:val="00C9363F"/>
    <w:rsid w:val="00C939FE"/>
    <w:rsid w:val="00C9415B"/>
    <w:rsid w:val="00C9435E"/>
    <w:rsid w:val="00C94393"/>
    <w:rsid w:val="00C95028"/>
    <w:rsid w:val="00C952D6"/>
    <w:rsid w:val="00C952D9"/>
    <w:rsid w:val="00C956F4"/>
    <w:rsid w:val="00C95EA8"/>
    <w:rsid w:val="00C95F99"/>
    <w:rsid w:val="00C9610C"/>
    <w:rsid w:val="00C96326"/>
    <w:rsid w:val="00C965F6"/>
    <w:rsid w:val="00C96C44"/>
    <w:rsid w:val="00C97B2B"/>
    <w:rsid w:val="00CA0502"/>
    <w:rsid w:val="00CA0ABA"/>
    <w:rsid w:val="00CA0AC6"/>
    <w:rsid w:val="00CA0D07"/>
    <w:rsid w:val="00CA147E"/>
    <w:rsid w:val="00CA1B32"/>
    <w:rsid w:val="00CA2652"/>
    <w:rsid w:val="00CA2EDA"/>
    <w:rsid w:val="00CA4107"/>
    <w:rsid w:val="00CA412E"/>
    <w:rsid w:val="00CA416D"/>
    <w:rsid w:val="00CA468E"/>
    <w:rsid w:val="00CA492F"/>
    <w:rsid w:val="00CA4C84"/>
    <w:rsid w:val="00CA59B2"/>
    <w:rsid w:val="00CA5A65"/>
    <w:rsid w:val="00CA6196"/>
    <w:rsid w:val="00CA636F"/>
    <w:rsid w:val="00CA67F9"/>
    <w:rsid w:val="00CA6EF9"/>
    <w:rsid w:val="00CA77E7"/>
    <w:rsid w:val="00CA7CFD"/>
    <w:rsid w:val="00CA7FF4"/>
    <w:rsid w:val="00CB1A8B"/>
    <w:rsid w:val="00CB2768"/>
    <w:rsid w:val="00CB2993"/>
    <w:rsid w:val="00CB2E77"/>
    <w:rsid w:val="00CB2F67"/>
    <w:rsid w:val="00CB3579"/>
    <w:rsid w:val="00CB4035"/>
    <w:rsid w:val="00CB49C1"/>
    <w:rsid w:val="00CB68D8"/>
    <w:rsid w:val="00CB70DA"/>
    <w:rsid w:val="00CB750E"/>
    <w:rsid w:val="00CB76E1"/>
    <w:rsid w:val="00CC03CB"/>
    <w:rsid w:val="00CC23D0"/>
    <w:rsid w:val="00CC2F48"/>
    <w:rsid w:val="00CC357A"/>
    <w:rsid w:val="00CC3CC1"/>
    <w:rsid w:val="00CC3E5C"/>
    <w:rsid w:val="00CC4201"/>
    <w:rsid w:val="00CC4A0A"/>
    <w:rsid w:val="00CC4A48"/>
    <w:rsid w:val="00CC5305"/>
    <w:rsid w:val="00CC5F75"/>
    <w:rsid w:val="00CC60E7"/>
    <w:rsid w:val="00CC6423"/>
    <w:rsid w:val="00CC6D43"/>
    <w:rsid w:val="00CC6F51"/>
    <w:rsid w:val="00CC7487"/>
    <w:rsid w:val="00CC7BFB"/>
    <w:rsid w:val="00CD00C3"/>
    <w:rsid w:val="00CD057C"/>
    <w:rsid w:val="00CD074D"/>
    <w:rsid w:val="00CD0927"/>
    <w:rsid w:val="00CD0A90"/>
    <w:rsid w:val="00CD0C9E"/>
    <w:rsid w:val="00CD1A02"/>
    <w:rsid w:val="00CD2339"/>
    <w:rsid w:val="00CD24A5"/>
    <w:rsid w:val="00CD2BA9"/>
    <w:rsid w:val="00CD30D5"/>
    <w:rsid w:val="00CD3B61"/>
    <w:rsid w:val="00CD4215"/>
    <w:rsid w:val="00CD4416"/>
    <w:rsid w:val="00CD445E"/>
    <w:rsid w:val="00CD4606"/>
    <w:rsid w:val="00CD4798"/>
    <w:rsid w:val="00CD495D"/>
    <w:rsid w:val="00CD4ADE"/>
    <w:rsid w:val="00CD4BC8"/>
    <w:rsid w:val="00CD4E32"/>
    <w:rsid w:val="00CD50FD"/>
    <w:rsid w:val="00CD534D"/>
    <w:rsid w:val="00CD5668"/>
    <w:rsid w:val="00CD5829"/>
    <w:rsid w:val="00CD59A6"/>
    <w:rsid w:val="00CD67A1"/>
    <w:rsid w:val="00CD67C7"/>
    <w:rsid w:val="00CD690A"/>
    <w:rsid w:val="00CD78C3"/>
    <w:rsid w:val="00CE01F9"/>
    <w:rsid w:val="00CE06C0"/>
    <w:rsid w:val="00CE097E"/>
    <w:rsid w:val="00CE0A81"/>
    <w:rsid w:val="00CE0C1B"/>
    <w:rsid w:val="00CE1A34"/>
    <w:rsid w:val="00CE218C"/>
    <w:rsid w:val="00CE2246"/>
    <w:rsid w:val="00CE3B3C"/>
    <w:rsid w:val="00CE4987"/>
    <w:rsid w:val="00CE49FC"/>
    <w:rsid w:val="00CE59B7"/>
    <w:rsid w:val="00CE59D2"/>
    <w:rsid w:val="00CE5FEF"/>
    <w:rsid w:val="00CE633D"/>
    <w:rsid w:val="00CE63EA"/>
    <w:rsid w:val="00CE6439"/>
    <w:rsid w:val="00CE6F2E"/>
    <w:rsid w:val="00CE777B"/>
    <w:rsid w:val="00CF00AD"/>
    <w:rsid w:val="00CF0883"/>
    <w:rsid w:val="00CF0C31"/>
    <w:rsid w:val="00CF1032"/>
    <w:rsid w:val="00CF13AD"/>
    <w:rsid w:val="00CF1DE3"/>
    <w:rsid w:val="00CF2416"/>
    <w:rsid w:val="00CF281A"/>
    <w:rsid w:val="00CF2F1B"/>
    <w:rsid w:val="00CF3016"/>
    <w:rsid w:val="00CF3C06"/>
    <w:rsid w:val="00CF442C"/>
    <w:rsid w:val="00CF44C0"/>
    <w:rsid w:val="00CF5C2B"/>
    <w:rsid w:val="00CF5C47"/>
    <w:rsid w:val="00CF5C95"/>
    <w:rsid w:val="00CF6171"/>
    <w:rsid w:val="00CF6365"/>
    <w:rsid w:val="00CF67BC"/>
    <w:rsid w:val="00CF7759"/>
    <w:rsid w:val="00CF7A75"/>
    <w:rsid w:val="00CF7BC3"/>
    <w:rsid w:val="00CF7E52"/>
    <w:rsid w:val="00CF7F54"/>
    <w:rsid w:val="00D000BB"/>
    <w:rsid w:val="00D004B0"/>
    <w:rsid w:val="00D00583"/>
    <w:rsid w:val="00D00AD4"/>
    <w:rsid w:val="00D01135"/>
    <w:rsid w:val="00D01163"/>
    <w:rsid w:val="00D014F9"/>
    <w:rsid w:val="00D01587"/>
    <w:rsid w:val="00D01F13"/>
    <w:rsid w:val="00D01F46"/>
    <w:rsid w:val="00D02596"/>
    <w:rsid w:val="00D027C4"/>
    <w:rsid w:val="00D028A7"/>
    <w:rsid w:val="00D02D11"/>
    <w:rsid w:val="00D02FD4"/>
    <w:rsid w:val="00D033A8"/>
    <w:rsid w:val="00D03ED1"/>
    <w:rsid w:val="00D040F2"/>
    <w:rsid w:val="00D04456"/>
    <w:rsid w:val="00D04547"/>
    <w:rsid w:val="00D045A5"/>
    <w:rsid w:val="00D049B9"/>
    <w:rsid w:val="00D04F48"/>
    <w:rsid w:val="00D051F6"/>
    <w:rsid w:val="00D059C1"/>
    <w:rsid w:val="00D05B32"/>
    <w:rsid w:val="00D05CC6"/>
    <w:rsid w:val="00D06249"/>
    <w:rsid w:val="00D069DD"/>
    <w:rsid w:val="00D06D8E"/>
    <w:rsid w:val="00D07622"/>
    <w:rsid w:val="00D07E9A"/>
    <w:rsid w:val="00D10571"/>
    <w:rsid w:val="00D11508"/>
    <w:rsid w:val="00D118C0"/>
    <w:rsid w:val="00D119EC"/>
    <w:rsid w:val="00D11B71"/>
    <w:rsid w:val="00D11C18"/>
    <w:rsid w:val="00D11D1A"/>
    <w:rsid w:val="00D12A27"/>
    <w:rsid w:val="00D12B68"/>
    <w:rsid w:val="00D12C2B"/>
    <w:rsid w:val="00D13C52"/>
    <w:rsid w:val="00D13F46"/>
    <w:rsid w:val="00D1431D"/>
    <w:rsid w:val="00D1475D"/>
    <w:rsid w:val="00D147CE"/>
    <w:rsid w:val="00D14A23"/>
    <w:rsid w:val="00D14F32"/>
    <w:rsid w:val="00D1507C"/>
    <w:rsid w:val="00D150A6"/>
    <w:rsid w:val="00D15282"/>
    <w:rsid w:val="00D1587D"/>
    <w:rsid w:val="00D15C03"/>
    <w:rsid w:val="00D161E2"/>
    <w:rsid w:val="00D16B4C"/>
    <w:rsid w:val="00D16D1B"/>
    <w:rsid w:val="00D1764F"/>
    <w:rsid w:val="00D1766F"/>
    <w:rsid w:val="00D17896"/>
    <w:rsid w:val="00D20287"/>
    <w:rsid w:val="00D20687"/>
    <w:rsid w:val="00D20B26"/>
    <w:rsid w:val="00D221B2"/>
    <w:rsid w:val="00D22DAC"/>
    <w:rsid w:val="00D23275"/>
    <w:rsid w:val="00D24E87"/>
    <w:rsid w:val="00D2547D"/>
    <w:rsid w:val="00D2587C"/>
    <w:rsid w:val="00D25A21"/>
    <w:rsid w:val="00D2615F"/>
    <w:rsid w:val="00D26BB3"/>
    <w:rsid w:val="00D276D0"/>
    <w:rsid w:val="00D27AA8"/>
    <w:rsid w:val="00D301AC"/>
    <w:rsid w:val="00D30402"/>
    <w:rsid w:val="00D3098C"/>
    <w:rsid w:val="00D3172D"/>
    <w:rsid w:val="00D32945"/>
    <w:rsid w:val="00D32A45"/>
    <w:rsid w:val="00D33136"/>
    <w:rsid w:val="00D33285"/>
    <w:rsid w:val="00D33846"/>
    <w:rsid w:val="00D33A07"/>
    <w:rsid w:val="00D34000"/>
    <w:rsid w:val="00D340CC"/>
    <w:rsid w:val="00D34547"/>
    <w:rsid w:val="00D34916"/>
    <w:rsid w:val="00D35031"/>
    <w:rsid w:val="00D3548A"/>
    <w:rsid w:val="00D357DC"/>
    <w:rsid w:val="00D35912"/>
    <w:rsid w:val="00D35BD4"/>
    <w:rsid w:val="00D36066"/>
    <w:rsid w:val="00D360A6"/>
    <w:rsid w:val="00D36154"/>
    <w:rsid w:val="00D365DB"/>
    <w:rsid w:val="00D3676F"/>
    <w:rsid w:val="00D36F71"/>
    <w:rsid w:val="00D36FC1"/>
    <w:rsid w:val="00D37747"/>
    <w:rsid w:val="00D37BF3"/>
    <w:rsid w:val="00D37FDC"/>
    <w:rsid w:val="00D40033"/>
    <w:rsid w:val="00D4057F"/>
    <w:rsid w:val="00D40A0E"/>
    <w:rsid w:val="00D41AFD"/>
    <w:rsid w:val="00D42C6A"/>
    <w:rsid w:val="00D43385"/>
    <w:rsid w:val="00D4362C"/>
    <w:rsid w:val="00D43FD0"/>
    <w:rsid w:val="00D44511"/>
    <w:rsid w:val="00D448EC"/>
    <w:rsid w:val="00D44DB6"/>
    <w:rsid w:val="00D44DE2"/>
    <w:rsid w:val="00D44E26"/>
    <w:rsid w:val="00D45516"/>
    <w:rsid w:val="00D45A02"/>
    <w:rsid w:val="00D45A25"/>
    <w:rsid w:val="00D45E3F"/>
    <w:rsid w:val="00D45FC7"/>
    <w:rsid w:val="00D46EA4"/>
    <w:rsid w:val="00D46F29"/>
    <w:rsid w:val="00D47044"/>
    <w:rsid w:val="00D47054"/>
    <w:rsid w:val="00D471BE"/>
    <w:rsid w:val="00D479B9"/>
    <w:rsid w:val="00D47A90"/>
    <w:rsid w:val="00D47B23"/>
    <w:rsid w:val="00D47F05"/>
    <w:rsid w:val="00D5020B"/>
    <w:rsid w:val="00D5033D"/>
    <w:rsid w:val="00D5045F"/>
    <w:rsid w:val="00D51305"/>
    <w:rsid w:val="00D516D5"/>
    <w:rsid w:val="00D519ED"/>
    <w:rsid w:val="00D521BA"/>
    <w:rsid w:val="00D52C11"/>
    <w:rsid w:val="00D52DB0"/>
    <w:rsid w:val="00D52EC0"/>
    <w:rsid w:val="00D537C1"/>
    <w:rsid w:val="00D53A14"/>
    <w:rsid w:val="00D5416D"/>
    <w:rsid w:val="00D55470"/>
    <w:rsid w:val="00D5593F"/>
    <w:rsid w:val="00D55958"/>
    <w:rsid w:val="00D55A29"/>
    <w:rsid w:val="00D5739C"/>
    <w:rsid w:val="00D57DB5"/>
    <w:rsid w:val="00D57FDA"/>
    <w:rsid w:val="00D60216"/>
    <w:rsid w:val="00D60727"/>
    <w:rsid w:val="00D6090D"/>
    <w:rsid w:val="00D615A7"/>
    <w:rsid w:val="00D61E3B"/>
    <w:rsid w:val="00D623D8"/>
    <w:rsid w:val="00D62A8B"/>
    <w:rsid w:val="00D63258"/>
    <w:rsid w:val="00D63449"/>
    <w:rsid w:val="00D6359F"/>
    <w:rsid w:val="00D637D3"/>
    <w:rsid w:val="00D63842"/>
    <w:rsid w:val="00D6432E"/>
    <w:rsid w:val="00D64D07"/>
    <w:rsid w:val="00D65320"/>
    <w:rsid w:val="00D654E6"/>
    <w:rsid w:val="00D65A50"/>
    <w:rsid w:val="00D66598"/>
    <w:rsid w:val="00D667B7"/>
    <w:rsid w:val="00D667CA"/>
    <w:rsid w:val="00D6772D"/>
    <w:rsid w:val="00D67B51"/>
    <w:rsid w:val="00D7048A"/>
    <w:rsid w:val="00D71747"/>
    <w:rsid w:val="00D71930"/>
    <w:rsid w:val="00D71B4D"/>
    <w:rsid w:val="00D7253F"/>
    <w:rsid w:val="00D732AB"/>
    <w:rsid w:val="00D7333C"/>
    <w:rsid w:val="00D7341E"/>
    <w:rsid w:val="00D736E9"/>
    <w:rsid w:val="00D741F3"/>
    <w:rsid w:val="00D7475A"/>
    <w:rsid w:val="00D74B88"/>
    <w:rsid w:val="00D75371"/>
    <w:rsid w:val="00D755EC"/>
    <w:rsid w:val="00D7577B"/>
    <w:rsid w:val="00D75969"/>
    <w:rsid w:val="00D759CF"/>
    <w:rsid w:val="00D75D9F"/>
    <w:rsid w:val="00D75E1D"/>
    <w:rsid w:val="00D75F0E"/>
    <w:rsid w:val="00D75F4B"/>
    <w:rsid w:val="00D7640E"/>
    <w:rsid w:val="00D76699"/>
    <w:rsid w:val="00D76784"/>
    <w:rsid w:val="00D7686F"/>
    <w:rsid w:val="00D76B85"/>
    <w:rsid w:val="00D7704B"/>
    <w:rsid w:val="00D7704F"/>
    <w:rsid w:val="00D7722F"/>
    <w:rsid w:val="00D774BD"/>
    <w:rsid w:val="00D77530"/>
    <w:rsid w:val="00D77936"/>
    <w:rsid w:val="00D77D15"/>
    <w:rsid w:val="00D77EDF"/>
    <w:rsid w:val="00D80066"/>
    <w:rsid w:val="00D80AC0"/>
    <w:rsid w:val="00D80C24"/>
    <w:rsid w:val="00D80F50"/>
    <w:rsid w:val="00D82615"/>
    <w:rsid w:val="00D828B5"/>
    <w:rsid w:val="00D82FCD"/>
    <w:rsid w:val="00D82FE2"/>
    <w:rsid w:val="00D831DB"/>
    <w:rsid w:val="00D839EC"/>
    <w:rsid w:val="00D83F68"/>
    <w:rsid w:val="00D842B8"/>
    <w:rsid w:val="00D8436F"/>
    <w:rsid w:val="00D84C07"/>
    <w:rsid w:val="00D84C44"/>
    <w:rsid w:val="00D85142"/>
    <w:rsid w:val="00D858E5"/>
    <w:rsid w:val="00D85B03"/>
    <w:rsid w:val="00D860D0"/>
    <w:rsid w:val="00D863DA"/>
    <w:rsid w:val="00D8664E"/>
    <w:rsid w:val="00D866DC"/>
    <w:rsid w:val="00D8717B"/>
    <w:rsid w:val="00D877C9"/>
    <w:rsid w:val="00D8780D"/>
    <w:rsid w:val="00D879AE"/>
    <w:rsid w:val="00D87ECC"/>
    <w:rsid w:val="00D901F6"/>
    <w:rsid w:val="00D903F8"/>
    <w:rsid w:val="00D9076E"/>
    <w:rsid w:val="00D9139E"/>
    <w:rsid w:val="00D91501"/>
    <w:rsid w:val="00D922F9"/>
    <w:rsid w:val="00D92CCC"/>
    <w:rsid w:val="00D936C2"/>
    <w:rsid w:val="00D937C9"/>
    <w:rsid w:val="00D942DA"/>
    <w:rsid w:val="00D945E0"/>
    <w:rsid w:val="00D94913"/>
    <w:rsid w:val="00D95044"/>
    <w:rsid w:val="00D951C1"/>
    <w:rsid w:val="00D951D6"/>
    <w:rsid w:val="00D95226"/>
    <w:rsid w:val="00D95B27"/>
    <w:rsid w:val="00D95C79"/>
    <w:rsid w:val="00D969AB"/>
    <w:rsid w:val="00D96BB9"/>
    <w:rsid w:val="00D96C2A"/>
    <w:rsid w:val="00D973A4"/>
    <w:rsid w:val="00D97541"/>
    <w:rsid w:val="00D97DB3"/>
    <w:rsid w:val="00D97E53"/>
    <w:rsid w:val="00DA00A9"/>
    <w:rsid w:val="00DA0492"/>
    <w:rsid w:val="00DA15CB"/>
    <w:rsid w:val="00DA1D5B"/>
    <w:rsid w:val="00DA2650"/>
    <w:rsid w:val="00DA3B7B"/>
    <w:rsid w:val="00DA3C78"/>
    <w:rsid w:val="00DA4204"/>
    <w:rsid w:val="00DA4235"/>
    <w:rsid w:val="00DA487E"/>
    <w:rsid w:val="00DA5459"/>
    <w:rsid w:val="00DA5714"/>
    <w:rsid w:val="00DA579A"/>
    <w:rsid w:val="00DA5B11"/>
    <w:rsid w:val="00DA64D8"/>
    <w:rsid w:val="00DA661A"/>
    <w:rsid w:val="00DA66DE"/>
    <w:rsid w:val="00DA6996"/>
    <w:rsid w:val="00DA71F2"/>
    <w:rsid w:val="00DA7583"/>
    <w:rsid w:val="00DA7E95"/>
    <w:rsid w:val="00DB0176"/>
    <w:rsid w:val="00DB01AF"/>
    <w:rsid w:val="00DB0BE6"/>
    <w:rsid w:val="00DB0D04"/>
    <w:rsid w:val="00DB1019"/>
    <w:rsid w:val="00DB172A"/>
    <w:rsid w:val="00DB195E"/>
    <w:rsid w:val="00DB2084"/>
    <w:rsid w:val="00DB22DB"/>
    <w:rsid w:val="00DB2608"/>
    <w:rsid w:val="00DB2B70"/>
    <w:rsid w:val="00DB2C20"/>
    <w:rsid w:val="00DB2D91"/>
    <w:rsid w:val="00DB38F4"/>
    <w:rsid w:val="00DB3941"/>
    <w:rsid w:val="00DB3A36"/>
    <w:rsid w:val="00DB3ED3"/>
    <w:rsid w:val="00DB4742"/>
    <w:rsid w:val="00DB4973"/>
    <w:rsid w:val="00DB4B16"/>
    <w:rsid w:val="00DB4F17"/>
    <w:rsid w:val="00DB5232"/>
    <w:rsid w:val="00DB52CC"/>
    <w:rsid w:val="00DB551A"/>
    <w:rsid w:val="00DB58B3"/>
    <w:rsid w:val="00DB5A9C"/>
    <w:rsid w:val="00DB5C70"/>
    <w:rsid w:val="00DB642D"/>
    <w:rsid w:val="00DB6465"/>
    <w:rsid w:val="00DB6A9F"/>
    <w:rsid w:val="00DB6CAC"/>
    <w:rsid w:val="00DB6FB7"/>
    <w:rsid w:val="00DB704E"/>
    <w:rsid w:val="00DB76B4"/>
    <w:rsid w:val="00DB7734"/>
    <w:rsid w:val="00DB7A73"/>
    <w:rsid w:val="00DC0052"/>
    <w:rsid w:val="00DC0D17"/>
    <w:rsid w:val="00DC0DA4"/>
    <w:rsid w:val="00DC1C6E"/>
    <w:rsid w:val="00DC25AD"/>
    <w:rsid w:val="00DC3854"/>
    <w:rsid w:val="00DC3981"/>
    <w:rsid w:val="00DC4625"/>
    <w:rsid w:val="00DC493E"/>
    <w:rsid w:val="00DC5234"/>
    <w:rsid w:val="00DC5362"/>
    <w:rsid w:val="00DC54F5"/>
    <w:rsid w:val="00DC66B0"/>
    <w:rsid w:val="00DC67F9"/>
    <w:rsid w:val="00DC6C78"/>
    <w:rsid w:val="00DC6D96"/>
    <w:rsid w:val="00DC797B"/>
    <w:rsid w:val="00DD0614"/>
    <w:rsid w:val="00DD0814"/>
    <w:rsid w:val="00DD0AB1"/>
    <w:rsid w:val="00DD0E1F"/>
    <w:rsid w:val="00DD2574"/>
    <w:rsid w:val="00DD3943"/>
    <w:rsid w:val="00DD3B58"/>
    <w:rsid w:val="00DD49A4"/>
    <w:rsid w:val="00DD4F65"/>
    <w:rsid w:val="00DD4FAB"/>
    <w:rsid w:val="00DD53E7"/>
    <w:rsid w:val="00DD56F7"/>
    <w:rsid w:val="00DD5A12"/>
    <w:rsid w:val="00DD65F6"/>
    <w:rsid w:val="00DD6C97"/>
    <w:rsid w:val="00DD7C1F"/>
    <w:rsid w:val="00DE02BD"/>
    <w:rsid w:val="00DE0E8B"/>
    <w:rsid w:val="00DE147B"/>
    <w:rsid w:val="00DE154E"/>
    <w:rsid w:val="00DE154F"/>
    <w:rsid w:val="00DE1B03"/>
    <w:rsid w:val="00DE2DAB"/>
    <w:rsid w:val="00DE35EF"/>
    <w:rsid w:val="00DE37D0"/>
    <w:rsid w:val="00DE4176"/>
    <w:rsid w:val="00DE57FA"/>
    <w:rsid w:val="00DE6947"/>
    <w:rsid w:val="00DE79CE"/>
    <w:rsid w:val="00DF04E2"/>
    <w:rsid w:val="00DF0683"/>
    <w:rsid w:val="00DF09AA"/>
    <w:rsid w:val="00DF0AAE"/>
    <w:rsid w:val="00DF1512"/>
    <w:rsid w:val="00DF1B27"/>
    <w:rsid w:val="00DF1E76"/>
    <w:rsid w:val="00DF274C"/>
    <w:rsid w:val="00DF2C6D"/>
    <w:rsid w:val="00DF2EA7"/>
    <w:rsid w:val="00DF37FD"/>
    <w:rsid w:val="00DF3E4C"/>
    <w:rsid w:val="00DF4587"/>
    <w:rsid w:val="00DF51E4"/>
    <w:rsid w:val="00DF573D"/>
    <w:rsid w:val="00DF57E3"/>
    <w:rsid w:val="00DF5D91"/>
    <w:rsid w:val="00DF5F32"/>
    <w:rsid w:val="00DF631F"/>
    <w:rsid w:val="00DF6542"/>
    <w:rsid w:val="00DF6822"/>
    <w:rsid w:val="00DF6BEE"/>
    <w:rsid w:val="00DF712C"/>
    <w:rsid w:val="00DF749F"/>
    <w:rsid w:val="00DF7A0A"/>
    <w:rsid w:val="00E00895"/>
    <w:rsid w:val="00E00CE4"/>
    <w:rsid w:val="00E00F49"/>
    <w:rsid w:val="00E012A4"/>
    <w:rsid w:val="00E016DC"/>
    <w:rsid w:val="00E01A31"/>
    <w:rsid w:val="00E020CE"/>
    <w:rsid w:val="00E026CD"/>
    <w:rsid w:val="00E02780"/>
    <w:rsid w:val="00E02E53"/>
    <w:rsid w:val="00E0321F"/>
    <w:rsid w:val="00E0327B"/>
    <w:rsid w:val="00E03AE9"/>
    <w:rsid w:val="00E03AEC"/>
    <w:rsid w:val="00E044CC"/>
    <w:rsid w:val="00E04561"/>
    <w:rsid w:val="00E0544B"/>
    <w:rsid w:val="00E055E5"/>
    <w:rsid w:val="00E05BCA"/>
    <w:rsid w:val="00E069A0"/>
    <w:rsid w:val="00E0763A"/>
    <w:rsid w:val="00E07997"/>
    <w:rsid w:val="00E07B80"/>
    <w:rsid w:val="00E07D8C"/>
    <w:rsid w:val="00E10018"/>
    <w:rsid w:val="00E104CD"/>
    <w:rsid w:val="00E10A76"/>
    <w:rsid w:val="00E128C9"/>
    <w:rsid w:val="00E1297C"/>
    <w:rsid w:val="00E12E54"/>
    <w:rsid w:val="00E130EE"/>
    <w:rsid w:val="00E143C1"/>
    <w:rsid w:val="00E14D34"/>
    <w:rsid w:val="00E15D54"/>
    <w:rsid w:val="00E168EA"/>
    <w:rsid w:val="00E17CE2"/>
    <w:rsid w:val="00E17F88"/>
    <w:rsid w:val="00E20AB4"/>
    <w:rsid w:val="00E210A5"/>
    <w:rsid w:val="00E218FA"/>
    <w:rsid w:val="00E21CFB"/>
    <w:rsid w:val="00E21DB1"/>
    <w:rsid w:val="00E21E56"/>
    <w:rsid w:val="00E22ADE"/>
    <w:rsid w:val="00E23602"/>
    <w:rsid w:val="00E23ECE"/>
    <w:rsid w:val="00E23FC9"/>
    <w:rsid w:val="00E24303"/>
    <w:rsid w:val="00E2431D"/>
    <w:rsid w:val="00E25056"/>
    <w:rsid w:val="00E2518A"/>
    <w:rsid w:val="00E253FE"/>
    <w:rsid w:val="00E2555B"/>
    <w:rsid w:val="00E2570A"/>
    <w:rsid w:val="00E25946"/>
    <w:rsid w:val="00E263DC"/>
    <w:rsid w:val="00E266C1"/>
    <w:rsid w:val="00E266EA"/>
    <w:rsid w:val="00E26797"/>
    <w:rsid w:val="00E26CAC"/>
    <w:rsid w:val="00E26E7B"/>
    <w:rsid w:val="00E26F25"/>
    <w:rsid w:val="00E3101F"/>
    <w:rsid w:val="00E312AD"/>
    <w:rsid w:val="00E312DA"/>
    <w:rsid w:val="00E31370"/>
    <w:rsid w:val="00E31850"/>
    <w:rsid w:val="00E31A07"/>
    <w:rsid w:val="00E31AA5"/>
    <w:rsid w:val="00E32404"/>
    <w:rsid w:val="00E32DC9"/>
    <w:rsid w:val="00E330C2"/>
    <w:rsid w:val="00E334CB"/>
    <w:rsid w:val="00E33D9A"/>
    <w:rsid w:val="00E349E4"/>
    <w:rsid w:val="00E34B88"/>
    <w:rsid w:val="00E351E2"/>
    <w:rsid w:val="00E355DF"/>
    <w:rsid w:val="00E36460"/>
    <w:rsid w:val="00E3690F"/>
    <w:rsid w:val="00E36948"/>
    <w:rsid w:val="00E36A67"/>
    <w:rsid w:val="00E36F04"/>
    <w:rsid w:val="00E37132"/>
    <w:rsid w:val="00E40375"/>
    <w:rsid w:val="00E40AE2"/>
    <w:rsid w:val="00E415F9"/>
    <w:rsid w:val="00E41833"/>
    <w:rsid w:val="00E41879"/>
    <w:rsid w:val="00E42417"/>
    <w:rsid w:val="00E4246F"/>
    <w:rsid w:val="00E4263D"/>
    <w:rsid w:val="00E4267B"/>
    <w:rsid w:val="00E4346E"/>
    <w:rsid w:val="00E441BD"/>
    <w:rsid w:val="00E44543"/>
    <w:rsid w:val="00E44920"/>
    <w:rsid w:val="00E449B0"/>
    <w:rsid w:val="00E44C92"/>
    <w:rsid w:val="00E44D74"/>
    <w:rsid w:val="00E44DE9"/>
    <w:rsid w:val="00E44FDE"/>
    <w:rsid w:val="00E45924"/>
    <w:rsid w:val="00E45A60"/>
    <w:rsid w:val="00E45A9D"/>
    <w:rsid w:val="00E45DAD"/>
    <w:rsid w:val="00E46098"/>
    <w:rsid w:val="00E460A3"/>
    <w:rsid w:val="00E46110"/>
    <w:rsid w:val="00E47075"/>
    <w:rsid w:val="00E47A79"/>
    <w:rsid w:val="00E504DF"/>
    <w:rsid w:val="00E509B7"/>
    <w:rsid w:val="00E50FDF"/>
    <w:rsid w:val="00E51688"/>
    <w:rsid w:val="00E516CB"/>
    <w:rsid w:val="00E516E4"/>
    <w:rsid w:val="00E52816"/>
    <w:rsid w:val="00E529D0"/>
    <w:rsid w:val="00E53620"/>
    <w:rsid w:val="00E53CED"/>
    <w:rsid w:val="00E53EB9"/>
    <w:rsid w:val="00E54676"/>
    <w:rsid w:val="00E547CE"/>
    <w:rsid w:val="00E5491A"/>
    <w:rsid w:val="00E55C61"/>
    <w:rsid w:val="00E55DF2"/>
    <w:rsid w:val="00E571A1"/>
    <w:rsid w:val="00E5727F"/>
    <w:rsid w:val="00E578E4"/>
    <w:rsid w:val="00E57BD7"/>
    <w:rsid w:val="00E57C3F"/>
    <w:rsid w:val="00E60C02"/>
    <w:rsid w:val="00E61FF4"/>
    <w:rsid w:val="00E62413"/>
    <w:rsid w:val="00E6284E"/>
    <w:rsid w:val="00E631DD"/>
    <w:rsid w:val="00E635B2"/>
    <w:rsid w:val="00E639F2"/>
    <w:rsid w:val="00E63ACB"/>
    <w:rsid w:val="00E63E75"/>
    <w:rsid w:val="00E640D9"/>
    <w:rsid w:val="00E642A7"/>
    <w:rsid w:val="00E6470F"/>
    <w:rsid w:val="00E6472F"/>
    <w:rsid w:val="00E64FE2"/>
    <w:rsid w:val="00E65035"/>
    <w:rsid w:val="00E6518B"/>
    <w:rsid w:val="00E65DAE"/>
    <w:rsid w:val="00E65DE3"/>
    <w:rsid w:val="00E6613F"/>
    <w:rsid w:val="00E662BF"/>
    <w:rsid w:val="00E663DD"/>
    <w:rsid w:val="00E66401"/>
    <w:rsid w:val="00E665F9"/>
    <w:rsid w:val="00E66CE3"/>
    <w:rsid w:val="00E67290"/>
    <w:rsid w:val="00E67630"/>
    <w:rsid w:val="00E677C7"/>
    <w:rsid w:val="00E70760"/>
    <w:rsid w:val="00E70C48"/>
    <w:rsid w:val="00E7108E"/>
    <w:rsid w:val="00E7114D"/>
    <w:rsid w:val="00E71AE2"/>
    <w:rsid w:val="00E71B5A"/>
    <w:rsid w:val="00E71C49"/>
    <w:rsid w:val="00E71CBD"/>
    <w:rsid w:val="00E71F84"/>
    <w:rsid w:val="00E7290A"/>
    <w:rsid w:val="00E72C58"/>
    <w:rsid w:val="00E72E8B"/>
    <w:rsid w:val="00E7305A"/>
    <w:rsid w:val="00E735AD"/>
    <w:rsid w:val="00E741F3"/>
    <w:rsid w:val="00E744F4"/>
    <w:rsid w:val="00E76068"/>
    <w:rsid w:val="00E76071"/>
    <w:rsid w:val="00E760D4"/>
    <w:rsid w:val="00E761A5"/>
    <w:rsid w:val="00E7655A"/>
    <w:rsid w:val="00E765EF"/>
    <w:rsid w:val="00E767D1"/>
    <w:rsid w:val="00E7694A"/>
    <w:rsid w:val="00E76956"/>
    <w:rsid w:val="00E76BF1"/>
    <w:rsid w:val="00E76E0A"/>
    <w:rsid w:val="00E771DC"/>
    <w:rsid w:val="00E776DB"/>
    <w:rsid w:val="00E77B85"/>
    <w:rsid w:val="00E77EA7"/>
    <w:rsid w:val="00E806EC"/>
    <w:rsid w:val="00E80AF1"/>
    <w:rsid w:val="00E80FB2"/>
    <w:rsid w:val="00E810DB"/>
    <w:rsid w:val="00E82301"/>
    <w:rsid w:val="00E82A77"/>
    <w:rsid w:val="00E82E88"/>
    <w:rsid w:val="00E8314B"/>
    <w:rsid w:val="00E83C07"/>
    <w:rsid w:val="00E83EA3"/>
    <w:rsid w:val="00E84434"/>
    <w:rsid w:val="00E8451D"/>
    <w:rsid w:val="00E849D6"/>
    <w:rsid w:val="00E84B31"/>
    <w:rsid w:val="00E854A3"/>
    <w:rsid w:val="00E863BB"/>
    <w:rsid w:val="00E86442"/>
    <w:rsid w:val="00E865A0"/>
    <w:rsid w:val="00E86B2E"/>
    <w:rsid w:val="00E86E55"/>
    <w:rsid w:val="00E86EA7"/>
    <w:rsid w:val="00E86EB2"/>
    <w:rsid w:val="00E86F74"/>
    <w:rsid w:val="00E8748F"/>
    <w:rsid w:val="00E90170"/>
    <w:rsid w:val="00E90350"/>
    <w:rsid w:val="00E90576"/>
    <w:rsid w:val="00E90D01"/>
    <w:rsid w:val="00E91055"/>
    <w:rsid w:val="00E91146"/>
    <w:rsid w:val="00E924D7"/>
    <w:rsid w:val="00E9269A"/>
    <w:rsid w:val="00E92843"/>
    <w:rsid w:val="00E92BFB"/>
    <w:rsid w:val="00E92D8E"/>
    <w:rsid w:val="00E9367D"/>
    <w:rsid w:val="00E9482D"/>
    <w:rsid w:val="00E9498B"/>
    <w:rsid w:val="00E94DC5"/>
    <w:rsid w:val="00E953C9"/>
    <w:rsid w:val="00E9574E"/>
    <w:rsid w:val="00E95793"/>
    <w:rsid w:val="00E95F01"/>
    <w:rsid w:val="00E967CA"/>
    <w:rsid w:val="00E96BF4"/>
    <w:rsid w:val="00E96C43"/>
    <w:rsid w:val="00E96C5F"/>
    <w:rsid w:val="00E9709F"/>
    <w:rsid w:val="00E9726C"/>
    <w:rsid w:val="00E9752D"/>
    <w:rsid w:val="00E979E5"/>
    <w:rsid w:val="00E97B17"/>
    <w:rsid w:val="00EA02F3"/>
    <w:rsid w:val="00EA05CA"/>
    <w:rsid w:val="00EA0C0C"/>
    <w:rsid w:val="00EA15BD"/>
    <w:rsid w:val="00EA23EA"/>
    <w:rsid w:val="00EA3169"/>
    <w:rsid w:val="00EA3539"/>
    <w:rsid w:val="00EA3FB6"/>
    <w:rsid w:val="00EA40C3"/>
    <w:rsid w:val="00EA48D3"/>
    <w:rsid w:val="00EA593E"/>
    <w:rsid w:val="00EA5A54"/>
    <w:rsid w:val="00EA6022"/>
    <w:rsid w:val="00EA6215"/>
    <w:rsid w:val="00EA66AC"/>
    <w:rsid w:val="00EA6AA2"/>
    <w:rsid w:val="00EA6AC9"/>
    <w:rsid w:val="00EA6DA1"/>
    <w:rsid w:val="00EA6F91"/>
    <w:rsid w:val="00EA7175"/>
    <w:rsid w:val="00EA7247"/>
    <w:rsid w:val="00EA76E9"/>
    <w:rsid w:val="00EA7C44"/>
    <w:rsid w:val="00EB0168"/>
    <w:rsid w:val="00EB0A0E"/>
    <w:rsid w:val="00EB0E56"/>
    <w:rsid w:val="00EB0FAC"/>
    <w:rsid w:val="00EB10B4"/>
    <w:rsid w:val="00EB165D"/>
    <w:rsid w:val="00EB1D19"/>
    <w:rsid w:val="00EB1E85"/>
    <w:rsid w:val="00EB246F"/>
    <w:rsid w:val="00EB2E3C"/>
    <w:rsid w:val="00EB2EA9"/>
    <w:rsid w:val="00EB2FCF"/>
    <w:rsid w:val="00EB35E2"/>
    <w:rsid w:val="00EB4856"/>
    <w:rsid w:val="00EB4A51"/>
    <w:rsid w:val="00EB4C31"/>
    <w:rsid w:val="00EB4D2F"/>
    <w:rsid w:val="00EB530B"/>
    <w:rsid w:val="00EB5355"/>
    <w:rsid w:val="00EB5609"/>
    <w:rsid w:val="00EB57C5"/>
    <w:rsid w:val="00EB5948"/>
    <w:rsid w:val="00EB594A"/>
    <w:rsid w:val="00EB6E83"/>
    <w:rsid w:val="00EB6EFF"/>
    <w:rsid w:val="00EB70A1"/>
    <w:rsid w:val="00EB7696"/>
    <w:rsid w:val="00EB7F0A"/>
    <w:rsid w:val="00EB7F1D"/>
    <w:rsid w:val="00EC0083"/>
    <w:rsid w:val="00EC0B90"/>
    <w:rsid w:val="00EC125B"/>
    <w:rsid w:val="00EC16F6"/>
    <w:rsid w:val="00EC16F7"/>
    <w:rsid w:val="00EC1B35"/>
    <w:rsid w:val="00EC2126"/>
    <w:rsid w:val="00EC26E8"/>
    <w:rsid w:val="00EC2CD1"/>
    <w:rsid w:val="00EC2E6D"/>
    <w:rsid w:val="00EC3B8C"/>
    <w:rsid w:val="00EC40D0"/>
    <w:rsid w:val="00EC426B"/>
    <w:rsid w:val="00EC4493"/>
    <w:rsid w:val="00EC4784"/>
    <w:rsid w:val="00EC5556"/>
    <w:rsid w:val="00EC5850"/>
    <w:rsid w:val="00EC5927"/>
    <w:rsid w:val="00EC5F34"/>
    <w:rsid w:val="00EC6BA3"/>
    <w:rsid w:val="00EC7408"/>
    <w:rsid w:val="00ED02E4"/>
    <w:rsid w:val="00ED095D"/>
    <w:rsid w:val="00ED0A48"/>
    <w:rsid w:val="00ED0F11"/>
    <w:rsid w:val="00ED1208"/>
    <w:rsid w:val="00ED13E7"/>
    <w:rsid w:val="00ED171C"/>
    <w:rsid w:val="00ED1A8C"/>
    <w:rsid w:val="00ED1AE5"/>
    <w:rsid w:val="00ED1EA4"/>
    <w:rsid w:val="00ED1EB5"/>
    <w:rsid w:val="00ED2376"/>
    <w:rsid w:val="00ED2444"/>
    <w:rsid w:val="00ED2A84"/>
    <w:rsid w:val="00ED2DFD"/>
    <w:rsid w:val="00ED3099"/>
    <w:rsid w:val="00ED4491"/>
    <w:rsid w:val="00ED453D"/>
    <w:rsid w:val="00ED4DFD"/>
    <w:rsid w:val="00ED4F0D"/>
    <w:rsid w:val="00ED53D2"/>
    <w:rsid w:val="00ED5D53"/>
    <w:rsid w:val="00ED5DC8"/>
    <w:rsid w:val="00ED5F1A"/>
    <w:rsid w:val="00ED6032"/>
    <w:rsid w:val="00ED6266"/>
    <w:rsid w:val="00ED6279"/>
    <w:rsid w:val="00ED636A"/>
    <w:rsid w:val="00ED68B2"/>
    <w:rsid w:val="00ED6936"/>
    <w:rsid w:val="00ED7379"/>
    <w:rsid w:val="00ED7730"/>
    <w:rsid w:val="00ED78C4"/>
    <w:rsid w:val="00EE0FC9"/>
    <w:rsid w:val="00EE138E"/>
    <w:rsid w:val="00EE147E"/>
    <w:rsid w:val="00EE1C37"/>
    <w:rsid w:val="00EE1F70"/>
    <w:rsid w:val="00EE1FE3"/>
    <w:rsid w:val="00EE247E"/>
    <w:rsid w:val="00EE27A3"/>
    <w:rsid w:val="00EE2B3C"/>
    <w:rsid w:val="00EE2B6C"/>
    <w:rsid w:val="00EE3137"/>
    <w:rsid w:val="00EE3F9E"/>
    <w:rsid w:val="00EE41DB"/>
    <w:rsid w:val="00EE420B"/>
    <w:rsid w:val="00EE4229"/>
    <w:rsid w:val="00EE424F"/>
    <w:rsid w:val="00EE47C7"/>
    <w:rsid w:val="00EE4C83"/>
    <w:rsid w:val="00EE51E6"/>
    <w:rsid w:val="00EE5BAA"/>
    <w:rsid w:val="00EE5E6A"/>
    <w:rsid w:val="00EF02F4"/>
    <w:rsid w:val="00EF043F"/>
    <w:rsid w:val="00EF0CD9"/>
    <w:rsid w:val="00EF1354"/>
    <w:rsid w:val="00EF13FD"/>
    <w:rsid w:val="00EF140C"/>
    <w:rsid w:val="00EF1805"/>
    <w:rsid w:val="00EF2430"/>
    <w:rsid w:val="00EF2A28"/>
    <w:rsid w:val="00EF2A95"/>
    <w:rsid w:val="00EF2BBF"/>
    <w:rsid w:val="00EF2BED"/>
    <w:rsid w:val="00EF2F71"/>
    <w:rsid w:val="00EF3044"/>
    <w:rsid w:val="00EF3113"/>
    <w:rsid w:val="00EF38DB"/>
    <w:rsid w:val="00EF3CF8"/>
    <w:rsid w:val="00EF4BC2"/>
    <w:rsid w:val="00EF4EBB"/>
    <w:rsid w:val="00EF5345"/>
    <w:rsid w:val="00EF53E2"/>
    <w:rsid w:val="00EF5490"/>
    <w:rsid w:val="00EF5999"/>
    <w:rsid w:val="00EF5FA2"/>
    <w:rsid w:val="00EF687C"/>
    <w:rsid w:val="00EF6980"/>
    <w:rsid w:val="00EF6CC7"/>
    <w:rsid w:val="00EF702C"/>
    <w:rsid w:val="00EF703D"/>
    <w:rsid w:val="00EF70B5"/>
    <w:rsid w:val="00EF7222"/>
    <w:rsid w:val="00EF7A82"/>
    <w:rsid w:val="00EF7B5E"/>
    <w:rsid w:val="00F00973"/>
    <w:rsid w:val="00F00BEC"/>
    <w:rsid w:val="00F014A1"/>
    <w:rsid w:val="00F014B1"/>
    <w:rsid w:val="00F01800"/>
    <w:rsid w:val="00F0181A"/>
    <w:rsid w:val="00F02042"/>
    <w:rsid w:val="00F0212F"/>
    <w:rsid w:val="00F02464"/>
    <w:rsid w:val="00F0271C"/>
    <w:rsid w:val="00F02BC4"/>
    <w:rsid w:val="00F0345A"/>
    <w:rsid w:val="00F03680"/>
    <w:rsid w:val="00F043F7"/>
    <w:rsid w:val="00F044EF"/>
    <w:rsid w:val="00F04CEE"/>
    <w:rsid w:val="00F057FD"/>
    <w:rsid w:val="00F05987"/>
    <w:rsid w:val="00F05AB8"/>
    <w:rsid w:val="00F05C6A"/>
    <w:rsid w:val="00F06185"/>
    <w:rsid w:val="00F0640E"/>
    <w:rsid w:val="00F06411"/>
    <w:rsid w:val="00F0690B"/>
    <w:rsid w:val="00F06ED5"/>
    <w:rsid w:val="00F06F13"/>
    <w:rsid w:val="00F07083"/>
    <w:rsid w:val="00F073A8"/>
    <w:rsid w:val="00F0743B"/>
    <w:rsid w:val="00F1017A"/>
    <w:rsid w:val="00F10A3E"/>
    <w:rsid w:val="00F11955"/>
    <w:rsid w:val="00F12613"/>
    <w:rsid w:val="00F12CDD"/>
    <w:rsid w:val="00F13180"/>
    <w:rsid w:val="00F13911"/>
    <w:rsid w:val="00F1395C"/>
    <w:rsid w:val="00F13C76"/>
    <w:rsid w:val="00F13D2D"/>
    <w:rsid w:val="00F15709"/>
    <w:rsid w:val="00F15D7B"/>
    <w:rsid w:val="00F165DC"/>
    <w:rsid w:val="00F167BF"/>
    <w:rsid w:val="00F168DD"/>
    <w:rsid w:val="00F16971"/>
    <w:rsid w:val="00F16EE1"/>
    <w:rsid w:val="00F16F93"/>
    <w:rsid w:val="00F200EC"/>
    <w:rsid w:val="00F203BF"/>
    <w:rsid w:val="00F209B8"/>
    <w:rsid w:val="00F20C49"/>
    <w:rsid w:val="00F20F63"/>
    <w:rsid w:val="00F216CC"/>
    <w:rsid w:val="00F21AD3"/>
    <w:rsid w:val="00F23ED1"/>
    <w:rsid w:val="00F24407"/>
    <w:rsid w:val="00F244A8"/>
    <w:rsid w:val="00F24D79"/>
    <w:rsid w:val="00F254C2"/>
    <w:rsid w:val="00F2563A"/>
    <w:rsid w:val="00F25CA2"/>
    <w:rsid w:val="00F260D0"/>
    <w:rsid w:val="00F262EB"/>
    <w:rsid w:val="00F26BEC"/>
    <w:rsid w:val="00F26D3A"/>
    <w:rsid w:val="00F26D4B"/>
    <w:rsid w:val="00F274D6"/>
    <w:rsid w:val="00F3043E"/>
    <w:rsid w:val="00F308DC"/>
    <w:rsid w:val="00F309C4"/>
    <w:rsid w:val="00F310A9"/>
    <w:rsid w:val="00F311C2"/>
    <w:rsid w:val="00F31682"/>
    <w:rsid w:val="00F318C9"/>
    <w:rsid w:val="00F320A1"/>
    <w:rsid w:val="00F32608"/>
    <w:rsid w:val="00F32DE0"/>
    <w:rsid w:val="00F33053"/>
    <w:rsid w:val="00F33B3A"/>
    <w:rsid w:val="00F34539"/>
    <w:rsid w:val="00F34749"/>
    <w:rsid w:val="00F3502C"/>
    <w:rsid w:val="00F354E8"/>
    <w:rsid w:val="00F354EC"/>
    <w:rsid w:val="00F356DF"/>
    <w:rsid w:val="00F3582C"/>
    <w:rsid w:val="00F35D96"/>
    <w:rsid w:val="00F36AF8"/>
    <w:rsid w:val="00F36B06"/>
    <w:rsid w:val="00F36EDE"/>
    <w:rsid w:val="00F371C7"/>
    <w:rsid w:val="00F37358"/>
    <w:rsid w:val="00F373AC"/>
    <w:rsid w:val="00F3759A"/>
    <w:rsid w:val="00F4024C"/>
    <w:rsid w:val="00F40351"/>
    <w:rsid w:val="00F404D2"/>
    <w:rsid w:val="00F40CCC"/>
    <w:rsid w:val="00F40D37"/>
    <w:rsid w:val="00F41787"/>
    <w:rsid w:val="00F41B3D"/>
    <w:rsid w:val="00F42B5A"/>
    <w:rsid w:val="00F42EFC"/>
    <w:rsid w:val="00F43195"/>
    <w:rsid w:val="00F43511"/>
    <w:rsid w:val="00F44460"/>
    <w:rsid w:val="00F45168"/>
    <w:rsid w:val="00F45483"/>
    <w:rsid w:val="00F45AC2"/>
    <w:rsid w:val="00F45E83"/>
    <w:rsid w:val="00F46346"/>
    <w:rsid w:val="00F46CCD"/>
    <w:rsid w:val="00F4708D"/>
    <w:rsid w:val="00F4767E"/>
    <w:rsid w:val="00F50016"/>
    <w:rsid w:val="00F5030A"/>
    <w:rsid w:val="00F50BFE"/>
    <w:rsid w:val="00F51125"/>
    <w:rsid w:val="00F5225D"/>
    <w:rsid w:val="00F52600"/>
    <w:rsid w:val="00F52C0A"/>
    <w:rsid w:val="00F52F11"/>
    <w:rsid w:val="00F531AD"/>
    <w:rsid w:val="00F531AE"/>
    <w:rsid w:val="00F534BB"/>
    <w:rsid w:val="00F54856"/>
    <w:rsid w:val="00F54BBF"/>
    <w:rsid w:val="00F54F34"/>
    <w:rsid w:val="00F55362"/>
    <w:rsid w:val="00F55B00"/>
    <w:rsid w:val="00F578D9"/>
    <w:rsid w:val="00F60BE6"/>
    <w:rsid w:val="00F61535"/>
    <w:rsid w:val="00F61A92"/>
    <w:rsid w:val="00F61D13"/>
    <w:rsid w:val="00F61DFF"/>
    <w:rsid w:val="00F6264A"/>
    <w:rsid w:val="00F62820"/>
    <w:rsid w:val="00F62B53"/>
    <w:rsid w:val="00F62C8A"/>
    <w:rsid w:val="00F62F5B"/>
    <w:rsid w:val="00F63EC0"/>
    <w:rsid w:val="00F6451B"/>
    <w:rsid w:val="00F64816"/>
    <w:rsid w:val="00F64E28"/>
    <w:rsid w:val="00F65C15"/>
    <w:rsid w:val="00F66E6B"/>
    <w:rsid w:val="00F6754C"/>
    <w:rsid w:val="00F6769E"/>
    <w:rsid w:val="00F711E8"/>
    <w:rsid w:val="00F71290"/>
    <w:rsid w:val="00F7175D"/>
    <w:rsid w:val="00F73AFC"/>
    <w:rsid w:val="00F73BCC"/>
    <w:rsid w:val="00F73D2A"/>
    <w:rsid w:val="00F740B1"/>
    <w:rsid w:val="00F75151"/>
    <w:rsid w:val="00F754A3"/>
    <w:rsid w:val="00F75A2B"/>
    <w:rsid w:val="00F75AEE"/>
    <w:rsid w:val="00F76088"/>
    <w:rsid w:val="00F76594"/>
    <w:rsid w:val="00F769E2"/>
    <w:rsid w:val="00F76B51"/>
    <w:rsid w:val="00F76FA7"/>
    <w:rsid w:val="00F77212"/>
    <w:rsid w:val="00F77B12"/>
    <w:rsid w:val="00F802EB"/>
    <w:rsid w:val="00F8033B"/>
    <w:rsid w:val="00F805CF"/>
    <w:rsid w:val="00F807DB"/>
    <w:rsid w:val="00F80839"/>
    <w:rsid w:val="00F80D6F"/>
    <w:rsid w:val="00F815E8"/>
    <w:rsid w:val="00F81AA0"/>
    <w:rsid w:val="00F81FFD"/>
    <w:rsid w:val="00F821FE"/>
    <w:rsid w:val="00F8261C"/>
    <w:rsid w:val="00F826B0"/>
    <w:rsid w:val="00F83CAA"/>
    <w:rsid w:val="00F843F6"/>
    <w:rsid w:val="00F84EB4"/>
    <w:rsid w:val="00F855C6"/>
    <w:rsid w:val="00F85759"/>
    <w:rsid w:val="00F85762"/>
    <w:rsid w:val="00F8576A"/>
    <w:rsid w:val="00F85CC2"/>
    <w:rsid w:val="00F86349"/>
    <w:rsid w:val="00F86472"/>
    <w:rsid w:val="00F8647A"/>
    <w:rsid w:val="00F865E9"/>
    <w:rsid w:val="00F87761"/>
    <w:rsid w:val="00F90782"/>
    <w:rsid w:val="00F90D18"/>
    <w:rsid w:val="00F9114B"/>
    <w:rsid w:val="00F91379"/>
    <w:rsid w:val="00F9169A"/>
    <w:rsid w:val="00F91795"/>
    <w:rsid w:val="00F91F78"/>
    <w:rsid w:val="00F92035"/>
    <w:rsid w:val="00F9296C"/>
    <w:rsid w:val="00F929BC"/>
    <w:rsid w:val="00F92ACC"/>
    <w:rsid w:val="00F92BA5"/>
    <w:rsid w:val="00F93C90"/>
    <w:rsid w:val="00F940DB"/>
    <w:rsid w:val="00F94274"/>
    <w:rsid w:val="00F9474A"/>
    <w:rsid w:val="00F94A1B"/>
    <w:rsid w:val="00F951DE"/>
    <w:rsid w:val="00F952BB"/>
    <w:rsid w:val="00F95C16"/>
    <w:rsid w:val="00F95CB6"/>
    <w:rsid w:val="00F95F9D"/>
    <w:rsid w:val="00F9643C"/>
    <w:rsid w:val="00F96BF5"/>
    <w:rsid w:val="00F96EBC"/>
    <w:rsid w:val="00F97708"/>
    <w:rsid w:val="00F97A09"/>
    <w:rsid w:val="00FA01B8"/>
    <w:rsid w:val="00FA0796"/>
    <w:rsid w:val="00FA0A20"/>
    <w:rsid w:val="00FA108D"/>
    <w:rsid w:val="00FA1522"/>
    <w:rsid w:val="00FA2494"/>
    <w:rsid w:val="00FA25B6"/>
    <w:rsid w:val="00FA2BE6"/>
    <w:rsid w:val="00FA2EDE"/>
    <w:rsid w:val="00FA35FF"/>
    <w:rsid w:val="00FA3F1B"/>
    <w:rsid w:val="00FA5B37"/>
    <w:rsid w:val="00FA5E32"/>
    <w:rsid w:val="00FA5FE3"/>
    <w:rsid w:val="00FA62A8"/>
    <w:rsid w:val="00FA75B0"/>
    <w:rsid w:val="00FA77D4"/>
    <w:rsid w:val="00FA7905"/>
    <w:rsid w:val="00FA7A83"/>
    <w:rsid w:val="00FA7EA4"/>
    <w:rsid w:val="00FB013E"/>
    <w:rsid w:val="00FB0E58"/>
    <w:rsid w:val="00FB0F56"/>
    <w:rsid w:val="00FB132F"/>
    <w:rsid w:val="00FB18B0"/>
    <w:rsid w:val="00FB21A1"/>
    <w:rsid w:val="00FB21F2"/>
    <w:rsid w:val="00FB2620"/>
    <w:rsid w:val="00FB26F4"/>
    <w:rsid w:val="00FB2991"/>
    <w:rsid w:val="00FB2BFC"/>
    <w:rsid w:val="00FB30DD"/>
    <w:rsid w:val="00FB31D8"/>
    <w:rsid w:val="00FB416A"/>
    <w:rsid w:val="00FB4210"/>
    <w:rsid w:val="00FB4269"/>
    <w:rsid w:val="00FB4BBC"/>
    <w:rsid w:val="00FB5120"/>
    <w:rsid w:val="00FB545A"/>
    <w:rsid w:val="00FB5ABB"/>
    <w:rsid w:val="00FB5DA9"/>
    <w:rsid w:val="00FB625C"/>
    <w:rsid w:val="00FB6A0B"/>
    <w:rsid w:val="00FB6BA6"/>
    <w:rsid w:val="00FB6E93"/>
    <w:rsid w:val="00FB786C"/>
    <w:rsid w:val="00FB7934"/>
    <w:rsid w:val="00FC04B2"/>
    <w:rsid w:val="00FC1305"/>
    <w:rsid w:val="00FC1C11"/>
    <w:rsid w:val="00FC23AC"/>
    <w:rsid w:val="00FC2982"/>
    <w:rsid w:val="00FC2F8B"/>
    <w:rsid w:val="00FC3248"/>
    <w:rsid w:val="00FC4199"/>
    <w:rsid w:val="00FC421A"/>
    <w:rsid w:val="00FC47C0"/>
    <w:rsid w:val="00FC4B23"/>
    <w:rsid w:val="00FC4DC0"/>
    <w:rsid w:val="00FC505E"/>
    <w:rsid w:val="00FC5305"/>
    <w:rsid w:val="00FC576F"/>
    <w:rsid w:val="00FC5C7C"/>
    <w:rsid w:val="00FC63D3"/>
    <w:rsid w:val="00FC6A5C"/>
    <w:rsid w:val="00FC6E44"/>
    <w:rsid w:val="00FC6F63"/>
    <w:rsid w:val="00FC73B1"/>
    <w:rsid w:val="00FC7B45"/>
    <w:rsid w:val="00FD0BC5"/>
    <w:rsid w:val="00FD1D5E"/>
    <w:rsid w:val="00FD22BB"/>
    <w:rsid w:val="00FD243E"/>
    <w:rsid w:val="00FD27F7"/>
    <w:rsid w:val="00FD28AE"/>
    <w:rsid w:val="00FD2D21"/>
    <w:rsid w:val="00FD2E4B"/>
    <w:rsid w:val="00FD2F5B"/>
    <w:rsid w:val="00FD325A"/>
    <w:rsid w:val="00FD3310"/>
    <w:rsid w:val="00FD361B"/>
    <w:rsid w:val="00FD3B00"/>
    <w:rsid w:val="00FD4B1B"/>
    <w:rsid w:val="00FD4D39"/>
    <w:rsid w:val="00FD4D5E"/>
    <w:rsid w:val="00FD4DE0"/>
    <w:rsid w:val="00FD670E"/>
    <w:rsid w:val="00FD6752"/>
    <w:rsid w:val="00FD6C5A"/>
    <w:rsid w:val="00FD7C3A"/>
    <w:rsid w:val="00FD7C64"/>
    <w:rsid w:val="00FD7FD9"/>
    <w:rsid w:val="00FE04DF"/>
    <w:rsid w:val="00FE0BA0"/>
    <w:rsid w:val="00FE0E89"/>
    <w:rsid w:val="00FE1592"/>
    <w:rsid w:val="00FE164A"/>
    <w:rsid w:val="00FE168A"/>
    <w:rsid w:val="00FE1704"/>
    <w:rsid w:val="00FE18DD"/>
    <w:rsid w:val="00FE1B37"/>
    <w:rsid w:val="00FE29C3"/>
    <w:rsid w:val="00FE30ED"/>
    <w:rsid w:val="00FE36A0"/>
    <w:rsid w:val="00FE3839"/>
    <w:rsid w:val="00FE3ECB"/>
    <w:rsid w:val="00FE41FB"/>
    <w:rsid w:val="00FE4699"/>
    <w:rsid w:val="00FE51FD"/>
    <w:rsid w:val="00FE5648"/>
    <w:rsid w:val="00FE64B5"/>
    <w:rsid w:val="00FE6721"/>
    <w:rsid w:val="00FE7030"/>
    <w:rsid w:val="00FE7818"/>
    <w:rsid w:val="00FF0818"/>
    <w:rsid w:val="00FF0EDC"/>
    <w:rsid w:val="00FF146C"/>
    <w:rsid w:val="00FF147B"/>
    <w:rsid w:val="00FF14E5"/>
    <w:rsid w:val="00FF1F52"/>
    <w:rsid w:val="00FF23A2"/>
    <w:rsid w:val="00FF2491"/>
    <w:rsid w:val="00FF24B8"/>
    <w:rsid w:val="00FF2E51"/>
    <w:rsid w:val="00FF366E"/>
    <w:rsid w:val="00FF3BB4"/>
    <w:rsid w:val="00FF4083"/>
    <w:rsid w:val="00FF431A"/>
    <w:rsid w:val="00FF4AEF"/>
    <w:rsid w:val="00FF4D2C"/>
    <w:rsid w:val="00FF4E1D"/>
    <w:rsid w:val="00FF502E"/>
    <w:rsid w:val="00FF5715"/>
    <w:rsid w:val="00FF5AE1"/>
    <w:rsid w:val="00FF637F"/>
    <w:rsid w:val="00FF6842"/>
    <w:rsid w:val="00FF6A3A"/>
    <w:rsid w:val="00FF6D70"/>
    <w:rsid w:val="00FF73B3"/>
    <w:rsid w:val="00FF74F5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95D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75E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D495D"/>
    <w:rPr>
      <w:sz w:val="20"/>
      <w:szCs w:val="20"/>
    </w:rPr>
  </w:style>
  <w:style w:type="character" w:customStyle="1" w:styleId="a4">
    <w:name w:val="Текст сноски Знак"/>
    <w:link w:val="a3"/>
    <w:semiHidden/>
    <w:rsid w:val="00CD495D"/>
    <w:rPr>
      <w:lang w:val="ru-RU" w:eastAsia="ru-RU" w:bidi="ar-SA"/>
    </w:rPr>
  </w:style>
  <w:style w:type="character" w:styleId="a5">
    <w:name w:val="footnote reference"/>
    <w:semiHidden/>
    <w:rsid w:val="00CD495D"/>
    <w:rPr>
      <w:vertAlign w:val="superscript"/>
    </w:rPr>
  </w:style>
  <w:style w:type="paragraph" w:styleId="a6">
    <w:name w:val="footer"/>
    <w:basedOn w:val="a"/>
    <w:link w:val="a7"/>
    <w:rsid w:val="00CD49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495D"/>
    <w:rPr>
      <w:sz w:val="24"/>
      <w:szCs w:val="24"/>
      <w:lang w:val="ru-RU" w:eastAsia="ru-RU" w:bidi="ar-SA"/>
    </w:rPr>
  </w:style>
  <w:style w:type="character" w:styleId="a8">
    <w:name w:val="page number"/>
    <w:basedOn w:val="a0"/>
    <w:rsid w:val="00CD495D"/>
  </w:style>
  <w:style w:type="paragraph" w:styleId="a9">
    <w:name w:val="Balloon Text"/>
    <w:basedOn w:val="a"/>
    <w:semiHidden/>
    <w:rsid w:val="0017428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76256C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193416"/>
    <w:rPr>
      <w:strike w:val="0"/>
      <w:dstrike w:val="0"/>
      <w:color w:val="C00A15"/>
      <w:u w:val="none"/>
      <w:effect w:val="none"/>
    </w:rPr>
  </w:style>
  <w:style w:type="paragraph" w:styleId="ac">
    <w:name w:val="header"/>
    <w:basedOn w:val="a"/>
    <w:link w:val="ad"/>
    <w:rsid w:val="0099668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996681"/>
    <w:rPr>
      <w:sz w:val="24"/>
      <w:szCs w:val="24"/>
    </w:rPr>
  </w:style>
  <w:style w:type="paragraph" w:styleId="ae">
    <w:name w:val="No Spacing"/>
    <w:qFormat/>
    <w:rsid w:val="0014775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2078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">
    <w:name w:val="Table Grid"/>
    <w:basedOn w:val="a1"/>
    <w:rsid w:val="00094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Intense Emphasis"/>
    <w:uiPriority w:val="21"/>
    <w:qFormat/>
    <w:rsid w:val="008E7F6A"/>
    <w:rPr>
      <w:b/>
      <w:bCs/>
      <w:i/>
      <w:iCs/>
      <w:color w:val="4F81BD"/>
    </w:rPr>
  </w:style>
  <w:style w:type="paragraph" w:customStyle="1" w:styleId="af1">
    <w:name w:val="Знак Знак Знак"/>
    <w:basedOn w:val="a"/>
    <w:autoRedefine/>
    <w:rsid w:val="008C62E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2">
    <w:name w:val="Title"/>
    <w:basedOn w:val="a"/>
    <w:next w:val="a"/>
    <w:link w:val="af3"/>
    <w:qFormat/>
    <w:rsid w:val="00F157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3">
    <w:name w:val="Название Знак"/>
    <w:link w:val="af2"/>
    <w:rsid w:val="00F1570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4">
    <w:name w:val="annotation reference"/>
    <w:rsid w:val="009D7FF1"/>
    <w:rPr>
      <w:sz w:val="16"/>
      <w:szCs w:val="16"/>
    </w:rPr>
  </w:style>
  <w:style w:type="paragraph" w:styleId="af5">
    <w:name w:val="annotation text"/>
    <w:basedOn w:val="a"/>
    <w:link w:val="af6"/>
    <w:rsid w:val="009D7FF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9D7FF1"/>
  </w:style>
  <w:style w:type="paragraph" w:styleId="af7">
    <w:name w:val="annotation subject"/>
    <w:basedOn w:val="af5"/>
    <w:next w:val="af5"/>
    <w:link w:val="af8"/>
    <w:rsid w:val="009D7FF1"/>
    <w:rPr>
      <w:b/>
      <w:bCs/>
      <w:lang w:val="x-none" w:eastAsia="x-none"/>
    </w:rPr>
  </w:style>
  <w:style w:type="character" w:customStyle="1" w:styleId="af8">
    <w:name w:val="Тема примечания Знак"/>
    <w:link w:val="af7"/>
    <w:rsid w:val="009D7FF1"/>
    <w:rPr>
      <w:b/>
      <w:bCs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B75E68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semiHidden/>
    <w:rsid w:val="00B75E6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9">
    <w:name w:val="endnote text"/>
    <w:basedOn w:val="a"/>
    <w:link w:val="afa"/>
    <w:rsid w:val="00461EAA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461EAA"/>
  </w:style>
  <w:style w:type="character" w:styleId="afb">
    <w:name w:val="endnote reference"/>
    <w:rsid w:val="00461EAA"/>
    <w:rPr>
      <w:vertAlign w:val="superscript"/>
    </w:rPr>
  </w:style>
  <w:style w:type="character" w:customStyle="1" w:styleId="s1">
    <w:name w:val="s1"/>
    <w:rsid w:val="0060541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60541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95D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75E6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D495D"/>
    <w:rPr>
      <w:sz w:val="20"/>
      <w:szCs w:val="20"/>
    </w:rPr>
  </w:style>
  <w:style w:type="character" w:customStyle="1" w:styleId="a4">
    <w:name w:val="Текст сноски Знак"/>
    <w:link w:val="a3"/>
    <w:semiHidden/>
    <w:rsid w:val="00CD495D"/>
    <w:rPr>
      <w:lang w:val="ru-RU" w:eastAsia="ru-RU" w:bidi="ar-SA"/>
    </w:rPr>
  </w:style>
  <w:style w:type="character" w:styleId="a5">
    <w:name w:val="footnote reference"/>
    <w:semiHidden/>
    <w:rsid w:val="00CD495D"/>
    <w:rPr>
      <w:vertAlign w:val="superscript"/>
    </w:rPr>
  </w:style>
  <w:style w:type="paragraph" w:styleId="a6">
    <w:name w:val="footer"/>
    <w:basedOn w:val="a"/>
    <w:link w:val="a7"/>
    <w:rsid w:val="00CD49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D495D"/>
    <w:rPr>
      <w:sz w:val="24"/>
      <w:szCs w:val="24"/>
      <w:lang w:val="ru-RU" w:eastAsia="ru-RU" w:bidi="ar-SA"/>
    </w:rPr>
  </w:style>
  <w:style w:type="character" w:styleId="a8">
    <w:name w:val="page number"/>
    <w:basedOn w:val="a0"/>
    <w:rsid w:val="00CD495D"/>
  </w:style>
  <w:style w:type="paragraph" w:styleId="a9">
    <w:name w:val="Balloon Text"/>
    <w:basedOn w:val="a"/>
    <w:semiHidden/>
    <w:rsid w:val="0017428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76256C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193416"/>
    <w:rPr>
      <w:strike w:val="0"/>
      <w:dstrike w:val="0"/>
      <w:color w:val="C00A15"/>
      <w:u w:val="none"/>
      <w:effect w:val="none"/>
    </w:rPr>
  </w:style>
  <w:style w:type="paragraph" w:styleId="ac">
    <w:name w:val="header"/>
    <w:basedOn w:val="a"/>
    <w:link w:val="ad"/>
    <w:rsid w:val="0099668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996681"/>
    <w:rPr>
      <w:sz w:val="24"/>
      <w:szCs w:val="24"/>
    </w:rPr>
  </w:style>
  <w:style w:type="paragraph" w:styleId="ae">
    <w:name w:val="No Spacing"/>
    <w:qFormat/>
    <w:rsid w:val="0014775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2078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">
    <w:name w:val="Table Grid"/>
    <w:basedOn w:val="a1"/>
    <w:rsid w:val="00094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Intense Emphasis"/>
    <w:uiPriority w:val="21"/>
    <w:qFormat/>
    <w:rsid w:val="008E7F6A"/>
    <w:rPr>
      <w:b/>
      <w:bCs/>
      <w:i/>
      <w:iCs/>
      <w:color w:val="4F81BD"/>
    </w:rPr>
  </w:style>
  <w:style w:type="paragraph" w:customStyle="1" w:styleId="af1">
    <w:name w:val="Знак Знак Знак"/>
    <w:basedOn w:val="a"/>
    <w:autoRedefine/>
    <w:rsid w:val="008C62E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2">
    <w:name w:val="Title"/>
    <w:basedOn w:val="a"/>
    <w:next w:val="a"/>
    <w:link w:val="af3"/>
    <w:qFormat/>
    <w:rsid w:val="00F157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3">
    <w:name w:val="Название Знак"/>
    <w:link w:val="af2"/>
    <w:rsid w:val="00F1570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4">
    <w:name w:val="annotation reference"/>
    <w:rsid w:val="009D7FF1"/>
    <w:rPr>
      <w:sz w:val="16"/>
      <w:szCs w:val="16"/>
    </w:rPr>
  </w:style>
  <w:style w:type="paragraph" w:styleId="af5">
    <w:name w:val="annotation text"/>
    <w:basedOn w:val="a"/>
    <w:link w:val="af6"/>
    <w:rsid w:val="009D7FF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9D7FF1"/>
  </w:style>
  <w:style w:type="paragraph" w:styleId="af7">
    <w:name w:val="annotation subject"/>
    <w:basedOn w:val="af5"/>
    <w:next w:val="af5"/>
    <w:link w:val="af8"/>
    <w:rsid w:val="009D7FF1"/>
    <w:rPr>
      <w:b/>
      <w:bCs/>
      <w:lang w:val="x-none" w:eastAsia="x-none"/>
    </w:rPr>
  </w:style>
  <w:style w:type="character" w:customStyle="1" w:styleId="af8">
    <w:name w:val="Тема примечания Знак"/>
    <w:link w:val="af7"/>
    <w:rsid w:val="009D7FF1"/>
    <w:rPr>
      <w:b/>
      <w:bCs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B75E68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semiHidden/>
    <w:rsid w:val="00B75E6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9">
    <w:name w:val="endnote text"/>
    <w:basedOn w:val="a"/>
    <w:link w:val="afa"/>
    <w:rsid w:val="00461EAA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461EAA"/>
  </w:style>
  <w:style w:type="character" w:styleId="afb">
    <w:name w:val="endnote reference"/>
    <w:rsid w:val="00461EAA"/>
    <w:rPr>
      <w:vertAlign w:val="superscript"/>
    </w:rPr>
  </w:style>
  <w:style w:type="character" w:customStyle="1" w:styleId="s1">
    <w:name w:val="s1"/>
    <w:rsid w:val="0060541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60541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1221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9145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751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230723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8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4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267977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3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54422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55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1D1D1"/>
                                                            <w:bottom w:val="none" w:sz="0" w:space="0" w:color="auto"/>
                                                            <w:right w:val="single" w:sz="6" w:space="0" w:color="D1D1D1"/>
                                                          </w:divBdr>
                                                          <w:divsChild>
                                                            <w:div w:id="27283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832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&#1040;&#1055;&#1056;&#1045;&#1051;&#1068;%202014\2.&#1058;&#1072;&#1073;&#1083;&#1080;&#1094;&#1099;%20&#1082;%20&#1072;&#1085;&#1072;&#1083;&#1080;&#1079;&#1091;%20&#1086;&#1073;&#1089;&#1083;&#1077;&#1076;&#1086;&#1074;&#1072;&#1085;&#1080;&#1103;%20&#1041;&#1042;&#1059;_&#1072;&#1087;&#1088;&#1077;&#1083;&#1100;%202014_&#1060;&#1048;&#1053;&#1040;&#1051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&#1040;&#1055;&#1056;&#1045;&#1051;&#1068;%202014\2.&#1058;&#1072;&#1073;&#1083;&#1080;&#1094;&#1099;%20&#1082;%20&#1072;&#1085;&#1072;&#1083;&#1080;&#1079;&#1091;%20&#1086;&#1073;&#1089;&#1083;&#1077;&#1076;&#1086;&#1074;&#1072;&#1085;&#1080;&#1103;%20&#1041;&#1042;&#1059;_&#1072;&#1087;&#1088;&#1077;&#1083;&#1100;%202014_&#1060;&#1048;&#1053;&#1040;&#1051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&#1040;&#1055;&#1056;&#1045;&#1051;&#1068;%202014\2.&#1058;&#1072;&#1073;&#1083;&#1080;&#1094;&#1099;%20&#1082;%20&#1072;&#1085;&#1072;&#1083;&#1080;&#1079;&#1091;%20&#1086;&#1073;&#1089;&#1083;&#1077;&#1076;&#1086;&#1074;&#1072;&#1085;&#1080;&#1103;%20&#1041;&#1042;&#1059;_&#1072;&#1087;&#1088;&#1077;&#1083;&#1100;%202014_&#1060;&#1048;&#1053;&#1040;&#1051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72;&#1087;&#1088;&#1077;&#1083;&#1100;%202014_&#1060;&#1048;&#1053;&#1040;&#1051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&#1040;&#1055;&#1056;&#1045;&#1051;&#1068;%202014\2.&#1058;&#1072;&#1073;&#1083;&#1080;&#1094;&#1099;%20&#1082;%20&#1072;&#1085;&#1072;&#1083;&#1080;&#1079;&#1091;%20&#1086;&#1073;&#1089;&#1083;&#1077;&#1076;&#1086;&#1074;&#1072;&#1085;&#1080;&#1103;%20&#1041;&#1042;&#1059;_&#1072;&#1087;&#1088;&#1077;&#1083;&#1100;%202014_&#1060;&#1048;&#1053;&#1040;&#1051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&#1040;&#1055;&#1056;&#1045;&#1051;&#1068;%202014\2.&#1058;&#1072;&#1073;&#1083;&#1080;&#1094;&#1099;%20&#1082;%20&#1072;&#1085;&#1072;&#1083;&#1080;&#1079;&#1091;%20&#1086;&#1073;&#1089;&#1083;&#1077;&#1076;&#1086;&#1074;&#1072;&#1085;&#1080;&#1103;%20&#1041;&#1042;&#1059;_&#1072;&#1087;&#1088;&#1077;&#1083;&#1100;%202014_&#1060;&#1048;&#1053;&#1040;&#1051;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72;&#1087;&#1088;&#1077;&#1083;&#1100;%202014_&#1060;&#1048;&#1053;&#1040;&#1051;.xls" TargetMode="External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FS_ARMAN_E\Desktop\2.&#1058;&#1072;&#1073;&#1083;&#1080;&#1094;&#1099;%20&#1082;%20&#1072;&#1085;&#1072;&#1083;&#1080;&#1079;&#1091;%20&#1086;&#1073;&#1089;&#1083;&#1077;&#1076;&#1086;&#1074;&#1072;&#1085;&#1080;&#1103;%20&#1041;&#1042;&#1059;_&#1072;&#1087;&#1088;&#1077;&#1083;&#1100;%202014_&#1060;&#1048;&#1053;&#1040;&#1051;.xls" TargetMode="External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nbrk\dfs$\DFS_Omarbekov\&#1054;&#1055;&#1056;&#1054;&#1057;&#1053;&#1048;&#1050;+&#1047;&#1040;&#1056;&#1059;&#1041;&#1045;&#1046;&#1053;&#1067;&#1049;%20&#1054;&#1055;&#1067;&#1058;\&#1040;&#1055;&#1056;&#1045;&#1051;&#1068;%202014\2.&#1058;&#1072;&#1073;&#1083;&#1080;&#1094;&#1099;%20&#1082;%20&#1072;&#1085;&#1072;&#1083;&#1080;&#1079;&#1091;%20&#1086;&#1073;&#1089;&#1083;&#1077;&#1076;&#1086;&#1074;&#1072;&#1085;&#1080;&#1103;%20&#1041;&#1042;&#1059;_&#1072;&#1087;&#1088;&#1077;&#1083;&#1100;%202014_&#1060;&#1048;&#1053;&#1040;&#105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1301126708584305E-2"/>
          <c:y val="3.4029389017788091E-2"/>
          <c:w val="0.9366061227640663"/>
          <c:h val="0.62142376704190749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(3)'!$A$27</c:f>
              <c:strCache>
                <c:ptCount val="1"/>
                <c:pt idx="0">
                  <c:v>Изменение кредитной политики_факт (левая ось)</c:v>
                </c:pt>
              </c:strCache>
            </c:strRef>
          </c:tx>
          <c:marker>
            <c:symbol val="none"/>
          </c:marker>
          <c:cat>
            <c:multiLvlStrRef>
              <c:f>'Ожид-факт_корп (3)'!$B$25:$BH$26</c:f>
              <c:multiLvlStrCache>
                <c:ptCount val="59"/>
                <c:lvl>
                  <c:pt idx="0">
                    <c:v>1 кв 2011</c:v>
                  </c:pt>
                  <c:pt idx="1">
                    <c:v>2 кв 2011</c:v>
                  </c:pt>
                  <c:pt idx="2">
                    <c:v>3 кв 2011</c:v>
                  </c:pt>
                  <c:pt idx="3">
                    <c:v>4 кв 2011</c:v>
                  </c:pt>
                  <c:pt idx="4">
                    <c:v>1 кв 2012</c:v>
                  </c:pt>
                  <c:pt idx="5">
                    <c:v>2 кв 2012 </c:v>
                  </c:pt>
                  <c:pt idx="6">
                    <c:v>3 кв 2012 </c:v>
                  </c:pt>
                  <c:pt idx="7">
                    <c:v>4 кв 2012 </c:v>
                  </c:pt>
                  <c:pt idx="8">
                    <c:v>1 кв 2013</c:v>
                  </c:pt>
                  <c:pt idx="9">
                    <c:v>2 кв 2013</c:v>
                  </c:pt>
                  <c:pt idx="10">
                    <c:v>3 кв 2013</c:v>
                  </c:pt>
                  <c:pt idx="11">
                    <c:v>4 кв 2013</c:v>
                  </c:pt>
                  <c:pt idx="12">
                    <c:v>1 кв 2014</c:v>
                  </c:pt>
                  <c:pt idx="13">
                    <c:v>2 кв 2014</c:v>
                  </c:pt>
                  <c:pt idx="15">
                    <c:v>1 кв 2011</c:v>
                  </c:pt>
                  <c:pt idx="16">
                    <c:v>2 кв 2011</c:v>
                  </c:pt>
                  <c:pt idx="17">
                    <c:v>3 кв 2011</c:v>
                  </c:pt>
                  <c:pt idx="18">
                    <c:v>4 кв 2011</c:v>
                  </c:pt>
                  <c:pt idx="19">
                    <c:v>1 кв 2012</c:v>
                  </c:pt>
                  <c:pt idx="20">
                    <c:v>2 кв 2012 </c:v>
                  </c:pt>
                  <c:pt idx="21">
                    <c:v>3 кв 2012 </c:v>
                  </c:pt>
                  <c:pt idx="22">
                    <c:v>4 кв 2012 </c:v>
                  </c:pt>
                  <c:pt idx="23">
                    <c:v>1 кв 2013</c:v>
                  </c:pt>
                  <c:pt idx="24">
                    <c:v>2 кв 2013</c:v>
                  </c:pt>
                  <c:pt idx="25">
                    <c:v>3 кв 2013</c:v>
                  </c:pt>
                  <c:pt idx="26">
                    <c:v>4 кв 2013</c:v>
                  </c:pt>
                  <c:pt idx="27">
                    <c:v>1 кв 2014</c:v>
                  </c:pt>
                  <c:pt idx="28">
                    <c:v>2 кв 2014</c:v>
                  </c:pt>
                  <c:pt idx="30">
                    <c:v>1 кв 2011</c:v>
                  </c:pt>
                  <c:pt idx="31">
                    <c:v>2 кв 2011</c:v>
                  </c:pt>
                  <c:pt idx="32">
                    <c:v>3 кв 2011</c:v>
                  </c:pt>
                  <c:pt idx="33">
                    <c:v>4 кв 2011</c:v>
                  </c:pt>
                  <c:pt idx="34">
                    <c:v>1 кв 2012</c:v>
                  </c:pt>
                  <c:pt idx="35">
                    <c:v>2 кв 2012 </c:v>
                  </c:pt>
                  <c:pt idx="36">
                    <c:v>3 кв 2012 </c:v>
                  </c:pt>
                  <c:pt idx="37">
                    <c:v>4 кв 2012 </c:v>
                  </c:pt>
                  <c:pt idx="38">
                    <c:v>1 кв 2013</c:v>
                  </c:pt>
                  <c:pt idx="39">
                    <c:v>2 кв 2013</c:v>
                  </c:pt>
                  <c:pt idx="40">
                    <c:v>3 кв 2013</c:v>
                  </c:pt>
                  <c:pt idx="41">
                    <c:v>4 кв 2013</c:v>
                  </c:pt>
                  <c:pt idx="42">
                    <c:v>1 кв 2014</c:v>
                  </c:pt>
                  <c:pt idx="43">
                    <c:v>2 кв 2014</c:v>
                  </c:pt>
                  <c:pt idx="45">
                    <c:v>1 кв 2011</c:v>
                  </c:pt>
                  <c:pt idx="46">
                    <c:v>2 кв 2011</c:v>
                  </c:pt>
                  <c:pt idx="47">
                    <c:v>3 кв 2011</c:v>
                  </c:pt>
                  <c:pt idx="48">
                    <c:v>4 кв 2011</c:v>
                  </c:pt>
                  <c:pt idx="49">
                    <c:v>1 кв 2012</c:v>
                  </c:pt>
                  <c:pt idx="50">
                    <c:v>2 кв 2012 </c:v>
                  </c:pt>
                  <c:pt idx="51">
                    <c:v>3 кв 2012 </c:v>
                  </c:pt>
                  <c:pt idx="52">
                    <c:v>4 кв 2012 </c:v>
                  </c:pt>
                  <c:pt idx="53">
                    <c:v>1 кв 2013</c:v>
                  </c:pt>
                  <c:pt idx="54">
                    <c:v>2 кв 2013</c:v>
                  </c:pt>
                  <c:pt idx="55">
                    <c:v>3 кв 2013</c:v>
                  </c:pt>
                  <c:pt idx="56">
                    <c:v>4 кв 2013</c:v>
                  </c:pt>
                  <c:pt idx="57">
                    <c:v>1 кв 2014</c:v>
                  </c:pt>
                  <c:pt idx="58">
                    <c:v>2 кв 2014</c:v>
                  </c:pt>
                </c:lvl>
                <c:lvl>
                  <c:pt idx="0">
                    <c:v>Нефинансовые организации в целом</c:v>
                  </c:pt>
                  <c:pt idx="15">
                    <c:v>Крупный бизнес</c:v>
                  </c:pt>
                  <c:pt idx="30">
                    <c:v>Средний бизнес</c:v>
                  </c:pt>
                  <c:pt idx="45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(3)'!$B$27:$BH$27</c:f>
              <c:numCache>
                <c:formatCode>0.00%</c:formatCode>
                <c:ptCount val="59"/>
                <c:pt idx="0">
                  <c:v>8.8235294117647065E-2</c:v>
                </c:pt>
                <c:pt idx="1">
                  <c:v>0.26470588235294118</c:v>
                </c:pt>
                <c:pt idx="2">
                  <c:v>5.8823529411764712E-2</c:v>
                </c:pt>
                <c:pt idx="3">
                  <c:v>0.11764705882352941</c:v>
                </c:pt>
                <c:pt idx="4">
                  <c:v>5.8823529411764712E-2</c:v>
                </c:pt>
                <c:pt idx="5">
                  <c:v>5.8823529411764705E-2</c:v>
                </c:pt>
                <c:pt idx="6">
                  <c:v>-5.8823529411764712E-2</c:v>
                </c:pt>
                <c:pt idx="7">
                  <c:v>-2.9411764705882353E-2</c:v>
                </c:pt>
                <c:pt idx="8">
                  <c:v>-2.9411764705882353E-2</c:v>
                </c:pt>
                <c:pt idx="9">
                  <c:v>2.9411764705882353E-2</c:v>
                </c:pt>
                <c:pt idx="10">
                  <c:v>8.8235294117647065E-2</c:v>
                </c:pt>
                <c:pt idx="11">
                  <c:v>-5.8823529411764712E-2</c:v>
                </c:pt>
                <c:pt idx="12">
                  <c:v>-2.9411764705882346E-2</c:v>
                </c:pt>
                <c:pt idx="15">
                  <c:v>9.0909090909090912E-2</c:v>
                </c:pt>
                <c:pt idx="16">
                  <c:v>0.21212121212121213</c:v>
                </c:pt>
                <c:pt idx="17">
                  <c:v>6.0606060606060608E-2</c:v>
                </c:pt>
                <c:pt idx="18">
                  <c:v>0.12121212121212122</c:v>
                </c:pt>
                <c:pt idx="19">
                  <c:v>6.0606060606060608E-2</c:v>
                </c:pt>
                <c:pt idx="20">
                  <c:v>6.0606060606060608E-2</c:v>
                </c:pt>
                <c:pt idx="21">
                  <c:v>-2.9411764705882353E-2</c:v>
                </c:pt>
                <c:pt idx="22">
                  <c:v>-5.8823529411764705E-2</c:v>
                </c:pt>
                <c:pt idx="23">
                  <c:v>-5.8823529411764705E-2</c:v>
                </c:pt>
                <c:pt idx="24">
                  <c:v>0</c:v>
                </c:pt>
                <c:pt idx="25">
                  <c:v>5.8823529411764705E-2</c:v>
                </c:pt>
                <c:pt idx="26">
                  <c:v>0</c:v>
                </c:pt>
                <c:pt idx="27">
                  <c:v>0</c:v>
                </c:pt>
                <c:pt idx="30">
                  <c:v>0.22580645161290322</c:v>
                </c:pt>
                <c:pt idx="31">
                  <c:v>0.32258064516129031</c:v>
                </c:pt>
                <c:pt idx="32">
                  <c:v>9.6774193548387094E-2</c:v>
                </c:pt>
                <c:pt idx="33">
                  <c:v>0.16129032258064516</c:v>
                </c:pt>
                <c:pt idx="34">
                  <c:v>6.4516129032258063E-2</c:v>
                </c:pt>
                <c:pt idx="35">
                  <c:v>9.6774193548387094E-2</c:v>
                </c:pt>
                <c:pt idx="36">
                  <c:v>-3.2258064516129031E-2</c:v>
                </c:pt>
                <c:pt idx="37">
                  <c:v>0</c:v>
                </c:pt>
                <c:pt idx="38">
                  <c:v>-3.2258064516129031E-2</c:v>
                </c:pt>
                <c:pt idx="39">
                  <c:v>3.2258064516129031E-2</c:v>
                </c:pt>
                <c:pt idx="40">
                  <c:v>9.375E-2</c:v>
                </c:pt>
                <c:pt idx="41">
                  <c:v>-6.25E-2</c:v>
                </c:pt>
                <c:pt idx="42">
                  <c:v>-6.25E-2</c:v>
                </c:pt>
                <c:pt idx="45">
                  <c:v>0.16666666666666666</c:v>
                </c:pt>
                <c:pt idx="46">
                  <c:v>0.23333333333333334</c:v>
                </c:pt>
                <c:pt idx="47">
                  <c:v>3.3333333333333333E-2</c:v>
                </c:pt>
                <c:pt idx="48">
                  <c:v>6.6666666666666666E-2</c:v>
                </c:pt>
                <c:pt idx="49">
                  <c:v>0</c:v>
                </c:pt>
                <c:pt idx="50">
                  <c:v>6.6666666666666666E-2</c:v>
                </c:pt>
                <c:pt idx="51">
                  <c:v>-6.666666666666668E-2</c:v>
                </c:pt>
                <c:pt idx="52">
                  <c:v>3.3333333333333333E-2</c:v>
                </c:pt>
                <c:pt idx="53">
                  <c:v>0</c:v>
                </c:pt>
                <c:pt idx="54">
                  <c:v>-3.3333333333333333E-2</c:v>
                </c:pt>
                <c:pt idx="55">
                  <c:v>6.666666666666668E-2</c:v>
                </c:pt>
                <c:pt idx="56">
                  <c:v>-3.333333333333334E-2</c:v>
                </c:pt>
                <c:pt idx="57">
                  <c:v>-3.3333333333333326E-2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'Ожид-факт_корп (3)'!$A$28</c:f>
              <c:strCache>
                <c:ptCount val="1"/>
                <c:pt idx="0">
                  <c:v>Изменение кредитной политики_ожидание (левая ось)</c:v>
                </c:pt>
              </c:strCache>
            </c:strRef>
          </c:tx>
          <c:marker>
            <c:symbol val="none"/>
          </c:marker>
          <c:cat>
            <c:multiLvlStrRef>
              <c:f>'Ожид-факт_корп (3)'!$B$25:$BH$26</c:f>
              <c:multiLvlStrCache>
                <c:ptCount val="59"/>
                <c:lvl>
                  <c:pt idx="0">
                    <c:v>1 кв 2011</c:v>
                  </c:pt>
                  <c:pt idx="1">
                    <c:v>2 кв 2011</c:v>
                  </c:pt>
                  <c:pt idx="2">
                    <c:v>3 кв 2011</c:v>
                  </c:pt>
                  <c:pt idx="3">
                    <c:v>4 кв 2011</c:v>
                  </c:pt>
                  <c:pt idx="4">
                    <c:v>1 кв 2012</c:v>
                  </c:pt>
                  <c:pt idx="5">
                    <c:v>2 кв 2012 </c:v>
                  </c:pt>
                  <c:pt idx="6">
                    <c:v>3 кв 2012 </c:v>
                  </c:pt>
                  <c:pt idx="7">
                    <c:v>4 кв 2012 </c:v>
                  </c:pt>
                  <c:pt idx="8">
                    <c:v>1 кв 2013</c:v>
                  </c:pt>
                  <c:pt idx="9">
                    <c:v>2 кв 2013</c:v>
                  </c:pt>
                  <c:pt idx="10">
                    <c:v>3 кв 2013</c:v>
                  </c:pt>
                  <c:pt idx="11">
                    <c:v>4 кв 2013</c:v>
                  </c:pt>
                  <c:pt idx="12">
                    <c:v>1 кв 2014</c:v>
                  </c:pt>
                  <c:pt idx="13">
                    <c:v>2 кв 2014</c:v>
                  </c:pt>
                  <c:pt idx="15">
                    <c:v>1 кв 2011</c:v>
                  </c:pt>
                  <c:pt idx="16">
                    <c:v>2 кв 2011</c:v>
                  </c:pt>
                  <c:pt idx="17">
                    <c:v>3 кв 2011</c:v>
                  </c:pt>
                  <c:pt idx="18">
                    <c:v>4 кв 2011</c:v>
                  </c:pt>
                  <c:pt idx="19">
                    <c:v>1 кв 2012</c:v>
                  </c:pt>
                  <c:pt idx="20">
                    <c:v>2 кв 2012 </c:v>
                  </c:pt>
                  <c:pt idx="21">
                    <c:v>3 кв 2012 </c:v>
                  </c:pt>
                  <c:pt idx="22">
                    <c:v>4 кв 2012 </c:v>
                  </c:pt>
                  <c:pt idx="23">
                    <c:v>1 кв 2013</c:v>
                  </c:pt>
                  <c:pt idx="24">
                    <c:v>2 кв 2013</c:v>
                  </c:pt>
                  <c:pt idx="25">
                    <c:v>3 кв 2013</c:v>
                  </c:pt>
                  <c:pt idx="26">
                    <c:v>4 кв 2013</c:v>
                  </c:pt>
                  <c:pt idx="27">
                    <c:v>1 кв 2014</c:v>
                  </c:pt>
                  <c:pt idx="28">
                    <c:v>2 кв 2014</c:v>
                  </c:pt>
                  <c:pt idx="30">
                    <c:v>1 кв 2011</c:v>
                  </c:pt>
                  <c:pt idx="31">
                    <c:v>2 кв 2011</c:v>
                  </c:pt>
                  <c:pt idx="32">
                    <c:v>3 кв 2011</c:v>
                  </c:pt>
                  <c:pt idx="33">
                    <c:v>4 кв 2011</c:v>
                  </c:pt>
                  <c:pt idx="34">
                    <c:v>1 кв 2012</c:v>
                  </c:pt>
                  <c:pt idx="35">
                    <c:v>2 кв 2012 </c:v>
                  </c:pt>
                  <c:pt idx="36">
                    <c:v>3 кв 2012 </c:v>
                  </c:pt>
                  <c:pt idx="37">
                    <c:v>4 кв 2012 </c:v>
                  </c:pt>
                  <c:pt idx="38">
                    <c:v>1 кв 2013</c:v>
                  </c:pt>
                  <c:pt idx="39">
                    <c:v>2 кв 2013</c:v>
                  </c:pt>
                  <c:pt idx="40">
                    <c:v>3 кв 2013</c:v>
                  </c:pt>
                  <c:pt idx="41">
                    <c:v>4 кв 2013</c:v>
                  </c:pt>
                  <c:pt idx="42">
                    <c:v>1 кв 2014</c:v>
                  </c:pt>
                  <c:pt idx="43">
                    <c:v>2 кв 2014</c:v>
                  </c:pt>
                  <c:pt idx="45">
                    <c:v>1 кв 2011</c:v>
                  </c:pt>
                  <c:pt idx="46">
                    <c:v>2 кв 2011</c:v>
                  </c:pt>
                  <c:pt idx="47">
                    <c:v>3 кв 2011</c:v>
                  </c:pt>
                  <c:pt idx="48">
                    <c:v>4 кв 2011</c:v>
                  </c:pt>
                  <c:pt idx="49">
                    <c:v>1 кв 2012</c:v>
                  </c:pt>
                  <c:pt idx="50">
                    <c:v>2 кв 2012 </c:v>
                  </c:pt>
                  <c:pt idx="51">
                    <c:v>3 кв 2012 </c:v>
                  </c:pt>
                  <c:pt idx="52">
                    <c:v>4 кв 2012 </c:v>
                  </c:pt>
                  <c:pt idx="53">
                    <c:v>1 кв 2013</c:v>
                  </c:pt>
                  <c:pt idx="54">
                    <c:v>2 кв 2013</c:v>
                  </c:pt>
                  <c:pt idx="55">
                    <c:v>3 кв 2013</c:v>
                  </c:pt>
                  <c:pt idx="56">
                    <c:v>4 кв 2013</c:v>
                  </c:pt>
                  <c:pt idx="57">
                    <c:v>1 кв 2014</c:v>
                  </c:pt>
                  <c:pt idx="58">
                    <c:v>2 кв 2014</c:v>
                  </c:pt>
                </c:lvl>
                <c:lvl>
                  <c:pt idx="0">
                    <c:v>Нефинансовые организации в целом</c:v>
                  </c:pt>
                  <c:pt idx="15">
                    <c:v>Крупный бизнес</c:v>
                  </c:pt>
                  <c:pt idx="30">
                    <c:v>Средний бизнес</c:v>
                  </c:pt>
                  <c:pt idx="45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(3)'!$B$28:$BH$28</c:f>
              <c:numCache>
                <c:formatCode>0.00%</c:formatCode>
                <c:ptCount val="59"/>
                <c:pt idx="0">
                  <c:v>-3.0303030303030304E-2</c:v>
                </c:pt>
                <c:pt idx="1">
                  <c:v>5.8823529411764705E-2</c:v>
                </c:pt>
                <c:pt idx="2">
                  <c:v>5.8823529411764705E-2</c:v>
                </c:pt>
                <c:pt idx="3">
                  <c:v>9.0909090909090912E-2</c:v>
                </c:pt>
                <c:pt idx="4">
                  <c:v>3.0303030303030304E-2</c:v>
                </c:pt>
                <c:pt idx="5">
                  <c:v>-2.9411764705882353E-2</c:v>
                </c:pt>
                <c:pt idx="6">
                  <c:v>8.8235294117647051E-2</c:v>
                </c:pt>
                <c:pt idx="7">
                  <c:v>0</c:v>
                </c:pt>
                <c:pt idx="8">
                  <c:v>-2.9411764705882353E-2</c:v>
                </c:pt>
                <c:pt idx="9">
                  <c:v>-2.9411764705882353E-2</c:v>
                </c:pt>
                <c:pt idx="10">
                  <c:v>8.8235294117647065E-2</c:v>
                </c:pt>
                <c:pt idx="11">
                  <c:v>-0.11764705882352941</c:v>
                </c:pt>
                <c:pt idx="12">
                  <c:v>-2.9411764705882359E-2</c:v>
                </c:pt>
                <c:pt idx="13">
                  <c:v>-2.9411764705882353E-2</c:v>
                </c:pt>
                <c:pt idx="15">
                  <c:v>3.125E-2</c:v>
                </c:pt>
                <c:pt idx="16">
                  <c:v>3.0303030303030304E-2</c:v>
                </c:pt>
                <c:pt idx="17">
                  <c:v>0</c:v>
                </c:pt>
                <c:pt idx="18">
                  <c:v>6.0606060606060608E-2</c:v>
                </c:pt>
                <c:pt idx="19">
                  <c:v>5.8823529411764705E-2</c:v>
                </c:pt>
                <c:pt idx="20">
                  <c:v>-5.8823529411764705E-2</c:v>
                </c:pt>
                <c:pt idx="21">
                  <c:v>5.8823529411764712E-2</c:v>
                </c:pt>
                <c:pt idx="22">
                  <c:v>5.8823529411764705E-2</c:v>
                </c:pt>
                <c:pt idx="23">
                  <c:v>-2.9411764705882353E-2</c:v>
                </c:pt>
                <c:pt idx="24">
                  <c:v>-2.9411764705882353E-2</c:v>
                </c:pt>
                <c:pt idx="25">
                  <c:v>5.8823529411764705E-2</c:v>
                </c:pt>
                <c:pt idx="26">
                  <c:v>0</c:v>
                </c:pt>
                <c:pt idx="27">
                  <c:v>-5.8823529411764712E-2</c:v>
                </c:pt>
                <c:pt idx="28">
                  <c:v>-2.9411764705882353E-2</c:v>
                </c:pt>
                <c:pt idx="30">
                  <c:v>6.25E-2</c:v>
                </c:pt>
                <c:pt idx="31">
                  <c:v>0.19354838709677422</c:v>
                </c:pt>
                <c:pt idx="32">
                  <c:v>6.4516129032258063E-2</c:v>
                </c:pt>
                <c:pt idx="33">
                  <c:v>0.12903225806451613</c:v>
                </c:pt>
                <c:pt idx="34">
                  <c:v>0</c:v>
                </c:pt>
                <c:pt idx="35">
                  <c:v>0</c:v>
                </c:pt>
                <c:pt idx="36">
                  <c:v>9.6774193548387094E-2</c:v>
                </c:pt>
                <c:pt idx="37">
                  <c:v>0</c:v>
                </c:pt>
                <c:pt idx="38">
                  <c:v>-3.2258064516129031E-2</c:v>
                </c:pt>
                <c:pt idx="39">
                  <c:v>-3.2258064516129031E-2</c:v>
                </c:pt>
                <c:pt idx="40">
                  <c:v>9.6774193548387094E-2</c:v>
                </c:pt>
                <c:pt idx="41">
                  <c:v>-6.25E-2</c:v>
                </c:pt>
                <c:pt idx="42">
                  <c:v>-3.125E-2</c:v>
                </c:pt>
                <c:pt idx="43">
                  <c:v>-3.125E-2</c:v>
                </c:pt>
                <c:pt idx="45">
                  <c:v>0</c:v>
                </c:pt>
                <c:pt idx="46">
                  <c:v>0.1</c:v>
                </c:pt>
                <c:pt idx="47">
                  <c:v>6.6666666666666652E-2</c:v>
                </c:pt>
                <c:pt idx="48">
                  <c:v>3.333333333333334E-2</c:v>
                </c:pt>
                <c:pt idx="49">
                  <c:v>-6.6666666666666666E-2</c:v>
                </c:pt>
                <c:pt idx="50">
                  <c:v>0</c:v>
                </c:pt>
                <c:pt idx="51">
                  <c:v>0.1</c:v>
                </c:pt>
                <c:pt idx="52">
                  <c:v>3.3333333333333333E-2</c:v>
                </c:pt>
                <c:pt idx="53">
                  <c:v>3.3333333333333333E-2</c:v>
                </c:pt>
                <c:pt idx="54">
                  <c:v>-3.3333333333333333E-2</c:v>
                </c:pt>
                <c:pt idx="55">
                  <c:v>6.666666666666668E-2</c:v>
                </c:pt>
                <c:pt idx="56">
                  <c:v>-6.666666666666668E-2</c:v>
                </c:pt>
                <c:pt idx="57">
                  <c:v>-3.333333333333334E-2</c:v>
                </c:pt>
                <c:pt idx="58">
                  <c:v>-3.3333333333333333E-2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055488"/>
        <c:axId val="183057024"/>
      </c:lineChart>
      <c:catAx>
        <c:axId val="183055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700"/>
            </a:pPr>
            <a:endParaRPr lang="ru-RU"/>
          </a:p>
        </c:txPr>
        <c:crossAx val="183057024"/>
        <c:crosses val="autoZero"/>
        <c:auto val="1"/>
        <c:lblAlgn val="ctr"/>
        <c:lblOffset val="100"/>
        <c:noMultiLvlLbl val="0"/>
      </c:catAx>
      <c:valAx>
        <c:axId val="183057024"/>
        <c:scaling>
          <c:orientation val="minMax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1830554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9973997058417244E-2"/>
          <c:y val="0.90592705962905529"/>
          <c:w val="0.94760618544972897"/>
          <c:h val="7.5511609642145108E-2"/>
        </c:manualLayout>
      </c:layout>
      <c:overlay val="0"/>
      <c:txPr>
        <a:bodyPr/>
        <a:lstStyle/>
        <a:p>
          <a:pPr>
            <a:defRPr sz="7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388859725867602E-2"/>
          <c:y val="3.3950609033097837E-2"/>
          <c:w val="0.90862968795567223"/>
          <c:h val="0.58918408171951475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'Ожид-факт_корп (3)'!$A$7</c:f>
              <c:strCache>
                <c:ptCount val="1"/>
                <c:pt idx="0">
                  <c:v>Предложение (желание) банков (левая ось)</c:v>
                </c:pt>
              </c:strCache>
            </c:strRef>
          </c:tx>
          <c:invertIfNegative val="0"/>
          <c:cat>
            <c:multiLvlStrRef>
              <c:f>'Ожид-факт_корп (3)'!$B$3:$BH$4</c:f>
              <c:multiLvlStrCache>
                <c:ptCount val="59"/>
                <c:lvl>
                  <c:pt idx="0">
                    <c:v>1 кв 2011</c:v>
                  </c:pt>
                  <c:pt idx="1">
                    <c:v>2 кв 2011</c:v>
                  </c:pt>
                  <c:pt idx="2">
                    <c:v>3 кв 2011</c:v>
                  </c:pt>
                  <c:pt idx="3">
                    <c:v>4 кв 2011</c:v>
                  </c:pt>
                  <c:pt idx="4">
                    <c:v>1 кв 2012</c:v>
                  </c:pt>
                  <c:pt idx="5">
                    <c:v>2 кв 2012 </c:v>
                  </c:pt>
                  <c:pt idx="6">
                    <c:v>3 кв 2012 </c:v>
                  </c:pt>
                  <c:pt idx="7">
                    <c:v>4 кв 2012</c:v>
                  </c:pt>
                  <c:pt idx="8">
                    <c:v>1 кв 2013</c:v>
                  </c:pt>
                  <c:pt idx="9">
                    <c:v>2 кв 2013</c:v>
                  </c:pt>
                  <c:pt idx="10">
                    <c:v>3 кв 2013</c:v>
                  </c:pt>
                  <c:pt idx="11">
                    <c:v>4 кв 2013</c:v>
                  </c:pt>
                  <c:pt idx="12">
                    <c:v>1 кв 2014</c:v>
                  </c:pt>
                  <c:pt idx="13">
                    <c:v>2 кв 2014</c:v>
                  </c:pt>
                  <c:pt idx="15">
                    <c:v>1 кв 2011</c:v>
                  </c:pt>
                  <c:pt idx="16">
                    <c:v>2 кв 2011</c:v>
                  </c:pt>
                  <c:pt idx="17">
                    <c:v>3 кв 2011</c:v>
                  </c:pt>
                  <c:pt idx="18">
                    <c:v>4 кв 2011</c:v>
                  </c:pt>
                  <c:pt idx="19">
                    <c:v>1 кв 2012</c:v>
                  </c:pt>
                  <c:pt idx="20">
                    <c:v>2 кв 2012 </c:v>
                  </c:pt>
                  <c:pt idx="21">
                    <c:v>3 кв 2012 </c:v>
                  </c:pt>
                  <c:pt idx="22">
                    <c:v>4 кв 2012 </c:v>
                  </c:pt>
                  <c:pt idx="23">
                    <c:v>1 кв 2013</c:v>
                  </c:pt>
                  <c:pt idx="24">
                    <c:v>2 кв 2013</c:v>
                  </c:pt>
                  <c:pt idx="25">
                    <c:v>3 кв 2013</c:v>
                  </c:pt>
                  <c:pt idx="26">
                    <c:v>4 кв 2013</c:v>
                  </c:pt>
                  <c:pt idx="27">
                    <c:v>1 кв 2014</c:v>
                  </c:pt>
                  <c:pt idx="28">
                    <c:v>2 кв 2014</c:v>
                  </c:pt>
                  <c:pt idx="30">
                    <c:v>1 кв 2011</c:v>
                  </c:pt>
                  <c:pt idx="31">
                    <c:v>2 кв 2011</c:v>
                  </c:pt>
                  <c:pt idx="32">
                    <c:v>3 кв 2011</c:v>
                  </c:pt>
                  <c:pt idx="33">
                    <c:v>4 кв 2011</c:v>
                  </c:pt>
                  <c:pt idx="34">
                    <c:v>1 кв 2012</c:v>
                  </c:pt>
                  <c:pt idx="35">
                    <c:v>2 кв 2012 </c:v>
                  </c:pt>
                  <c:pt idx="36">
                    <c:v>3 кв 2012 </c:v>
                  </c:pt>
                  <c:pt idx="37">
                    <c:v>4 кв 2012 </c:v>
                  </c:pt>
                  <c:pt idx="38">
                    <c:v>1 кв 2013</c:v>
                  </c:pt>
                  <c:pt idx="39">
                    <c:v>2 кв 2013</c:v>
                  </c:pt>
                  <c:pt idx="40">
                    <c:v>3 кв 2013</c:v>
                  </c:pt>
                  <c:pt idx="41">
                    <c:v>4 кв 2013</c:v>
                  </c:pt>
                  <c:pt idx="42">
                    <c:v>1 кв 2014</c:v>
                  </c:pt>
                  <c:pt idx="43">
                    <c:v>2 кв 2014</c:v>
                  </c:pt>
                  <c:pt idx="45">
                    <c:v>1 кв 2011</c:v>
                  </c:pt>
                  <c:pt idx="46">
                    <c:v>2 кв 2011</c:v>
                  </c:pt>
                  <c:pt idx="47">
                    <c:v>3 кв 2011</c:v>
                  </c:pt>
                  <c:pt idx="48">
                    <c:v>4 кв 2011</c:v>
                  </c:pt>
                  <c:pt idx="49">
                    <c:v>1 кв 2012</c:v>
                  </c:pt>
                  <c:pt idx="50">
                    <c:v>2 кв 2012 </c:v>
                  </c:pt>
                  <c:pt idx="51">
                    <c:v>3 кв 2012 </c:v>
                  </c:pt>
                  <c:pt idx="52">
                    <c:v>4 кв 2012 </c:v>
                  </c:pt>
                  <c:pt idx="53">
                    <c:v>1 кв 2013</c:v>
                  </c:pt>
                  <c:pt idx="54">
                    <c:v>2 кв 2013</c:v>
                  </c:pt>
                  <c:pt idx="55">
                    <c:v>3 кв 2013</c:v>
                  </c:pt>
                  <c:pt idx="56">
                    <c:v>4 кв 2013</c:v>
                  </c:pt>
                  <c:pt idx="57">
                    <c:v>1 кв 2014</c:v>
                  </c:pt>
                  <c:pt idx="58">
                    <c:v>2 кв 2014</c:v>
                  </c:pt>
                </c:lvl>
                <c:lvl>
                  <c:pt idx="0">
                    <c:v>Нефинансовые организации в целом</c:v>
                  </c:pt>
                  <c:pt idx="15">
                    <c:v>Крупный бизнес</c:v>
                  </c:pt>
                  <c:pt idx="30">
                    <c:v>Средний бизнес</c:v>
                  </c:pt>
                  <c:pt idx="45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(3)'!$B$7:$BH$7</c:f>
              <c:numCache>
                <c:formatCode>0.00%</c:formatCode>
                <c:ptCount val="59"/>
                <c:pt idx="0">
                  <c:v>0.67647058823529405</c:v>
                </c:pt>
                <c:pt idx="1">
                  <c:v>0.67647058823529416</c:v>
                </c:pt>
                <c:pt idx="2">
                  <c:v>0.55882352941176472</c:v>
                </c:pt>
                <c:pt idx="3">
                  <c:v>0.61764705882352944</c:v>
                </c:pt>
                <c:pt idx="4">
                  <c:v>0.52941176470588236</c:v>
                </c:pt>
                <c:pt idx="5">
                  <c:v>0.52941176470588236</c:v>
                </c:pt>
                <c:pt idx="6">
                  <c:v>0.441176470588235</c:v>
                </c:pt>
                <c:pt idx="7">
                  <c:v>0.38235294117647056</c:v>
                </c:pt>
                <c:pt idx="8">
                  <c:v>0.44117647058823528</c:v>
                </c:pt>
                <c:pt idx="9">
                  <c:v>0.3235294117647059</c:v>
                </c:pt>
                <c:pt idx="10">
                  <c:v>0.41176470588235292</c:v>
                </c:pt>
                <c:pt idx="11">
                  <c:v>0.23529411764705882</c:v>
                </c:pt>
                <c:pt idx="12">
                  <c:v>0.41176470588235292</c:v>
                </c:pt>
                <c:pt idx="15">
                  <c:v>0.57575757575757569</c:v>
                </c:pt>
                <c:pt idx="16">
                  <c:v>0.57575757575757569</c:v>
                </c:pt>
                <c:pt idx="17">
                  <c:v>0.42424242424242425</c:v>
                </c:pt>
                <c:pt idx="18">
                  <c:v>0.51515151515151514</c:v>
                </c:pt>
                <c:pt idx="19">
                  <c:v>0.39393939393939398</c:v>
                </c:pt>
                <c:pt idx="20">
                  <c:v>0.5</c:v>
                </c:pt>
                <c:pt idx="21">
                  <c:v>0.30303030303030304</c:v>
                </c:pt>
                <c:pt idx="22">
                  <c:v>0.35294117647058826</c:v>
                </c:pt>
                <c:pt idx="23">
                  <c:v>0.38235294117647056</c:v>
                </c:pt>
                <c:pt idx="24">
                  <c:v>0.20588235294117646</c:v>
                </c:pt>
                <c:pt idx="25">
                  <c:v>0.41176470588235292</c:v>
                </c:pt>
                <c:pt idx="26">
                  <c:v>0.23529411764705882</c:v>
                </c:pt>
                <c:pt idx="27">
                  <c:v>0.3235294117647059</c:v>
                </c:pt>
                <c:pt idx="30">
                  <c:v>0.70967741935483875</c:v>
                </c:pt>
                <c:pt idx="31">
                  <c:v>0.77419354838709675</c:v>
                </c:pt>
                <c:pt idx="32">
                  <c:v>0.67741935483870974</c:v>
                </c:pt>
                <c:pt idx="33">
                  <c:v>0.64516129032258063</c:v>
                </c:pt>
                <c:pt idx="34">
                  <c:v>0.5161290322580645</c:v>
                </c:pt>
                <c:pt idx="35">
                  <c:v>0.4838709677419355</c:v>
                </c:pt>
                <c:pt idx="36">
                  <c:v>0.46875</c:v>
                </c:pt>
                <c:pt idx="37">
                  <c:v>0.32258064516129031</c:v>
                </c:pt>
                <c:pt idx="38">
                  <c:v>0.45161290322580644</c:v>
                </c:pt>
                <c:pt idx="39">
                  <c:v>0.32258064516129037</c:v>
                </c:pt>
                <c:pt idx="40">
                  <c:v>0.35483870967741937</c:v>
                </c:pt>
                <c:pt idx="41">
                  <c:v>0.25806451612903225</c:v>
                </c:pt>
                <c:pt idx="42">
                  <c:v>0.38709677419354838</c:v>
                </c:pt>
                <c:pt idx="45">
                  <c:v>0.65517241379310354</c:v>
                </c:pt>
                <c:pt idx="46">
                  <c:v>0.68965517241379315</c:v>
                </c:pt>
                <c:pt idx="47">
                  <c:v>0.62068965517241381</c:v>
                </c:pt>
                <c:pt idx="48">
                  <c:v>0.62068965517241381</c:v>
                </c:pt>
                <c:pt idx="49">
                  <c:v>0.51724137931034486</c:v>
                </c:pt>
                <c:pt idx="50">
                  <c:v>0.5</c:v>
                </c:pt>
                <c:pt idx="51">
                  <c:v>0.39999999999999997</c:v>
                </c:pt>
                <c:pt idx="52">
                  <c:v>0.30000000000000004</c:v>
                </c:pt>
                <c:pt idx="53">
                  <c:v>0.3666666666666667</c:v>
                </c:pt>
                <c:pt idx="54">
                  <c:v>0.3</c:v>
                </c:pt>
                <c:pt idx="55">
                  <c:v>0.3</c:v>
                </c:pt>
                <c:pt idx="56">
                  <c:v>0.3</c:v>
                </c:pt>
                <c:pt idx="57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87382016"/>
        <c:axId val="187392000"/>
      </c:barChart>
      <c:lineChart>
        <c:grouping val="standard"/>
        <c:varyColors val="0"/>
        <c:ser>
          <c:idx val="0"/>
          <c:order val="0"/>
          <c:tx>
            <c:strRef>
              <c:f>'Ожид-факт_корп (3)'!$A$5</c:f>
              <c:strCache>
                <c:ptCount val="1"/>
                <c:pt idx="0">
                  <c:v>Спрос_факт (левая ось)</c:v>
                </c:pt>
              </c:strCache>
            </c:strRef>
          </c:tx>
          <c:marker>
            <c:symbol val="none"/>
          </c:marker>
          <c:cat>
            <c:multiLvlStrRef>
              <c:f>'Ожид-факт_корп (3)'!$B$3:$BH$4</c:f>
              <c:multiLvlStrCache>
                <c:ptCount val="59"/>
                <c:lvl>
                  <c:pt idx="0">
                    <c:v>1 кв 2011</c:v>
                  </c:pt>
                  <c:pt idx="1">
                    <c:v>2 кв 2011</c:v>
                  </c:pt>
                  <c:pt idx="2">
                    <c:v>3 кв 2011</c:v>
                  </c:pt>
                  <c:pt idx="3">
                    <c:v>4 кв 2011</c:v>
                  </c:pt>
                  <c:pt idx="4">
                    <c:v>1 кв 2012</c:v>
                  </c:pt>
                  <c:pt idx="5">
                    <c:v>2 кв 2012 </c:v>
                  </c:pt>
                  <c:pt idx="6">
                    <c:v>3 кв 2012 </c:v>
                  </c:pt>
                  <c:pt idx="7">
                    <c:v>4 кв 2012</c:v>
                  </c:pt>
                  <c:pt idx="8">
                    <c:v>1 кв 2013</c:v>
                  </c:pt>
                  <c:pt idx="9">
                    <c:v>2 кв 2013</c:v>
                  </c:pt>
                  <c:pt idx="10">
                    <c:v>3 кв 2013</c:v>
                  </c:pt>
                  <c:pt idx="11">
                    <c:v>4 кв 2013</c:v>
                  </c:pt>
                  <c:pt idx="12">
                    <c:v>1 кв 2014</c:v>
                  </c:pt>
                  <c:pt idx="13">
                    <c:v>2 кв 2014</c:v>
                  </c:pt>
                  <c:pt idx="15">
                    <c:v>1 кв 2011</c:v>
                  </c:pt>
                  <c:pt idx="16">
                    <c:v>2 кв 2011</c:v>
                  </c:pt>
                  <c:pt idx="17">
                    <c:v>3 кв 2011</c:v>
                  </c:pt>
                  <c:pt idx="18">
                    <c:v>4 кв 2011</c:v>
                  </c:pt>
                  <c:pt idx="19">
                    <c:v>1 кв 2012</c:v>
                  </c:pt>
                  <c:pt idx="20">
                    <c:v>2 кв 2012 </c:v>
                  </c:pt>
                  <c:pt idx="21">
                    <c:v>3 кв 2012 </c:v>
                  </c:pt>
                  <c:pt idx="22">
                    <c:v>4 кв 2012 </c:v>
                  </c:pt>
                  <c:pt idx="23">
                    <c:v>1 кв 2013</c:v>
                  </c:pt>
                  <c:pt idx="24">
                    <c:v>2 кв 2013</c:v>
                  </c:pt>
                  <c:pt idx="25">
                    <c:v>3 кв 2013</c:v>
                  </c:pt>
                  <c:pt idx="26">
                    <c:v>4 кв 2013</c:v>
                  </c:pt>
                  <c:pt idx="27">
                    <c:v>1 кв 2014</c:v>
                  </c:pt>
                  <c:pt idx="28">
                    <c:v>2 кв 2014</c:v>
                  </c:pt>
                  <c:pt idx="30">
                    <c:v>1 кв 2011</c:v>
                  </c:pt>
                  <c:pt idx="31">
                    <c:v>2 кв 2011</c:v>
                  </c:pt>
                  <c:pt idx="32">
                    <c:v>3 кв 2011</c:v>
                  </c:pt>
                  <c:pt idx="33">
                    <c:v>4 кв 2011</c:v>
                  </c:pt>
                  <c:pt idx="34">
                    <c:v>1 кв 2012</c:v>
                  </c:pt>
                  <c:pt idx="35">
                    <c:v>2 кв 2012 </c:v>
                  </c:pt>
                  <c:pt idx="36">
                    <c:v>3 кв 2012 </c:v>
                  </c:pt>
                  <c:pt idx="37">
                    <c:v>4 кв 2012 </c:v>
                  </c:pt>
                  <c:pt idx="38">
                    <c:v>1 кв 2013</c:v>
                  </c:pt>
                  <c:pt idx="39">
                    <c:v>2 кв 2013</c:v>
                  </c:pt>
                  <c:pt idx="40">
                    <c:v>3 кв 2013</c:v>
                  </c:pt>
                  <c:pt idx="41">
                    <c:v>4 кв 2013</c:v>
                  </c:pt>
                  <c:pt idx="42">
                    <c:v>1 кв 2014</c:v>
                  </c:pt>
                  <c:pt idx="43">
                    <c:v>2 кв 2014</c:v>
                  </c:pt>
                  <c:pt idx="45">
                    <c:v>1 кв 2011</c:v>
                  </c:pt>
                  <c:pt idx="46">
                    <c:v>2 кв 2011</c:v>
                  </c:pt>
                  <c:pt idx="47">
                    <c:v>3 кв 2011</c:v>
                  </c:pt>
                  <c:pt idx="48">
                    <c:v>4 кв 2011</c:v>
                  </c:pt>
                  <c:pt idx="49">
                    <c:v>1 кв 2012</c:v>
                  </c:pt>
                  <c:pt idx="50">
                    <c:v>2 кв 2012 </c:v>
                  </c:pt>
                  <c:pt idx="51">
                    <c:v>3 кв 2012 </c:v>
                  </c:pt>
                  <c:pt idx="52">
                    <c:v>4 кв 2012 </c:v>
                  </c:pt>
                  <c:pt idx="53">
                    <c:v>1 кв 2013</c:v>
                  </c:pt>
                  <c:pt idx="54">
                    <c:v>2 кв 2013</c:v>
                  </c:pt>
                  <c:pt idx="55">
                    <c:v>3 кв 2013</c:v>
                  </c:pt>
                  <c:pt idx="56">
                    <c:v>4 кв 2013</c:v>
                  </c:pt>
                  <c:pt idx="57">
                    <c:v>1 кв 2014</c:v>
                  </c:pt>
                  <c:pt idx="58">
                    <c:v>2 кв 2014</c:v>
                  </c:pt>
                </c:lvl>
                <c:lvl>
                  <c:pt idx="0">
                    <c:v>Нефинансовые организации в целом</c:v>
                  </c:pt>
                  <c:pt idx="15">
                    <c:v>Крупный бизнес</c:v>
                  </c:pt>
                  <c:pt idx="30">
                    <c:v>Средний бизнес</c:v>
                  </c:pt>
                  <c:pt idx="45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(3)'!$B$5:$BH$5</c:f>
              <c:numCache>
                <c:formatCode>0.00%</c:formatCode>
                <c:ptCount val="59"/>
                <c:pt idx="0">
                  <c:v>0.5</c:v>
                </c:pt>
                <c:pt idx="1">
                  <c:v>0.76470588235294124</c:v>
                </c:pt>
                <c:pt idx="2">
                  <c:v>0.73529411764705888</c:v>
                </c:pt>
                <c:pt idx="3">
                  <c:v>0.55882352941176472</c:v>
                </c:pt>
                <c:pt idx="4">
                  <c:v>0.52941176470588236</c:v>
                </c:pt>
                <c:pt idx="5">
                  <c:v>0.52941176470588236</c:v>
                </c:pt>
                <c:pt idx="6">
                  <c:v>0.52941176470588236</c:v>
                </c:pt>
                <c:pt idx="7">
                  <c:v>0.3529411764705882</c:v>
                </c:pt>
                <c:pt idx="8">
                  <c:v>0.5</c:v>
                </c:pt>
                <c:pt idx="9">
                  <c:v>0.58823529411764708</c:v>
                </c:pt>
                <c:pt idx="10">
                  <c:v>0.55882352941176472</c:v>
                </c:pt>
                <c:pt idx="11">
                  <c:v>0.41176470588235292</c:v>
                </c:pt>
                <c:pt idx="12">
                  <c:v>0.23529411764705882</c:v>
                </c:pt>
                <c:pt idx="15">
                  <c:v>0.45454545454545453</c:v>
                </c:pt>
                <c:pt idx="16">
                  <c:v>0.60606060606060608</c:v>
                </c:pt>
                <c:pt idx="17">
                  <c:v>0.5757575757575758</c:v>
                </c:pt>
                <c:pt idx="18">
                  <c:v>0.51515151515151514</c:v>
                </c:pt>
                <c:pt idx="19">
                  <c:v>0.48484848484848486</c:v>
                </c:pt>
                <c:pt idx="20">
                  <c:v>0.48484848484848497</c:v>
                </c:pt>
                <c:pt idx="21">
                  <c:v>0.39393939393939392</c:v>
                </c:pt>
                <c:pt idx="22">
                  <c:v>0.24242424242424243</c:v>
                </c:pt>
                <c:pt idx="23">
                  <c:v>0.5</c:v>
                </c:pt>
                <c:pt idx="24">
                  <c:v>0.44117647058823528</c:v>
                </c:pt>
                <c:pt idx="25">
                  <c:v>0.55882352941176472</c:v>
                </c:pt>
                <c:pt idx="26">
                  <c:v>0.41176470588235292</c:v>
                </c:pt>
                <c:pt idx="27">
                  <c:v>0.23529411764705882</c:v>
                </c:pt>
                <c:pt idx="30">
                  <c:v>0.41935483870967749</c:v>
                </c:pt>
                <c:pt idx="31">
                  <c:v>0.80645161290322587</c:v>
                </c:pt>
                <c:pt idx="32">
                  <c:v>0.64516129032258063</c:v>
                </c:pt>
                <c:pt idx="33">
                  <c:v>0.5161290322580645</c:v>
                </c:pt>
                <c:pt idx="34">
                  <c:v>0.4838709677419355</c:v>
                </c:pt>
                <c:pt idx="35">
                  <c:v>0.54838709677419351</c:v>
                </c:pt>
                <c:pt idx="36">
                  <c:v>0.5161290322580645</c:v>
                </c:pt>
                <c:pt idx="37">
                  <c:v>0.25806451612903225</c:v>
                </c:pt>
                <c:pt idx="38">
                  <c:v>0.5161290322580645</c:v>
                </c:pt>
                <c:pt idx="39">
                  <c:v>0.54838709677419351</c:v>
                </c:pt>
                <c:pt idx="40">
                  <c:v>0.4838709677419355</c:v>
                </c:pt>
                <c:pt idx="41">
                  <c:v>0.32258064516129037</c:v>
                </c:pt>
                <c:pt idx="42">
                  <c:v>0.22580645161290322</c:v>
                </c:pt>
                <c:pt idx="45">
                  <c:v>0.34482758620689652</c:v>
                </c:pt>
                <c:pt idx="46">
                  <c:v>0.62068965517241381</c:v>
                </c:pt>
                <c:pt idx="47">
                  <c:v>0.5</c:v>
                </c:pt>
                <c:pt idx="48">
                  <c:v>0.43333333333333335</c:v>
                </c:pt>
                <c:pt idx="49">
                  <c:v>0.4</c:v>
                </c:pt>
                <c:pt idx="50">
                  <c:v>0.33333333333333337</c:v>
                </c:pt>
                <c:pt idx="51">
                  <c:v>0.3</c:v>
                </c:pt>
                <c:pt idx="52">
                  <c:v>0.33333333333333337</c:v>
                </c:pt>
                <c:pt idx="53">
                  <c:v>0.3666666666666667</c:v>
                </c:pt>
                <c:pt idx="54">
                  <c:v>0.53333333333333333</c:v>
                </c:pt>
                <c:pt idx="55">
                  <c:v>0.46666666666666667</c:v>
                </c:pt>
                <c:pt idx="56">
                  <c:v>0.19999999999999998</c:v>
                </c:pt>
                <c:pt idx="57">
                  <c:v>0.12903225806451613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'Ожид-факт_корп (3)'!$A$6</c:f>
              <c:strCache>
                <c:ptCount val="1"/>
                <c:pt idx="0">
                  <c:v>Спрос_ожидание (левая ось)</c:v>
                </c:pt>
              </c:strCache>
            </c:strRef>
          </c:tx>
          <c:marker>
            <c:symbol val="none"/>
          </c:marker>
          <c:cat>
            <c:multiLvlStrRef>
              <c:f>'Ожид-факт_корп (3)'!$B$3:$BH$4</c:f>
              <c:multiLvlStrCache>
                <c:ptCount val="59"/>
                <c:lvl>
                  <c:pt idx="0">
                    <c:v>1 кв 2011</c:v>
                  </c:pt>
                  <c:pt idx="1">
                    <c:v>2 кв 2011</c:v>
                  </c:pt>
                  <c:pt idx="2">
                    <c:v>3 кв 2011</c:v>
                  </c:pt>
                  <c:pt idx="3">
                    <c:v>4 кв 2011</c:v>
                  </c:pt>
                  <c:pt idx="4">
                    <c:v>1 кв 2012</c:v>
                  </c:pt>
                  <c:pt idx="5">
                    <c:v>2 кв 2012 </c:v>
                  </c:pt>
                  <c:pt idx="6">
                    <c:v>3 кв 2012 </c:v>
                  </c:pt>
                  <c:pt idx="7">
                    <c:v>4 кв 2012</c:v>
                  </c:pt>
                  <c:pt idx="8">
                    <c:v>1 кв 2013</c:v>
                  </c:pt>
                  <c:pt idx="9">
                    <c:v>2 кв 2013</c:v>
                  </c:pt>
                  <c:pt idx="10">
                    <c:v>3 кв 2013</c:v>
                  </c:pt>
                  <c:pt idx="11">
                    <c:v>4 кв 2013</c:v>
                  </c:pt>
                  <c:pt idx="12">
                    <c:v>1 кв 2014</c:v>
                  </c:pt>
                  <c:pt idx="13">
                    <c:v>2 кв 2014</c:v>
                  </c:pt>
                  <c:pt idx="15">
                    <c:v>1 кв 2011</c:v>
                  </c:pt>
                  <c:pt idx="16">
                    <c:v>2 кв 2011</c:v>
                  </c:pt>
                  <c:pt idx="17">
                    <c:v>3 кв 2011</c:v>
                  </c:pt>
                  <c:pt idx="18">
                    <c:v>4 кв 2011</c:v>
                  </c:pt>
                  <c:pt idx="19">
                    <c:v>1 кв 2012</c:v>
                  </c:pt>
                  <c:pt idx="20">
                    <c:v>2 кв 2012 </c:v>
                  </c:pt>
                  <c:pt idx="21">
                    <c:v>3 кв 2012 </c:v>
                  </c:pt>
                  <c:pt idx="22">
                    <c:v>4 кв 2012 </c:v>
                  </c:pt>
                  <c:pt idx="23">
                    <c:v>1 кв 2013</c:v>
                  </c:pt>
                  <c:pt idx="24">
                    <c:v>2 кв 2013</c:v>
                  </c:pt>
                  <c:pt idx="25">
                    <c:v>3 кв 2013</c:v>
                  </c:pt>
                  <c:pt idx="26">
                    <c:v>4 кв 2013</c:v>
                  </c:pt>
                  <c:pt idx="27">
                    <c:v>1 кв 2014</c:v>
                  </c:pt>
                  <c:pt idx="28">
                    <c:v>2 кв 2014</c:v>
                  </c:pt>
                  <c:pt idx="30">
                    <c:v>1 кв 2011</c:v>
                  </c:pt>
                  <c:pt idx="31">
                    <c:v>2 кв 2011</c:v>
                  </c:pt>
                  <c:pt idx="32">
                    <c:v>3 кв 2011</c:v>
                  </c:pt>
                  <c:pt idx="33">
                    <c:v>4 кв 2011</c:v>
                  </c:pt>
                  <c:pt idx="34">
                    <c:v>1 кв 2012</c:v>
                  </c:pt>
                  <c:pt idx="35">
                    <c:v>2 кв 2012 </c:v>
                  </c:pt>
                  <c:pt idx="36">
                    <c:v>3 кв 2012 </c:v>
                  </c:pt>
                  <c:pt idx="37">
                    <c:v>4 кв 2012 </c:v>
                  </c:pt>
                  <c:pt idx="38">
                    <c:v>1 кв 2013</c:v>
                  </c:pt>
                  <c:pt idx="39">
                    <c:v>2 кв 2013</c:v>
                  </c:pt>
                  <c:pt idx="40">
                    <c:v>3 кв 2013</c:v>
                  </c:pt>
                  <c:pt idx="41">
                    <c:v>4 кв 2013</c:v>
                  </c:pt>
                  <c:pt idx="42">
                    <c:v>1 кв 2014</c:v>
                  </c:pt>
                  <c:pt idx="43">
                    <c:v>2 кв 2014</c:v>
                  </c:pt>
                  <c:pt idx="45">
                    <c:v>1 кв 2011</c:v>
                  </c:pt>
                  <c:pt idx="46">
                    <c:v>2 кв 2011</c:v>
                  </c:pt>
                  <c:pt idx="47">
                    <c:v>3 кв 2011</c:v>
                  </c:pt>
                  <c:pt idx="48">
                    <c:v>4 кв 2011</c:v>
                  </c:pt>
                  <c:pt idx="49">
                    <c:v>1 кв 2012</c:v>
                  </c:pt>
                  <c:pt idx="50">
                    <c:v>2 кв 2012 </c:v>
                  </c:pt>
                  <c:pt idx="51">
                    <c:v>3 кв 2012 </c:v>
                  </c:pt>
                  <c:pt idx="52">
                    <c:v>4 кв 2012 </c:v>
                  </c:pt>
                  <c:pt idx="53">
                    <c:v>1 кв 2013</c:v>
                  </c:pt>
                  <c:pt idx="54">
                    <c:v>2 кв 2013</c:v>
                  </c:pt>
                  <c:pt idx="55">
                    <c:v>3 кв 2013</c:v>
                  </c:pt>
                  <c:pt idx="56">
                    <c:v>4 кв 2013</c:v>
                  </c:pt>
                  <c:pt idx="57">
                    <c:v>1 кв 2014</c:v>
                  </c:pt>
                  <c:pt idx="58">
                    <c:v>2 кв 2014</c:v>
                  </c:pt>
                </c:lvl>
                <c:lvl>
                  <c:pt idx="0">
                    <c:v>Нефинансовые организации в целом</c:v>
                  </c:pt>
                  <c:pt idx="15">
                    <c:v>Крупный бизнес</c:v>
                  </c:pt>
                  <c:pt idx="30">
                    <c:v>Средний бизнес</c:v>
                  </c:pt>
                  <c:pt idx="45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(3)'!$B$6:$BH$6</c:f>
              <c:numCache>
                <c:formatCode>0.00%</c:formatCode>
                <c:ptCount val="59"/>
                <c:pt idx="0">
                  <c:v>0.54545454545454541</c:v>
                </c:pt>
                <c:pt idx="1">
                  <c:v>0.67647058823529416</c:v>
                </c:pt>
                <c:pt idx="2">
                  <c:v>0.79411764705882359</c:v>
                </c:pt>
                <c:pt idx="3">
                  <c:v>0.61764705882352944</c:v>
                </c:pt>
                <c:pt idx="4">
                  <c:v>0.58823529411764708</c:v>
                </c:pt>
                <c:pt idx="5">
                  <c:v>0.58823529411764708</c:v>
                </c:pt>
                <c:pt idx="6">
                  <c:v>0.55882352941176472</c:v>
                </c:pt>
                <c:pt idx="7">
                  <c:v>0.47058823529411764</c:v>
                </c:pt>
                <c:pt idx="8">
                  <c:v>0.3529411764705882</c:v>
                </c:pt>
                <c:pt idx="9">
                  <c:v>0.5</c:v>
                </c:pt>
                <c:pt idx="10">
                  <c:v>0.55882352941176472</c:v>
                </c:pt>
                <c:pt idx="11">
                  <c:v>0.44117647058823528</c:v>
                </c:pt>
                <c:pt idx="12">
                  <c:v>0.23529411764705882</c:v>
                </c:pt>
                <c:pt idx="13">
                  <c:v>0.3235294117647059</c:v>
                </c:pt>
                <c:pt idx="15">
                  <c:v>0.5</c:v>
                </c:pt>
                <c:pt idx="16">
                  <c:v>0.48484848484848486</c:v>
                </c:pt>
                <c:pt idx="17">
                  <c:v>0.63636363636363646</c:v>
                </c:pt>
                <c:pt idx="18">
                  <c:v>0.45454545454545459</c:v>
                </c:pt>
                <c:pt idx="19">
                  <c:v>0.48484848484848486</c:v>
                </c:pt>
                <c:pt idx="20">
                  <c:v>0.51515151515151514</c:v>
                </c:pt>
                <c:pt idx="21">
                  <c:v>0.38235294117647056</c:v>
                </c:pt>
                <c:pt idx="22">
                  <c:v>0.35294117647058826</c:v>
                </c:pt>
                <c:pt idx="23">
                  <c:v>0.3235294117647059</c:v>
                </c:pt>
                <c:pt idx="24">
                  <c:v>0.38235294117647056</c:v>
                </c:pt>
                <c:pt idx="25">
                  <c:v>0.41176470588235292</c:v>
                </c:pt>
                <c:pt idx="26">
                  <c:v>0.41176470588235292</c:v>
                </c:pt>
                <c:pt idx="27">
                  <c:v>0.26470588235294118</c:v>
                </c:pt>
                <c:pt idx="28">
                  <c:v>0.38235294117647056</c:v>
                </c:pt>
                <c:pt idx="30">
                  <c:v>0.53125</c:v>
                </c:pt>
                <c:pt idx="31">
                  <c:v>0.58064516129032262</c:v>
                </c:pt>
                <c:pt idx="32">
                  <c:v>0.77419354838709686</c:v>
                </c:pt>
                <c:pt idx="33">
                  <c:v>0.58064516129032251</c:v>
                </c:pt>
                <c:pt idx="34">
                  <c:v>0.61290322580645162</c:v>
                </c:pt>
                <c:pt idx="35">
                  <c:v>0.61290322580645162</c:v>
                </c:pt>
                <c:pt idx="36">
                  <c:v>0.5161290322580645</c:v>
                </c:pt>
                <c:pt idx="37">
                  <c:v>0.4838709677419355</c:v>
                </c:pt>
                <c:pt idx="38">
                  <c:v>0.41935483870967744</c:v>
                </c:pt>
                <c:pt idx="39">
                  <c:v>0.5161290322580645</c:v>
                </c:pt>
                <c:pt idx="40">
                  <c:v>0.5161290322580645</c:v>
                </c:pt>
                <c:pt idx="41">
                  <c:v>0.375</c:v>
                </c:pt>
                <c:pt idx="42">
                  <c:v>0.21875</c:v>
                </c:pt>
                <c:pt idx="43">
                  <c:v>0.375</c:v>
                </c:pt>
                <c:pt idx="45">
                  <c:v>0.58064516129032251</c:v>
                </c:pt>
                <c:pt idx="46">
                  <c:v>0.6333333333333333</c:v>
                </c:pt>
                <c:pt idx="47">
                  <c:v>0.76666666666666661</c:v>
                </c:pt>
                <c:pt idx="48">
                  <c:v>0.6333333333333333</c:v>
                </c:pt>
                <c:pt idx="49">
                  <c:v>0.53333333333333333</c:v>
                </c:pt>
                <c:pt idx="50">
                  <c:v>0.55172413793103448</c:v>
                </c:pt>
                <c:pt idx="51">
                  <c:v>0.55172413793103448</c:v>
                </c:pt>
                <c:pt idx="52">
                  <c:v>0.5</c:v>
                </c:pt>
                <c:pt idx="53">
                  <c:v>0.3666666666666667</c:v>
                </c:pt>
                <c:pt idx="54">
                  <c:v>0.5</c:v>
                </c:pt>
                <c:pt idx="55">
                  <c:v>0.53333333333333333</c:v>
                </c:pt>
                <c:pt idx="56">
                  <c:v>0.36666666666666664</c:v>
                </c:pt>
                <c:pt idx="57">
                  <c:v>0.16129032258064516</c:v>
                </c:pt>
                <c:pt idx="58">
                  <c:v>0.29032258064516125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382016"/>
        <c:axId val="187392000"/>
      </c:lineChart>
      <c:lineChart>
        <c:grouping val="standard"/>
        <c:varyColors val="0"/>
        <c:ser>
          <c:idx val="3"/>
          <c:order val="3"/>
          <c:tx>
            <c:strRef>
              <c:f>'Ожид-факт_корп (3)'!$A$8</c:f>
              <c:strCache>
                <c:ptCount val="1"/>
                <c:pt idx="0">
                  <c:v>Доступность кредитных ресурсов (правая ось)*</c:v>
                </c:pt>
              </c:strCache>
            </c:strRef>
          </c:tx>
          <c:marker>
            <c:symbol val="none"/>
          </c:marker>
          <c:cat>
            <c:multiLvlStrRef>
              <c:f>'Ожид-факт_корп (3)'!$B$3:$BH$4</c:f>
              <c:multiLvlStrCache>
                <c:ptCount val="59"/>
                <c:lvl>
                  <c:pt idx="0">
                    <c:v>1 кв 2011</c:v>
                  </c:pt>
                  <c:pt idx="1">
                    <c:v>2 кв 2011</c:v>
                  </c:pt>
                  <c:pt idx="2">
                    <c:v>3 кв 2011</c:v>
                  </c:pt>
                  <c:pt idx="3">
                    <c:v>4 кв 2011</c:v>
                  </c:pt>
                  <c:pt idx="4">
                    <c:v>1 кв 2012</c:v>
                  </c:pt>
                  <c:pt idx="5">
                    <c:v>2 кв 2012 </c:v>
                  </c:pt>
                  <c:pt idx="6">
                    <c:v>3 кв 2012 </c:v>
                  </c:pt>
                  <c:pt idx="7">
                    <c:v>4 кв 2012</c:v>
                  </c:pt>
                  <c:pt idx="8">
                    <c:v>1 кв 2013</c:v>
                  </c:pt>
                  <c:pt idx="9">
                    <c:v>2 кв 2013</c:v>
                  </c:pt>
                  <c:pt idx="10">
                    <c:v>3 кв 2013</c:v>
                  </c:pt>
                  <c:pt idx="11">
                    <c:v>4 кв 2013</c:v>
                  </c:pt>
                  <c:pt idx="12">
                    <c:v>1 кв 2014</c:v>
                  </c:pt>
                  <c:pt idx="13">
                    <c:v>2 кв 2014</c:v>
                  </c:pt>
                  <c:pt idx="15">
                    <c:v>1 кв 2011</c:v>
                  </c:pt>
                  <c:pt idx="16">
                    <c:v>2 кв 2011</c:v>
                  </c:pt>
                  <c:pt idx="17">
                    <c:v>3 кв 2011</c:v>
                  </c:pt>
                  <c:pt idx="18">
                    <c:v>4 кв 2011</c:v>
                  </c:pt>
                  <c:pt idx="19">
                    <c:v>1 кв 2012</c:v>
                  </c:pt>
                  <c:pt idx="20">
                    <c:v>2 кв 2012 </c:v>
                  </c:pt>
                  <c:pt idx="21">
                    <c:v>3 кв 2012 </c:v>
                  </c:pt>
                  <c:pt idx="22">
                    <c:v>4 кв 2012 </c:v>
                  </c:pt>
                  <c:pt idx="23">
                    <c:v>1 кв 2013</c:v>
                  </c:pt>
                  <c:pt idx="24">
                    <c:v>2 кв 2013</c:v>
                  </c:pt>
                  <c:pt idx="25">
                    <c:v>3 кв 2013</c:v>
                  </c:pt>
                  <c:pt idx="26">
                    <c:v>4 кв 2013</c:v>
                  </c:pt>
                  <c:pt idx="27">
                    <c:v>1 кв 2014</c:v>
                  </c:pt>
                  <c:pt idx="28">
                    <c:v>2 кв 2014</c:v>
                  </c:pt>
                  <c:pt idx="30">
                    <c:v>1 кв 2011</c:v>
                  </c:pt>
                  <c:pt idx="31">
                    <c:v>2 кв 2011</c:v>
                  </c:pt>
                  <c:pt idx="32">
                    <c:v>3 кв 2011</c:v>
                  </c:pt>
                  <c:pt idx="33">
                    <c:v>4 кв 2011</c:v>
                  </c:pt>
                  <c:pt idx="34">
                    <c:v>1 кв 2012</c:v>
                  </c:pt>
                  <c:pt idx="35">
                    <c:v>2 кв 2012 </c:v>
                  </c:pt>
                  <c:pt idx="36">
                    <c:v>3 кв 2012 </c:v>
                  </c:pt>
                  <c:pt idx="37">
                    <c:v>4 кв 2012 </c:v>
                  </c:pt>
                  <c:pt idx="38">
                    <c:v>1 кв 2013</c:v>
                  </c:pt>
                  <c:pt idx="39">
                    <c:v>2 кв 2013</c:v>
                  </c:pt>
                  <c:pt idx="40">
                    <c:v>3 кв 2013</c:v>
                  </c:pt>
                  <c:pt idx="41">
                    <c:v>4 кв 2013</c:v>
                  </c:pt>
                  <c:pt idx="42">
                    <c:v>1 кв 2014</c:v>
                  </c:pt>
                  <c:pt idx="43">
                    <c:v>2 кв 2014</c:v>
                  </c:pt>
                  <c:pt idx="45">
                    <c:v>1 кв 2011</c:v>
                  </c:pt>
                  <c:pt idx="46">
                    <c:v>2 кв 2011</c:v>
                  </c:pt>
                  <c:pt idx="47">
                    <c:v>3 кв 2011</c:v>
                  </c:pt>
                  <c:pt idx="48">
                    <c:v>4 кв 2011</c:v>
                  </c:pt>
                  <c:pt idx="49">
                    <c:v>1 кв 2012</c:v>
                  </c:pt>
                  <c:pt idx="50">
                    <c:v>2 кв 2012 </c:v>
                  </c:pt>
                  <c:pt idx="51">
                    <c:v>3 кв 2012 </c:v>
                  </c:pt>
                  <c:pt idx="52">
                    <c:v>4 кв 2012 </c:v>
                  </c:pt>
                  <c:pt idx="53">
                    <c:v>1 кв 2013</c:v>
                  </c:pt>
                  <c:pt idx="54">
                    <c:v>2 кв 2013</c:v>
                  </c:pt>
                  <c:pt idx="55">
                    <c:v>3 кв 2013</c:v>
                  </c:pt>
                  <c:pt idx="56">
                    <c:v>4 кв 2013</c:v>
                  </c:pt>
                  <c:pt idx="57">
                    <c:v>1 кв 2014</c:v>
                  </c:pt>
                  <c:pt idx="58">
                    <c:v>2 кв 2014</c:v>
                  </c:pt>
                </c:lvl>
                <c:lvl>
                  <c:pt idx="0">
                    <c:v>Нефинансовые организации в целом</c:v>
                  </c:pt>
                  <c:pt idx="15">
                    <c:v>Крупный бизнес</c:v>
                  </c:pt>
                  <c:pt idx="30">
                    <c:v>Средний бизнес</c:v>
                  </c:pt>
                  <c:pt idx="45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(3)'!$B$8:$BH$8</c:f>
              <c:numCache>
                <c:formatCode>0.00%</c:formatCode>
                <c:ptCount val="59"/>
                <c:pt idx="0">
                  <c:v>3.9100000000000003E-2</c:v>
                </c:pt>
                <c:pt idx="1">
                  <c:v>4.4699999999999997E-2</c:v>
                </c:pt>
                <c:pt idx="2">
                  <c:v>4.0899999999999999E-2</c:v>
                </c:pt>
                <c:pt idx="3">
                  <c:v>3.5499999999999997E-2</c:v>
                </c:pt>
                <c:pt idx="4">
                  <c:v>3.5499999999999997E-2</c:v>
                </c:pt>
                <c:pt idx="5">
                  <c:v>3.6499999999999998E-2</c:v>
                </c:pt>
                <c:pt idx="6">
                  <c:v>2.9700000000000001E-2</c:v>
                </c:pt>
                <c:pt idx="7">
                  <c:v>2.87E-2</c:v>
                </c:pt>
                <c:pt idx="8">
                  <c:v>3.2599999999999997E-2</c:v>
                </c:pt>
                <c:pt idx="9">
                  <c:v>4.3499999999999997E-2</c:v>
                </c:pt>
                <c:pt idx="10">
                  <c:v>4.0800000000000003E-2</c:v>
                </c:pt>
                <c:pt idx="11">
                  <c:v>2.7300000000000001E-2</c:v>
                </c:pt>
                <c:pt idx="12">
                  <c:v>2.9399999999999999E-2</c:v>
                </c:pt>
                <c:pt idx="15">
                  <c:v>4.3400000000000001E-2</c:v>
                </c:pt>
                <c:pt idx="16">
                  <c:v>3.5299999999999998E-2</c:v>
                </c:pt>
                <c:pt idx="17">
                  <c:v>3.56E-2</c:v>
                </c:pt>
                <c:pt idx="18">
                  <c:v>3.2000000000000001E-2</c:v>
                </c:pt>
                <c:pt idx="19">
                  <c:v>3.3500000000000002E-2</c:v>
                </c:pt>
                <c:pt idx="20">
                  <c:v>4.7300000000000002E-2</c:v>
                </c:pt>
                <c:pt idx="21">
                  <c:v>3.44E-2</c:v>
                </c:pt>
                <c:pt idx="22">
                  <c:v>2.23E-2</c:v>
                </c:pt>
                <c:pt idx="23">
                  <c:v>3.73E-2</c:v>
                </c:pt>
                <c:pt idx="24">
                  <c:v>4.58E-2</c:v>
                </c:pt>
                <c:pt idx="25">
                  <c:v>0.04</c:v>
                </c:pt>
                <c:pt idx="26">
                  <c:v>3.5099999999999999E-2</c:v>
                </c:pt>
                <c:pt idx="27">
                  <c:v>0.02</c:v>
                </c:pt>
                <c:pt idx="30">
                  <c:v>4.9599999999999998E-2</c:v>
                </c:pt>
                <c:pt idx="31">
                  <c:v>5.6600000000000004E-2</c:v>
                </c:pt>
                <c:pt idx="32">
                  <c:v>5.0999999999999997E-2</c:v>
                </c:pt>
                <c:pt idx="33">
                  <c:v>4.5599999999999995E-2</c:v>
                </c:pt>
                <c:pt idx="34">
                  <c:v>4.4400000000000002E-2</c:v>
                </c:pt>
                <c:pt idx="35">
                  <c:v>4.2900000000000001E-2</c:v>
                </c:pt>
                <c:pt idx="36">
                  <c:v>3.56E-2</c:v>
                </c:pt>
                <c:pt idx="37">
                  <c:v>3.2400000000000005E-2</c:v>
                </c:pt>
                <c:pt idx="38">
                  <c:v>3.44E-2</c:v>
                </c:pt>
                <c:pt idx="39">
                  <c:v>5.21E-2</c:v>
                </c:pt>
                <c:pt idx="40">
                  <c:v>4.7300000000000002E-2</c:v>
                </c:pt>
                <c:pt idx="41">
                  <c:v>2.8399999999999998E-2</c:v>
                </c:pt>
                <c:pt idx="42">
                  <c:v>3.3599999999999998E-2</c:v>
                </c:pt>
                <c:pt idx="45">
                  <c:v>2.7099999999999999E-2</c:v>
                </c:pt>
                <c:pt idx="46">
                  <c:v>3.9300000000000002E-2</c:v>
                </c:pt>
                <c:pt idx="47">
                  <c:v>3.4599999999999999E-2</c:v>
                </c:pt>
                <c:pt idx="48">
                  <c:v>2.7799999999999998E-2</c:v>
                </c:pt>
                <c:pt idx="49">
                  <c:v>2.8300000000000002E-2</c:v>
                </c:pt>
                <c:pt idx="50">
                  <c:v>2.4E-2</c:v>
                </c:pt>
                <c:pt idx="51">
                  <c:v>2.1299999999999999E-2</c:v>
                </c:pt>
                <c:pt idx="52">
                  <c:v>2.8900000000000002E-2</c:v>
                </c:pt>
                <c:pt idx="53">
                  <c:v>2.8199999999999999E-2</c:v>
                </c:pt>
                <c:pt idx="54">
                  <c:v>3.4700000000000002E-2</c:v>
                </c:pt>
                <c:pt idx="55">
                  <c:v>3.56E-2</c:v>
                </c:pt>
                <c:pt idx="56">
                  <c:v>2.2200000000000001E-2</c:v>
                </c:pt>
                <c:pt idx="57">
                  <c:v>3.1600000000000003E-2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393536"/>
        <c:axId val="187395072"/>
      </c:lineChart>
      <c:catAx>
        <c:axId val="187382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87392000"/>
        <c:crosses val="autoZero"/>
        <c:auto val="1"/>
        <c:lblAlgn val="ctr"/>
        <c:lblOffset val="100"/>
        <c:noMultiLvlLbl val="0"/>
      </c:catAx>
      <c:valAx>
        <c:axId val="187392000"/>
        <c:scaling>
          <c:orientation val="minMax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crossAx val="187382016"/>
        <c:crosses val="autoZero"/>
        <c:crossBetween val="between"/>
      </c:valAx>
      <c:catAx>
        <c:axId val="187393536"/>
        <c:scaling>
          <c:orientation val="minMax"/>
        </c:scaling>
        <c:delete val="1"/>
        <c:axPos val="b"/>
        <c:majorTickMark val="out"/>
        <c:minorTickMark val="none"/>
        <c:tickLblPos val="nextTo"/>
        <c:crossAx val="187395072"/>
        <c:crosses val="autoZero"/>
        <c:auto val="1"/>
        <c:lblAlgn val="ctr"/>
        <c:lblOffset val="100"/>
        <c:noMultiLvlLbl val="0"/>
      </c:catAx>
      <c:valAx>
        <c:axId val="187395072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187393536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0.1423003663003663"/>
          <c:y val="0.87959975992761996"/>
          <c:w val="0.74616849816849817"/>
          <c:h val="0.1006353021362079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697921537097196"/>
          <c:y val="3.367361432762081E-2"/>
          <c:w val="0.9052270954818431"/>
          <c:h val="0.591057019670670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(3)'!$A$71</c:f>
              <c:strCache>
                <c:ptCount val="1"/>
                <c:pt idx="0">
                  <c:v>финансирование оборотных средств</c:v>
                </c:pt>
              </c:strCache>
            </c:strRef>
          </c:tx>
          <c:invertIfNegative val="0"/>
          <c:cat>
            <c:strRef>
              <c:f>'Ожид-факт_корп (3)'!$B$69:$K$70</c:f>
              <c:strCache>
                <c:ptCount val="10"/>
                <c:pt idx="0">
                  <c:v>4 кв 2011</c:v>
                </c:pt>
                <c:pt idx="1">
                  <c:v>1 кв 2012</c:v>
                </c:pt>
                <c:pt idx="2">
                  <c:v>2 кв 2012</c:v>
                </c:pt>
                <c:pt idx="3">
                  <c:v>3 кв 2012</c:v>
                </c:pt>
                <c:pt idx="4">
                  <c:v>4 кв 2012</c:v>
                </c:pt>
                <c:pt idx="5">
                  <c:v>1 кв 2013</c:v>
                </c:pt>
                <c:pt idx="6">
                  <c:v>2 кв 2013</c:v>
                </c:pt>
                <c:pt idx="7">
                  <c:v>3 кв 2013</c:v>
                </c:pt>
                <c:pt idx="8">
                  <c:v>4 кв 2013</c:v>
                </c:pt>
                <c:pt idx="9">
                  <c:v>1 кв 2014</c:v>
                </c:pt>
              </c:strCache>
            </c:strRef>
          </c:cat>
          <c:val>
            <c:numRef>
              <c:f>'Ожид-факт_корп (3)'!$B$71:$K$71</c:f>
              <c:numCache>
                <c:formatCode>0.00%</c:formatCode>
                <c:ptCount val="10"/>
                <c:pt idx="0">
                  <c:v>0.71323529411764708</c:v>
                </c:pt>
                <c:pt idx="1">
                  <c:v>0.55882352941176472</c:v>
                </c:pt>
                <c:pt idx="2">
                  <c:v>0.58823529411764708</c:v>
                </c:pt>
                <c:pt idx="3">
                  <c:v>0.61764705882352944</c:v>
                </c:pt>
                <c:pt idx="4">
                  <c:v>0.47058823529411764</c:v>
                </c:pt>
                <c:pt idx="5">
                  <c:v>0.58823529411764708</c:v>
                </c:pt>
                <c:pt idx="6">
                  <c:v>0.6470588235294118</c:v>
                </c:pt>
                <c:pt idx="7">
                  <c:v>0.55882352941176472</c:v>
                </c:pt>
                <c:pt idx="8">
                  <c:v>0.38235294117647056</c:v>
                </c:pt>
                <c:pt idx="9">
                  <c:v>0.38235294117647062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(3)'!$A$72</c:f>
              <c:strCache>
                <c:ptCount val="1"/>
                <c:pt idx="0">
                  <c:v>приобретение основных средств</c:v>
                </c:pt>
              </c:strCache>
            </c:strRef>
          </c:tx>
          <c:invertIfNegative val="0"/>
          <c:cat>
            <c:strRef>
              <c:f>'Ожид-факт_корп (3)'!$B$69:$K$70</c:f>
              <c:strCache>
                <c:ptCount val="10"/>
                <c:pt idx="0">
                  <c:v>4 кв 2011</c:v>
                </c:pt>
                <c:pt idx="1">
                  <c:v>1 кв 2012</c:v>
                </c:pt>
                <c:pt idx="2">
                  <c:v>2 кв 2012</c:v>
                </c:pt>
                <c:pt idx="3">
                  <c:v>3 кв 2012</c:v>
                </c:pt>
                <c:pt idx="4">
                  <c:v>4 кв 2012</c:v>
                </c:pt>
                <c:pt idx="5">
                  <c:v>1 кв 2013</c:v>
                </c:pt>
                <c:pt idx="6">
                  <c:v>2 кв 2013</c:v>
                </c:pt>
                <c:pt idx="7">
                  <c:v>3 кв 2013</c:v>
                </c:pt>
                <c:pt idx="8">
                  <c:v>4 кв 2013</c:v>
                </c:pt>
                <c:pt idx="9">
                  <c:v>1 кв 2014</c:v>
                </c:pt>
              </c:strCache>
            </c:strRef>
          </c:cat>
          <c:val>
            <c:numRef>
              <c:f>'Ожид-факт_корп (3)'!$B$72:$K$72</c:f>
              <c:numCache>
                <c:formatCode>0.00%</c:formatCode>
                <c:ptCount val="10"/>
                <c:pt idx="0">
                  <c:v>0.52205882352941169</c:v>
                </c:pt>
                <c:pt idx="1">
                  <c:v>0.44117647058823528</c:v>
                </c:pt>
                <c:pt idx="2">
                  <c:v>0.52941176470588236</c:v>
                </c:pt>
                <c:pt idx="3">
                  <c:v>0.29411764705882354</c:v>
                </c:pt>
                <c:pt idx="4">
                  <c:v>0.29411764705882354</c:v>
                </c:pt>
                <c:pt idx="5">
                  <c:v>0.38235294117647056</c:v>
                </c:pt>
                <c:pt idx="6">
                  <c:v>0.47058823529411764</c:v>
                </c:pt>
                <c:pt idx="7">
                  <c:v>0.3235294117647059</c:v>
                </c:pt>
                <c:pt idx="8">
                  <c:v>0.20588235294117646</c:v>
                </c:pt>
                <c:pt idx="9">
                  <c:v>0.14705882352941177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(3)'!$A$73</c:f>
              <c:strCache>
                <c:ptCount val="1"/>
                <c:pt idx="0">
                  <c:v>рефинансирование долга других банков</c:v>
                </c:pt>
              </c:strCache>
            </c:strRef>
          </c:tx>
          <c:invertIfNegative val="0"/>
          <c:cat>
            <c:strRef>
              <c:f>'Ожид-факт_корп (3)'!$B$69:$K$70</c:f>
              <c:strCache>
                <c:ptCount val="10"/>
                <c:pt idx="0">
                  <c:v>4 кв 2011</c:v>
                </c:pt>
                <c:pt idx="1">
                  <c:v>1 кв 2012</c:v>
                </c:pt>
                <c:pt idx="2">
                  <c:v>2 кв 2012</c:v>
                </c:pt>
                <c:pt idx="3">
                  <c:v>3 кв 2012</c:v>
                </c:pt>
                <c:pt idx="4">
                  <c:v>4 кв 2012</c:v>
                </c:pt>
                <c:pt idx="5">
                  <c:v>1 кв 2013</c:v>
                </c:pt>
                <c:pt idx="6">
                  <c:v>2 кв 2013</c:v>
                </c:pt>
                <c:pt idx="7">
                  <c:v>3 кв 2013</c:v>
                </c:pt>
                <c:pt idx="8">
                  <c:v>4 кв 2013</c:v>
                </c:pt>
                <c:pt idx="9">
                  <c:v>1 кв 2014</c:v>
                </c:pt>
              </c:strCache>
            </c:strRef>
          </c:cat>
          <c:val>
            <c:numRef>
              <c:f>'Ожид-факт_корп (3)'!$B$73:$K$73</c:f>
              <c:numCache>
                <c:formatCode>0.00%</c:formatCode>
                <c:ptCount val="10"/>
                <c:pt idx="0">
                  <c:v>0.45588235294117646</c:v>
                </c:pt>
                <c:pt idx="1">
                  <c:v>0.14705882352941174</c:v>
                </c:pt>
                <c:pt idx="2">
                  <c:v>0.26470588235294118</c:v>
                </c:pt>
                <c:pt idx="3">
                  <c:v>0.17647058823529413</c:v>
                </c:pt>
                <c:pt idx="4">
                  <c:v>0.26470588235294118</c:v>
                </c:pt>
                <c:pt idx="5">
                  <c:v>0.23529411764705882</c:v>
                </c:pt>
                <c:pt idx="6">
                  <c:v>0.29411764705882354</c:v>
                </c:pt>
                <c:pt idx="7">
                  <c:v>0.23529411764705882</c:v>
                </c:pt>
                <c:pt idx="8">
                  <c:v>0.23529411764705882</c:v>
                </c:pt>
                <c:pt idx="9">
                  <c:v>0.14705882352941177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(3)'!$A$74</c:f>
              <c:strCache>
                <c:ptCount val="1"/>
                <c:pt idx="0">
                  <c:v>финансирование сделок по слиянию и поглощению</c:v>
                </c:pt>
              </c:strCache>
            </c:strRef>
          </c:tx>
          <c:invertIfNegative val="0"/>
          <c:cat>
            <c:strRef>
              <c:f>'Ожид-факт_корп (3)'!$B$69:$K$70</c:f>
              <c:strCache>
                <c:ptCount val="10"/>
                <c:pt idx="0">
                  <c:v>4 кв 2011</c:v>
                </c:pt>
                <c:pt idx="1">
                  <c:v>1 кв 2012</c:v>
                </c:pt>
                <c:pt idx="2">
                  <c:v>2 кв 2012</c:v>
                </c:pt>
                <c:pt idx="3">
                  <c:v>3 кв 2012</c:v>
                </c:pt>
                <c:pt idx="4">
                  <c:v>4 кв 2012</c:v>
                </c:pt>
                <c:pt idx="5">
                  <c:v>1 кв 2013</c:v>
                </c:pt>
                <c:pt idx="6">
                  <c:v>2 кв 2013</c:v>
                </c:pt>
                <c:pt idx="7">
                  <c:v>3 кв 2013</c:v>
                </c:pt>
                <c:pt idx="8">
                  <c:v>4 кв 2013</c:v>
                </c:pt>
                <c:pt idx="9">
                  <c:v>1 кв 2014</c:v>
                </c:pt>
              </c:strCache>
            </c:strRef>
          </c:cat>
          <c:val>
            <c:numRef>
              <c:f>'Ожид-факт_корп (3)'!$B$74:$K$74</c:f>
              <c:numCache>
                <c:formatCode>0.00%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-3.0303030303030304E-2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6.0606060606060608E-2</c:v>
                </c:pt>
                <c:pt idx="8">
                  <c:v>3.0303030303030304E-2</c:v>
                </c:pt>
                <c:pt idx="9">
                  <c:v>6.0606060606060608E-2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9736064"/>
        <c:axId val="189737600"/>
      </c:barChart>
      <c:catAx>
        <c:axId val="1897360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89737600"/>
        <c:crosses val="autoZero"/>
        <c:auto val="1"/>
        <c:lblAlgn val="ctr"/>
        <c:lblOffset val="100"/>
        <c:noMultiLvlLbl val="0"/>
      </c:catAx>
      <c:valAx>
        <c:axId val="189737600"/>
        <c:scaling>
          <c:orientation val="minMax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crossAx val="1897360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462583579767463E-2"/>
          <c:y val="0.78566312463415422"/>
          <c:w val="0.97537416420232537"/>
          <c:h val="0.1905536513818125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849626176691558E-2"/>
          <c:y val="7.1475908673272803E-2"/>
          <c:w val="0.91768964802695641"/>
          <c:h val="0.48890900835994217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(3)'!$A$26</c:f>
              <c:strCache>
                <c:ptCount val="1"/>
                <c:pt idx="0">
                  <c:v>Факт</c:v>
                </c:pt>
              </c:strCache>
            </c:strRef>
          </c:tx>
          <c:spPr>
            <a:ln w="3175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'Ожид-факт_физ (3)'!$B$24:$AD$25</c:f>
              <c:multiLvlStrCache>
                <c:ptCount val="29"/>
                <c:lvl>
                  <c:pt idx="0">
                    <c:v>1 кв 2011</c:v>
                  </c:pt>
                  <c:pt idx="1">
                    <c:v>2 кв 2011</c:v>
                  </c:pt>
                  <c:pt idx="2">
                    <c:v>3 кв 2011</c:v>
                  </c:pt>
                  <c:pt idx="3">
                    <c:v>4 кв 2011</c:v>
                  </c:pt>
                  <c:pt idx="4">
                    <c:v>1 кв 2012</c:v>
                  </c:pt>
                  <c:pt idx="5">
                    <c:v>2 кв 2012 </c:v>
                  </c:pt>
                  <c:pt idx="6">
                    <c:v>3 кв 2012 </c:v>
                  </c:pt>
                  <c:pt idx="7">
                    <c:v>4 кв 2012 </c:v>
                  </c:pt>
                  <c:pt idx="8">
                    <c:v>1 кв 2013 </c:v>
                  </c:pt>
                  <c:pt idx="9">
                    <c:v> 2 кв 2013</c:v>
                  </c:pt>
                  <c:pt idx="10">
                    <c:v> 3 кв 2013</c:v>
                  </c:pt>
                  <c:pt idx="11">
                    <c:v> 4 кв 2013</c:v>
                  </c:pt>
                  <c:pt idx="12">
                    <c:v> 1 кв 2014</c:v>
                  </c:pt>
                  <c:pt idx="13">
                    <c:v> 2 кв 2014</c:v>
                  </c:pt>
                  <c:pt idx="15">
                    <c:v>1 кв 2011</c:v>
                  </c:pt>
                  <c:pt idx="16">
                    <c:v>2 кв 2011</c:v>
                  </c:pt>
                  <c:pt idx="17">
                    <c:v>3 кв 2011</c:v>
                  </c:pt>
                  <c:pt idx="18">
                    <c:v>4 кв 2011</c:v>
                  </c:pt>
                  <c:pt idx="19">
                    <c:v>1 кв 2012</c:v>
                  </c:pt>
                  <c:pt idx="20">
                    <c:v>2 кв 2012 </c:v>
                  </c:pt>
                  <c:pt idx="21">
                    <c:v>3 кв 2012 </c:v>
                  </c:pt>
                  <c:pt idx="22">
                    <c:v>4 кв 2012 </c:v>
                  </c:pt>
                  <c:pt idx="23">
                    <c:v>1 кв 2013 </c:v>
                  </c:pt>
                  <c:pt idx="24">
                    <c:v> 2 кв 2013</c:v>
                  </c:pt>
                  <c:pt idx="25">
                    <c:v> 3 кв 2013</c:v>
                  </c:pt>
                  <c:pt idx="26">
                    <c:v>4 кв 2013 </c:v>
                  </c:pt>
                  <c:pt idx="27">
                    <c:v>1 кв 2014</c:v>
                  </c:pt>
                  <c:pt idx="28">
                    <c:v>2 кв 2014</c:v>
                  </c:pt>
                </c:lvl>
                <c:lvl>
                  <c:pt idx="0">
                    <c:v>Ипотечное кредитование</c:v>
                  </c:pt>
                  <c:pt idx="15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(3)'!$B$26:$AC$26</c:f>
              <c:numCache>
                <c:formatCode>0.00%</c:formatCode>
                <c:ptCount val="28"/>
                <c:pt idx="0">
                  <c:v>0.17857142857142855</c:v>
                </c:pt>
                <c:pt idx="1">
                  <c:v>0.2</c:v>
                </c:pt>
                <c:pt idx="2">
                  <c:v>0.25806451612903225</c:v>
                </c:pt>
                <c:pt idx="3">
                  <c:v>0.1</c:v>
                </c:pt>
                <c:pt idx="4">
                  <c:v>0</c:v>
                </c:pt>
                <c:pt idx="5">
                  <c:v>0.13333333333333333</c:v>
                </c:pt>
                <c:pt idx="6">
                  <c:v>0.10344827586206898</c:v>
                </c:pt>
                <c:pt idx="7">
                  <c:v>0</c:v>
                </c:pt>
                <c:pt idx="8">
                  <c:v>0.13333333333333333</c:v>
                </c:pt>
                <c:pt idx="9">
                  <c:v>-3.333333333333334E-2</c:v>
                </c:pt>
                <c:pt idx="10">
                  <c:v>-6.666666666666668E-2</c:v>
                </c:pt>
                <c:pt idx="11">
                  <c:v>0</c:v>
                </c:pt>
                <c:pt idx="12">
                  <c:v>-3.4482758620689655E-2</c:v>
                </c:pt>
                <c:pt idx="15">
                  <c:v>0.4</c:v>
                </c:pt>
                <c:pt idx="16">
                  <c:v>0.375</c:v>
                </c:pt>
                <c:pt idx="17">
                  <c:v>0.30303030303030304</c:v>
                </c:pt>
                <c:pt idx="18">
                  <c:v>0.30303030303030304</c:v>
                </c:pt>
                <c:pt idx="19">
                  <c:v>0.21212121212121213</c:v>
                </c:pt>
                <c:pt idx="20">
                  <c:v>0.21212121212121213</c:v>
                </c:pt>
                <c:pt idx="21">
                  <c:v>0.15625</c:v>
                </c:pt>
                <c:pt idx="22">
                  <c:v>0.25</c:v>
                </c:pt>
                <c:pt idx="23">
                  <c:v>0.15625</c:v>
                </c:pt>
                <c:pt idx="24">
                  <c:v>9.375E-2</c:v>
                </c:pt>
                <c:pt idx="25">
                  <c:v>-6.25E-2</c:v>
                </c:pt>
                <c:pt idx="26">
                  <c:v>-3.125E-2</c:v>
                </c:pt>
                <c:pt idx="27">
                  <c:v>-0.21875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'Ожид-факт_физ (3)'!$A$27</c:f>
              <c:strCache>
                <c:ptCount val="1"/>
                <c:pt idx="0">
                  <c:v>Ожидание</c:v>
                </c:pt>
              </c:strCache>
            </c:strRef>
          </c:tx>
          <c:spPr>
            <a:ln w="31750">
              <a:solidFill>
                <a:schemeClr val="accent2"/>
              </a:solidFill>
            </a:ln>
          </c:spPr>
          <c:marker>
            <c:symbol val="none"/>
          </c:marker>
          <c:cat>
            <c:multiLvlStrRef>
              <c:f>'Ожид-факт_физ (3)'!$B$24:$AD$25</c:f>
              <c:multiLvlStrCache>
                <c:ptCount val="29"/>
                <c:lvl>
                  <c:pt idx="0">
                    <c:v>1 кв 2011</c:v>
                  </c:pt>
                  <c:pt idx="1">
                    <c:v>2 кв 2011</c:v>
                  </c:pt>
                  <c:pt idx="2">
                    <c:v>3 кв 2011</c:v>
                  </c:pt>
                  <c:pt idx="3">
                    <c:v>4 кв 2011</c:v>
                  </c:pt>
                  <c:pt idx="4">
                    <c:v>1 кв 2012</c:v>
                  </c:pt>
                  <c:pt idx="5">
                    <c:v>2 кв 2012 </c:v>
                  </c:pt>
                  <c:pt idx="6">
                    <c:v>3 кв 2012 </c:v>
                  </c:pt>
                  <c:pt idx="7">
                    <c:v>4 кв 2012 </c:v>
                  </c:pt>
                  <c:pt idx="8">
                    <c:v>1 кв 2013 </c:v>
                  </c:pt>
                  <c:pt idx="9">
                    <c:v> 2 кв 2013</c:v>
                  </c:pt>
                  <c:pt idx="10">
                    <c:v> 3 кв 2013</c:v>
                  </c:pt>
                  <c:pt idx="11">
                    <c:v> 4 кв 2013</c:v>
                  </c:pt>
                  <c:pt idx="12">
                    <c:v> 1 кв 2014</c:v>
                  </c:pt>
                  <c:pt idx="13">
                    <c:v> 2 кв 2014</c:v>
                  </c:pt>
                  <c:pt idx="15">
                    <c:v>1 кв 2011</c:v>
                  </c:pt>
                  <c:pt idx="16">
                    <c:v>2 кв 2011</c:v>
                  </c:pt>
                  <c:pt idx="17">
                    <c:v>3 кв 2011</c:v>
                  </c:pt>
                  <c:pt idx="18">
                    <c:v>4 кв 2011</c:v>
                  </c:pt>
                  <c:pt idx="19">
                    <c:v>1 кв 2012</c:v>
                  </c:pt>
                  <c:pt idx="20">
                    <c:v>2 кв 2012 </c:v>
                  </c:pt>
                  <c:pt idx="21">
                    <c:v>3 кв 2012 </c:v>
                  </c:pt>
                  <c:pt idx="22">
                    <c:v>4 кв 2012 </c:v>
                  </c:pt>
                  <c:pt idx="23">
                    <c:v>1 кв 2013 </c:v>
                  </c:pt>
                  <c:pt idx="24">
                    <c:v> 2 кв 2013</c:v>
                  </c:pt>
                  <c:pt idx="25">
                    <c:v> 3 кв 2013</c:v>
                  </c:pt>
                  <c:pt idx="26">
                    <c:v>4 кв 2013 </c:v>
                  </c:pt>
                  <c:pt idx="27">
                    <c:v>1 кв 2014</c:v>
                  </c:pt>
                  <c:pt idx="28">
                    <c:v>2 кв 2014</c:v>
                  </c:pt>
                </c:lvl>
                <c:lvl>
                  <c:pt idx="0">
                    <c:v>Ипотечное кредитование</c:v>
                  </c:pt>
                  <c:pt idx="15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(3)'!$B$27:$AD$27</c:f>
              <c:numCache>
                <c:formatCode>0.00%</c:formatCode>
                <c:ptCount val="29"/>
                <c:pt idx="0">
                  <c:v>0.17857142857142855</c:v>
                </c:pt>
                <c:pt idx="1">
                  <c:v>0.2068965517241379</c:v>
                </c:pt>
                <c:pt idx="2">
                  <c:v>0.16666666666666669</c:v>
                </c:pt>
                <c:pt idx="3">
                  <c:v>9.6774193548387094E-2</c:v>
                </c:pt>
                <c:pt idx="4">
                  <c:v>6.666666666666668E-2</c:v>
                </c:pt>
                <c:pt idx="5">
                  <c:v>0.2</c:v>
                </c:pt>
                <c:pt idx="6">
                  <c:v>0.13333333333333336</c:v>
                </c:pt>
                <c:pt idx="7">
                  <c:v>0.10344827586206896</c:v>
                </c:pt>
                <c:pt idx="8">
                  <c:v>0.13793103448275862</c:v>
                </c:pt>
                <c:pt idx="9">
                  <c:v>6.666666666666668E-2</c:v>
                </c:pt>
                <c:pt idx="10">
                  <c:v>6.666666666666668E-2</c:v>
                </c:pt>
                <c:pt idx="11">
                  <c:v>0</c:v>
                </c:pt>
                <c:pt idx="12">
                  <c:v>0.1</c:v>
                </c:pt>
                <c:pt idx="13">
                  <c:v>0</c:v>
                </c:pt>
                <c:pt idx="15">
                  <c:v>0.2068965517241379</c:v>
                </c:pt>
                <c:pt idx="16">
                  <c:v>0.38709677419354838</c:v>
                </c:pt>
                <c:pt idx="17">
                  <c:v>0.1875</c:v>
                </c:pt>
                <c:pt idx="18">
                  <c:v>0.15151515151515152</c:v>
                </c:pt>
                <c:pt idx="19">
                  <c:v>0.15151515151515152</c:v>
                </c:pt>
                <c:pt idx="20">
                  <c:v>0.18181818181818182</c:v>
                </c:pt>
                <c:pt idx="21">
                  <c:v>0.39393939393939392</c:v>
                </c:pt>
                <c:pt idx="22">
                  <c:v>0.3125</c:v>
                </c:pt>
                <c:pt idx="23">
                  <c:v>0.15625</c:v>
                </c:pt>
                <c:pt idx="24">
                  <c:v>9.375E-2</c:v>
                </c:pt>
                <c:pt idx="25">
                  <c:v>0</c:v>
                </c:pt>
                <c:pt idx="26">
                  <c:v>0</c:v>
                </c:pt>
                <c:pt idx="27">
                  <c:v>6.25E-2</c:v>
                </c:pt>
                <c:pt idx="28">
                  <c:v>3.125E-2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741696"/>
        <c:axId val="189756160"/>
      </c:lineChart>
      <c:catAx>
        <c:axId val="189741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700"/>
            </a:pPr>
            <a:endParaRPr lang="ru-RU"/>
          </a:p>
        </c:txPr>
        <c:crossAx val="189756160"/>
        <c:crosses val="autoZero"/>
        <c:auto val="1"/>
        <c:lblAlgn val="ctr"/>
        <c:lblOffset val="100"/>
        <c:noMultiLvlLbl val="0"/>
      </c:catAx>
      <c:valAx>
        <c:axId val="189756160"/>
        <c:scaling>
          <c:orientation val="minMax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crossAx val="189741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289847639657874"/>
          <c:y val="0.89404213771580365"/>
          <c:w val="0.23712299546371735"/>
          <c:h val="7.8347328355173329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973500012360005E-2"/>
          <c:y val="3.2018794993148983E-2"/>
          <c:w val="0.91749661730986187"/>
          <c:h val="0.46487283134419516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'Ожид-факт_физ (3)'!$A$8</c:f>
              <c:strCache>
                <c:ptCount val="1"/>
                <c:pt idx="0">
                  <c:v>Предложение (желание) банков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cat>
            <c:multiLvlStrRef>
              <c:f>'Ожид-факт_физ (3)'!$B$4:$AD$5</c:f>
              <c:multiLvlStrCache>
                <c:ptCount val="29"/>
                <c:lvl>
                  <c:pt idx="0">
                    <c:v>1 кв 2011</c:v>
                  </c:pt>
                  <c:pt idx="1">
                    <c:v>2 кв 2011</c:v>
                  </c:pt>
                  <c:pt idx="2">
                    <c:v>3 кв 2011</c:v>
                  </c:pt>
                  <c:pt idx="3">
                    <c:v>4 кв 2011</c:v>
                  </c:pt>
                  <c:pt idx="4">
                    <c:v>1 кв 2012</c:v>
                  </c:pt>
                  <c:pt idx="5">
                    <c:v>2 кв 2012 </c:v>
                  </c:pt>
                  <c:pt idx="6">
                    <c:v>3 кв 2012 </c:v>
                  </c:pt>
                  <c:pt idx="7">
                    <c:v>4 кв 2012 </c:v>
                  </c:pt>
                  <c:pt idx="8">
                    <c:v>1 кв 2013 </c:v>
                  </c:pt>
                  <c:pt idx="9">
                    <c:v>2 кв 2013 </c:v>
                  </c:pt>
                  <c:pt idx="10">
                    <c:v>3 кв 2013 </c:v>
                  </c:pt>
                  <c:pt idx="11">
                    <c:v>4 кв 2013 </c:v>
                  </c:pt>
                  <c:pt idx="12">
                    <c:v>1 кв 2014 </c:v>
                  </c:pt>
                  <c:pt idx="13">
                    <c:v>2 кв 2014 </c:v>
                  </c:pt>
                  <c:pt idx="15">
                    <c:v>1 кв 2011</c:v>
                  </c:pt>
                  <c:pt idx="16">
                    <c:v>2 кв 2011</c:v>
                  </c:pt>
                  <c:pt idx="17">
                    <c:v>3 кв 2011</c:v>
                  </c:pt>
                  <c:pt idx="18">
                    <c:v>4 кв 2011</c:v>
                  </c:pt>
                  <c:pt idx="19">
                    <c:v>1 кв 2012</c:v>
                  </c:pt>
                  <c:pt idx="20">
                    <c:v>2 кв 2012 </c:v>
                  </c:pt>
                  <c:pt idx="21">
                    <c:v>3 кв 2012 </c:v>
                  </c:pt>
                  <c:pt idx="22">
                    <c:v>4 кв 2012 </c:v>
                  </c:pt>
                  <c:pt idx="23">
                    <c:v>1 кв 2013 </c:v>
                  </c:pt>
                  <c:pt idx="24">
                    <c:v>2 кв 2013 </c:v>
                  </c:pt>
                  <c:pt idx="25">
                    <c:v>3 кв 2013 </c:v>
                  </c:pt>
                  <c:pt idx="26">
                    <c:v>4 кв 2013 </c:v>
                  </c:pt>
                  <c:pt idx="27">
                    <c:v>1 кв 2014</c:v>
                  </c:pt>
                  <c:pt idx="28">
                    <c:v>2 кв 2014</c:v>
                  </c:pt>
                </c:lvl>
                <c:lvl>
                  <c:pt idx="0">
                    <c:v>Ипотечное кредитование</c:v>
                  </c:pt>
                  <c:pt idx="15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(3)'!$B$8:$AD$8</c:f>
              <c:numCache>
                <c:formatCode>0.00%</c:formatCode>
                <c:ptCount val="29"/>
                <c:pt idx="0">
                  <c:v>0.37931034482758619</c:v>
                </c:pt>
                <c:pt idx="1">
                  <c:v>0.46666666666666667</c:v>
                </c:pt>
                <c:pt idx="2">
                  <c:v>0.54838709677419351</c:v>
                </c:pt>
                <c:pt idx="3">
                  <c:v>0.4</c:v>
                </c:pt>
                <c:pt idx="4">
                  <c:v>0.4</c:v>
                </c:pt>
                <c:pt idx="5">
                  <c:v>0.36666666666666664</c:v>
                </c:pt>
                <c:pt idx="6">
                  <c:v>0.41379310344827586</c:v>
                </c:pt>
                <c:pt idx="7">
                  <c:v>0.31034482758620691</c:v>
                </c:pt>
                <c:pt idx="8">
                  <c:v>0.33333333333333331</c:v>
                </c:pt>
                <c:pt idx="9">
                  <c:v>0.33333333333333331</c:v>
                </c:pt>
                <c:pt idx="10">
                  <c:v>0.16666666666666666</c:v>
                </c:pt>
                <c:pt idx="11">
                  <c:v>0.2</c:v>
                </c:pt>
                <c:pt idx="12">
                  <c:v>0.17241379310344829</c:v>
                </c:pt>
                <c:pt idx="15">
                  <c:v>0.80645161290322576</c:v>
                </c:pt>
                <c:pt idx="16">
                  <c:v>0.78125</c:v>
                </c:pt>
                <c:pt idx="17">
                  <c:v>0.81818181818181823</c:v>
                </c:pt>
                <c:pt idx="18">
                  <c:v>0.48484848484848481</c:v>
                </c:pt>
                <c:pt idx="19">
                  <c:v>0.60606060606060619</c:v>
                </c:pt>
                <c:pt idx="20">
                  <c:v>0.51515151515151514</c:v>
                </c:pt>
                <c:pt idx="21">
                  <c:v>0.59375</c:v>
                </c:pt>
                <c:pt idx="22">
                  <c:v>0.59375</c:v>
                </c:pt>
                <c:pt idx="23">
                  <c:v>0.53125</c:v>
                </c:pt>
                <c:pt idx="24">
                  <c:v>0.53125</c:v>
                </c:pt>
                <c:pt idx="25">
                  <c:v>0.40625</c:v>
                </c:pt>
                <c:pt idx="26">
                  <c:v>0.34375</c:v>
                </c:pt>
                <c:pt idx="27">
                  <c:v>0.15625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189764736"/>
        <c:axId val="189796352"/>
      </c:barChart>
      <c:lineChart>
        <c:grouping val="standard"/>
        <c:varyColors val="0"/>
        <c:ser>
          <c:idx val="0"/>
          <c:order val="0"/>
          <c:tx>
            <c:strRef>
              <c:f>'Ожид-факт_физ (3)'!$A$6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 w="38100">
              <a:solidFill>
                <a:schemeClr val="accent3">
                  <a:lumMod val="50000"/>
                </a:schemeClr>
              </a:solidFill>
            </a:ln>
          </c:spPr>
          <c:marker>
            <c:symbol val="none"/>
          </c:marker>
          <c:cat>
            <c:multiLvlStrRef>
              <c:f>'Ожид-факт_физ (3)'!$B$4:$AD$5</c:f>
              <c:multiLvlStrCache>
                <c:ptCount val="29"/>
                <c:lvl>
                  <c:pt idx="0">
                    <c:v>1 кв 2011</c:v>
                  </c:pt>
                  <c:pt idx="1">
                    <c:v>2 кв 2011</c:v>
                  </c:pt>
                  <c:pt idx="2">
                    <c:v>3 кв 2011</c:v>
                  </c:pt>
                  <c:pt idx="3">
                    <c:v>4 кв 2011</c:v>
                  </c:pt>
                  <c:pt idx="4">
                    <c:v>1 кв 2012</c:v>
                  </c:pt>
                  <c:pt idx="5">
                    <c:v>2 кв 2012 </c:v>
                  </c:pt>
                  <c:pt idx="6">
                    <c:v>3 кв 2012 </c:v>
                  </c:pt>
                  <c:pt idx="7">
                    <c:v>4 кв 2012 </c:v>
                  </c:pt>
                  <c:pt idx="8">
                    <c:v>1 кв 2013 </c:v>
                  </c:pt>
                  <c:pt idx="9">
                    <c:v>2 кв 2013 </c:v>
                  </c:pt>
                  <c:pt idx="10">
                    <c:v>3 кв 2013 </c:v>
                  </c:pt>
                  <c:pt idx="11">
                    <c:v>4 кв 2013 </c:v>
                  </c:pt>
                  <c:pt idx="12">
                    <c:v>1 кв 2014 </c:v>
                  </c:pt>
                  <c:pt idx="13">
                    <c:v>2 кв 2014 </c:v>
                  </c:pt>
                  <c:pt idx="15">
                    <c:v>1 кв 2011</c:v>
                  </c:pt>
                  <c:pt idx="16">
                    <c:v>2 кв 2011</c:v>
                  </c:pt>
                  <c:pt idx="17">
                    <c:v>3 кв 2011</c:v>
                  </c:pt>
                  <c:pt idx="18">
                    <c:v>4 кв 2011</c:v>
                  </c:pt>
                  <c:pt idx="19">
                    <c:v>1 кв 2012</c:v>
                  </c:pt>
                  <c:pt idx="20">
                    <c:v>2 кв 2012 </c:v>
                  </c:pt>
                  <c:pt idx="21">
                    <c:v>3 кв 2012 </c:v>
                  </c:pt>
                  <c:pt idx="22">
                    <c:v>4 кв 2012 </c:v>
                  </c:pt>
                  <c:pt idx="23">
                    <c:v>1 кв 2013 </c:v>
                  </c:pt>
                  <c:pt idx="24">
                    <c:v>2 кв 2013 </c:v>
                  </c:pt>
                  <c:pt idx="25">
                    <c:v>3 кв 2013 </c:v>
                  </c:pt>
                  <c:pt idx="26">
                    <c:v>4 кв 2013 </c:v>
                  </c:pt>
                  <c:pt idx="27">
                    <c:v>1 кв 2014</c:v>
                  </c:pt>
                  <c:pt idx="28">
                    <c:v>2 кв 2014</c:v>
                  </c:pt>
                </c:lvl>
                <c:lvl>
                  <c:pt idx="0">
                    <c:v>Ипотечное кредитование</c:v>
                  </c:pt>
                  <c:pt idx="15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(3)'!$B$6:$AD$6</c:f>
              <c:numCache>
                <c:formatCode>0.00%</c:formatCode>
                <c:ptCount val="29"/>
                <c:pt idx="0">
                  <c:v>0.22222222222222221</c:v>
                </c:pt>
                <c:pt idx="1">
                  <c:v>0.4642857142857143</c:v>
                </c:pt>
                <c:pt idx="2">
                  <c:v>0.5862068965517242</c:v>
                </c:pt>
                <c:pt idx="3">
                  <c:v>0.1</c:v>
                </c:pt>
                <c:pt idx="4">
                  <c:v>0.16666666666666666</c:v>
                </c:pt>
                <c:pt idx="5">
                  <c:v>0.43333333333333335</c:v>
                </c:pt>
                <c:pt idx="6">
                  <c:v>0.20689655172413796</c:v>
                </c:pt>
                <c:pt idx="7">
                  <c:v>0.34482758620689657</c:v>
                </c:pt>
                <c:pt idx="8">
                  <c:v>0.1</c:v>
                </c:pt>
                <c:pt idx="9">
                  <c:v>0.33333333333333331</c:v>
                </c:pt>
                <c:pt idx="10">
                  <c:v>0.19999999999999998</c:v>
                </c:pt>
                <c:pt idx="11">
                  <c:v>0.33333333333333337</c:v>
                </c:pt>
                <c:pt idx="12">
                  <c:v>-0.13793103448275859</c:v>
                </c:pt>
                <c:pt idx="15">
                  <c:v>0.54838709677419351</c:v>
                </c:pt>
                <c:pt idx="16">
                  <c:v>0.90625</c:v>
                </c:pt>
                <c:pt idx="17">
                  <c:v>0.63636363636363646</c:v>
                </c:pt>
                <c:pt idx="18">
                  <c:v>0.27272727272727271</c:v>
                </c:pt>
                <c:pt idx="19">
                  <c:v>0.27272727272727271</c:v>
                </c:pt>
                <c:pt idx="20">
                  <c:v>0.63636363636363646</c:v>
                </c:pt>
                <c:pt idx="21">
                  <c:v>0.59375</c:v>
                </c:pt>
                <c:pt idx="22">
                  <c:v>0.6875</c:v>
                </c:pt>
                <c:pt idx="23">
                  <c:v>0.34375</c:v>
                </c:pt>
                <c:pt idx="24">
                  <c:v>0.53125</c:v>
                </c:pt>
                <c:pt idx="25">
                  <c:v>0.40625</c:v>
                </c:pt>
                <c:pt idx="26">
                  <c:v>0.34375</c:v>
                </c:pt>
                <c:pt idx="27">
                  <c:v>-0.1875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'Ожид-факт_физ (3)'!$A$7</c:f>
              <c:strCache>
                <c:ptCount val="1"/>
                <c:pt idx="0">
                  <c:v>Спрос_ожидание</c:v>
                </c:pt>
              </c:strCache>
            </c:strRef>
          </c:tx>
          <c:spPr>
            <a:ln w="34925"/>
          </c:spPr>
          <c:marker>
            <c:symbol val="none"/>
          </c:marker>
          <c:cat>
            <c:multiLvlStrRef>
              <c:f>'Ожид-факт_физ (3)'!$B$4:$AD$5</c:f>
              <c:multiLvlStrCache>
                <c:ptCount val="29"/>
                <c:lvl>
                  <c:pt idx="0">
                    <c:v>1 кв 2011</c:v>
                  </c:pt>
                  <c:pt idx="1">
                    <c:v>2 кв 2011</c:v>
                  </c:pt>
                  <c:pt idx="2">
                    <c:v>3 кв 2011</c:v>
                  </c:pt>
                  <c:pt idx="3">
                    <c:v>4 кв 2011</c:v>
                  </c:pt>
                  <c:pt idx="4">
                    <c:v>1 кв 2012</c:v>
                  </c:pt>
                  <c:pt idx="5">
                    <c:v>2 кв 2012 </c:v>
                  </c:pt>
                  <c:pt idx="6">
                    <c:v>3 кв 2012 </c:v>
                  </c:pt>
                  <c:pt idx="7">
                    <c:v>4 кв 2012 </c:v>
                  </c:pt>
                  <c:pt idx="8">
                    <c:v>1 кв 2013 </c:v>
                  </c:pt>
                  <c:pt idx="9">
                    <c:v>2 кв 2013 </c:v>
                  </c:pt>
                  <c:pt idx="10">
                    <c:v>3 кв 2013 </c:v>
                  </c:pt>
                  <c:pt idx="11">
                    <c:v>4 кв 2013 </c:v>
                  </c:pt>
                  <c:pt idx="12">
                    <c:v>1 кв 2014 </c:v>
                  </c:pt>
                  <c:pt idx="13">
                    <c:v>2 кв 2014 </c:v>
                  </c:pt>
                  <c:pt idx="15">
                    <c:v>1 кв 2011</c:v>
                  </c:pt>
                  <c:pt idx="16">
                    <c:v>2 кв 2011</c:v>
                  </c:pt>
                  <c:pt idx="17">
                    <c:v>3 кв 2011</c:v>
                  </c:pt>
                  <c:pt idx="18">
                    <c:v>4 кв 2011</c:v>
                  </c:pt>
                  <c:pt idx="19">
                    <c:v>1 кв 2012</c:v>
                  </c:pt>
                  <c:pt idx="20">
                    <c:v>2 кв 2012 </c:v>
                  </c:pt>
                  <c:pt idx="21">
                    <c:v>3 кв 2012 </c:v>
                  </c:pt>
                  <c:pt idx="22">
                    <c:v>4 кв 2012 </c:v>
                  </c:pt>
                  <c:pt idx="23">
                    <c:v>1 кв 2013 </c:v>
                  </c:pt>
                  <c:pt idx="24">
                    <c:v>2 кв 2013 </c:v>
                  </c:pt>
                  <c:pt idx="25">
                    <c:v>3 кв 2013 </c:v>
                  </c:pt>
                  <c:pt idx="26">
                    <c:v>4 кв 2013 </c:v>
                  </c:pt>
                  <c:pt idx="27">
                    <c:v>1 кв 2014</c:v>
                  </c:pt>
                  <c:pt idx="28">
                    <c:v>2 кв 2014</c:v>
                  </c:pt>
                </c:lvl>
                <c:lvl>
                  <c:pt idx="0">
                    <c:v>Ипотечное кредитование</c:v>
                  </c:pt>
                  <c:pt idx="15">
                    <c:v>Потребительское кредитование</c:v>
                  </c:pt>
                </c:lvl>
              </c:multiLvlStrCache>
            </c:multiLvlStrRef>
          </c:cat>
          <c:val>
            <c:numRef>
              <c:f>'Ожид-факт_физ (3)'!$B$7:$AD$7</c:f>
              <c:numCache>
                <c:formatCode>0.00%</c:formatCode>
                <c:ptCount val="29"/>
                <c:pt idx="0">
                  <c:v>0.39285714285714285</c:v>
                </c:pt>
                <c:pt idx="1">
                  <c:v>0.44827586206896552</c:v>
                </c:pt>
                <c:pt idx="2">
                  <c:v>0.43333333333333335</c:v>
                </c:pt>
                <c:pt idx="3">
                  <c:v>0.4838709677419355</c:v>
                </c:pt>
                <c:pt idx="4">
                  <c:v>0.3</c:v>
                </c:pt>
                <c:pt idx="5">
                  <c:v>0.4</c:v>
                </c:pt>
                <c:pt idx="6">
                  <c:v>0.3666666666666667</c:v>
                </c:pt>
                <c:pt idx="7">
                  <c:v>0.37931034482758619</c:v>
                </c:pt>
                <c:pt idx="8">
                  <c:v>0.20689655172413796</c:v>
                </c:pt>
                <c:pt idx="9">
                  <c:v>0.43333333333333335</c:v>
                </c:pt>
                <c:pt idx="10">
                  <c:v>0.4</c:v>
                </c:pt>
                <c:pt idx="11">
                  <c:v>0.16666666666666666</c:v>
                </c:pt>
                <c:pt idx="12">
                  <c:v>0.3666666666666667</c:v>
                </c:pt>
                <c:pt idx="13">
                  <c:v>0.34482758620689652</c:v>
                </c:pt>
                <c:pt idx="15">
                  <c:v>0.62068965517241381</c:v>
                </c:pt>
                <c:pt idx="16">
                  <c:v>0.77419354838709675</c:v>
                </c:pt>
                <c:pt idx="17">
                  <c:v>0.71875</c:v>
                </c:pt>
                <c:pt idx="18">
                  <c:v>0.66666666666666663</c:v>
                </c:pt>
                <c:pt idx="19">
                  <c:v>0.39393939393939392</c:v>
                </c:pt>
                <c:pt idx="20">
                  <c:v>0.66666666666666674</c:v>
                </c:pt>
                <c:pt idx="21">
                  <c:v>0.60606060606060597</c:v>
                </c:pt>
                <c:pt idx="22">
                  <c:v>0.59375</c:v>
                </c:pt>
                <c:pt idx="23">
                  <c:v>0.46875</c:v>
                </c:pt>
                <c:pt idx="24">
                  <c:v>0.6875</c:v>
                </c:pt>
                <c:pt idx="25">
                  <c:v>0.5625</c:v>
                </c:pt>
                <c:pt idx="26">
                  <c:v>0.4375</c:v>
                </c:pt>
                <c:pt idx="27">
                  <c:v>0.4375</c:v>
                </c:pt>
                <c:pt idx="28">
                  <c:v>0.21875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764736"/>
        <c:axId val="189796352"/>
      </c:lineChart>
      <c:catAx>
        <c:axId val="189764736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189796352"/>
        <c:crosses val="autoZero"/>
        <c:auto val="1"/>
        <c:lblAlgn val="ctr"/>
        <c:lblOffset val="100"/>
        <c:noMultiLvlLbl val="0"/>
      </c:catAx>
      <c:valAx>
        <c:axId val="189796352"/>
        <c:scaling>
          <c:orientation val="minMax"/>
          <c:min val="-0.2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crossAx val="189764736"/>
        <c:crosses val="autoZero"/>
        <c:crossBetween val="between"/>
        <c:majorUnit val="0.2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2395221071166E-2"/>
          <c:y val="1.9015895160591836E-2"/>
          <c:w val="0.918247275883737"/>
          <c:h val="0.5724575772696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(3)'!$A$43</c:f>
              <c:strCache>
                <c:ptCount val="1"/>
                <c:pt idx="0">
                  <c:v>перспективы развития рынка недвижимости</c:v>
                </c:pt>
              </c:strCache>
            </c:strRef>
          </c:tx>
          <c:invertIfNegative val="0"/>
          <c:cat>
            <c:strRef>
              <c:f>'Ожид-факт_физ (3)'!$B$41:$K$42</c:f>
              <c:strCache>
                <c:ptCount val="10"/>
                <c:pt idx="0">
                  <c:v>4 кв 2011</c:v>
                </c:pt>
                <c:pt idx="1">
                  <c:v>1 кв 2012</c:v>
                </c:pt>
                <c:pt idx="2">
                  <c:v>2 кв 2012</c:v>
                </c:pt>
                <c:pt idx="3">
                  <c:v>3 кв 2012</c:v>
                </c:pt>
                <c:pt idx="4">
                  <c:v>4 кв 2012</c:v>
                </c:pt>
                <c:pt idx="5">
                  <c:v>1 кв 2013</c:v>
                </c:pt>
                <c:pt idx="6">
                  <c:v>2 кв 2013</c:v>
                </c:pt>
                <c:pt idx="7">
                  <c:v>3 кв 2013</c:v>
                </c:pt>
                <c:pt idx="8">
                  <c:v>4 кв 2013</c:v>
                </c:pt>
                <c:pt idx="9">
                  <c:v>1 кв 2014</c:v>
                </c:pt>
              </c:strCache>
            </c:strRef>
          </c:cat>
          <c:val>
            <c:numRef>
              <c:f>'Ожид-факт_физ (3)'!$B$43:$K$43</c:f>
              <c:numCache>
                <c:formatCode>0.00%</c:formatCode>
                <c:ptCount val="10"/>
                <c:pt idx="0">
                  <c:v>0.13333333333333336</c:v>
                </c:pt>
                <c:pt idx="1">
                  <c:v>0.13333333333333336</c:v>
                </c:pt>
                <c:pt idx="2">
                  <c:v>0.3</c:v>
                </c:pt>
                <c:pt idx="3">
                  <c:v>0.13793103448275862</c:v>
                </c:pt>
                <c:pt idx="4">
                  <c:v>0.17241379310344829</c:v>
                </c:pt>
                <c:pt idx="5">
                  <c:v>0.16666666666666666</c:v>
                </c:pt>
                <c:pt idx="6">
                  <c:v>0.23333333333333334</c:v>
                </c:pt>
                <c:pt idx="7">
                  <c:v>0.13333333333333333</c:v>
                </c:pt>
                <c:pt idx="8">
                  <c:v>0.26666666666666666</c:v>
                </c:pt>
                <c:pt idx="9">
                  <c:v>-0.20689655172413796</c:v>
                </c:pt>
              </c:numCache>
            </c:numRef>
          </c:val>
        </c:ser>
        <c:ser>
          <c:idx val="1"/>
          <c:order val="1"/>
          <c:tx>
            <c:strRef>
              <c:f>'Ожид-факт_физ (3)'!$A$44</c:f>
              <c:strCache>
                <c:ptCount val="1"/>
                <c:pt idx="0">
                  <c:v>уверенность потребителей (восприятие долгового бремени)</c:v>
                </c:pt>
              </c:strCache>
            </c:strRef>
          </c:tx>
          <c:invertIfNegative val="0"/>
          <c:cat>
            <c:strRef>
              <c:f>'Ожид-факт_физ (3)'!$B$41:$K$42</c:f>
              <c:strCache>
                <c:ptCount val="10"/>
                <c:pt idx="0">
                  <c:v>4 кв 2011</c:v>
                </c:pt>
                <c:pt idx="1">
                  <c:v>1 кв 2012</c:v>
                </c:pt>
                <c:pt idx="2">
                  <c:v>2 кв 2012</c:v>
                </c:pt>
                <c:pt idx="3">
                  <c:v>3 кв 2012</c:v>
                </c:pt>
                <c:pt idx="4">
                  <c:v>4 кв 2012</c:v>
                </c:pt>
                <c:pt idx="5">
                  <c:v>1 кв 2013</c:v>
                </c:pt>
                <c:pt idx="6">
                  <c:v>2 кв 2013</c:v>
                </c:pt>
                <c:pt idx="7">
                  <c:v>3 кв 2013</c:v>
                </c:pt>
                <c:pt idx="8">
                  <c:v>4 кв 2013</c:v>
                </c:pt>
                <c:pt idx="9">
                  <c:v>1 кв 2014</c:v>
                </c:pt>
              </c:strCache>
            </c:strRef>
          </c:cat>
          <c:val>
            <c:numRef>
              <c:f>'Ожид-факт_физ (3)'!$B$44:$K$44</c:f>
              <c:numCache>
                <c:formatCode>0.00%</c:formatCode>
                <c:ptCount val="10"/>
                <c:pt idx="0">
                  <c:v>3.3333333333333326E-2</c:v>
                </c:pt>
                <c:pt idx="1">
                  <c:v>0.16666666666666666</c:v>
                </c:pt>
                <c:pt idx="2">
                  <c:v>0.1</c:v>
                </c:pt>
                <c:pt idx="3">
                  <c:v>0.10344827586206896</c:v>
                </c:pt>
                <c:pt idx="4">
                  <c:v>0.2413793103448276</c:v>
                </c:pt>
                <c:pt idx="5">
                  <c:v>0.16666666666666666</c:v>
                </c:pt>
                <c:pt idx="6">
                  <c:v>0.2</c:v>
                </c:pt>
                <c:pt idx="7">
                  <c:v>0.13333333333333333</c:v>
                </c:pt>
                <c:pt idx="8">
                  <c:v>0.2</c:v>
                </c:pt>
                <c:pt idx="9">
                  <c:v>-0.20689655172413796</c:v>
                </c:pt>
              </c:numCache>
            </c:numRef>
          </c:val>
        </c:ser>
        <c:ser>
          <c:idx val="2"/>
          <c:order val="2"/>
          <c:tx>
            <c:strRef>
              <c:f>'Ожид-факт_физ (3)'!$A$45</c:f>
              <c:strCache>
                <c:ptCount val="1"/>
                <c:pt idx="0">
                  <c:v>личные сбережения</c:v>
                </c:pt>
              </c:strCache>
            </c:strRef>
          </c:tx>
          <c:invertIfNegative val="0"/>
          <c:cat>
            <c:strRef>
              <c:f>'Ожид-факт_физ (3)'!$B$41:$K$42</c:f>
              <c:strCache>
                <c:ptCount val="10"/>
                <c:pt idx="0">
                  <c:v>4 кв 2011</c:v>
                </c:pt>
                <c:pt idx="1">
                  <c:v>1 кв 2012</c:v>
                </c:pt>
                <c:pt idx="2">
                  <c:v>2 кв 2012</c:v>
                </c:pt>
                <c:pt idx="3">
                  <c:v>3 кв 2012</c:v>
                </c:pt>
                <c:pt idx="4">
                  <c:v>4 кв 2012</c:v>
                </c:pt>
                <c:pt idx="5">
                  <c:v>1 кв 2013</c:v>
                </c:pt>
                <c:pt idx="6">
                  <c:v>2 кв 2013</c:v>
                </c:pt>
                <c:pt idx="7">
                  <c:v>3 кв 2013</c:v>
                </c:pt>
                <c:pt idx="8">
                  <c:v>4 кв 2013</c:v>
                </c:pt>
                <c:pt idx="9">
                  <c:v>1 кв 2014</c:v>
                </c:pt>
              </c:strCache>
            </c:strRef>
          </c:cat>
          <c:val>
            <c:numRef>
              <c:f>'Ожид-факт_физ (3)'!$B$45:$K$45</c:f>
              <c:numCache>
                <c:formatCode>0.00%</c:formatCode>
                <c:ptCount val="10"/>
                <c:pt idx="0">
                  <c:v>6.6666666666666666E-2</c:v>
                </c:pt>
                <c:pt idx="1">
                  <c:v>0</c:v>
                </c:pt>
                <c:pt idx="2">
                  <c:v>0.13333333333333333</c:v>
                </c:pt>
                <c:pt idx="3">
                  <c:v>0.10344827586206896</c:v>
                </c:pt>
                <c:pt idx="4">
                  <c:v>0.10344827586206896</c:v>
                </c:pt>
                <c:pt idx="5">
                  <c:v>0.1</c:v>
                </c:pt>
                <c:pt idx="6">
                  <c:v>0</c:v>
                </c:pt>
                <c:pt idx="7">
                  <c:v>3.3333333333333333E-2</c:v>
                </c:pt>
                <c:pt idx="8">
                  <c:v>0.1</c:v>
                </c:pt>
                <c:pt idx="9">
                  <c:v>3.4482758620689655E-2</c:v>
                </c:pt>
              </c:numCache>
            </c:numRef>
          </c:val>
        </c:ser>
        <c:ser>
          <c:idx val="3"/>
          <c:order val="3"/>
          <c:tx>
            <c:strRef>
              <c:f>'Ожид-факт_физ (3)'!$A$46</c:f>
              <c:strCache>
                <c:ptCount val="1"/>
                <c:pt idx="0">
                  <c:v>займы других банков</c:v>
                </c:pt>
              </c:strCache>
            </c:strRef>
          </c:tx>
          <c:invertIfNegative val="0"/>
          <c:cat>
            <c:strRef>
              <c:f>'Ожид-факт_физ (3)'!$B$41:$K$42</c:f>
              <c:strCache>
                <c:ptCount val="10"/>
                <c:pt idx="0">
                  <c:v>4 кв 2011</c:v>
                </c:pt>
                <c:pt idx="1">
                  <c:v>1 кв 2012</c:v>
                </c:pt>
                <c:pt idx="2">
                  <c:v>2 кв 2012</c:v>
                </c:pt>
                <c:pt idx="3">
                  <c:v>3 кв 2012</c:v>
                </c:pt>
                <c:pt idx="4">
                  <c:v>4 кв 2012</c:v>
                </c:pt>
                <c:pt idx="5">
                  <c:v>1 кв 2013</c:v>
                </c:pt>
                <c:pt idx="6">
                  <c:v>2 кв 2013</c:v>
                </c:pt>
                <c:pt idx="7">
                  <c:v>3 кв 2013</c:v>
                </c:pt>
                <c:pt idx="8">
                  <c:v>4 кв 2013</c:v>
                </c:pt>
                <c:pt idx="9">
                  <c:v>1 кв 2014</c:v>
                </c:pt>
              </c:strCache>
            </c:strRef>
          </c:cat>
          <c:val>
            <c:numRef>
              <c:f>'Ожид-факт_физ (3)'!$B$46:$K$46</c:f>
              <c:numCache>
                <c:formatCode>0.00%</c:formatCode>
                <c:ptCount val="10"/>
                <c:pt idx="0">
                  <c:v>-0.2</c:v>
                </c:pt>
                <c:pt idx="1">
                  <c:v>-3.333333333333334E-2</c:v>
                </c:pt>
                <c:pt idx="2">
                  <c:v>3.3333333333333333E-2</c:v>
                </c:pt>
                <c:pt idx="3">
                  <c:v>6.8965517241379309E-2</c:v>
                </c:pt>
                <c:pt idx="4">
                  <c:v>3.4482758620689655E-2</c:v>
                </c:pt>
                <c:pt idx="5">
                  <c:v>-3.333333333333334E-2</c:v>
                </c:pt>
                <c:pt idx="6">
                  <c:v>0</c:v>
                </c:pt>
                <c:pt idx="7">
                  <c:v>0</c:v>
                </c:pt>
                <c:pt idx="8">
                  <c:v>0.2</c:v>
                </c:pt>
                <c:pt idx="9">
                  <c:v>0</c:v>
                </c:pt>
              </c:numCache>
            </c:numRef>
          </c:val>
        </c:ser>
        <c:ser>
          <c:idx val="4"/>
          <c:order val="4"/>
          <c:tx>
            <c:strRef>
              <c:f>'Ожид-факт_физ (3)'!$A$47</c:f>
              <c:strCache>
                <c:ptCount val="1"/>
                <c:pt idx="0">
                  <c:v>изменение сроков кредитования </c:v>
                </c:pt>
              </c:strCache>
            </c:strRef>
          </c:tx>
          <c:invertIfNegative val="0"/>
          <c:cat>
            <c:strRef>
              <c:f>'Ожид-факт_физ (3)'!$B$41:$K$42</c:f>
              <c:strCache>
                <c:ptCount val="10"/>
                <c:pt idx="0">
                  <c:v>4 кв 2011</c:v>
                </c:pt>
                <c:pt idx="1">
                  <c:v>1 кв 2012</c:v>
                </c:pt>
                <c:pt idx="2">
                  <c:v>2 кв 2012</c:v>
                </c:pt>
                <c:pt idx="3">
                  <c:v>3 кв 2012</c:v>
                </c:pt>
                <c:pt idx="4">
                  <c:v>4 кв 2012</c:v>
                </c:pt>
                <c:pt idx="5">
                  <c:v>1 кв 2013</c:v>
                </c:pt>
                <c:pt idx="6">
                  <c:v>2 кв 2013</c:v>
                </c:pt>
                <c:pt idx="7">
                  <c:v>3 кв 2013</c:v>
                </c:pt>
                <c:pt idx="8">
                  <c:v>4 кв 2013</c:v>
                </c:pt>
                <c:pt idx="9">
                  <c:v>1 кв 2014</c:v>
                </c:pt>
              </c:strCache>
            </c:strRef>
          </c:cat>
          <c:val>
            <c:numRef>
              <c:f>'Ожид-факт_физ (3)'!$B$47:$K$47</c:f>
              <c:numCache>
                <c:formatCode>0.00%</c:formatCode>
                <c:ptCount val="10"/>
                <c:pt idx="0">
                  <c:v>6.6666666666666666E-2</c:v>
                </c:pt>
                <c:pt idx="1">
                  <c:v>0</c:v>
                </c:pt>
                <c:pt idx="2">
                  <c:v>3.3333333333333333E-2</c:v>
                </c:pt>
                <c:pt idx="3">
                  <c:v>3.4482758620689655E-2</c:v>
                </c:pt>
                <c:pt idx="4">
                  <c:v>6.8965517241379309E-2</c:v>
                </c:pt>
                <c:pt idx="5">
                  <c:v>0</c:v>
                </c:pt>
                <c:pt idx="6">
                  <c:v>0</c:v>
                </c:pt>
                <c:pt idx="7">
                  <c:v>6.6666666666666666E-2</c:v>
                </c:pt>
                <c:pt idx="8">
                  <c:v>-3.3333333333333333E-2</c:v>
                </c:pt>
                <c:pt idx="9">
                  <c:v>6.8965517241379309E-2</c:v>
                </c:pt>
              </c:numCache>
            </c:numRef>
          </c:val>
        </c:ser>
        <c:ser>
          <c:idx val="5"/>
          <c:order val="5"/>
          <c:tx>
            <c:strRef>
              <c:f>'Ожид-факт_физ (3)'!$A$48</c:f>
              <c:strCache>
                <c:ptCount val="1"/>
                <c:pt idx="0">
                  <c:v>изменение процентных ставок</c:v>
                </c:pt>
              </c:strCache>
            </c:strRef>
          </c:tx>
          <c:invertIfNegative val="0"/>
          <c:cat>
            <c:strRef>
              <c:f>'Ожид-факт_физ (3)'!$B$41:$K$42</c:f>
              <c:strCache>
                <c:ptCount val="10"/>
                <c:pt idx="0">
                  <c:v>4 кв 2011</c:v>
                </c:pt>
                <c:pt idx="1">
                  <c:v>1 кв 2012</c:v>
                </c:pt>
                <c:pt idx="2">
                  <c:v>2 кв 2012</c:v>
                </c:pt>
                <c:pt idx="3">
                  <c:v>3 кв 2012</c:v>
                </c:pt>
                <c:pt idx="4">
                  <c:v>4 кв 2012</c:v>
                </c:pt>
                <c:pt idx="5">
                  <c:v>1 кв 2013</c:v>
                </c:pt>
                <c:pt idx="6">
                  <c:v>2 кв 2013</c:v>
                </c:pt>
                <c:pt idx="7">
                  <c:v>3 кв 2013</c:v>
                </c:pt>
                <c:pt idx="8">
                  <c:v>4 кв 2013</c:v>
                </c:pt>
                <c:pt idx="9">
                  <c:v>1 кв 2014</c:v>
                </c:pt>
              </c:strCache>
            </c:strRef>
          </c:cat>
          <c:val>
            <c:numRef>
              <c:f>'Ожид-факт_физ (3)'!$B$48:$K$48</c:f>
              <c:numCache>
                <c:formatCode>0.00%</c:formatCode>
                <c:ptCount val="10"/>
                <c:pt idx="0">
                  <c:v>0.23333333333333334</c:v>
                </c:pt>
                <c:pt idx="1">
                  <c:v>6.666666666666668E-2</c:v>
                </c:pt>
                <c:pt idx="2">
                  <c:v>0.2</c:v>
                </c:pt>
                <c:pt idx="3">
                  <c:v>0.10344827586206896</c:v>
                </c:pt>
                <c:pt idx="4">
                  <c:v>0.17241379310344829</c:v>
                </c:pt>
                <c:pt idx="5">
                  <c:v>6.6666666666666666E-2</c:v>
                </c:pt>
                <c:pt idx="6">
                  <c:v>0.13333333333333333</c:v>
                </c:pt>
                <c:pt idx="7">
                  <c:v>0.2</c:v>
                </c:pt>
                <c:pt idx="8">
                  <c:v>6.6666666666666666E-2</c:v>
                </c:pt>
                <c:pt idx="9">
                  <c:v>6.8965517241379309E-2</c:v>
                </c:pt>
              </c:numCache>
            </c:numRef>
          </c:val>
        </c:ser>
        <c:ser>
          <c:idx val="6"/>
          <c:order val="6"/>
          <c:tx>
            <c:strRef>
              <c:f>'Ожид-факт_физ (3)'!$A$49</c:f>
              <c:strCache>
                <c:ptCount val="1"/>
                <c:pt idx="0">
                  <c:v>изменение прочих условий кредитования</c:v>
                </c:pt>
              </c:strCache>
            </c:strRef>
          </c:tx>
          <c:invertIfNegative val="0"/>
          <c:cat>
            <c:strRef>
              <c:f>'Ожид-факт_физ (3)'!$B$41:$K$42</c:f>
              <c:strCache>
                <c:ptCount val="10"/>
                <c:pt idx="0">
                  <c:v>4 кв 2011</c:v>
                </c:pt>
                <c:pt idx="1">
                  <c:v>1 кв 2012</c:v>
                </c:pt>
                <c:pt idx="2">
                  <c:v>2 кв 2012</c:v>
                </c:pt>
                <c:pt idx="3">
                  <c:v>3 кв 2012</c:v>
                </c:pt>
                <c:pt idx="4">
                  <c:v>4 кв 2012</c:v>
                </c:pt>
                <c:pt idx="5">
                  <c:v>1 кв 2013</c:v>
                </c:pt>
                <c:pt idx="6">
                  <c:v>2 кв 2013</c:v>
                </c:pt>
                <c:pt idx="7">
                  <c:v>3 кв 2013</c:v>
                </c:pt>
                <c:pt idx="8">
                  <c:v>4 кв 2013</c:v>
                </c:pt>
                <c:pt idx="9">
                  <c:v>1 кв 2014</c:v>
                </c:pt>
              </c:strCache>
            </c:strRef>
          </c:cat>
          <c:val>
            <c:numRef>
              <c:f>'Ожид-факт_физ (3)'!$B$49:$K$49</c:f>
              <c:numCache>
                <c:formatCode>0.00%</c:formatCode>
                <c:ptCount val="10"/>
                <c:pt idx="0">
                  <c:v>0.13333333333333333</c:v>
                </c:pt>
                <c:pt idx="1">
                  <c:v>6.666666666666668E-2</c:v>
                </c:pt>
                <c:pt idx="2">
                  <c:v>0.1</c:v>
                </c:pt>
                <c:pt idx="3">
                  <c:v>3.4482758620689655E-2</c:v>
                </c:pt>
                <c:pt idx="4">
                  <c:v>0.10344827586206896</c:v>
                </c:pt>
                <c:pt idx="5">
                  <c:v>3.3333333333333333E-2</c:v>
                </c:pt>
                <c:pt idx="6">
                  <c:v>0.1</c:v>
                </c:pt>
                <c:pt idx="7">
                  <c:v>3.3333333333333333E-2</c:v>
                </c:pt>
                <c:pt idx="8">
                  <c:v>0.13333333333333333</c:v>
                </c:pt>
                <c:pt idx="9">
                  <c:v>3.4482758620689655E-2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9837696"/>
        <c:axId val="189839232"/>
      </c:barChart>
      <c:catAx>
        <c:axId val="189837696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189839232"/>
        <c:crosses val="autoZero"/>
        <c:auto val="1"/>
        <c:lblAlgn val="ctr"/>
        <c:lblOffset val="100"/>
        <c:noMultiLvlLbl val="0"/>
      </c:catAx>
      <c:valAx>
        <c:axId val="189839232"/>
        <c:scaling>
          <c:orientation val="minMax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crossAx val="189837696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2.1104389179075377E-2"/>
          <c:y val="0.81815114817465617"/>
          <c:w val="0.97165245185935911"/>
          <c:h val="0.1616863891170055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234799006183379"/>
          <c:y val="5.1400554097404488E-2"/>
          <c:w val="0.81716821348198732"/>
          <c:h val="0.55472851049868765"/>
        </c:manualLayout>
      </c:layout>
      <c:lineChart>
        <c:grouping val="standard"/>
        <c:varyColors val="0"/>
        <c:ser>
          <c:idx val="0"/>
          <c:order val="0"/>
          <c:tx>
            <c:strRef>
              <c:f>'Итого по ценам '!$B$11</c:f>
              <c:strCache>
                <c:ptCount val="1"/>
                <c:pt idx="0">
                  <c:v>Ожидания (левая ось)</c:v>
                </c:pt>
              </c:strCache>
            </c:strRef>
          </c:tx>
          <c:spPr>
            <a:ln w="31750"/>
          </c:spPr>
          <c:marker>
            <c:symbol val="none"/>
          </c:marker>
          <c:cat>
            <c:strRef>
              <c:f>'Итого по ценам '!$C$10:$P$10</c:f>
              <c:strCache>
                <c:ptCount val="14"/>
                <c:pt idx="0">
                  <c:v>1 кв 2011</c:v>
                </c:pt>
                <c:pt idx="1">
                  <c:v>2 кв 2011</c:v>
                </c:pt>
                <c:pt idx="2">
                  <c:v>3 кв 2011</c:v>
                </c:pt>
                <c:pt idx="3">
                  <c:v>4 кв 2011</c:v>
                </c:pt>
                <c:pt idx="4">
                  <c:v>1 кв 2012</c:v>
                </c:pt>
                <c:pt idx="5">
                  <c:v>2 кв 2012 </c:v>
                </c:pt>
                <c:pt idx="6">
                  <c:v>3 кв 2012 </c:v>
                </c:pt>
                <c:pt idx="7">
                  <c:v>4 кв 2012 </c:v>
                </c:pt>
                <c:pt idx="8">
                  <c:v>1 кв 2013 </c:v>
                </c:pt>
                <c:pt idx="9">
                  <c:v>2 кв 2013 </c:v>
                </c:pt>
                <c:pt idx="10">
                  <c:v>3 кв 2013 </c:v>
                </c:pt>
                <c:pt idx="11">
                  <c:v>4 кв 2013 </c:v>
                </c:pt>
                <c:pt idx="12">
                  <c:v>1 кв 2014</c:v>
                </c:pt>
                <c:pt idx="13">
                  <c:v>2 кв 2014</c:v>
                </c:pt>
              </c:strCache>
            </c:strRef>
          </c:cat>
          <c:val>
            <c:numRef>
              <c:f>'Итого по ценам '!$C$11:$P$11</c:f>
              <c:numCache>
                <c:formatCode>#,##0.00</c:formatCode>
                <c:ptCount val="14"/>
                <c:pt idx="0">
                  <c:v>16.13</c:v>
                </c:pt>
                <c:pt idx="1">
                  <c:v>53.13</c:v>
                </c:pt>
                <c:pt idx="2">
                  <c:v>69.7</c:v>
                </c:pt>
                <c:pt idx="3">
                  <c:v>63.64</c:v>
                </c:pt>
                <c:pt idx="4">
                  <c:v>15.15</c:v>
                </c:pt>
                <c:pt idx="5">
                  <c:v>51.52</c:v>
                </c:pt>
                <c:pt idx="6">
                  <c:v>26.47</c:v>
                </c:pt>
                <c:pt idx="7" formatCode="0.00">
                  <c:v>6.06</c:v>
                </c:pt>
                <c:pt idx="8" formatCode="0.00">
                  <c:v>9.09</c:v>
                </c:pt>
                <c:pt idx="9" formatCode="0.00">
                  <c:v>27.27</c:v>
                </c:pt>
                <c:pt idx="10" formatCode="0.00">
                  <c:v>30.3</c:v>
                </c:pt>
                <c:pt idx="11" formatCode="0.00">
                  <c:v>21.21</c:v>
                </c:pt>
                <c:pt idx="12" formatCode="0.00%">
                  <c:v>0.21212121212121213</c:v>
                </c:pt>
                <c:pt idx="13" formatCode="0.00%">
                  <c:v>-3.0303030303030304E-2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939072"/>
        <c:axId val="189940864"/>
      </c:lineChart>
      <c:lineChart>
        <c:grouping val="standard"/>
        <c:varyColors val="0"/>
        <c:ser>
          <c:idx val="1"/>
          <c:order val="1"/>
          <c:tx>
            <c:strRef>
              <c:f>'Итого по ценам '!$B$12</c:f>
              <c:strCache>
                <c:ptCount val="1"/>
                <c:pt idx="0">
                  <c:v>Темпы роста цен на недвижимость (справочно)</c:v>
                </c:pt>
              </c:strCache>
            </c:strRef>
          </c:tx>
          <c:spPr>
            <a:ln w="31750"/>
          </c:spPr>
          <c:marker>
            <c:symbol val="none"/>
          </c:marker>
          <c:cat>
            <c:strRef>
              <c:f>'Итого по ценам '!$C$10:$P$10</c:f>
              <c:strCache>
                <c:ptCount val="14"/>
                <c:pt idx="0">
                  <c:v>1 кв 2011</c:v>
                </c:pt>
                <c:pt idx="1">
                  <c:v>2 кв 2011</c:v>
                </c:pt>
                <c:pt idx="2">
                  <c:v>3 кв 2011</c:v>
                </c:pt>
                <c:pt idx="3">
                  <c:v>4 кв 2011</c:v>
                </c:pt>
                <c:pt idx="4">
                  <c:v>1 кв 2012</c:v>
                </c:pt>
                <c:pt idx="5">
                  <c:v>2 кв 2012 </c:v>
                </c:pt>
                <c:pt idx="6">
                  <c:v>3 кв 2012 </c:v>
                </c:pt>
                <c:pt idx="7">
                  <c:v>4 кв 2012 </c:v>
                </c:pt>
                <c:pt idx="8">
                  <c:v>1 кв 2013 </c:v>
                </c:pt>
                <c:pt idx="9">
                  <c:v>2 кв 2013 </c:v>
                </c:pt>
                <c:pt idx="10">
                  <c:v>3 кв 2013 </c:v>
                </c:pt>
                <c:pt idx="11">
                  <c:v>4 кв 2013 </c:v>
                </c:pt>
                <c:pt idx="12">
                  <c:v>1 кв 2014</c:v>
                </c:pt>
                <c:pt idx="13">
                  <c:v>2 кв 2014</c:v>
                </c:pt>
              </c:strCache>
            </c:strRef>
          </c:cat>
          <c:val>
            <c:numRef>
              <c:f>'Итого по ценам '!$C$12:$P$12</c:f>
              <c:numCache>
                <c:formatCode>#,##0.00</c:formatCode>
                <c:ptCount val="14"/>
                <c:pt idx="0">
                  <c:v>3.4260543151651177</c:v>
                </c:pt>
                <c:pt idx="1">
                  <c:v>1.4718306275128583</c:v>
                </c:pt>
                <c:pt idx="2">
                  <c:v>1.2635472180466252</c:v>
                </c:pt>
                <c:pt idx="3">
                  <c:v>1.6421744997024774</c:v>
                </c:pt>
                <c:pt idx="4">
                  <c:v>-0.83027153157843259</c:v>
                </c:pt>
                <c:pt idx="5">
                  <c:v>3.8920644592026719</c:v>
                </c:pt>
                <c:pt idx="6">
                  <c:v>3.1412728195308546</c:v>
                </c:pt>
                <c:pt idx="7">
                  <c:v>2.78402834142031</c:v>
                </c:pt>
                <c:pt idx="8">
                  <c:v>3.8182875002868144</c:v>
                </c:pt>
                <c:pt idx="9">
                  <c:v>2.9373739209227097</c:v>
                </c:pt>
                <c:pt idx="10">
                  <c:v>2.2483489246687469</c:v>
                </c:pt>
                <c:pt idx="11">
                  <c:v>2.5212221038844405</c:v>
                </c:pt>
                <c:pt idx="12">
                  <c:v>9.2936726835795724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942784"/>
        <c:axId val="189956864"/>
      </c:lineChart>
      <c:catAx>
        <c:axId val="189939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ru-RU"/>
          </a:p>
        </c:txPr>
        <c:crossAx val="189940864"/>
        <c:crosses val="autoZero"/>
        <c:auto val="1"/>
        <c:lblAlgn val="ctr"/>
        <c:lblOffset val="100"/>
        <c:noMultiLvlLbl val="0"/>
      </c:catAx>
      <c:valAx>
        <c:axId val="189940864"/>
        <c:scaling>
          <c:orientation val="minMax"/>
          <c:max val="80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title>
          <c:tx>
            <c:rich>
              <a:bodyPr rot="0" vert="wordArtVert"/>
              <a:lstStyle/>
              <a:p>
                <a:pPr algn="ctr"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89939072"/>
        <c:crosses val="autoZero"/>
        <c:crossBetween val="between"/>
        <c:majorUnit val="10"/>
      </c:valAx>
      <c:catAx>
        <c:axId val="189942784"/>
        <c:scaling>
          <c:orientation val="minMax"/>
        </c:scaling>
        <c:delete val="1"/>
        <c:axPos val="b"/>
        <c:majorTickMark val="out"/>
        <c:minorTickMark val="none"/>
        <c:tickLblPos val="nextTo"/>
        <c:crossAx val="189956864"/>
        <c:crosses val="autoZero"/>
        <c:auto val="1"/>
        <c:lblAlgn val="ctr"/>
        <c:lblOffset val="100"/>
        <c:noMultiLvlLbl val="0"/>
      </c:catAx>
      <c:valAx>
        <c:axId val="189956864"/>
        <c:scaling>
          <c:orientation val="minMax"/>
          <c:max val="14"/>
          <c:min val="-2"/>
        </c:scaling>
        <c:delete val="0"/>
        <c:axPos val="r"/>
        <c:title>
          <c:tx>
            <c:rich>
              <a:bodyPr rot="0" vert="wordArtVert"/>
              <a:lstStyle/>
              <a:p>
                <a:pPr algn="ctr">
                  <a:defRPr/>
                </a:pPr>
                <a:r>
                  <a:rPr lang="ru-RU"/>
                  <a:t> %</a:t>
                </a:r>
              </a:p>
            </c:rich>
          </c:tx>
          <c:layout>
            <c:manualLayout>
              <c:xMode val="edge"/>
              <c:yMode val="edge"/>
              <c:x val="0.9537014169354292"/>
              <c:y val="0.2650469943343893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89942784"/>
        <c:crosses val="max"/>
        <c:crossBetween val="between"/>
        <c:majorUnit val="2"/>
      </c:valAx>
    </c:plotArea>
    <c:legend>
      <c:legendPos val="b"/>
      <c:layout>
        <c:manualLayout>
          <c:xMode val="edge"/>
          <c:yMode val="edge"/>
          <c:x val="5.4449500040868598E-2"/>
          <c:y val="0.844759112957291"/>
          <c:w val="0.91994576695213715"/>
          <c:h val="0.1535858949121744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3431665304132063E-2"/>
          <c:y val="5.0925925925925923E-2"/>
          <c:w val="0.93053919079787162"/>
          <c:h val="0.54828294611321737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D8266A"/>
              </a:solidFill>
            </a:ln>
          </c:spPr>
          <c:marker>
            <c:symbol val="none"/>
          </c:marker>
          <c:cat>
            <c:multiLvlStrRef>
              <c:f>'Ожид-факт СП'!$C$4:$AT$5</c:f>
              <c:multiLvlStrCache>
                <c:ptCount val="44"/>
                <c:lvl>
                  <c:pt idx="0">
                    <c:v>1 кв 2011</c:v>
                  </c:pt>
                  <c:pt idx="1">
                    <c:v>2 кв 2011</c:v>
                  </c:pt>
                  <c:pt idx="2">
                    <c:v>3 кв 2011</c:v>
                  </c:pt>
                  <c:pt idx="3">
                    <c:v>4 кв 2011</c:v>
                  </c:pt>
                  <c:pt idx="4">
                    <c:v>1 кв 2012</c:v>
                  </c:pt>
                  <c:pt idx="5">
                    <c:v>2 кв 2012 </c:v>
                  </c:pt>
                  <c:pt idx="6">
                    <c:v>3 кв 2012 </c:v>
                  </c:pt>
                  <c:pt idx="7">
                    <c:v>4 кв 2012 </c:v>
                  </c:pt>
                  <c:pt idx="8">
                    <c:v>1 кв 2013 </c:v>
                  </c:pt>
                  <c:pt idx="9">
                    <c:v>2 кв 2013 </c:v>
                  </c:pt>
                  <c:pt idx="10">
                    <c:v>3 кв 2013 </c:v>
                  </c:pt>
                  <c:pt idx="11">
                    <c:v>4 кв 2013 </c:v>
                  </c:pt>
                  <c:pt idx="12">
                    <c:v>1 кв 2014 </c:v>
                  </c:pt>
                  <c:pt idx="13">
                    <c:v>2 кв 2014 </c:v>
                  </c:pt>
                  <c:pt idx="15">
                    <c:v>1 кв 2011</c:v>
                  </c:pt>
                  <c:pt idx="16">
                    <c:v>2 кв 2011</c:v>
                  </c:pt>
                  <c:pt idx="17">
                    <c:v>3 кв 2011</c:v>
                  </c:pt>
                  <c:pt idx="18">
                    <c:v>4 кв 2011</c:v>
                  </c:pt>
                  <c:pt idx="19">
                    <c:v>1 кв 2012</c:v>
                  </c:pt>
                  <c:pt idx="20">
                    <c:v>2 кв 2012 </c:v>
                  </c:pt>
                  <c:pt idx="21">
                    <c:v>3 кв 2012 </c:v>
                  </c:pt>
                  <c:pt idx="22">
                    <c:v>4 кв 2012 </c:v>
                  </c:pt>
                  <c:pt idx="23">
                    <c:v>1 кв 2013 </c:v>
                  </c:pt>
                  <c:pt idx="24">
                    <c:v>2 кв 2013 </c:v>
                  </c:pt>
                  <c:pt idx="25">
                    <c:v>3 кв 2013 </c:v>
                  </c:pt>
                  <c:pt idx="26">
                    <c:v>4 кв 2013 </c:v>
                  </c:pt>
                  <c:pt idx="27">
                    <c:v>1 кв 2014 </c:v>
                  </c:pt>
                  <c:pt idx="28">
                    <c:v>2 кв 2014 </c:v>
                  </c:pt>
                  <c:pt idx="30">
                    <c:v>1 кв 2011</c:v>
                  </c:pt>
                  <c:pt idx="31">
                    <c:v>2 кв 2011</c:v>
                  </c:pt>
                  <c:pt idx="32">
                    <c:v>3 кв 2011</c:v>
                  </c:pt>
                  <c:pt idx="33">
                    <c:v>4 кв 2011</c:v>
                  </c:pt>
                  <c:pt idx="34">
                    <c:v>1 кв 2012</c:v>
                  </c:pt>
                  <c:pt idx="35">
                    <c:v>2 кв 2012 </c:v>
                  </c:pt>
                  <c:pt idx="36">
                    <c:v>3 кв 2012 </c:v>
                  </c:pt>
                  <c:pt idx="37">
                    <c:v>4 кв 2012 </c:v>
                  </c:pt>
                  <c:pt idx="38">
                    <c:v>1 кв 2013 </c:v>
                  </c:pt>
                  <c:pt idx="39">
                    <c:v>2 кв 2013 </c:v>
                  </c:pt>
                  <c:pt idx="40">
                    <c:v>3 кв 2013 </c:v>
                  </c:pt>
                  <c:pt idx="41">
                    <c:v>4 кв 2013 </c:v>
                  </c:pt>
                  <c:pt idx="42">
                    <c:v>1 кв 2014 </c:v>
                  </c:pt>
                  <c:pt idx="43">
                    <c:v>2 кв 2014 </c:v>
                  </c:pt>
                </c:lvl>
                <c:lvl>
                  <c:pt idx="0">
                    <c:v>Ссудный портфель, всего</c:v>
                  </c:pt>
                  <c:pt idx="15">
                    <c:v>Корпоративный сектор</c:v>
                  </c:pt>
                  <c:pt idx="30">
                    <c:v>Физические лица</c:v>
                  </c:pt>
                </c:lvl>
              </c:multiLvlStrCache>
            </c:multiLvlStrRef>
          </c:cat>
          <c:val>
            <c:numRef>
              <c:f>'Ожид-факт СП'!$C$6:$AT$6</c:f>
              <c:numCache>
                <c:formatCode>0.00%</c:formatCode>
                <c:ptCount val="44"/>
                <c:pt idx="0">
                  <c:v>0.14285714285714288</c:v>
                </c:pt>
                <c:pt idx="1">
                  <c:v>0.16666666666666669</c:v>
                </c:pt>
                <c:pt idx="2">
                  <c:v>0.21621621621621623</c:v>
                </c:pt>
                <c:pt idx="3">
                  <c:v>8.1081081081081086E-2</c:v>
                </c:pt>
                <c:pt idx="4">
                  <c:v>0.1891891891891892</c:v>
                </c:pt>
                <c:pt idx="5">
                  <c:v>0.16216216216216217</c:v>
                </c:pt>
                <c:pt idx="6">
                  <c:v>5.4054054054054057E-2</c:v>
                </c:pt>
                <c:pt idx="7">
                  <c:v>2.7027027027027029E-2</c:v>
                </c:pt>
                <c:pt idx="8">
                  <c:v>0.1891891891891892</c:v>
                </c:pt>
                <c:pt idx="9">
                  <c:v>0.13513513513513514</c:v>
                </c:pt>
                <c:pt idx="10">
                  <c:v>0.13513513513513514</c:v>
                </c:pt>
                <c:pt idx="11">
                  <c:v>0</c:v>
                </c:pt>
                <c:pt idx="12">
                  <c:v>0.10810810810810811</c:v>
                </c:pt>
                <c:pt idx="13">
                  <c:v>0.1891891891891892</c:v>
                </c:pt>
                <c:pt idx="15">
                  <c:v>9.0909090909090912E-2</c:v>
                </c:pt>
                <c:pt idx="16">
                  <c:v>8.8235294117647065E-2</c:v>
                </c:pt>
                <c:pt idx="17">
                  <c:v>0.20588235294117646</c:v>
                </c:pt>
                <c:pt idx="18">
                  <c:v>2.9411764705882359E-2</c:v>
                </c:pt>
                <c:pt idx="19">
                  <c:v>0.20588235294117646</c:v>
                </c:pt>
                <c:pt idx="20">
                  <c:v>0.1764705882352941</c:v>
                </c:pt>
                <c:pt idx="21">
                  <c:v>0.20588235294117646</c:v>
                </c:pt>
                <c:pt idx="22">
                  <c:v>2.9411764705882346E-2</c:v>
                </c:pt>
                <c:pt idx="23">
                  <c:v>0.23529411764705882</c:v>
                </c:pt>
                <c:pt idx="24">
                  <c:v>0.11764705882352942</c:v>
                </c:pt>
                <c:pt idx="25">
                  <c:v>0.1764705882352941</c:v>
                </c:pt>
                <c:pt idx="26">
                  <c:v>2.9411764705882359E-2</c:v>
                </c:pt>
                <c:pt idx="27">
                  <c:v>0.17647058823529413</c:v>
                </c:pt>
                <c:pt idx="28">
                  <c:v>0.23529411764705882</c:v>
                </c:pt>
                <c:pt idx="30">
                  <c:v>0.15625</c:v>
                </c:pt>
                <c:pt idx="31">
                  <c:v>0.2424242424242424</c:v>
                </c:pt>
                <c:pt idx="32">
                  <c:v>0.17647058823529413</c:v>
                </c:pt>
                <c:pt idx="33">
                  <c:v>0.23529411764705882</c:v>
                </c:pt>
                <c:pt idx="34">
                  <c:v>0.1764705882352941</c:v>
                </c:pt>
                <c:pt idx="35">
                  <c:v>-2.9411764705882346E-2</c:v>
                </c:pt>
                <c:pt idx="36">
                  <c:v>2.9411764705882359E-2</c:v>
                </c:pt>
                <c:pt idx="37">
                  <c:v>0.12121212121212122</c:v>
                </c:pt>
                <c:pt idx="38">
                  <c:v>0.12121212121212122</c:v>
                </c:pt>
                <c:pt idx="39">
                  <c:v>9.0909090909090912E-2</c:v>
                </c:pt>
                <c:pt idx="40">
                  <c:v>0.11764705882352941</c:v>
                </c:pt>
                <c:pt idx="41">
                  <c:v>8.8235294117647051E-2</c:v>
                </c:pt>
                <c:pt idx="42">
                  <c:v>8.8235294117647065E-2</c:v>
                </c:pt>
                <c:pt idx="43">
                  <c:v>8.8235294117647051E-2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981824"/>
        <c:axId val="189983360"/>
      </c:lineChart>
      <c:catAx>
        <c:axId val="189981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9983360"/>
        <c:crosses val="autoZero"/>
        <c:auto val="1"/>
        <c:lblAlgn val="ctr"/>
        <c:lblOffset val="100"/>
        <c:noMultiLvlLbl val="0"/>
      </c:catAx>
      <c:valAx>
        <c:axId val="189983360"/>
        <c:scaling>
          <c:orientation val="minMax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9981824"/>
        <c:crosses val="autoZero"/>
        <c:crossBetween val="between"/>
        <c:majorUnit val="0.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154062644392542E-2"/>
          <c:y val="3.2948010646028883E-2"/>
          <c:w val="0.92783051940758288"/>
          <c:h val="0.5586997491326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 КР'!$B$6</c:f>
              <c:strCache>
                <c:ptCount val="1"/>
                <c:pt idx="0">
                  <c:v>Кредитный риск </c:v>
                </c:pt>
              </c:strCache>
            </c:strRef>
          </c:tx>
          <c:invertIfNegative val="0"/>
          <c:cat>
            <c:strRef>
              <c:f>'Ожид-факт КР'!$C$5:$O$5</c:f>
              <c:strCache>
                <c:ptCount val="13"/>
                <c:pt idx="0">
                  <c:v>1 кв 2011</c:v>
                </c:pt>
                <c:pt idx="1">
                  <c:v>2 кв 2011</c:v>
                </c:pt>
                <c:pt idx="2">
                  <c:v>3 кв 2011</c:v>
                </c:pt>
                <c:pt idx="3">
                  <c:v>4 кв 2011</c:v>
                </c:pt>
                <c:pt idx="4">
                  <c:v>1 кв 2012</c:v>
                </c:pt>
                <c:pt idx="5">
                  <c:v>2 кв 2012 </c:v>
                </c:pt>
                <c:pt idx="6">
                  <c:v>3 кв 2012 </c:v>
                </c:pt>
                <c:pt idx="7">
                  <c:v>4 кв 2012 </c:v>
                </c:pt>
                <c:pt idx="8">
                  <c:v>1 кв 2013</c:v>
                </c:pt>
                <c:pt idx="9">
                  <c:v>2 кв 2013</c:v>
                </c:pt>
                <c:pt idx="10">
                  <c:v>3 кв 2013</c:v>
                </c:pt>
                <c:pt idx="11">
                  <c:v>4 кв 2013</c:v>
                </c:pt>
                <c:pt idx="12">
                  <c:v>1 кв 2014</c:v>
                </c:pt>
              </c:strCache>
            </c:strRef>
          </c:cat>
          <c:val>
            <c:numRef>
              <c:f>'Ожид-факт КР'!$C$6:$O$6</c:f>
              <c:numCache>
                <c:formatCode>0.00%</c:formatCode>
                <c:ptCount val="13"/>
                <c:pt idx="0">
                  <c:v>0.25</c:v>
                </c:pt>
                <c:pt idx="1">
                  <c:v>0.24324324324324326</c:v>
                </c:pt>
                <c:pt idx="2">
                  <c:v>0.16216216216216217</c:v>
                </c:pt>
                <c:pt idx="3">
                  <c:v>0.21621621621621623</c:v>
                </c:pt>
                <c:pt idx="4">
                  <c:v>0.1891891891891892</c:v>
                </c:pt>
                <c:pt idx="5">
                  <c:v>0.21621621621621623</c:v>
                </c:pt>
                <c:pt idx="6">
                  <c:v>0.29729729729729731</c:v>
                </c:pt>
                <c:pt idx="7">
                  <c:v>0.27027027027027029</c:v>
                </c:pt>
                <c:pt idx="8">
                  <c:v>0.29729729729729731</c:v>
                </c:pt>
                <c:pt idx="9">
                  <c:v>0.21621621621621623</c:v>
                </c:pt>
                <c:pt idx="10">
                  <c:v>0.21621621621621623</c:v>
                </c:pt>
                <c:pt idx="11">
                  <c:v>0.29729729729729731</c:v>
                </c:pt>
                <c:pt idx="12">
                  <c:v>0.35135135135135137</c:v>
                </c:pt>
              </c:numCache>
            </c:numRef>
          </c:val>
        </c:ser>
        <c:ser>
          <c:idx val="1"/>
          <c:order val="1"/>
          <c:tx>
            <c:strRef>
              <c:f>'Ожид-факт КР'!$B$7</c:f>
              <c:strCache>
                <c:ptCount val="1"/>
                <c:pt idx="0">
                  <c:v>Процентный риск </c:v>
                </c:pt>
              </c:strCache>
            </c:strRef>
          </c:tx>
          <c:invertIfNegative val="0"/>
          <c:cat>
            <c:strRef>
              <c:f>'Ожид-факт КР'!$C$5:$O$5</c:f>
              <c:strCache>
                <c:ptCount val="13"/>
                <c:pt idx="0">
                  <c:v>1 кв 2011</c:v>
                </c:pt>
                <c:pt idx="1">
                  <c:v>2 кв 2011</c:v>
                </c:pt>
                <c:pt idx="2">
                  <c:v>3 кв 2011</c:v>
                </c:pt>
                <c:pt idx="3">
                  <c:v>4 кв 2011</c:v>
                </c:pt>
                <c:pt idx="4">
                  <c:v>1 кв 2012</c:v>
                </c:pt>
                <c:pt idx="5">
                  <c:v>2 кв 2012 </c:v>
                </c:pt>
                <c:pt idx="6">
                  <c:v>3 кв 2012 </c:v>
                </c:pt>
                <c:pt idx="7">
                  <c:v>4 кв 2012 </c:v>
                </c:pt>
                <c:pt idx="8">
                  <c:v>1 кв 2013</c:v>
                </c:pt>
                <c:pt idx="9">
                  <c:v>2 кв 2013</c:v>
                </c:pt>
                <c:pt idx="10">
                  <c:v>3 кв 2013</c:v>
                </c:pt>
                <c:pt idx="11">
                  <c:v>4 кв 2013</c:v>
                </c:pt>
                <c:pt idx="12">
                  <c:v>1 кв 2014</c:v>
                </c:pt>
              </c:strCache>
            </c:strRef>
          </c:cat>
          <c:val>
            <c:numRef>
              <c:f>'Ожид-факт КР'!$C$7:$O$7</c:f>
              <c:numCache>
                <c:formatCode>0.00%</c:formatCode>
                <c:ptCount val="13"/>
                <c:pt idx="0">
                  <c:v>0.16666666666666669</c:v>
                </c:pt>
                <c:pt idx="1">
                  <c:v>0.10810810810810811</c:v>
                </c:pt>
                <c:pt idx="2">
                  <c:v>0.10810810810810811</c:v>
                </c:pt>
                <c:pt idx="3">
                  <c:v>5.4054054054054057E-2</c:v>
                </c:pt>
                <c:pt idx="4">
                  <c:v>5.4054054054054057E-2</c:v>
                </c:pt>
                <c:pt idx="5">
                  <c:v>8.1081081081081086E-2</c:v>
                </c:pt>
                <c:pt idx="6">
                  <c:v>8.1081081081081086E-2</c:v>
                </c:pt>
                <c:pt idx="7">
                  <c:v>8.1081081081081086E-2</c:v>
                </c:pt>
                <c:pt idx="8">
                  <c:v>0.13513513513513514</c:v>
                </c:pt>
                <c:pt idx="9">
                  <c:v>0.10810810810810811</c:v>
                </c:pt>
                <c:pt idx="10">
                  <c:v>0.10810810810810811</c:v>
                </c:pt>
                <c:pt idx="11">
                  <c:v>0.13513513513513514</c:v>
                </c:pt>
                <c:pt idx="12">
                  <c:v>0.16216216216216217</c:v>
                </c:pt>
              </c:numCache>
            </c:numRef>
          </c:val>
        </c:ser>
        <c:ser>
          <c:idx val="2"/>
          <c:order val="2"/>
          <c:tx>
            <c:strRef>
              <c:f>'Ожид-факт КР'!$B$8</c:f>
              <c:strCache>
                <c:ptCount val="1"/>
                <c:pt idx="0">
                  <c:v>Валютный риск </c:v>
                </c:pt>
              </c:strCache>
            </c:strRef>
          </c:tx>
          <c:invertIfNegative val="0"/>
          <c:cat>
            <c:strRef>
              <c:f>'Ожид-факт КР'!$C$5:$O$5</c:f>
              <c:strCache>
                <c:ptCount val="13"/>
                <c:pt idx="0">
                  <c:v>1 кв 2011</c:v>
                </c:pt>
                <c:pt idx="1">
                  <c:v>2 кв 2011</c:v>
                </c:pt>
                <c:pt idx="2">
                  <c:v>3 кв 2011</c:v>
                </c:pt>
                <c:pt idx="3">
                  <c:v>4 кв 2011</c:v>
                </c:pt>
                <c:pt idx="4">
                  <c:v>1 кв 2012</c:v>
                </c:pt>
                <c:pt idx="5">
                  <c:v>2 кв 2012 </c:v>
                </c:pt>
                <c:pt idx="6">
                  <c:v>3 кв 2012 </c:v>
                </c:pt>
                <c:pt idx="7">
                  <c:v>4 кв 2012 </c:v>
                </c:pt>
                <c:pt idx="8">
                  <c:v>1 кв 2013</c:v>
                </c:pt>
                <c:pt idx="9">
                  <c:v>2 кв 2013</c:v>
                </c:pt>
                <c:pt idx="10">
                  <c:v>3 кв 2013</c:v>
                </c:pt>
                <c:pt idx="11">
                  <c:v>4 кв 2013</c:v>
                </c:pt>
                <c:pt idx="12">
                  <c:v>1 кв 2014</c:v>
                </c:pt>
              </c:strCache>
            </c:strRef>
          </c:cat>
          <c:val>
            <c:numRef>
              <c:f>'Ожид-факт КР'!$C$8:$O$8</c:f>
              <c:numCache>
                <c:formatCode>0.00%</c:formatCode>
                <c:ptCount val="13"/>
                <c:pt idx="0">
                  <c:v>5.5555555555555552E-2</c:v>
                </c:pt>
                <c:pt idx="1">
                  <c:v>0.13513513513513514</c:v>
                </c:pt>
                <c:pt idx="2">
                  <c:v>0.1891891891891892</c:v>
                </c:pt>
                <c:pt idx="3">
                  <c:v>8.1081081081081086E-2</c:v>
                </c:pt>
                <c:pt idx="4">
                  <c:v>8.1081081081081086E-2</c:v>
                </c:pt>
                <c:pt idx="5">
                  <c:v>0.13513513513513514</c:v>
                </c:pt>
                <c:pt idx="6">
                  <c:v>0.1891891891891892</c:v>
                </c:pt>
                <c:pt idx="7">
                  <c:v>0.13513513513513514</c:v>
                </c:pt>
                <c:pt idx="8">
                  <c:v>0.10810810810810811</c:v>
                </c:pt>
                <c:pt idx="9">
                  <c:v>8.1081081081081086E-2</c:v>
                </c:pt>
                <c:pt idx="10">
                  <c:v>0.10810810810810811</c:v>
                </c:pt>
                <c:pt idx="11">
                  <c:v>0.16216216216216217</c:v>
                </c:pt>
                <c:pt idx="12">
                  <c:v>0.32432432432432434</c:v>
                </c:pt>
              </c:numCache>
            </c:numRef>
          </c:val>
        </c:ser>
        <c:ser>
          <c:idx val="3"/>
          <c:order val="3"/>
          <c:tx>
            <c:strRef>
              <c:f>'Ожид-факт КР'!$B$9</c:f>
              <c:strCache>
                <c:ptCount val="1"/>
                <c:pt idx="0">
                  <c:v>Риск ликвидности </c:v>
                </c:pt>
              </c:strCache>
            </c:strRef>
          </c:tx>
          <c:invertIfNegative val="0"/>
          <c:cat>
            <c:strRef>
              <c:f>'Ожид-факт КР'!$C$5:$O$5</c:f>
              <c:strCache>
                <c:ptCount val="13"/>
                <c:pt idx="0">
                  <c:v>1 кв 2011</c:v>
                </c:pt>
                <c:pt idx="1">
                  <c:v>2 кв 2011</c:v>
                </c:pt>
                <c:pt idx="2">
                  <c:v>3 кв 2011</c:v>
                </c:pt>
                <c:pt idx="3">
                  <c:v>4 кв 2011</c:v>
                </c:pt>
                <c:pt idx="4">
                  <c:v>1 кв 2012</c:v>
                </c:pt>
                <c:pt idx="5">
                  <c:v>2 кв 2012 </c:v>
                </c:pt>
                <c:pt idx="6">
                  <c:v>3 кв 2012 </c:v>
                </c:pt>
                <c:pt idx="7">
                  <c:v>4 кв 2012 </c:v>
                </c:pt>
                <c:pt idx="8">
                  <c:v>1 кв 2013</c:v>
                </c:pt>
                <c:pt idx="9">
                  <c:v>2 кв 2013</c:v>
                </c:pt>
                <c:pt idx="10">
                  <c:v>3 кв 2013</c:v>
                </c:pt>
                <c:pt idx="11">
                  <c:v>4 кв 2013</c:v>
                </c:pt>
                <c:pt idx="12">
                  <c:v>1 кв 2014</c:v>
                </c:pt>
              </c:strCache>
            </c:strRef>
          </c:cat>
          <c:val>
            <c:numRef>
              <c:f>'Ожид-факт КР'!$C$9:$O$9</c:f>
              <c:numCache>
                <c:formatCode>0.00%</c:formatCode>
                <c:ptCount val="13"/>
                <c:pt idx="0">
                  <c:v>0.1388888888888889</c:v>
                </c:pt>
                <c:pt idx="1">
                  <c:v>8.1081081081081086E-2</c:v>
                </c:pt>
                <c:pt idx="2">
                  <c:v>2.7027027027027029E-2</c:v>
                </c:pt>
                <c:pt idx="3">
                  <c:v>2.7027027027027029E-2</c:v>
                </c:pt>
                <c:pt idx="4">
                  <c:v>0.10810810810810811</c:v>
                </c:pt>
                <c:pt idx="5">
                  <c:v>8.1081081081081086E-2</c:v>
                </c:pt>
                <c:pt idx="6">
                  <c:v>8.1081081081081086E-2</c:v>
                </c:pt>
                <c:pt idx="7">
                  <c:v>0.13513513513513514</c:v>
                </c:pt>
                <c:pt idx="8">
                  <c:v>0.13513513513513514</c:v>
                </c:pt>
                <c:pt idx="9">
                  <c:v>8.1081081081081086E-2</c:v>
                </c:pt>
                <c:pt idx="10">
                  <c:v>0.21621621621621623</c:v>
                </c:pt>
                <c:pt idx="11">
                  <c:v>0.1891891891891892</c:v>
                </c:pt>
                <c:pt idx="12">
                  <c:v>0.24324324324324326</c:v>
                </c:pt>
              </c:numCache>
            </c:numRef>
          </c:val>
        </c:ser>
        <c:ser>
          <c:idx val="4"/>
          <c:order val="4"/>
          <c:tx>
            <c:strRef>
              <c:f>'Ожид-факт КР'!$B$10</c:f>
              <c:strCache>
                <c:ptCount val="1"/>
                <c:pt idx="0">
                  <c:v>Операционный риск </c:v>
                </c:pt>
              </c:strCache>
            </c:strRef>
          </c:tx>
          <c:invertIfNegative val="0"/>
          <c:cat>
            <c:strRef>
              <c:f>'Ожид-факт КР'!$C$5:$O$5</c:f>
              <c:strCache>
                <c:ptCount val="13"/>
                <c:pt idx="0">
                  <c:v>1 кв 2011</c:v>
                </c:pt>
                <c:pt idx="1">
                  <c:v>2 кв 2011</c:v>
                </c:pt>
                <c:pt idx="2">
                  <c:v>3 кв 2011</c:v>
                </c:pt>
                <c:pt idx="3">
                  <c:v>4 кв 2011</c:v>
                </c:pt>
                <c:pt idx="4">
                  <c:v>1 кв 2012</c:v>
                </c:pt>
                <c:pt idx="5">
                  <c:v>2 кв 2012 </c:v>
                </c:pt>
                <c:pt idx="6">
                  <c:v>3 кв 2012 </c:v>
                </c:pt>
                <c:pt idx="7">
                  <c:v>4 кв 2012 </c:v>
                </c:pt>
                <c:pt idx="8">
                  <c:v>1 кв 2013</c:v>
                </c:pt>
                <c:pt idx="9">
                  <c:v>2 кв 2013</c:v>
                </c:pt>
                <c:pt idx="10">
                  <c:v>3 кв 2013</c:v>
                </c:pt>
                <c:pt idx="11">
                  <c:v>4 кв 2013</c:v>
                </c:pt>
                <c:pt idx="12">
                  <c:v>1 кв 2014</c:v>
                </c:pt>
              </c:strCache>
            </c:strRef>
          </c:cat>
          <c:val>
            <c:numRef>
              <c:f>'Ожид-факт КР'!$C$10:$O$10</c:f>
              <c:numCache>
                <c:formatCode>0.00%</c:formatCode>
                <c:ptCount val="13"/>
                <c:pt idx="0">
                  <c:v>8.3333333333333329E-2</c:v>
                </c:pt>
                <c:pt idx="1">
                  <c:v>8.1081081081081086E-2</c:v>
                </c:pt>
                <c:pt idx="2">
                  <c:v>8.1081081081081086E-2</c:v>
                </c:pt>
                <c:pt idx="3">
                  <c:v>0.10810810810810811</c:v>
                </c:pt>
                <c:pt idx="4">
                  <c:v>5.4054054054054057E-2</c:v>
                </c:pt>
                <c:pt idx="5">
                  <c:v>5.4054054054054057E-2</c:v>
                </c:pt>
                <c:pt idx="6">
                  <c:v>0.10810810810810811</c:v>
                </c:pt>
                <c:pt idx="7">
                  <c:v>0.13513513513513514</c:v>
                </c:pt>
                <c:pt idx="8">
                  <c:v>2.7027027027027029E-2</c:v>
                </c:pt>
                <c:pt idx="9">
                  <c:v>0</c:v>
                </c:pt>
                <c:pt idx="10">
                  <c:v>5.4054054054054057E-2</c:v>
                </c:pt>
                <c:pt idx="11">
                  <c:v>5.4054054054054057E-2</c:v>
                </c:pt>
                <c:pt idx="12">
                  <c:v>5.4054054054054057E-2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9908096"/>
        <c:axId val="189909632"/>
      </c:barChart>
      <c:catAx>
        <c:axId val="189908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89909632"/>
        <c:crosses val="autoZero"/>
        <c:auto val="1"/>
        <c:lblAlgn val="ctr"/>
        <c:lblOffset val="100"/>
        <c:noMultiLvlLbl val="0"/>
      </c:catAx>
      <c:valAx>
        <c:axId val="189909632"/>
        <c:scaling>
          <c:orientation val="minMax"/>
        </c:scaling>
        <c:delete val="0"/>
        <c:axPos val="l"/>
        <c:majorGridlines>
          <c:spPr>
            <a:ln w="0" cap="rnd">
              <a:prstDash val="sysDot"/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1899080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8012582985950291E-2"/>
          <c:y val="0.83408539802295079"/>
          <c:w val="0.93522271113169675"/>
          <c:h val="0.1597794942533290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AA92-3461-4564-B1F6-C7E75373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4568</TotalTime>
  <Pages>5</Pages>
  <Words>1539</Words>
  <Characters>8775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Обследование банков второго уровня «Состояние и прогноз параметров кредитного рынка», октябрь 2011 года</vt:lpstr>
      <vt:lpstr>Обследование банков второго уровня «Состояние и прогноз параметров кредитного рынка», октябрь 2011 года</vt:lpstr>
    </vt:vector>
  </TitlesOfParts>
  <Company>Microsoft</Company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Обследование банков второго уровня «Состояние и прогноз параметров кредитного рынка», октябрь 2011 года</dc:title>
  <dc:subject/>
  <dc:creator>FS_ARMAN_E</dc:creator>
  <cp:keywords/>
  <dc:description/>
  <cp:lastModifiedBy>Омарбеков Арман</cp:lastModifiedBy>
  <cp:revision>344</cp:revision>
  <cp:lastPrinted>2014-05-22T09:41:00Z</cp:lastPrinted>
  <dcterms:created xsi:type="dcterms:W3CDTF">2014-05-20T10:05:00Z</dcterms:created>
  <dcterms:modified xsi:type="dcterms:W3CDTF">2014-06-05T10:23:00Z</dcterms:modified>
</cp:coreProperties>
</file>