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charts/chart6.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3.xml" ContentType="application/vnd.openxmlformats-officedocument.drawingml.chartshapes+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6.xml" ContentType="application/vnd.openxmlformats-officedocument.themeOverride+xml"/>
  <Override PartName="/word/drawings/drawing5.xml" ContentType="application/vnd.openxmlformats-officedocument.drawingml.chartshapes+xml"/>
  <Override PartName="/word/charts/chart12.xml" ContentType="application/vnd.openxmlformats-officedocument.drawingml.chart+xml"/>
  <Override PartName="/word/theme/themeOverride7.xml" ContentType="application/vnd.openxmlformats-officedocument.themeOverride+xml"/>
  <Override PartName="/word/drawings/drawing6.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Override8.xml" ContentType="application/vnd.openxmlformats-officedocument.themeOverride+xml"/>
  <Override PartName="/word/charts/chart17.xml" ContentType="application/vnd.openxmlformats-officedocument.drawingml.chart+xml"/>
  <Override PartName="/word/theme/themeOverride9.xml" ContentType="application/vnd.openxmlformats-officedocument.themeOverride+xml"/>
  <Override PartName="/word/charts/chart18.xml" ContentType="application/vnd.openxmlformats-officedocument.drawingml.chart+xml"/>
  <Override PartName="/word/theme/themeOverride10.xml" ContentType="application/vnd.openxmlformats-officedocument.themeOverride+xml"/>
  <Override PartName="/word/charts/chart19.xml" ContentType="application/vnd.openxmlformats-officedocument.drawingml.chart+xml"/>
  <Override PartName="/word/theme/themeOverride11.xml" ContentType="application/vnd.openxmlformats-officedocument.themeOverride+xml"/>
  <Override PartName="/word/charts/chart20.xml" ContentType="application/vnd.openxmlformats-officedocument.drawingml.chart+xml"/>
  <Override PartName="/word/theme/themeOverride12.xml" ContentType="application/vnd.openxmlformats-officedocument.themeOverride+xml"/>
  <Override PartName="/word/charts/chart21.xml" ContentType="application/vnd.openxmlformats-officedocument.drawingml.chart+xml"/>
  <Override PartName="/word/theme/themeOverride13.xml" ContentType="application/vnd.openxmlformats-officedocument.themeOverride+xml"/>
  <Override PartName="/word/drawings/drawing7.xml" ContentType="application/vnd.openxmlformats-officedocument.drawingml.chartshapes+xml"/>
  <Override PartName="/word/charts/chart22.xml" ContentType="application/vnd.openxmlformats-officedocument.drawingml.chart+xml"/>
  <Override PartName="/word/theme/themeOverride14.xml" ContentType="application/vnd.openxmlformats-officedocument.themeOverride+xml"/>
  <Override PartName="/word/drawings/drawing8.xml" ContentType="application/vnd.openxmlformats-officedocument.drawingml.chartshapes+xml"/>
  <Override PartName="/word/charts/chart23.xml" ContentType="application/vnd.openxmlformats-officedocument.drawingml.chart+xml"/>
  <Override PartName="/word/theme/themeOverride15.xml" ContentType="application/vnd.openxmlformats-officedocument.themeOverride+xml"/>
  <Override PartName="/word/drawings/drawing9.xml" ContentType="application/vnd.openxmlformats-officedocument.drawingml.chartshapes+xml"/>
  <Override PartName="/word/charts/chart24.xml" ContentType="application/vnd.openxmlformats-officedocument.drawingml.chart+xml"/>
  <Override PartName="/word/theme/themeOverride16.xml" ContentType="application/vnd.openxmlformats-officedocument.themeOverride+xml"/>
  <Override PartName="/word/drawings/drawing10.xml" ContentType="application/vnd.openxmlformats-officedocument.drawingml.chartshapes+xml"/>
  <Override PartName="/word/charts/chart25.xml" ContentType="application/vnd.openxmlformats-officedocument.drawingml.chart+xml"/>
  <Override PartName="/word/theme/themeOverride17.xml" ContentType="application/vnd.openxmlformats-officedocument.themeOverride+xml"/>
  <Override PartName="/word/charts/chart26.xml" ContentType="application/vnd.openxmlformats-officedocument.drawingml.chart+xml"/>
  <Override PartName="/word/theme/themeOverride18.xml" ContentType="application/vnd.openxmlformats-officedocument.themeOverride+xml"/>
  <Override PartName="/word/charts/chart27.xml" ContentType="application/vnd.openxmlformats-officedocument.drawingml.chart+xml"/>
  <Override PartName="/word/theme/themeOverride19.xml" ContentType="application/vnd.openxmlformats-officedocument.themeOverride+xml"/>
  <Override PartName="/word/charts/chart28.xml" ContentType="application/vnd.openxmlformats-officedocument.drawingml.chart+xml"/>
  <Override PartName="/word/theme/themeOverride20.xml" ContentType="application/vnd.openxmlformats-officedocument.themeOverride+xml"/>
  <Override PartName="/word/drawings/drawing11.xml" ContentType="application/vnd.openxmlformats-officedocument.drawingml.chartshapes+xml"/>
  <Override PartName="/word/charts/chart29.xml" ContentType="application/vnd.openxmlformats-officedocument.drawingml.chart+xml"/>
  <Override PartName="/word/theme/themeOverride21.xml" ContentType="application/vnd.openxmlformats-officedocument.themeOverride+xml"/>
  <Override PartName="/word/charts/chart30.xml" ContentType="application/vnd.openxmlformats-officedocument.drawingml.chart+xml"/>
  <Override PartName="/word/theme/themeOverride22.xml" ContentType="application/vnd.openxmlformats-officedocument.themeOverride+xml"/>
  <Override PartName="/word/charts/chart31.xml" ContentType="application/vnd.openxmlformats-officedocument.drawingml.chart+xml"/>
  <Override PartName="/word/theme/themeOverride23.xml" ContentType="application/vnd.openxmlformats-officedocument.themeOverride+xml"/>
  <Override PartName="/word/charts/chart32.xml" ContentType="application/vnd.openxmlformats-officedocument.drawingml.chart+xml"/>
  <Override PartName="/word/theme/themeOverride24.xml" ContentType="application/vnd.openxmlformats-officedocument.themeOverride+xml"/>
  <Override PartName="/word/charts/chart33.xml" ContentType="application/vnd.openxmlformats-officedocument.drawingml.chart+xml"/>
  <Override PartName="/word/theme/themeOverride25.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theme/themeOverride26.xml" ContentType="application/vnd.openxmlformats-officedocument.themeOverride+xml"/>
  <Override PartName="/word/drawings/drawing12.xml" ContentType="application/vnd.openxmlformats-officedocument.drawingml.chartshapes+xml"/>
  <Override PartName="/word/charts/chart37.xml" ContentType="application/vnd.openxmlformats-officedocument.drawingml.chart+xml"/>
  <Override PartName="/word/theme/themeOverride27.xml" ContentType="application/vnd.openxmlformats-officedocument.themeOverride+xml"/>
  <Override PartName="/word/charts/chart38.xml" ContentType="application/vnd.openxmlformats-officedocument.drawingml.chart+xml"/>
  <Override PartName="/word/charts/chart39.xml" ContentType="application/vnd.openxmlformats-officedocument.drawingml.chart+xml"/>
  <Override PartName="/word/theme/themeOverride28.xml" ContentType="application/vnd.openxmlformats-officedocument.themeOverride+xml"/>
  <Override PartName="/word/charts/chart40.xml" ContentType="application/vnd.openxmlformats-officedocument.drawingml.chart+xml"/>
  <Override PartName="/word/theme/themeOverride29.xml" ContentType="application/vnd.openxmlformats-officedocument.themeOverride+xml"/>
  <Override PartName="/word/charts/chart41.xml" ContentType="application/vnd.openxmlformats-officedocument.drawingml.chart+xml"/>
  <Override PartName="/word/theme/themeOverride30.xml" ContentType="application/vnd.openxmlformats-officedocument.themeOverride+xml"/>
  <Override PartName="/word/charts/chart42.xml" ContentType="application/vnd.openxmlformats-officedocument.drawingml.chart+xml"/>
  <Override PartName="/word/charts/chart43.xml" ContentType="application/vnd.openxmlformats-officedocument.drawingml.chart+xml"/>
  <Override PartName="/word/theme/themeOverride31.xml" ContentType="application/vnd.openxmlformats-officedocument.themeOverride+xml"/>
  <Override PartName="/word/charts/chart44.xml" ContentType="application/vnd.openxmlformats-officedocument.drawingml.chart+xml"/>
  <Override PartName="/word/theme/themeOverride32.xml" ContentType="application/vnd.openxmlformats-officedocument.themeOverride+xml"/>
  <Override PartName="/word/charts/chart45.xml" ContentType="application/vnd.openxmlformats-officedocument.drawingml.chart+xml"/>
  <Override PartName="/word/theme/themeOverride33.xml" ContentType="application/vnd.openxmlformats-officedocument.themeOverride+xml"/>
  <Override PartName="/word/charts/chart46.xml" ContentType="application/vnd.openxmlformats-officedocument.drawingml.chart+xml"/>
  <Override PartName="/word/theme/themeOverride34.xml" ContentType="application/vnd.openxmlformats-officedocument.themeOverride+xml"/>
  <Override PartName="/word/charts/chart47.xml" ContentType="application/vnd.openxmlformats-officedocument.drawingml.chart+xml"/>
  <Override PartName="/word/theme/themeOverride35.xml" ContentType="application/vnd.openxmlformats-officedocument.themeOverride+xml"/>
  <Override PartName="/word/charts/chart48.xml" ContentType="application/vnd.openxmlformats-officedocument.drawingml.chart+xml"/>
  <Override PartName="/word/theme/themeOverride36.xml" ContentType="application/vnd.openxmlformats-officedocument.themeOverride+xml"/>
  <Override PartName="/word/charts/chart49.xml" ContentType="application/vnd.openxmlformats-officedocument.drawingml.chart+xml"/>
  <Override PartName="/word/theme/themeOverride37.xml" ContentType="application/vnd.openxmlformats-officedocument.themeOverride+xml"/>
  <Override PartName="/word/charts/chart50.xml" ContentType="application/vnd.openxmlformats-officedocument.drawingml.chart+xml"/>
  <Override PartName="/word/theme/themeOverride38.xml" ContentType="application/vnd.openxmlformats-officedocument.themeOverride+xml"/>
  <Override PartName="/word/drawings/drawing13.xml" ContentType="application/vnd.openxmlformats-officedocument.drawingml.chartshapes+xml"/>
  <Override PartName="/word/charts/chart51.xml" ContentType="application/vnd.openxmlformats-officedocument.drawingml.chart+xml"/>
  <Override PartName="/word/theme/themeOverride39.xml" ContentType="application/vnd.openxmlformats-officedocument.themeOverride+xml"/>
  <Override PartName="/word/charts/chart52.xml" ContentType="application/vnd.openxmlformats-officedocument.drawingml.chart+xml"/>
  <Override PartName="/word/theme/themeOverride40.xml" ContentType="application/vnd.openxmlformats-officedocument.themeOverride+xml"/>
  <Override PartName="/word/drawings/drawing14.xml" ContentType="application/vnd.openxmlformats-officedocument.drawingml.chartshapes+xml"/>
  <Override PartName="/word/charts/chart53.xml" ContentType="application/vnd.openxmlformats-officedocument.drawingml.chart+xml"/>
  <Override PartName="/word/theme/themeOverride4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51" w:rsidRPr="00A9366F" w:rsidRDefault="007B5838" w:rsidP="007B5838">
      <w:pPr>
        <w:ind w:hanging="1134"/>
        <w:rPr>
          <w:rFonts w:ascii="Calibri" w:eastAsia="Calibri" w:hAnsi="Calibri" w:cs="Calibri"/>
          <w:b/>
          <w:color w:val="0E4C28"/>
          <w:sz w:val="70"/>
          <w:szCs w:val="70"/>
          <w:lang w:val="en-US" w:eastAsia="en-US"/>
        </w:rPr>
      </w:pPr>
      <w:bookmarkStart w:id="0" w:name="_Toc470533627"/>
      <w:bookmarkStart w:id="1" w:name="_Toc470534232"/>
      <w:r>
        <w:rPr>
          <w:rFonts w:ascii="Calibri" w:eastAsia="Calibri" w:hAnsi="Calibri" w:cs="Calibri"/>
          <w:b/>
          <w:noProof/>
          <w:color w:val="0E4C28"/>
          <w:sz w:val="70"/>
          <w:szCs w:val="70"/>
        </w:rPr>
        <w:drawing>
          <wp:inline distT="0" distB="0" distL="0" distR="0" wp14:anchorId="10F9A4A4">
            <wp:extent cx="7185660" cy="1000703"/>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6286" cy="1003575"/>
                    </a:xfrm>
                    <a:prstGeom prst="rect">
                      <a:avLst/>
                    </a:prstGeom>
                    <a:noFill/>
                  </pic:spPr>
                </pic:pic>
              </a:graphicData>
            </a:graphic>
          </wp:inline>
        </w:drawing>
      </w:r>
    </w:p>
    <w:p w:rsidR="00CD7D51" w:rsidRPr="00A9366F" w:rsidRDefault="007F103A" w:rsidP="007F103A">
      <w:pPr>
        <w:rPr>
          <w:rFonts w:ascii="Calibri" w:eastAsia="Calibri" w:hAnsi="Calibri" w:cs="Calibri"/>
          <w:b/>
          <w:color w:val="0E4C28"/>
          <w:sz w:val="70"/>
          <w:szCs w:val="70"/>
          <w:lang w:val="en-US" w:eastAsia="en-US"/>
        </w:rPr>
      </w:pPr>
      <w:bookmarkStart w:id="2" w:name="_GoBack"/>
      <w:r w:rsidRPr="00A9366F">
        <w:rPr>
          <w:rFonts w:ascii="Calibri" w:eastAsia="Calibri" w:hAnsi="Calibri" w:cs="Calibri"/>
          <w:b/>
          <w:color w:val="0E4C28"/>
          <w:sz w:val="70"/>
          <w:szCs w:val="70"/>
          <w:lang w:val="en-US" w:eastAsia="en-US"/>
        </w:rPr>
        <w:t xml:space="preserve">Overview of </w:t>
      </w:r>
      <w:r w:rsidR="006A7611" w:rsidRPr="00A9366F">
        <w:rPr>
          <w:rFonts w:ascii="Calibri" w:eastAsia="Calibri" w:hAnsi="Calibri" w:cs="Calibri"/>
          <w:b/>
          <w:color w:val="0E4C28"/>
          <w:sz w:val="70"/>
          <w:szCs w:val="70"/>
          <w:lang w:val="en-US" w:eastAsia="en-US"/>
        </w:rPr>
        <w:t>Payment Systems and Development of Payment Services Market Oversight</w:t>
      </w:r>
      <w:r w:rsidR="009820BE" w:rsidRPr="00A9366F">
        <w:rPr>
          <w:rFonts w:ascii="Calibri" w:eastAsia="Calibri" w:hAnsi="Calibri" w:cs="Calibri"/>
          <w:b/>
          <w:color w:val="0E4C28"/>
          <w:sz w:val="70"/>
          <w:szCs w:val="70"/>
          <w:lang w:val="en-US" w:eastAsia="en-US"/>
        </w:rPr>
        <w:t xml:space="preserve"> Results</w:t>
      </w:r>
      <w:r w:rsidR="006A7611" w:rsidRPr="00A9366F">
        <w:rPr>
          <w:rFonts w:ascii="Calibri" w:eastAsia="Calibri" w:hAnsi="Calibri" w:cs="Calibri"/>
          <w:b/>
          <w:color w:val="0E4C28"/>
          <w:sz w:val="70"/>
          <w:szCs w:val="70"/>
          <w:lang w:val="en-US" w:eastAsia="en-US"/>
        </w:rPr>
        <w:t xml:space="preserve"> </w:t>
      </w:r>
      <w:r w:rsidRPr="00A9366F">
        <w:rPr>
          <w:rFonts w:ascii="Calibri" w:eastAsia="Calibri" w:hAnsi="Calibri" w:cs="Calibri"/>
          <w:b/>
          <w:color w:val="0E4C28"/>
          <w:sz w:val="70"/>
          <w:szCs w:val="70"/>
          <w:lang w:val="en-US" w:eastAsia="en-US"/>
        </w:rPr>
        <w:t>for 2016</w:t>
      </w:r>
    </w:p>
    <w:bookmarkEnd w:id="2"/>
    <w:p w:rsidR="00CD7D51" w:rsidRPr="00A9366F" w:rsidRDefault="00FB60A9" w:rsidP="00CD7D51">
      <w:pPr>
        <w:rPr>
          <w:rFonts w:ascii="Calibri" w:hAnsi="Calibri"/>
          <w:b/>
          <w:snapToGrid w:val="0"/>
          <w:color w:val="0E4C28"/>
          <w:spacing w:val="-2"/>
          <w:sz w:val="36"/>
          <w:szCs w:val="36"/>
          <w:lang w:val="en-US"/>
        </w:rPr>
      </w:pPr>
      <w:r w:rsidRPr="00A9366F">
        <w:rPr>
          <w:noProof/>
          <w:sz w:val="28"/>
        </w:rPr>
        <mc:AlternateContent>
          <mc:Choice Requires="wps">
            <w:drawing>
              <wp:anchor distT="0" distB="0" distL="114300" distR="114300" simplePos="0" relativeHeight="251692032" behindDoc="0" locked="0" layoutInCell="1" allowOverlap="1">
                <wp:simplePos x="0" y="0"/>
                <wp:positionH relativeFrom="column">
                  <wp:posOffset>1657350</wp:posOffset>
                </wp:positionH>
                <wp:positionV relativeFrom="paragraph">
                  <wp:posOffset>4936490</wp:posOffset>
                </wp:positionV>
                <wp:extent cx="2743200" cy="457200"/>
                <wp:effectExtent l="0" t="0" r="0" b="0"/>
                <wp:wrapNone/>
                <wp:docPr id="73" name="Прямоугольник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7200"/>
                        </a:xfrm>
                        <a:prstGeom prst="rect">
                          <a:avLst/>
                        </a:prstGeom>
                        <a:noFill/>
                        <a:ln w="25400" cap="flat" cmpd="sng" algn="ctr">
                          <a:noFill/>
                          <a:prstDash val="solid"/>
                        </a:ln>
                        <a:effectLst/>
                      </wps:spPr>
                      <wps:txbx>
                        <w:txbxContent>
                          <w:p w:rsidR="00541D5F" w:rsidRPr="00015E28" w:rsidRDefault="00541D5F" w:rsidP="00CD7D51">
                            <w:pPr>
                              <w:jc w:val="center"/>
                              <w:rPr>
                                <w:rFonts w:ascii="Calibri" w:hAnsi="Calibri"/>
                                <w:color w:val="000000"/>
                                <w:sz w:val="36"/>
                              </w:rPr>
                            </w:pPr>
                            <w:r>
                              <w:rPr>
                                <w:rFonts w:ascii="Calibri" w:hAnsi="Calibri"/>
                                <w:color w:val="000000"/>
                                <w:sz w:val="36"/>
                                <w:lang w:val="en-US"/>
                              </w:rPr>
                              <w:t>Almaty</w:t>
                            </w:r>
                            <w:r w:rsidRPr="00015E28">
                              <w:rPr>
                                <w:rFonts w:ascii="Calibri" w:hAnsi="Calibri"/>
                                <w:color w:val="000000"/>
                                <w:sz w:val="36"/>
                              </w:rPr>
                              <w:t>,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78" o:spid="_x0000_s1026" style="position:absolute;margin-left:130.5pt;margin-top:388.7pt;width:3in;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" filled="f" stroked="f" strokeweight="2pt">
                <v:path arrowok="t"/>
                <v:textbox>
                  <w:txbxContent>
                    <w:p w:rsidR="00541D5F" w:rsidRPr="00015E28" w:rsidRDefault="00541D5F" w:rsidP="00CD7D51">
                      <w:pPr>
                        <w:jc w:val="center"/>
                        <w:rPr>
                          <w:rFonts w:ascii="Calibri" w:hAnsi="Calibri"/>
                          <w:color w:val="000000"/>
                          <w:sz w:val="36"/>
                        </w:rPr>
                      </w:pPr>
                      <w:r>
                        <w:rPr>
                          <w:rFonts w:ascii="Calibri" w:hAnsi="Calibri"/>
                          <w:color w:val="000000"/>
                          <w:sz w:val="36"/>
                          <w:lang w:val="en-US"/>
                        </w:rPr>
                        <w:t>Almaty</w:t>
                      </w:r>
                      <w:r w:rsidRPr="00015E28">
                        <w:rPr>
                          <w:rFonts w:ascii="Calibri" w:hAnsi="Calibri"/>
                          <w:color w:val="000000"/>
                          <w:sz w:val="36"/>
                        </w:rPr>
                        <w:t>, 2017</w:t>
                      </w:r>
                    </w:p>
                  </w:txbxContent>
                </v:textbox>
              </v:rect>
            </w:pict>
          </mc:Fallback>
        </mc:AlternateContent>
      </w:r>
      <w:r w:rsidR="00CD7D51" w:rsidRPr="00A9366F">
        <w:rPr>
          <w:noProof/>
          <w:sz w:val="28"/>
        </w:rPr>
        <w:drawing>
          <wp:anchor distT="0" distB="0" distL="114300" distR="114300" simplePos="0" relativeHeight="251691008" behindDoc="0" locked="0" layoutInCell="1" allowOverlap="1">
            <wp:simplePos x="0" y="0"/>
            <wp:positionH relativeFrom="column">
              <wp:posOffset>-462915</wp:posOffset>
            </wp:positionH>
            <wp:positionV relativeFrom="paragraph">
              <wp:posOffset>749300</wp:posOffset>
            </wp:positionV>
            <wp:extent cx="6191250" cy="3581400"/>
            <wp:effectExtent l="0" t="0" r="0" b="0"/>
            <wp:wrapNone/>
            <wp:docPr id="74" name="Диаграмма 2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CD7D51" w:rsidRPr="00A9366F">
        <w:rPr>
          <w:rFonts w:ascii="Calibri" w:hAnsi="Calibri"/>
          <w:bCs/>
          <w:snapToGrid w:val="0"/>
          <w:color w:val="0E4C28"/>
          <w:spacing w:val="-2"/>
          <w:sz w:val="36"/>
          <w:szCs w:val="36"/>
          <w:lang w:val="en-US"/>
        </w:rPr>
        <w:br w:type="page"/>
      </w:r>
    </w:p>
    <w:bookmarkEnd w:id="0"/>
    <w:bookmarkEnd w:id="1"/>
    <w:p w:rsidR="00354088" w:rsidRPr="00A9366F" w:rsidRDefault="007F103A" w:rsidP="00354088">
      <w:pPr>
        <w:jc w:val="center"/>
        <w:rPr>
          <w:rFonts w:ascii="Calibri" w:hAnsi="Calibri"/>
          <w:b/>
          <w:bCs/>
          <w:snapToGrid w:val="0"/>
          <w:color w:val="0E4C28"/>
          <w:spacing w:val="-2"/>
          <w:sz w:val="30"/>
          <w:szCs w:val="30"/>
          <w:lang w:val="en-US"/>
        </w:rPr>
      </w:pPr>
      <w:r w:rsidRPr="00A9366F">
        <w:rPr>
          <w:rFonts w:ascii="Calibri" w:hAnsi="Calibri"/>
          <w:b/>
          <w:bCs/>
          <w:snapToGrid w:val="0"/>
          <w:color w:val="0E4C28"/>
          <w:spacing w:val="-2"/>
          <w:sz w:val="30"/>
          <w:szCs w:val="30"/>
          <w:lang w:val="en-US"/>
        </w:rPr>
        <w:lastRenderedPageBreak/>
        <w:t>CONTENTS</w:t>
      </w:r>
    </w:p>
    <w:p w:rsidR="006708F4" w:rsidRPr="00A9366F" w:rsidRDefault="006708F4" w:rsidP="00157779">
      <w:pPr>
        <w:jc w:val="center"/>
        <w:rPr>
          <w:rFonts w:ascii="Calibri" w:hAnsi="Calibri"/>
          <w:b/>
          <w:bCs/>
          <w:snapToGrid w:val="0"/>
          <w:color w:val="0E4C28"/>
          <w:spacing w:val="-2"/>
          <w:sz w:val="30"/>
          <w:szCs w:val="30"/>
          <w:lang w:val="en-US"/>
        </w:rPr>
      </w:pPr>
    </w:p>
    <w:p w:rsidR="00A9366F" w:rsidRDefault="00A12077">
      <w:pPr>
        <w:pStyle w:val="12"/>
        <w:tabs>
          <w:tab w:val="right" w:leader="dot" w:pos="9344"/>
        </w:tabs>
        <w:rPr>
          <w:noProof/>
          <w:sz w:val="30"/>
          <w:szCs w:val="30"/>
          <w:lang w:val="en-US"/>
        </w:rPr>
      </w:pPr>
      <w:r w:rsidRPr="00BF32A7">
        <w:rPr>
          <w:rFonts w:asciiTheme="minorHAnsi" w:hAnsiTheme="minorHAnsi" w:cstheme="minorHAnsi"/>
          <w:sz w:val="30"/>
          <w:szCs w:val="30"/>
          <w:lang w:val="en-US"/>
        </w:rPr>
        <w:fldChar w:fldCharType="begin"/>
      </w:r>
      <w:r w:rsidR="00C00A5C" w:rsidRPr="00BF32A7">
        <w:rPr>
          <w:rFonts w:asciiTheme="minorHAnsi" w:hAnsiTheme="minorHAnsi" w:cstheme="minorHAnsi"/>
          <w:sz w:val="30"/>
          <w:szCs w:val="30"/>
          <w:lang w:val="en-US"/>
        </w:rPr>
        <w:instrText xml:space="preserve"> TOC \o "1-3" \h \z \u </w:instrText>
      </w:r>
      <w:r w:rsidRPr="00BF32A7">
        <w:rPr>
          <w:rFonts w:asciiTheme="minorHAnsi" w:hAnsiTheme="minorHAnsi" w:cstheme="minorHAnsi"/>
          <w:sz w:val="30"/>
          <w:szCs w:val="30"/>
          <w:lang w:val="en-US"/>
        </w:rPr>
        <w:fldChar w:fldCharType="separate"/>
      </w:r>
      <w:hyperlink w:anchor="_Toc485626992" w:history="1">
        <w:r w:rsidR="00A9366F" w:rsidRPr="00BF32A7">
          <w:rPr>
            <w:rStyle w:val="a7"/>
            <w:rFonts w:ascii="Calibri" w:hAnsi="Calibri"/>
            <w:noProof/>
            <w:snapToGrid w:val="0"/>
            <w:color w:val="auto"/>
            <w:spacing w:val="-2"/>
            <w:sz w:val="30"/>
            <w:szCs w:val="30"/>
            <w:lang w:val="en-US"/>
          </w:rPr>
          <w:t>INTRODUCTION</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_Toc485626992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3" w:history="1">
        <w:r w:rsidR="00A9366F" w:rsidRPr="00BF32A7">
          <w:rPr>
            <w:rStyle w:val="a7"/>
            <w:rFonts w:ascii="Calibri" w:hAnsi="Calibri"/>
            <w:noProof/>
            <w:snapToGrid w:val="0"/>
            <w:color w:val="auto"/>
            <w:spacing w:val="-2"/>
            <w:sz w:val="30"/>
            <w:szCs w:val="30"/>
            <w:lang w:val="en-US"/>
          </w:rPr>
          <w:t>SECTION 1. PAYMENT SYSTEMS OF THE NATIONAL BANK OF KAZAKHSTAN</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_Toc485626993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6</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4" w:history="1">
        <w:r w:rsidR="00A9366F" w:rsidRPr="00BF32A7">
          <w:rPr>
            <w:rStyle w:val="a7"/>
            <w:rFonts w:ascii="Calibri" w:hAnsi="Calibri"/>
            <w:noProof/>
            <w:snapToGrid w:val="0"/>
            <w:color w:val="auto"/>
            <w:spacing w:val="-2"/>
            <w:sz w:val="30"/>
            <w:szCs w:val="30"/>
            <w:lang w:val="en-US"/>
          </w:rPr>
          <w:t>1.1. Summary of the payment systems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_Toc485626994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7</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5" w:history="1">
        <w:r w:rsidR="00A9366F" w:rsidRPr="00BF32A7">
          <w:rPr>
            <w:rStyle w:val="a7"/>
            <w:rFonts w:ascii="Calibri" w:hAnsi="Calibri"/>
            <w:noProof/>
            <w:snapToGrid w:val="0"/>
            <w:color w:val="auto"/>
            <w:spacing w:val="-2"/>
            <w:sz w:val="30"/>
            <w:szCs w:val="30"/>
            <w:lang w:val="en-US"/>
          </w:rPr>
          <w:t>1.2. Payment systems compliance with Principles for FMI</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_Toc485626995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9</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6" w:history="1">
        <w:r w:rsidR="00A9366F" w:rsidRPr="00BF32A7">
          <w:rPr>
            <w:rStyle w:val="a7"/>
            <w:rFonts w:ascii="Calibri" w:hAnsi="Calibri"/>
            <w:noProof/>
            <w:snapToGrid w:val="0"/>
            <w:color w:val="auto"/>
            <w:spacing w:val="-2"/>
            <w:sz w:val="30"/>
            <w:szCs w:val="30"/>
            <w:lang w:val="en-US"/>
          </w:rPr>
          <w:t>1.3. Payment system development indicators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_Toc485626996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18</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7" w:history="1">
        <w:r w:rsidR="00A9366F" w:rsidRPr="00BF32A7">
          <w:rPr>
            <w:rStyle w:val="a7"/>
            <w:rFonts w:ascii="Calibri" w:hAnsi="Calibri"/>
            <w:noProof/>
            <w:snapToGrid w:val="0"/>
            <w:color w:val="auto"/>
            <w:spacing w:val="-2"/>
            <w:sz w:val="30"/>
            <w:szCs w:val="30"/>
            <w:lang w:val="en-US"/>
          </w:rPr>
          <w:t>1.4. ISMT performance indicators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_Toc485626997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20</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8" w:history="1">
        <w:r w:rsidR="00C639E2" w:rsidRPr="00BF32A7">
          <w:rPr>
            <w:rStyle w:val="a7"/>
            <w:rFonts w:ascii="Calibri" w:hAnsi="Calibri"/>
            <w:noProof/>
            <w:snapToGrid w:val="0"/>
            <w:color w:val="auto"/>
            <w:spacing w:val="-2"/>
            <w:sz w:val="30"/>
            <w:szCs w:val="30"/>
            <w:lang w:val="en-US"/>
          </w:rPr>
          <w:t>1.5. ICS</w:t>
        </w:r>
        <w:r w:rsidR="00A9366F" w:rsidRPr="00BF32A7">
          <w:rPr>
            <w:rStyle w:val="a7"/>
            <w:rFonts w:ascii="Calibri" w:hAnsi="Calibri"/>
            <w:noProof/>
            <w:snapToGrid w:val="0"/>
            <w:color w:val="auto"/>
            <w:spacing w:val="-2"/>
            <w:sz w:val="30"/>
            <w:szCs w:val="30"/>
            <w:lang w:val="en-US"/>
          </w:rPr>
          <w:t xml:space="preserve"> performance indicators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_Toc485626998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22</w:t>
        </w:r>
        <w:r w:rsidR="00A9366F" w:rsidRPr="00BF32A7">
          <w:rPr>
            <w:noProof/>
            <w:webHidden/>
            <w:sz w:val="30"/>
            <w:szCs w:val="30"/>
            <w:lang w:val="en-US"/>
          </w:rPr>
          <w:fldChar w:fldCharType="end"/>
        </w:r>
      </w:hyperlink>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6999" w:history="1">
        <w:r w:rsidR="00A9366F" w:rsidRPr="00BF32A7">
          <w:rPr>
            <w:rStyle w:val="a7"/>
            <w:rFonts w:ascii="Calibri" w:hAnsi="Calibri"/>
            <w:noProof/>
            <w:snapToGrid w:val="0"/>
            <w:color w:val="auto"/>
            <w:spacing w:val="-2"/>
            <w:sz w:val="30"/>
            <w:szCs w:val="30"/>
            <w:lang w:val="en-US"/>
          </w:rPr>
          <w:t>1.6. Money liquidity and turnover in payment systems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_Toc485626999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24</w:t>
        </w:r>
        <w:r w:rsidR="00A9366F" w:rsidRPr="00BF32A7">
          <w:rPr>
            <w:noProof/>
            <w:webHidden/>
            <w:sz w:val="30"/>
            <w:szCs w:val="30"/>
            <w:lang w:val="en-US"/>
          </w:rPr>
          <w:fldChar w:fldCharType="end"/>
        </w:r>
      </w:hyperlink>
    </w:p>
    <w:p w:rsidR="00A9366F" w:rsidRPr="003A6A0F" w:rsidRDefault="004B63BA">
      <w:pPr>
        <w:pStyle w:val="12"/>
        <w:tabs>
          <w:tab w:val="right" w:leader="dot" w:pos="9344"/>
        </w:tabs>
        <w:rPr>
          <w:rFonts w:asciiTheme="minorHAnsi" w:eastAsiaTheme="minorEastAsia" w:hAnsiTheme="minorHAnsi" w:cstheme="minorBidi"/>
          <w:noProof/>
          <w:sz w:val="30"/>
          <w:szCs w:val="30"/>
          <w:lang w:eastAsia="en-US"/>
        </w:rPr>
      </w:pPr>
      <w:hyperlink w:anchor="_Toc485627000" w:history="1">
        <w:r w:rsidR="00A9366F" w:rsidRPr="00BF32A7">
          <w:rPr>
            <w:rStyle w:val="a7"/>
            <w:rFonts w:ascii="Calibri" w:hAnsi="Calibri"/>
            <w:noProof/>
            <w:snapToGrid w:val="0"/>
            <w:color w:val="auto"/>
            <w:spacing w:val="-2"/>
            <w:sz w:val="30"/>
            <w:szCs w:val="30"/>
            <w:lang w:val="en-US"/>
          </w:rPr>
          <w:t>1.7. Payment system operability indices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_Toc485627000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25</w:t>
        </w:r>
        <w:r w:rsidR="00A9366F" w:rsidRPr="00BF32A7">
          <w:rPr>
            <w:noProof/>
            <w:webHidden/>
            <w:sz w:val="30"/>
            <w:szCs w:val="30"/>
            <w:lang w:val="en-US"/>
          </w:rPr>
          <w:fldChar w:fldCharType="end"/>
        </w:r>
      </w:hyperlink>
    </w:p>
    <w:p w:rsidR="00A9366F" w:rsidRPr="003A6A0F" w:rsidRDefault="004B63BA">
      <w:pPr>
        <w:pStyle w:val="12"/>
        <w:tabs>
          <w:tab w:val="right" w:leader="dot" w:pos="9344"/>
        </w:tabs>
        <w:rPr>
          <w:noProof/>
          <w:sz w:val="30"/>
          <w:szCs w:val="30"/>
        </w:rPr>
      </w:pPr>
      <w:hyperlink w:anchor="_Toc485627001" w:history="1">
        <w:r w:rsidR="00A9366F" w:rsidRPr="00BF32A7">
          <w:rPr>
            <w:rStyle w:val="a7"/>
            <w:rFonts w:ascii="Calibri" w:hAnsi="Calibri"/>
            <w:noProof/>
            <w:snapToGrid w:val="0"/>
            <w:color w:val="auto"/>
            <w:spacing w:val="-2"/>
            <w:sz w:val="30"/>
            <w:szCs w:val="30"/>
            <w:lang w:val="en-US"/>
          </w:rPr>
          <w:t>1.8. System of Mass Electronic Payments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_Toc485627001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26</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Default="004B63BA">
      <w:pPr>
        <w:pStyle w:val="12"/>
        <w:tabs>
          <w:tab w:val="right" w:leader="dot" w:pos="9344"/>
        </w:tabs>
        <w:rPr>
          <w:noProof/>
          <w:sz w:val="30"/>
          <w:szCs w:val="30"/>
          <w:lang w:val="en-US"/>
        </w:rPr>
      </w:pPr>
      <w:hyperlink w:anchor="_Toc485627002" w:history="1">
        <w:r w:rsidR="00A9366F" w:rsidRPr="00BF32A7">
          <w:rPr>
            <w:rStyle w:val="a7"/>
            <w:rFonts w:ascii="Calibri" w:hAnsi="Calibri"/>
            <w:noProof/>
            <w:snapToGrid w:val="0"/>
            <w:color w:val="auto"/>
            <w:spacing w:val="-2"/>
            <w:sz w:val="30"/>
            <w:szCs w:val="30"/>
            <w:lang w:val="en-US"/>
          </w:rPr>
          <w:t>SECTION 2. PAYMENT INSTRUMENTS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_Toc485627002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28</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Default="004B63BA">
      <w:pPr>
        <w:pStyle w:val="12"/>
        <w:tabs>
          <w:tab w:val="right" w:leader="dot" w:pos="9344"/>
        </w:tabs>
        <w:rPr>
          <w:noProof/>
          <w:sz w:val="30"/>
          <w:szCs w:val="30"/>
          <w:lang w:val="en-US"/>
        </w:rPr>
      </w:pPr>
      <w:hyperlink w:anchor="_Toc485627003" w:history="1">
        <w:r w:rsidR="00A9366F" w:rsidRPr="00BF32A7">
          <w:rPr>
            <w:rStyle w:val="a7"/>
            <w:rFonts w:ascii="Calibri" w:hAnsi="Calibri"/>
            <w:noProof/>
            <w:snapToGrid w:val="0"/>
            <w:color w:val="auto"/>
            <w:spacing w:val="-2"/>
            <w:sz w:val="30"/>
            <w:szCs w:val="30"/>
            <w:lang w:val="en-US"/>
          </w:rPr>
          <w:t>SECTION 3. PAYMENT SERVICES MARKET</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_Toc485627003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30</w:t>
        </w:r>
        <w:r w:rsidR="00A9366F" w:rsidRPr="00BF32A7">
          <w:rPr>
            <w:noProof/>
            <w:webHidden/>
            <w:sz w:val="30"/>
            <w:szCs w:val="30"/>
            <w:lang w:val="en-US"/>
          </w:rPr>
          <w:fldChar w:fldCharType="end"/>
        </w:r>
      </w:hyperlink>
    </w:p>
    <w:p w:rsidR="00A9366F" w:rsidRPr="003A6A0F" w:rsidRDefault="004B63BA">
      <w:pPr>
        <w:pStyle w:val="21"/>
        <w:rPr>
          <w:rFonts w:asciiTheme="minorHAnsi" w:eastAsiaTheme="minorEastAsia" w:hAnsiTheme="minorHAnsi" w:cstheme="minorBidi"/>
          <w:noProof/>
          <w:sz w:val="30"/>
          <w:szCs w:val="30"/>
          <w:lang w:eastAsia="en-US"/>
        </w:rPr>
      </w:pPr>
      <w:hyperlink w:anchor="_Toc485627004" w:history="1">
        <w:r w:rsidR="00A9366F" w:rsidRPr="00BF32A7">
          <w:rPr>
            <w:rStyle w:val="a7"/>
            <w:rFonts w:ascii="Calibri" w:hAnsi="Calibri"/>
            <w:noProof/>
            <w:snapToGrid w:val="0"/>
            <w:color w:val="auto"/>
            <w:spacing w:val="-2"/>
            <w:sz w:val="30"/>
            <w:szCs w:val="30"/>
            <w:lang w:val="en-US"/>
          </w:rPr>
          <w:t>3.1. Infrastructure of the market of electronic payment services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_Toc485627004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31</w:t>
        </w:r>
        <w:r w:rsidR="00A9366F" w:rsidRPr="00BF32A7">
          <w:rPr>
            <w:noProof/>
            <w:webHidden/>
            <w:sz w:val="30"/>
            <w:szCs w:val="30"/>
            <w:lang w:val="en-US"/>
          </w:rPr>
          <w:fldChar w:fldCharType="end"/>
        </w:r>
      </w:hyperlink>
    </w:p>
    <w:p w:rsidR="00A9366F" w:rsidRPr="00BF32A7" w:rsidRDefault="004B63BA">
      <w:pPr>
        <w:pStyle w:val="21"/>
        <w:rPr>
          <w:rFonts w:asciiTheme="minorHAnsi" w:eastAsiaTheme="minorEastAsia" w:hAnsiTheme="minorHAnsi" w:cstheme="minorBidi"/>
          <w:noProof/>
          <w:sz w:val="30"/>
          <w:szCs w:val="30"/>
          <w:lang w:val="en-US" w:eastAsia="en-US"/>
        </w:rPr>
      </w:pPr>
      <w:hyperlink w:anchor="_Toc485627005" w:history="1">
        <w:r w:rsidR="00A9366F" w:rsidRPr="00BF32A7">
          <w:rPr>
            <w:rStyle w:val="a7"/>
            <w:rFonts w:ascii="Calibri" w:hAnsi="Calibri"/>
            <w:noProof/>
            <w:snapToGrid w:val="0"/>
            <w:color w:val="auto"/>
            <w:spacing w:val="-2"/>
            <w:sz w:val="30"/>
            <w:szCs w:val="30"/>
            <w:lang w:val="en-US"/>
          </w:rPr>
          <w:t>3.2. Payment services provided through the remote access systems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_Toc485627005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34</w:t>
        </w:r>
        <w:r w:rsidR="00A9366F" w:rsidRPr="00BF32A7">
          <w:rPr>
            <w:noProof/>
            <w:webHidden/>
            <w:sz w:val="30"/>
            <w:szCs w:val="30"/>
            <w:lang w:val="en-US"/>
          </w:rPr>
          <w:fldChar w:fldCharType="end"/>
        </w:r>
      </w:hyperlink>
    </w:p>
    <w:p w:rsidR="00A9366F" w:rsidRPr="00BF32A7" w:rsidRDefault="004B63BA">
      <w:pPr>
        <w:pStyle w:val="21"/>
        <w:rPr>
          <w:rFonts w:asciiTheme="minorHAnsi" w:eastAsiaTheme="minorEastAsia" w:hAnsiTheme="minorHAnsi" w:cstheme="minorBidi"/>
          <w:noProof/>
          <w:sz w:val="30"/>
          <w:szCs w:val="30"/>
          <w:lang w:val="en-US" w:eastAsia="en-US"/>
        </w:rPr>
      </w:pPr>
      <w:hyperlink w:anchor="_Toc485627006" w:history="1">
        <w:r w:rsidR="00A9366F" w:rsidRPr="00BF32A7">
          <w:rPr>
            <w:rStyle w:val="a7"/>
            <w:rFonts w:ascii="Calibri" w:hAnsi="Calibri"/>
            <w:noProof/>
            <w:snapToGrid w:val="0"/>
            <w:color w:val="auto"/>
            <w:spacing w:val="-2"/>
            <w:sz w:val="30"/>
            <w:szCs w:val="30"/>
            <w:lang w:val="en-US"/>
          </w:rPr>
          <w:t>3.3. Internet and mobile payments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_Toc485627006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36</w:t>
        </w:r>
        <w:r w:rsidR="00A9366F" w:rsidRPr="00BF32A7">
          <w:rPr>
            <w:noProof/>
            <w:webHidden/>
            <w:sz w:val="30"/>
            <w:szCs w:val="30"/>
            <w:lang w:val="en-US"/>
          </w:rPr>
          <w:fldChar w:fldCharType="end"/>
        </w:r>
      </w:hyperlink>
    </w:p>
    <w:p w:rsidR="00A9366F" w:rsidRDefault="004B63BA">
      <w:pPr>
        <w:pStyle w:val="21"/>
        <w:rPr>
          <w:noProof/>
          <w:sz w:val="30"/>
          <w:szCs w:val="30"/>
          <w:lang w:val="en-US"/>
        </w:rPr>
      </w:pPr>
      <w:hyperlink w:anchor="_Toc485627007" w:history="1">
        <w:r w:rsidR="00A9366F" w:rsidRPr="00BF32A7">
          <w:rPr>
            <w:rStyle w:val="a7"/>
            <w:rFonts w:ascii="Calibri" w:hAnsi="Calibri"/>
            <w:noProof/>
            <w:snapToGrid w:val="0"/>
            <w:color w:val="auto"/>
            <w:spacing w:val="-2"/>
            <w:sz w:val="30"/>
            <w:szCs w:val="30"/>
            <w:lang w:val="en-US"/>
          </w:rPr>
          <w:t>3.4. Payment card market</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_Toc485627007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37</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Default="004B63BA">
      <w:pPr>
        <w:pStyle w:val="12"/>
        <w:tabs>
          <w:tab w:val="right" w:leader="dot" w:pos="9344"/>
        </w:tabs>
        <w:rPr>
          <w:noProof/>
          <w:sz w:val="30"/>
          <w:szCs w:val="30"/>
          <w:lang w:val="en-US"/>
        </w:rPr>
      </w:pPr>
      <w:hyperlink w:anchor="_Toc485627008" w:history="1">
        <w:r w:rsidR="00A9366F" w:rsidRPr="00BF32A7">
          <w:rPr>
            <w:rStyle w:val="a7"/>
            <w:rFonts w:ascii="Calibri" w:hAnsi="Calibri"/>
            <w:noProof/>
            <w:snapToGrid w:val="0"/>
            <w:color w:val="auto"/>
            <w:spacing w:val="-2"/>
            <w:sz w:val="30"/>
            <w:szCs w:val="30"/>
            <w:lang w:val="en-US"/>
          </w:rPr>
          <w:t>SECTION 4. MONEY TRANSFER SYSTEMS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_Toc485627008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41</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Default="004B63BA">
      <w:pPr>
        <w:pStyle w:val="12"/>
        <w:tabs>
          <w:tab w:val="right" w:leader="dot" w:pos="9344"/>
        </w:tabs>
        <w:rPr>
          <w:noProof/>
          <w:sz w:val="30"/>
          <w:szCs w:val="30"/>
          <w:lang w:val="en-US"/>
        </w:rPr>
      </w:pPr>
      <w:hyperlink w:anchor="_Toc485627009" w:history="1">
        <w:r w:rsidR="00A9366F" w:rsidRPr="00BF32A7">
          <w:rPr>
            <w:rStyle w:val="a7"/>
            <w:rFonts w:ascii="Calibri" w:hAnsi="Calibri"/>
            <w:noProof/>
            <w:snapToGrid w:val="0"/>
            <w:color w:val="auto"/>
            <w:spacing w:val="-2"/>
            <w:sz w:val="30"/>
            <w:szCs w:val="30"/>
            <w:lang w:val="en-US"/>
          </w:rPr>
          <w:t>SECTION 5. PAYMENTS THROUGH  DIRECT CORRESPONDENT ACCOUNTS</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_Toc485627009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47</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Default="004B63BA">
      <w:pPr>
        <w:pStyle w:val="12"/>
        <w:tabs>
          <w:tab w:val="right" w:leader="dot" w:pos="9344"/>
        </w:tabs>
        <w:rPr>
          <w:noProof/>
          <w:sz w:val="30"/>
          <w:szCs w:val="30"/>
          <w:lang w:val="en-US"/>
        </w:rPr>
      </w:pPr>
      <w:hyperlink w:anchor="_Toc485627010" w:history="1">
        <w:r w:rsidR="00A9366F" w:rsidRPr="00BF32A7">
          <w:rPr>
            <w:rStyle w:val="a7"/>
            <w:rFonts w:ascii="Calibri" w:hAnsi="Calibri"/>
            <w:noProof/>
            <w:snapToGrid w:val="0"/>
            <w:color w:val="auto"/>
            <w:spacing w:val="-2"/>
            <w:sz w:val="30"/>
            <w:szCs w:val="30"/>
            <w:lang w:val="en-US"/>
          </w:rPr>
          <w:t>SECTION 6. ELECTR</w:t>
        </w:r>
        <w:r w:rsidR="00B80F38" w:rsidRPr="00BF32A7">
          <w:rPr>
            <w:rStyle w:val="a7"/>
            <w:rFonts w:ascii="Calibri" w:hAnsi="Calibri"/>
            <w:noProof/>
            <w:snapToGrid w:val="0"/>
            <w:color w:val="auto"/>
            <w:spacing w:val="-2"/>
            <w:sz w:val="30"/>
            <w:szCs w:val="30"/>
            <w:lang w:val="en-US"/>
          </w:rPr>
          <w:t>O</w:t>
        </w:r>
        <w:r w:rsidR="00A9366F" w:rsidRPr="00BF32A7">
          <w:rPr>
            <w:rStyle w:val="a7"/>
            <w:rFonts w:ascii="Calibri" w:hAnsi="Calibri"/>
            <w:noProof/>
            <w:snapToGrid w:val="0"/>
            <w:color w:val="auto"/>
            <w:spacing w:val="-2"/>
            <w:sz w:val="30"/>
            <w:szCs w:val="30"/>
            <w:lang w:val="en-US"/>
          </w:rPr>
          <w:t>NIC MONEY</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_Toc485627010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51</w:t>
        </w:r>
        <w:r w:rsidR="00A9366F" w:rsidRPr="00BF32A7">
          <w:rPr>
            <w:noProof/>
            <w:webHidden/>
            <w:sz w:val="30"/>
            <w:szCs w:val="30"/>
            <w:lang w:val="en-US"/>
          </w:rPr>
          <w:fldChar w:fldCharType="end"/>
        </w:r>
      </w:hyperlink>
    </w:p>
    <w:p w:rsidR="00BF32A7" w:rsidRPr="00BF32A7" w:rsidRDefault="00BF32A7" w:rsidP="00BF32A7">
      <w:pPr>
        <w:rPr>
          <w:rFonts w:eastAsiaTheme="minorEastAsia"/>
          <w:noProof/>
          <w:lang w:val="en-US"/>
        </w:rPr>
      </w:pPr>
    </w:p>
    <w:p w:rsidR="00A9366F" w:rsidRPr="00BF32A7" w:rsidRDefault="004B63BA">
      <w:pPr>
        <w:pStyle w:val="12"/>
        <w:tabs>
          <w:tab w:val="right" w:leader="dot" w:pos="9344"/>
        </w:tabs>
        <w:rPr>
          <w:rFonts w:asciiTheme="minorHAnsi" w:eastAsiaTheme="minorEastAsia" w:hAnsiTheme="minorHAnsi" w:cstheme="minorBidi"/>
          <w:noProof/>
          <w:sz w:val="30"/>
          <w:szCs w:val="30"/>
          <w:lang w:val="en-US" w:eastAsia="en-US"/>
        </w:rPr>
      </w:pPr>
      <w:hyperlink w:anchor="_Toc485627011" w:history="1">
        <w:r w:rsidR="00A9366F" w:rsidRPr="00BF32A7">
          <w:rPr>
            <w:rStyle w:val="a7"/>
            <w:rFonts w:ascii="Calibri" w:hAnsi="Calibri"/>
            <w:noProof/>
            <w:snapToGrid w:val="0"/>
            <w:color w:val="auto"/>
            <w:spacing w:val="-2"/>
            <w:sz w:val="30"/>
            <w:szCs w:val="30"/>
            <w:lang w:val="en-US"/>
          </w:rPr>
          <w:t>CONCLUSION</w:t>
        </w:r>
        <w:r w:rsidR="00A9366F" w:rsidRPr="00BF32A7">
          <w:rPr>
            <w:noProof/>
            <w:webHidden/>
            <w:sz w:val="30"/>
            <w:szCs w:val="30"/>
            <w:lang w:val="en-US"/>
          </w:rPr>
          <w:tab/>
        </w:r>
        <w:r w:rsidR="00A9366F" w:rsidRPr="00BF32A7">
          <w:rPr>
            <w:noProof/>
            <w:webHidden/>
            <w:sz w:val="30"/>
            <w:szCs w:val="30"/>
            <w:lang w:val="en-US"/>
          </w:rPr>
          <w:fldChar w:fldCharType="begin"/>
        </w:r>
        <w:r w:rsidR="00A9366F" w:rsidRPr="00BF32A7">
          <w:rPr>
            <w:noProof/>
            <w:webHidden/>
            <w:sz w:val="30"/>
            <w:szCs w:val="30"/>
            <w:lang w:val="en-US"/>
          </w:rPr>
          <w:instrText xml:space="preserve"> PAGEREF _Toc485627011 \h </w:instrText>
        </w:r>
        <w:r w:rsidR="00A9366F" w:rsidRPr="00BF32A7">
          <w:rPr>
            <w:noProof/>
            <w:webHidden/>
            <w:sz w:val="30"/>
            <w:szCs w:val="30"/>
            <w:lang w:val="en-US"/>
          </w:rPr>
        </w:r>
        <w:r w:rsidR="00A9366F" w:rsidRPr="00BF32A7">
          <w:rPr>
            <w:noProof/>
            <w:webHidden/>
            <w:sz w:val="30"/>
            <w:szCs w:val="30"/>
            <w:lang w:val="en-US"/>
          </w:rPr>
          <w:fldChar w:fldCharType="separate"/>
        </w:r>
        <w:r w:rsidR="00377868">
          <w:rPr>
            <w:noProof/>
            <w:webHidden/>
            <w:sz w:val="30"/>
            <w:szCs w:val="30"/>
            <w:lang w:val="en-US"/>
          </w:rPr>
          <w:t>53</w:t>
        </w:r>
        <w:r w:rsidR="00A9366F" w:rsidRPr="00BF32A7">
          <w:rPr>
            <w:noProof/>
            <w:webHidden/>
            <w:sz w:val="30"/>
            <w:szCs w:val="30"/>
            <w:lang w:val="en-US"/>
          </w:rPr>
          <w:fldChar w:fldCharType="end"/>
        </w:r>
      </w:hyperlink>
    </w:p>
    <w:p w:rsidR="00C00A5C" w:rsidRPr="00A9366F" w:rsidRDefault="00A12077" w:rsidP="00157779">
      <w:pPr>
        <w:shd w:val="clear" w:color="auto" w:fill="F2F2F2"/>
        <w:spacing w:before="120"/>
        <w:rPr>
          <w:rFonts w:ascii="Calibri" w:hAnsi="Calibri" w:cs="Calibri"/>
          <w:color w:val="0E4C28"/>
          <w:sz w:val="32"/>
          <w:szCs w:val="32"/>
          <w:lang w:val="en-US"/>
        </w:rPr>
      </w:pPr>
      <w:r w:rsidRPr="00BF32A7">
        <w:rPr>
          <w:rFonts w:asciiTheme="minorHAnsi" w:hAnsiTheme="minorHAnsi" w:cstheme="minorHAnsi"/>
          <w:b/>
          <w:bCs/>
          <w:sz w:val="30"/>
          <w:szCs w:val="30"/>
          <w:lang w:val="en-US"/>
        </w:rPr>
        <w:fldChar w:fldCharType="end"/>
      </w:r>
    </w:p>
    <w:p w:rsidR="00354088" w:rsidRPr="00A9366F" w:rsidRDefault="00354088" w:rsidP="00354088">
      <w:pPr>
        <w:rPr>
          <w:rFonts w:ascii="Calibri" w:hAnsi="Calibri"/>
          <w:b/>
          <w:bCs/>
          <w:snapToGrid w:val="0"/>
          <w:color w:val="0E4C28"/>
          <w:spacing w:val="-2"/>
          <w:sz w:val="36"/>
          <w:szCs w:val="36"/>
          <w:lang w:val="en-US"/>
        </w:rPr>
      </w:pPr>
    </w:p>
    <w:p w:rsidR="00354088" w:rsidRPr="00A9366F" w:rsidRDefault="00354088" w:rsidP="00354088">
      <w:pPr>
        <w:rPr>
          <w:rFonts w:ascii="Calibri" w:hAnsi="Calibri"/>
          <w:b/>
          <w:bCs/>
          <w:snapToGrid w:val="0"/>
          <w:color w:val="0E4C28"/>
          <w:spacing w:val="-2"/>
          <w:sz w:val="36"/>
          <w:szCs w:val="36"/>
          <w:lang w:val="en-US"/>
        </w:rPr>
      </w:pPr>
    </w:p>
    <w:p w:rsidR="00354088" w:rsidRPr="00A9366F" w:rsidRDefault="00354088" w:rsidP="00354088">
      <w:pPr>
        <w:rPr>
          <w:rFonts w:ascii="Calibri" w:hAnsi="Calibri"/>
          <w:b/>
          <w:bCs/>
          <w:snapToGrid w:val="0"/>
          <w:color w:val="0E4C28"/>
          <w:spacing w:val="-2"/>
          <w:sz w:val="36"/>
          <w:szCs w:val="36"/>
          <w:lang w:val="en-US"/>
        </w:rPr>
      </w:pPr>
    </w:p>
    <w:p w:rsidR="005C7913" w:rsidRPr="00A9366F" w:rsidRDefault="005C7913" w:rsidP="00354088">
      <w:pPr>
        <w:rPr>
          <w:rFonts w:ascii="Calibri" w:hAnsi="Calibri"/>
          <w:b/>
          <w:bCs/>
          <w:snapToGrid w:val="0"/>
          <w:color w:val="0E4C28"/>
          <w:spacing w:val="-2"/>
          <w:sz w:val="36"/>
          <w:szCs w:val="36"/>
          <w:lang w:val="en-US"/>
        </w:rPr>
      </w:pPr>
    </w:p>
    <w:p w:rsidR="009E09D9" w:rsidRPr="00A9366F" w:rsidRDefault="007F103A" w:rsidP="003874CE">
      <w:pPr>
        <w:pStyle w:val="1"/>
        <w:tabs>
          <w:tab w:val="left" w:pos="561"/>
        </w:tabs>
        <w:spacing w:before="0" w:after="0" w:line="235" w:lineRule="auto"/>
        <w:jc w:val="center"/>
        <w:rPr>
          <w:rFonts w:ascii="Calibri" w:hAnsi="Calibri"/>
          <w:bCs w:val="0"/>
          <w:snapToGrid w:val="0"/>
          <w:color w:val="0E4C28"/>
          <w:spacing w:val="-2"/>
          <w:kern w:val="0"/>
          <w:sz w:val="36"/>
          <w:szCs w:val="36"/>
          <w:lang w:val="en-US"/>
        </w:rPr>
      </w:pPr>
      <w:bookmarkStart w:id="3" w:name="_Toc485626992"/>
      <w:r w:rsidRPr="00A9366F">
        <w:rPr>
          <w:rFonts w:ascii="Calibri" w:hAnsi="Calibri"/>
          <w:bCs w:val="0"/>
          <w:snapToGrid w:val="0"/>
          <w:color w:val="0E4C28"/>
          <w:spacing w:val="-2"/>
          <w:kern w:val="0"/>
          <w:sz w:val="36"/>
          <w:szCs w:val="36"/>
          <w:lang w:val="en-US"/>
        </w:rPr>
        <w:t>INTRODUCTION</w:t>
      </w:r>
      <w:bookmarkEnd w:id="3"/>
    </w:p>
    <w:p w:rsidR="009E09D9" w:rsidRPr="00A9366F" w:rsidRDefault="009E09D9" w:rsidP="003874CE">
      <w:pPr>
        <w:spacing w:line="235" w:lineRule="auto"/>
        <w:rPr>
          <w:sz w:val="18"/>
          <w:lang w:val="en-US"/>
        </w:rPr>
      </w:pPr>
    </w:p>
    <w:p w:rsidR="007F103A" w:rsidRPr="00A9366F" w:rsidRDefault="007F103A" w:rsidP="0035580C">
      <w:pPr>
        <w:ind w:firstLine="709"/>
        <w:jc w:val="both"/>
        <w:rPr>
          <w:rFonts w:ascii="Calibri" w:hAnsi="Calibri" w:cs="Arial"/>
          <w:sz w:val="30"/>
          <w:szCs w:val="30"/>
          <w:lang w:val="en-US"/>
        </w:rPr>
      </w:pPr>
      <w:r w:rsidRPr="00A9366F">
        <w:rPr>
          <w:rFonts w:ascii="Calibri" w:hAnsi="Calibri" w:cs="Arial"/>
          <w:sz w:val="30"/>
          <w:szCs w:val="30"/>
          <w:lang w:val="en-US"/>
        </w:rPr>
        <w:t xml:space="preserve">The National Bank of the Republic of Kazakhstan </w:t>
      </w:r>
      <w:r w:rsidR="009820BE" w:rsidRPr="00A9366F">
        <w:rPr>
          <w:rFonts w:ascii="Calibri" w:hAnsi="Calibri" w:cs="Arial"/>
          <w:sz w:val="30"/>
          <w:szCs w:val="30"/>
          <w:lang w:val="en-US"/>
        </w:rPr>
        <w:t xml:space="preserve">started to </w:t>
      </w:r>
      <w:r w:rsidRPr="00A9366F">
        <w:rPr>
          <w:rFonts w:ascii="Calibri" w:hAnsi="Calibri" w:cs="Arial"/>
          <w:sz w:val="30"/>
          <w:szCs w:val="30"/>
          <w:lang w:val="en-US"/>
        </w:rPr>
        <w:t>reform</w:t>
      </w:r>
      <w:r w:rsidR="009820BE" w:rsidRPr="00A9366F">
        <w:rPr>
          <w:rFonts w:ascii="Calibri" w:hAnsi="Calibri" w:cs="Arial"/>
          <w:sz w:val="30"/>
          <w:szCs w:val="30"/>
          <w:lang w:val="en-US"/>
        </w:rPr>
        <w:t xml:space="preserve"> </w:t>
      </w:r>
      <w:r w:rsidRPr="00A9366F">
        <w:rPr>
          <w:rFonts w:ascii="Calibri" w:hAnsi="Calibri" w:cs="Arial"/>
          <w:sz w:val="30"/>
          <w:szCs w:val="30"/>
          <w:lang w:val="en-US"/>
        </w:rPr>
        <w:t>the payment</w:t>
      </w:r>
      <w:r w:rsidR="001B3C32" w:rsidRPr="00A9366F">
        <w:rPr>
          <w:rFonts w:ascii="Calibri" w:hAnsi="Calibri" w:cs="Arial"/>
          <w:sz w:val="30"/>
          <w:szCs w:val="30"/>
          <w:lang w:val="en-US"/>
        </w:rPr>
        <w:t xml:space="preserve"> services</w:t>
      </w:r>
      <w:r w:rsidRPr="00A9366F">
        <w:rPr>
          <w:rFonts w:ascii="Calibri" w:hAnsi="Calibri" w:cs="Arial"/>
          <w:sz w:val="30"/>
          <w:szCs w:val="30"/>
          <w:lang w:val="en-US"/>
        </w:rPr>
        <w:t xml:space="preserve"> market and build payment systems of the Republic of Kazakhstan </w:t>
      </w:r>
      <w:r w:rsidR="009D1C5D" w:rsidRPr="00A9366F">
        <w:rPr>
          <w:rFonts w:ascii="Calibri" w:hAnsi="Calibri" w:cs="Arial"/>
          <w:sz w:val="30"/>
          <w:szCs w:val="30"/>
          <w:lang w:val="en-US"/>
        </w:rPr>
        <w:t xml:space="preserve">as a part of transition to the market relations and building a new financial system, </w:t>
      </w:r>
      <w:r w:rsidRPr="00A9366F">
        <w:rPr>
          <w:rFonts w:ascii="Calibri" w:hAnsi="Calibri" w:cs="Arial"/>
          <w:sz w:val="30"/>
          <w:szCs w:val="30"/>
          <w:lang w:val="en-US"/>
        </w:rPr>
        <w:t xml:space="preserve">after </w:t>
      </w:r>
      <w:r w:rsidR="009820BE" w:rsidRPr="00A9366F">
        <w:rPr>
          <w:rFonts w:ascii="Calibri" w:hAnsi="Calibri" w:cs="Arial"/>
          <w:sz w:val="30"/>
          <w:szCs w:val="30"/>
          <w:lang w:val="en-US"/>
        </w:rPr>
        <w:t>Kazakhstan declared its</w:t>
      </w:r>
      <w:r w:rsidRPr="00A9366F">
        <w:rPr>
          <w:rFonts w:ascii="Calibri" w:hAnsi="Calibri" w:cs="Arial"/>
          <w:sz w:val="30"/>
          <w:szCs w:val="30"/>
          <w:lang w:val="en-US"/>
        </w:rPr>
        <w:t xml:space="preserve"> sovereignty</w:t>
      </w:r>
      <w:r w:rsidR="009820BE" w:rsidRPr="00A9366F">
        <w:rPr>
          <w:rFonts w:ascii="Calibri" w:hAnsi="Calibri" w:cs="Arial"/>
          <w:sz w:val="30"/>
          <w:szCs w:val="30"/>
          <w:lang w:val="en-US"/>
        </w:rPr>
        <w:t>.</w:t>
      </w:r>
      <w:r w:rsidR="009D1C5D" w:rsidRPr="00A9366F">
        <w:rPr>
          <w:rFonts w:ascii="Calibri" w:hAnsi="Calibri" w:cs="Arial"/>
          <w:sz w:val="30"/>
          <w:szCs w:val="30"/>
          <w:lang w:val="en-US"/>
        </w:rPr>
        <w:t xml:space="preserve"> </w:t>
      </w:r>
    </w:p>
    <w:p w:rsidR="009D1C5D" w:rsidRPr="002C72D1" w:rsidRDefault="00A9366F" w:rsidP="0035580C">
      <w:pPr>
        <w:ind w:firstLine="709"/>
        <w:jc w:val="both"/>
        <w:rPr>
          <w:rFonts w:ascii="Calibri" w:hAnsi="Calibri" w:cs="Arial"/>
          <w:sz w:val="30"/>
          <w:szCs w:val="30"/>
          <w:lang w:val="en-US"/>
        </w:rPr>
      </w:pPr>
      <w:r>
        <w:rPr>
          <w:rFonts w:ascii="Calibri" w:hAnsi="Calibri" w:cs="Arial"/>
          <w:sz w:val="30"/>
          <w:szCs w:val="30"/>
          <w:lang w:val="en-US"/>
        </w:rPr>
        <w:t xml:space="preserve">Due to </w:t>
      </w:r>
      <w:r w:rsidR="009D1C5D" w:rsidRPr="00A9366F">
        <w:rPr>
          <w:rFonts w:ascii="Calibri" w:hAnsi="Calibri" w:cs="Arial"/>
          <w:sz w:val="30"/>
          <w:szCs w:val="30"/>
          <w:lang w:val="en-US"/>
        </w:rPr>
        <w:t>the focused efforts</w:t>
      </w:r>
      <w:r>
        <w:rPr>
          <w:rFonts w:ascii="Calibri" w:hAnsi="Calibri" w:cs="Arial"/>
          <w:sz w:val="30"/>
          <w:szCs w:val="30"/>
          <w:lang w:val="en-US"/>
        </w:rPr>
        <w:t>,</w:t>
      </w:r>
      <w:r w:rsidR="009D1C5D" w:rsidRPr="00A9366F">
        <w:rPr>
          <w:rFonts w:ascii="Calibri" w:hAnsi="Calibri" w:cs="Arial"/>
          <w:sz w:val="30"/>
          <w:szCs w:val="30"/>
          <w:lang w:val="en-US"/>
        </w:rPr>
        <w:t xml:space="preserve"> </w:t>
      </w:r>
      <w:r>
        <w:rPr>
          <w:rFonts w:ascii="Calibri" w:hAnsi="Calibri" w:cs="Arial"/>
          <w:sz w:val="30"/>
          <w:szCs w:val="30"/>
          <w:lang w:val="en-US"/>
        </w:rPr>
        <w:t>the</w:t>
      </w:r>
      <w:r w:rsidR="009D1C5D" w:rsidRPr="00A9366F">
        <w:rPr>
          <w:rFonts w:ascii="Calibri" w:hAnsi="Calibri" w:cs="Arial"/>
          <w:sz w:val="30"/>
          <w:szCs w:val="30"/>
          <w:lang w:val="en-US"/>
        </w:rPr>
        <w:t xml:space="preserve"> up-to-date payment infrastructure </w:t>
      </w:r>
      <w:r w:rsidR="001B3C32" w:rsidRPr="00A9366F">
        <w:rPr>
          <w:rFonts w:ascii="Calibri" w:hAnsi="Calibri" w:cs="Arial"/>
          <w:sz w:val="30"/>
          <w:szCs w:val="30"/>
          <w:lang w:val="en-US"/>
        </w:rPr>
        <w:t xml:space="preserve">has </w:t>
      </w:r>
      <w:r w:rsidR="001B3C32" w:rsidRPr="002C72D1">
        <w:rPr>
          <w:rFonts w:ascii="Calibri" w:hAnsi="Calibri" w:cs="Arial"/>
          <w:sz w:val="30"/>
          <w:szCs w:val="30"/>
          <w:lang w:val="en-US"/>
        </w:rPr>
        <w:t>been</w:t>
      </w:r>
      <w:r w:rsidR="009D1C5D" w:rsidRPr="002C72D1">
        <w:rPr>
          <w:rFonts w:ascii="Calibri" w:hAnsi="Calibri" w:cs="Arial"/>
          <w:sz w:val="30"/>
          <w:szCs w:val="30"/>
          <w:lang w:val="en-US"/>
        </w:rPr>
        <w:t xml:space="preserve"> formed that </w:t>
      </w:r>
      <w:r w:rsidR="001B3C32" w:rsidRPr="002C72D1">
        <w:rPr>
          <w:rFonts w:ascii="Calibri" w:hAnsi="Calibri" w:cs="Arial"/>
          <w:sz w:val="30"/>
          <w:szCs w:val="30"/>
          <w:lang w:val="en-US"/>
        </w:rPr>
        <w:t>satisfy</w:t>
      </w:r>
      <w:r w:rsidR="009D1C5D" w:rsidRPr="002C72D1">
        <w:rPr>
          <w:rFonts w:ascii="Calibri" w:hAnsi="Calibri" w:cs="Arial"/>
          <w:sz w:val="30"/>
          <w:szCs w:val="30"/>
          <w:lang w:val="en-US"/>
        </w:rPr>
        <w:t xml:space="preserve"> the needs of the </w:t>
      </w:r>
      <w:r w:rsidR="006C0E53" w:rsidRPr="002C72D1">
        <w:rPr>
          <w:rFonts w:ascii="Calibri" w:hAnsi="Calibri" w:cs="Arial"/>
          <w:sz w:val="30"/>
          <w:szCs w:val="30"/>
          <w:lang w:val="en-US"/>
        </w:rPr>
        <w:t>general public</w:t>
      </w:r>
      <w:r w:rsidR="009D1C5D" w:rsidRPr="002C72D1">
        <w:rPr>
          <w:rFonts w:ascii="Calibri" w:hAnsi="Calibri" w:cs="Arial"/>
          <w:sz w:val="30"/>
          <w:szCs w:val="30"/>
          <w:lang w:val="en-US"/>
        </w:rPr>
        <w:t xml:space="preserve">, business and the </w:t>
      </w:r>
      <w:r w:rsidR="001B3C32" w:rsidRPr="002C72D1">
        <w:rPr>
          <w:rFonts w:ascii="Calibri" w:hAnsi="Calibri" w:cs="Arial"/>
          <w:sz w:val="30"/>
          <w:szCs w:val="30"/>
          <w:lang w:val="en-US"/>
        </w:rPr>
        <w:t>S</w:t>
      </w:r>
      <w:r w:rsidR="009D1C5D" w:rsidRPr="002C72D1">
        <w:rPr>
          <w:rFonts w:ascii="Calibri" w:hAnsi="Calibri" w:cs="Arial"/>
          <w:sz w:val="30"/>
          <w:szCs w:val="30"/>
          <w:lang w:val="en-US"/>
        </w:rPr>
        <w:t>tate in transactions</w:t>
      </w:r>
      <w:r w:rsidR="00B80F38" w:rsidRPr="002C72D1">
        <w:rPr>
          <w:rFonts w:ascii="Calibri" w:hAnsi="Calibri" w:cs="Arial"/>
          <w:sz w:val="30"/>
          <w:szCs w:val="30"/>
          <w:lang w:val="en-US"/>
        </w:rPr>
        <w:t xml:space="preserve"> effecting</w:t>
      </w:r>
      <w:r w:rsidR="009D1C5D" w:rsidRPr="002C72D1">
        <w:rPr>
          <w:rFonts w:ascii="Calibri" w:hAnsi="Calibri" w:cs="Arial"/>
          <w:sz w:val="30"/>
          <w:szCs w:val="30"/>
          <w:lang w:val="en-US"/>
        </w:rPr>
        <w:t xml:space="preserve">.  </w:t>
      </w:r>
    </w:p>
    <w:p w:rsidR="009D1C5D" w:rsidRPr="002C72D1" w:rsidRDefault="009D1C5D" w:rsidP="00264041">
      <w:pPr>
        <w:ind w:firstLine="709"/>
        <w:jc w:val="both"/>
        <w:rPr>
          <w:rFonts w:ascii="Calibri" w:hAnsi="Calibri" w:cs="Arial"/>
          <w:sz w:val="30"/>
          <w:szCs w:val="30"/>
          <w:lang w:val="en-US"/>
        </w:rPr>
      </w:pPr>
      <w:r w:rsidRPr="002C72D1">
        <w:rPr>
          <w:rFonts w:ascii="Calibri" w:hAnsi="Calibri" w:cs="Arial"/>
          <w:sz w:val="30"/>
          <w:szCs w:val="30"/>
          <w:lang w:val="en-US"/>
        </w:rPr>
        <w:t xml:space="preserve">Currently </w:t>
      </w:r>
      <w:r w:rsidR="00EB2214" w:rsidRPr="002C72D1">
        <w:rPr>
          <w:rFonts w:ascii="Calibri" w:hAnsi="Calibri" w:cs="Arial"/>
          <w:sz w:val="30"/>
          <w:szCs w:val="30"/>
          <w:lang w:val="en-US"/>
        </w:rPr>
        <w:t xml:space="preserve">the following payment systems of the </w:t>
      </w:r>
      <w:r w:rsidR="004C657B" w:rsidRPr="002C72D1">
        <w:rPr>
          <w:rFonts w:ascii="Calibri" w:hAnsi="Calibri" w:cs="Arial"/>
          <w:sz w:val="30"/>
          <w:szCs w:val="30"/>
          <w:lang w:val="en-US"/>
        </w:rPr>
        <w:t xml:space="preserve">National Bank of Kazakhstan </w:t>
      </w:r>
      <w:r w:rsidR="00EB2214" w:rsidRPr="002C72D1">
        <w:rPr>
          <w:rFonts w:ascii="Calibri" w:hAnsi="Calibri" w:cs="Arial"/>
          <w:sz w:val="30"/>
          <w:szCs w:val="30"/>
          <w:lang w:val="en-US"/>
        </w:rPr>
        <w:t xml:space="preserve">are functioning in Kazakhstan </w:t>
      </w:r>
      <w:r w:rsidR="00F84F86" w:rsidRPr="002C72D1">
        <w:rPr>
          <w:rFonts w:ascii="Calibri" w:hAnsi="Calibri" w:cs="Arial"/>
          <w:sz w:val="30"/>
          <w:szCs w:val="30"/>
          <w:lang w:val="en-US"/>
        </w:rPr>
        <w:t xml:space="preserve">- </w:t>
      </w:r>
      <w:r w:rsidRPr="002C72D1">
        <w:rPr>
          <w:rFonts w:ascii="Calibri" w:hAnsi="Calibri" w:cs="Arial"/>
          <w:sz w:val="30"/>
          <w:szCs w:val="30"/>
          <w:lang w:val="en-US"/>
        </w:rPr>
        <w:t>Interbank System of Money Transfer and Interbank Clearing System, which ensure functioning of the country’s financial system.  In addition, the settlement services are also provided by the private payment systems, which are represented by the card systems</w:t>
      </w:r>
      <w:r w:rsidR="001B3C32" w:rsidRPr="002C72D1">
        <w:rPr>
          <w:rFonts w:ascii="Calibri" w:hAnsi="Calibri" w:cs="Arial"/>
          <w:sz w:val="30"/>
          <w:szCs w:val="30"/>
          <w:lang w:val="en-US"/>
        </w:rPr>
        <w:t xml:space="preserve"> that</w:t>
      </w:r>
      <w:r w:rsidRPr="002C72D1">
        <w:rPr>
          <w:rFonts w:ascii="Calibri" w:hAnsi="Calibri" w:cs="Arial"/>
          <w:sz w:val="30"/>
          <w:szCs w:val="30"/>
          <w:lang w:val="en-US"/>
        </w:rPr>
        <w:t xml:space="preserve"> </w:t>
      </w:r>
      <w:r w:rsidR="00E960C9" w:rsidRPr="002C72D1">
        <w:rPr>
          <w:rFonts w:ascii="Calibri" w:hAnsi="Calibri" w:cs="Arial"/>
          <w:sz w:val="30"/>
          <w:szCs w:val="30"/>
          <w:lang w:val="en-US"/>
        </w:rPr>
        <w:t xml:space="preserve">process </w:t>
      </w:r>
      <w:r w:rsidR="001B3C32" w:rsidRPr="002C72D1">
        <w:rPr>
          <w:rFonts w:ascii="Calibri" w:hAnsi="Calibri" w:cs="Arial"/>
          <w:sz w:val="30"/>
          <w:szCs w:val="30"/>
          <w:lang w:val="en-US"/>
        </w:rPr>
        <w:t xml:space="preserve">payment cards </w:t>
      </w:r>
      <w:r w:rsidR="00E960C9" w:rsidRPr="002C72D1">
        <w:rPr>
          <w:rFonts w:ascii="Calibri" w:hAnsi="Calibri" w:cs="Arial"/>
          <w:sz w:val="30"/>
          <w:szCs w:val="30"/>
          <w:lang w:val="en-US"/>
        </w:rPr>
        <w:t>transactions, and money transfer systems.</w:t>
      </w:r>
      <w:r w:rsidR="00F435AA" w:rsidRPr="002C72D1">
        <w:rPr>
          <w:rFonts w:ascii="Calibri" w:hAnsi="Calibri" w:cs="Arial"/>
          <w:sz w:val="30"/>
          <w:szCs w:val="30"/>
          <w:lang w:val="en-US"/>
        </w:rPr>
        <w:t xml:space="preserve"> Interbank payments can be also </w:t>
      </w:r>
      <w:r w:rsidR="00F66BA7" w:rsidRPr="002C72D1">
        <w:rPr>
          <w:rFonts w:ascii="Calibri" w:hAnsi="Calibri" w:cs="Arial"/>
          <w:sz w:val="30"/>
          <w:szCs w:val="30"/>
          <w:lang w:val="en-US"/>
        </w:rPr>
        <w:t>settled</w:t>
      </w:r>
      <w:r w:rsidR="00F435AA" w:rsidRPr="002C72D1">
        <w:rPr>
          <w:rFonts w:ascii="Calibri" w:hAnsi="Calibri" w:cs="Arial"/>
          <w:sz w:val="30"/>
          <w:szCs w:val="30"/>
          <w:lang w:val="en-US"/>
        </w:rPr>
        <w:t xml:space="preserve"> through the direct correspondent accounts opened between the banks and organizations </w:t>
      </w:r>
      <w:r w:rsidR="00B80F38" w:rsidRPr="002C72D1">
        <w:rPr>
          <w:rFonts w:ascii="Calibri" w:hAnsi="Calibri" w:cs="Arial"/>
          <w:sz w:val="30"/>
          <w:szCs w:val="30"/>
          <w:lang w:val="en-US"/>
        </w:rPr>
        <w:t xml:space="preserve">engaged in </w:t>
      </w:r>
      <w:r w:rsidR="00F435AA" w:rsidRPr="002C72D1">
        <w:rPr>
          <w:rFonts w:ascii="Calibri" w:hAnsi="Calibri" w:cs="Arial"/>
          <w:sz w:val="30"/>
          <w:szCs w:val="30"/>
          <w:lang w:val="en-US"/>
        </w:rPr>
        <w:t>certain type</w:t>
      </w:r>
      <w:r w:rsidR="001B3C32" w:rsidRPr="002C72D1">
        <w:rPr>
          <w:rFonts w:ascii="Calibri" w:hAnsi="Calibri" w:cs="Arial"/>
          <w:sz w:val="30"/>
          <w:szCs w:val="30"/>
          <w:lang w:val="en-US"/>
        </w:rPr>
        <w:t>s</w:t>
      </w:r>
      <w:r w:rsidR="00F435AA" w:rsidRPr="002C72D1">
        <w:rPr>
          <w:rFonts w:ascii="Calibri" w:hAnsi="Calibri" w:cs="Arial"/>
          <w:sz w:val="30"/>
          <w:szCs w:val="30"/>
          <w:lang w:val="en-US"/>
        </w:rPr>
        <w:t xml:space="preserve"> of the banking operations. </w:t>
      </w:r>
    </w:p>
    <w:p w:rsidR="00F435AA" w:rsidRPr="00A9366F" w:rsidRDefault="00F435AA" w:rsidP="002168F7">
      <w:pPr>
        <w:ind w:firstLine="709"/>
        <w:jc w:val="both"/>
        <w:rPr>
          <w:rFonts w:ascii="Calibri" w:hAnsi="Calibri" w:cs="Arial"/>
          <w:sz w:val="30"/>
          <w:szCs w:val="30"/>
          <w:lang w:val="en-US"/>
        </w:rPr>
      </w:pPr>
      <w:r w:rsidRPr="002C72D1">
        <w:rPr>
          <w:rFonts w:ascii="Calibri" w:hAnsi="Calibri" w:cs="Arial"/>
          <w:sz w:val="30"/>
          <w:szCs w:val="30"/>
          <w:lang w:val="en-US"/>
        </w:rPr>
        <w:t>The key providers of the payments services in Kazakhstan are the banks and organizations</w:t>
      </w:r>
      <w:r w:rsidR="00B80F38" w:rsidRPr="002C72D1">
        <w:rPr>
          <w:rFonts w:ascii="Calibri" w:hAnsi="Calibri" w:cs="Arial"/>
          <w:sz w:val="30"/>
          <w:szCs w:val="30"/>
          <w:lang w:val="en-US"/>
        </w:rPr>
        <w:t xml:space="preserve"> engaged in</w:t>
      </w:r>
      <w:r w:rsidRPr="002C72D1">
        <w:rPr>
          <w:rFonts w:ascii="Calibri" w:hAnsi="Calibri" w:cs="Arial"/>
          <w:sz w:val="30"/>
          <w:szCs w:val="30"/>
          <w:lang w:val="en-US"/>
        </w:rPr>
        <w:t xml:space="preserve"> certain types of banking operations, including </w:t>
      </w:r>
      <w:proofErr w:type="spellStart"/>
      <w:r w:rsidRPr="002C72D1">
        <w:rPr>
          <w:rFonts w:ascii="Calibri" w:hAnsi="Calibri" w:cs="Arial"/>
          <w:sz w:val="30"/>
          <w:szCs w:val="30"/>
          <w:lang w:val="en-US"/>
        </w:rPr>
        <w:t>Kazpost</w:t>
      </w:r>
      <w:proofErr w:type="spellEnd"/>
      <w:r w:rsidRPr="002C72D1">
        <w:rPr>
          <w:rFonts w:ascii="Calibri" w:hAnsi="Calibri" w:cs="Arial"/>
          <w:sz w:val="30"/>
          <w:szCs w:val="30"/>
          <w:lang w:val="en-US"/>
        </w:rPr>
        <w:t xml:space="preserve"> JSC (National Postal </w:t>
      </w:r>
      <w:r w:rsidRPr="00A9366F">
        <w:rPr>
          <w:rFonts w:ascii="Calibri" w:hAnsi="Calibri" w:cs="Arial"/>
          <w:sz w:val="30"/>
          <w:szCs w:val="30"/>
          <w:lang w:val="en-US"/>
        </w:rPr>
        <w:t xml:space="preserve">Operator), </w:t>
      </w:r>
      <w:r w:rsidR="004C657B" w:rsidRPr="00A9366F">
        <w:rPr>
          <w:rFonts w:ascii="Calibri" w:hAnsi="Calibri" w:cs="Arial"/>
          <w:sz w:val="30"/>
          <w:szCs w:val="30"/>
          <w:lang w:val="en-US"/>
        </w:rPr>
        <w:t xml:space="preserve">and </w:t>
      </w:r>
      <w:r w:rsidRPr="00A9366F">
        <w:rPr>
          <w:rFonts w:ascii="Calibri" w:hAnsi="Calibri" w:cs="Arial"/>
          <w:sz w:val="30"/>
          <w:szCs w:val="30"/>
          <w:lang w:val="en-US"/>
        </w:rPr>
        <w:t xml:space="preserve">private payment organizations duly registered by the National Bank of Kazakhstan.  </w:t>
      </w:r>
    </w:p>
    <w:p w:rsidR="00DE613F" w:rsidRPr="00A9366F" w:rsidRDefault="00C05032" w:rsidP="003874CE">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 xml:space="preserve">At the same time, </w:t>
      </w:r>
      <w:r w:rsidR="00DE613F" w:rsidRPr="00A9366F">
        <w:rPr>
          <w:rFonts w:ascii="Calibri" w:hAnsi="Calibri" w:cs="Arial"/>
          <w:sz w:val="30"/>
          <w:szCs w:val="30"/>
          <w:lang w:val="en-US"/>
        </w:rPr>
        <w:t xml:space="preserve">for the past years Kazakhstan payment market has undergone significant changes, and </w:t>
      </w:r>
      <w:r w:rsidR="004C657B" w:rsidRPr="00A9366F">
        <w:rPr>
          <w:rFonts w:ascii="Calibri" w:hAnsi="Calibri" w:cs="Arial"/>
          <w:sz w:val="30"/>
          <w:szCs w:val="30"/>
          <w:lang w:val="en-US"/>
        </w:rPr>
        <w:t xml:space="preserve">after </w:t>
      </w:r>
      <w:r w:rsidR="00DE613F" w:rsidRPr="00A9366F">
        <w:rPr>
          <w:rFonts w:ascii="Calibri" w:hAnsi="Calibri" w:cs="Arial"/>
          <w:sz w:val="30"/>
          <w:szCs w:val="30"/>
          <w:lang w:val="en-US"/>
        </w:rPr>
        <w:t>implementation and applicat</w:t>
      </w:r>
      <w:r w:rsidR="004C657B" w:rsidRPr="00A9366F">
        <w:rPr>
          <w:rFonts w:ascii="Calibri" w:hAnsi="Calibri" w:cs="Arial"/>
          <w:sz w:val="30"/>
          <w:szCs w:val="30"/>
          <w:lang w:val="en-US"/>
        </w:rPr>
        <w:t>ion of new technology solutions there</w:t>
      </w:r>
      <w:r w:rsidR="00DE613F" w:rsidRPr="00A9366F">
        <w:rPr>
          <w:rFonts w:ascii="Calibri" w:hAnsi="Calibri" w:cs="Arial"/>
          <w:sz w:val="30"/>
          <w:szCs w:val="30"/>
          <w:lang w:val="en-US"/>
        </w:rPr>
        <w:t xml:space="preserve"> </w:t>
      </w:r>
      <w:r w:rsidR="004C657B" w:rsidRPr="00A9366F">
        <w:rPr>
          <w:rFonts w:ascii="Calibri" w:hAnsi="Calibri" w:cs="Arial"/>
          <w:sz w:val="30"/>
          <w:szCs w:val="30"/>
          <w:lang w:val="en-US"/>
        </w:rPr>
        <w:t xml:space="preserve">has been seen </w:t>
      </w:r>
      <w:r w:rsidR="00DE613F" w:rsidRPr="00A9366F">
        <w:rPr>
          <w:rFonts w:ascii="Calibri" w:hAnsi="Calibri" w:cs="Arial"/>
          <w:sz w:val="30"/>
          <w:szCs w:val="30"/>
          <w:lang w:val="en-US"/>
        </w:rPr>
        <w:t xml:space="preserve">an increasing shift from traditional methods of making payments to the use of remote channels and alternative </w:t>
      </w:r>
      <w:r w:rsidR="00740A12" w:rsidRPr="00A9366F">
        <w:rPr>
          <w:rFonts w:ascii="Calibri" w:hAnsi="Calibri" w:cs="Arial"/>
          <w:sz w:val="30"/>
          <w:szCs w:val="30"/>
          <w:lang w:val="en-US"/>
        </w:rPr>
        <w:t xml:space="preserve">payment </w:t>
      </w:r>
      <w:r w:rsidR="00DE613F" w:rsidRPr="00A9366F">
        <w:rPr>
          <w:rFonts w:ascii="Calibri" w:hAnsi="Calibri" w:cs="Arial"/>
          <w:sz w:val="30"/>
          <w:szCs w:val="30"/>
          <w:lang w:val="en-US"/>
        </w:rPr>
        <w:t>methods.</w:t>
      </w:r>
    </w:p>
    <w:p w:rsidR="00740A12" w:rsidRPr="00A9366F" w:rsidRDefault="00740A12" w:rsidP="00740A12">
      <w:pPr>
        <w:ind w:firstLine="708"/>
        <w:jc w:val="both"/>
        <w:rPr>
          <w:rFonts w:ascii="Calibri" w:hAnsi="Calibri" w:cs="Arial"/>
          <w:sz w:val="30"/>
          <w:szCs w:val="30"/>
          <w:lang w:val="en-US"/>
        </w:rPr>
      </w:pPr>
      <w:r w:rsidRPr="00A9366F">
        <w:rPr>
          <w:rFonts w:ascii="Calibri" w:hAnsi="Calibri" w:cs="Arial"/>
          <w:sz w:val="30"/>
          <w:szCs w:val="30"/>
          <w:lang w:val="en-US"/>
        </w:rPr>
        <w:t>To make remote payments Kazakhstan banks</w:t>
      </w:r>
      <w:r w:rsidR="00F148F5" w:rsidRPr="00A9366F">
        <w:rPr>
          <w:rFonts w:ascii="Calibri" w:hAnsi="Calibri" w:cs="Arial"/>
          <w:sz w:val="30"/>
          <w:szCs w:val="30"/>
          <w:lang w:val="en-US"/>
        </w:rPr>
        <w:t xml:space="preserve"> offer the</w:t>
      </w:r>
      <w:r w:rsidRPr="00A9366F">
        <w:rPr>
          <w:rFonts w:ascii="Calibri" w:hAnsi="Calibri" w:cs="Arial"/>
          <w:sz w:val="30"/>
          <w:szCs w:val="30"/>
          <w:lang w:val="en-US"/>
        </w:rPr>
        <w:t xml:space="preserve"> customers Internet services and mobile banking, remote access devices such as POS-terminals, automated teller machines, bank kiosks and </w:t>
      </w:r>
      <w:r w:rsidR="004E4074" w:rsidRPr="002C72D1">
        <w:rPr>
          <w:rFonts w:ascii="Calibri" w:hAnsi="Calibri" w:cs="Arial"/>
          <w:sz w:val="30"/>
          <w:szCs w:val="30"/>
          <w:lang w:val="en-US"/>
        </w:rPr>
        <w:t>instant</w:t>
      </w:r>
      <w:r w:rsidRPr="002C72D1">
        <w:rPr>
          <w:rFonts w:ascii="Calibri" w:hAnsi="Calibri" w:cs="Arial"/>
          <w:sz w:val="30"/>
          <w:szCs w:val="30"/>
          <w:lang w:val="en-US"/>
        </w:rPr>
        <w:t xml:space="preserve"> </w:t>
      </w:r>
      <w:r w:rsidRPr="00A9366F">
        <w:rPr>
          <w:rFonts w:ascii="Calibri" w:hAnsi="Calibri" w:cs="Arial"/>
          <w:sz w:val="30"/>
          <w:szCs w:val="30"/>
          <w:lang w:val="en-US"/>
        </w:rPr>
        <w:t>payment terminals.</w:t>
      </w:r>
    </w:p>
    <w:p w:rsidR="00E01A69" w:rsidRPr="00A9366F" w:rsidRDefault="00E01A69" w:rsidP="00E01A69">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 xml:space="preserve">Development of innovative digital technologies have resulted in </w:t>
      </w:r>
      <w:r w:rsidR="003E3996" w:rsidRPr="00A9366F">
        <w:rPr>
          <w:rFonts w:ascii="Calibri" w:hAnsi="Calibri" w:cs="Arial"/>
          <w:sz w:val="30"/>
          <w:szCs w:val="30"/>
          <w:lang w:val="en-US"/>
        </w:rPr>
        <w:t xml:space="preserve">emergence </w:t>
      </w:r>
      <w:r w:rsidRPr="00A9366F">
        <w:rPr>
          <w:rFonts w:ascii="Calibri" w:hAnsi="Calibri" w:cs="Arial"/>
          <w:sz w:val="30"/>
          <w:szCs w:val="30"/>
          <w:lang w:val="en-US"/>
        </w:rPr>
        <w:t>of new players in the payment</w:t>
      </w:r>
      <w:r w:rsidR="003E3996" w:rsidRPr="00A9366F">
        <w:rPr>
          <w:rFonts w:ascii="Calibri" w:hAnsi="Calibri" w:cs="Arial"/>
          <w:sz w:val="30"/>
          <w:szCs w:val="30"/>
          <w:lang w:val="en-US"/>
        </w:rPr>
        <w:t xml:space="preserve"> services</w:t>
      </w:r>
      <w:r w:rsidRPr="00A9366F">
        <w:rPr>
          <w:rFonts w:ascii="Calibri" w:hAnsi="Calibri" w:cs="Arial"/>
          <w:sz w:val="30"/>
          <w:szCs w:val="30"/>
          <w:lang w:val="en-US"/>
        </w:rPr>
        <w:t xml:space="preserve"> market – non-bank operators that provide the payment services through payment terminals, electronic money, internet and mobile applications.  </w:t>
      </w:r>
      <w:r w:rsidR="00D02E06" w:rsidRPr="002C72D1">
        <w:rPr>
          <w:rFonts w:ascii="Calibri" w:hAnsi="Calibri" w:cs="Arial"/>
          <w:sz w:val="30"/>
          <w:szCs w:val="30"/>
          <w:lang w:val="en-US"/>
        </w:rPr>
        <w:t>Regulation</w:t>
      </w:r>
      <w:r w:rsidR="00D02E06">
        <w:rPr>
          <w:rFonts w:ascii="Calibri" w:hAnsi="Calibri" w:cs="Arial"/>
          <w:sz w:val="30"/>
          <w:szCs w:val="30"/>
          <w:lang w:val="en-US"/>
        </w:rPr>
        <w:t xml:space="preserve"> </w:t>
      </w:r>
      <w:r w:rsidRPr="00A9366F">
        <w:rPr>
          <w:rFonts w:ascii="Calibri" w:hAnsi="Calibri" w:cs="Arial"/>
          <w:sz w:val="30"/>
          <w:szCs w:val="30"/>
          <w:lang w:val="en-US"/>
        </w:rPr>
        <w:t xml:space="preserve">of these private non-bank </w:t>
      </w:r>
      <w:r w:rsidR="006D1ECB" w:rsidRPr="00A9366F">
        <w:rPr>
          <w:rFonts w:ascii="Calibri" w:hAnsi="Calibri" w:cs="Arial"/>
          <w:sz w:val="30"/>
          <w:szCs w:val="30"/>
          <w:lang w:val="en-US"/>
        </w:rPr>
        <w:t xml:space="preserve">payment </w:t>
      </w:r>
      <w:r w:rsidR="00550E0F" w:rsidRPr="00A9366F">
        <w:rPr>
          <w:rFonts w:ascii="Calibri" w:hAnsi="Calibri" w:cs="Arial"/>
          <w:sz w:val="30"/>
          <w:szCs w:val="30"/>
          <w:lang w:val="en-US"/>
        </w:rPr>
        <w:t>organizations</w:t>
      </w:r>
      <w:r w:rsidR="006D1ECB" w:rsidRPr="00A9366F">
        <w:rPr>
          <w:rFonts w:ascii="Calibri" w:hAnsi="Calibri" w:cs="Arial"/>
          <w:sz w:val="30"/>
          <w:szCs w:val="30"/>
          <w:lang w:val="en-US"/>
        </w:rPr>
        <w:t xml:space="preserve"> are governed by the Law of the Republic of Kazakhstan dated 26 </w:t>
      </w:r>
      <w:r w:rsidR="006D1ECB" w:rsidRPr="002C72D1">
        <w:rPr>
          <w:rFonts w:ascii="Calibri" w:hAnsi="Calibri" w:cs="Arial"/>
          <w:sz w:val="30"/>
          <w:szCs w:val="30"/>
          <w:lang w:val="en-US"/>
        </w:rPr>
        <w:t>Ju</w:t>
      </w:r>
      <w:r w:rsidR="00D02E06" w:rsidRPr="002C72D1">
        <w:rPr>
          <w:rFonts w:ascii="Calibri" w:hAnsi="Calibri" w:cs="Arial"/>
          <w:sz w:val="30"/>
          <w:szCs w:val="30"/>
          <w:lang w:val="en-US"/>
        </w:rPr>
        <w:t>ly</w:t>
      </w:r>
      <w:r w:rsidR="006D1ECB" w:rsidRPr="002C72D1">
        <w:rPr>
          <w:rFonts w:ascii="Calibri" w:hAnsi="Calibri" w:cs="Arial"/>
          <w:sz w:val="30"/>
          <w:szCs w:val="30"/>
          <w:lang w:val="en-US"/>
        </w:rPr>
        <w:t xml:space="preserve"> 2</w:t>
      </w:r>
      <w:r w:rsidR="006D1ECB" w:rsidRPr="00A9366F">
        <w:rPr>
          <w:rFonts w:ascii="Calibri" w:hAnsi="Calibri" w:cs="Arial"/>
          <w:sz w:val="30"/>
          <w:szCs w:val="30"/>
          <w:lang w:val="en-US"/>
        </w:rPr>
        <w:t>016 “</w:t>
      </w:r>
      <w:r w:rsidR="00DC2C0B" w:rsidRPr="00A9366F">
        <w:rPr>
          <w:rFonts w:ascii="Calibri" w:hAnsi="Calibri" w:cs="Arial"/>
          <w:sz w:val="30"/>
          <w:szCs w:val="30"/>
          <w:lang w:val="en-US"/>
        </w:rPr>
        <w:t>O</w:t>
      </w:r>
      <w:r w:rsidR="006D1ECB" w:rsidRPr="00A9366F">
        <w:rPr>
          <w:rFonts w:ascii="Calibri" w:hAnsi="Calibri" w:cs="Arial"/>
          <w:sz w:val="30"/>
          <w:szCs w:val="30"/>
          <w:lang w:val="en-US"/>
        </w:rPr>
        <w:t>n Payments and Payment Systems”.</w:t>
      </w:r>
    </w:p>
    <w:p w:rsidR="00DC2C0B" w:rsidRPr="00A9366F" w:rsidRDefault="00313F39" w:rsidP="003874CE">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To this effect</w:t>
      </w:r>
      <w:r w:rsidR="00DC2C0B" w:rsidRPr="00A9366F">
        <w:rPr>
          <w:rFonts w:ascii="Calibri" w:hAnsi="Calibri" w:cs="Arial"/>
          <w:sz w:val="30"/>
          <w:szCs w:val="30"/>
          <w:lang w:val="en-US"/>
        </w:rPr>
        <w:t xml:space="preserve">, during 2016 the National Bank of Kazakhstan carried out works to update the legal framework for payments and payment systems aimed at further improvement </w:t>
      </w:r>
      <w:r w:rsidR="003C295A" w:rsidRPr="00A9366F">
        <w:rPr>
          <w:rFonts w:ascii="Calibri" w:hAnsi="Calibri" w:cs="Arial"/>
          <w:sz w:val="30"/>
          <w:szCs w:val="30"/>
          <w:lang w:val="en-US"/>
        </w:rPr>
        <w:t xml:space="preserve">of </w:t>
      </w:r>
      <w:r w:rsidR="00DC2C0B" w:rsidRPr="00A9366F">
        <w:rPr>
          <w:rFonts w:ascii="Calibri" w:hAnsi="Calibri" w:cs="Arial"/>
          <w:sz w:val="30"/>
          <w:szCs w:val="30"/>
          <w:lang w:val="en-US"/>
        </w:rPr>
        <w:t>procedure</w:t>
      </w:r>
      <w:r w:rsidR="003C295A" w:rsidRPr="00A9366F">
        <w:rPr>
          <w:rFonts w:ascii="Calibri" w:hAnsi="Calibri" w:cs="Arial"/>
          <w:sz w:val="30"/>
          <w:szCs w:val="30"/>
          <w:lang w:val="en-US"/>
        </w:rPr>
        <w:t xml:space="preserve">s of payment services </w:t>
      </w:r>
      <w:r w:rsidR="003E3996" w:rsidRPr="00A9366F">
        <w:rPr>
          <w:rFonts w:ascii="Calibri" w:hAnsi="Calibri" w:cs="Arial"/>
          <w:sz w:val="30"/>
          <w:szCs w:val="30"/>
          <w:lang w:val="en-US"/>
        </w:rPr>
        <w:t>delivery</w:t>
      </w:r>
      <w:r w:rsidR="003C295A" w:rsidRPr="00A9366F">
        <w:rPr>
          <w:rFonts w:ascii="Calibri" w:hAnsi="Calibri" w:cs="Arial"/>
          <w:sz w:val="30"/>
          <w:szCs w:val="30"/>
          <w:lang w:val="en-US"/>
        </w:rPr>
        <w:t xml:space="preserve"> and regulation and </w:t>
      </w:r>
      <w:r w:rsidR="00D02E06" w:rsidRPr="002C72D1">
        <w:rPr>
          <w:rFonts w:ascii="Calibri" w:hAnsi="Calibri" w:cs="Arial"/>
          <w:sz w:val="30"/>
          <w:szCs w:val="30"/>
          <w:lang w:val="en-US"/>
        </w:rPr>
        <w:t>oversight</w:t>
      </w:r>
      <w:r w:rsidR="00D02E06">
        <w:rPr>
          <w:rFonts w:ascii="Calibri" w:hAnsi="Calibri" w:cs="Arial"/>
          <w:sz w:val="30"/>
          <w:szCs w:val="30"/>
          <w:lang w:val="en-US"/>
        </w:rPr>
        <w:t xml:space="preserve"> </w:t>
      </w:r>
      <w:r w:rsidR="003C295A" w:rsidRPr="00A9366F">
        <w:rPr>
          <w:rFonts w:ascii="Calibri" w:hAnsi="Calibri" w:cs="Arial"/>
          <w:sz w:val="30"/>
          <w:szCs w:val="30"/>
          <w:lang w:val="en-US"/>
        </w:rPr>
        <w:t xml:space="preserve">of the payment </w:t>
      </w:r>
      <w:r w:rsidR="003E3996" w:rsidRPr="00A9366F">
        <w:rPr>
          <w:rFonts w:ascii="Calibri" w:hAnsi="Calibri" w:cs="Arial"/>
          <w:sz w:val="30"/>
          <w:szCs w:val="30"/>
          <w:lang w:val="en-US"/>
        </w:rPr>
        <w:t xml:space="preserve">services </w:t>
      </w:r>
      <w:r w:rsidR="003C295A" w:rsidRPr="00A9366F">
        <w:rPr>
          <w:rFonts w:ascii="Calibri" w:hAnsi="Calibri" w:cs="Arial"/>
          <w:sz w:val="30"/>
          <w:szCs w:val="30"/>
          <w:lang w:val="en-US"/>
        </w:rPr>
        <w:t xml:space="preserve">market. </w:t>
      </w:r>
    </w:p>
    <w:p w:rsidR="00264178" w:rsidRPr="00A9366F" w:rsidRDefault="002E4355" w:rsidP="001D6989">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In addition</w:t>
      </w:r>
      <w:r w:rsidR="003C295A" w:rsidRPr="00A9366F">
        <w:rPr>
          <w:rFonts w:ascii="Calibri" w:hAnsi="Calibri" w:cs="Arial"/>
          <w:sz w:val="30"/>
          <w:szCs w:val="30"/>
          <w:lang w:val="en-US"/>
        </w:rPr>
        <w:t xml:space="preserve">, the norms </w:t>
      </w:r>
      <w:r w:rsidRPr="00A9366F">
        <w:rPr>
          <w:rFonts w:ascii="Calibri" w:hAnsi="Calibri" w:cs="Arial"/>
          <w:sz w:val="30"/>
          <w:szCs w:val="30"/>
          <w:lang w:val="en-US"/>
        </w:rPr>
        <w:t xml:space="preserve">of payment systems </w:t>
      </w:r>
      <w:r w:rsidR="00EB2214" w:rsidRPr="00A9366F">
        <w:rPr>
          <w:rFonts w:ascii="Calibri" w:hAnsi="Calibri" w:cs="Arial"/>
          <w:sz w:val="30"/>
          <w:szCs w:val="30"/>
          <w:lang w:val="en-US"/>
        </w:rPr>
        <w:t>functioning</w:t>
      </w:r>
      <w:r w:rsidRPr="00A9366F">
        <w:rPr>
          <w:rFonts w:ascii="Calibri" w:hAnsi="Calibri" w:cs="Arial"/>
          <w:sz w:val="30"/>
          <w:szCs w:val="30"/>
          <w:lang w:val="en-US"/>
        </w:rPr>
        <w:t xml:space="preserve"> oversight </w:t>
      </w:r>
      <w:r w:rsidR="003C295A" w:rsidRPr="00A9366F">
        <w:rPr>
          <w:rFonts w:ascii="Calibri" w:hAnsi="Calibri" w:cs="Arial"/>
          <w:sz w:val="30"/>
          <w:szCs w:val="30"/>
          <w:lang w:val="en-US"/>
        </w:rPr>
        <w:t xml:space="preserve">have been tighten </w:t>
      </w:r>
      <w:r w:rsidR="001D6989" w:rsidRPr="00A9366F">
        <w:rPr>
          <w:rFonts w:ascii="Calibri" w:hAnsi="Calibri" w:cs="Arial"/>
          <w:sz w:val="30"/>
          <w:szCs w:val="30"/>
          <w:lang w:val="en-US"/>
        </w:rPr>
        <w:t>and the payment system operators</w:t>
      </w:r>
      <w:r w:rsidR="00205F86" w:rsidRPr="00A9366F">
        <w:rPr>
          <w:rFonts w:ascii="Calibri" w:hAnsi="Calibri" w:cs="Arial"/>
          <w:sz w:val="30"/>
          <w:szCs w:val="30"/>
          <w:lang w:val="en-US"/>
        </w:rPr>
        <w:t xml:space="preserve"> are </w:t>
      </w:r>
      <w:r w:rsidR="007E40A1" w:rsidRPr="00A9366F">
        <w:rPr>
          <w:rFonts w:ascii="Calibri" w:hAnsi="Calibri" w:cs="Arial"/>
          <w:sz w:val="30"/>
          <w:szCs w:val="30"/>
          <w:lang w:val="en-US"/>
        </w:rPr>
        <w:t>required</w:t>
      </w:r>
      <w:r w:rsidR="00205F86" w:rsidRPr="00A9366F">
        <w:rPr>
          <w:rFonts w:ascii="Calibri" w:hAnsi="Calibri" w:cs="Arial"/>
          <w:sz w:val="30"/>
          <w:szCs w:val="30"/>
          <w:lang w:val="en-US"/>
        </w:rPr>
        <w:t xml:space="preserve"> </w:t>
      </w:r>
      <w:r w:rsidR="001D6989" w:rsidRPr="00A9366F">
        <w:rPr>
          <w:rFonts w:ascii="Calibri" w:hAnsi="Calibri" w:cs="Arial"/>
          <w:sz w:val="30"/>
          <w:szCs w:val="30"/>
          <w:lang w:val="en-US"/>
        </w:rPr>
        <w:t xml:space="preserve">to inform </w:t>
      </w:r>
      <w:r w:rsidR="00264178" w:rsidRPr="00A9366F">
        <w:rPr>
          <w:rFonts w:ascii="Calibri" w:hAnsi="Calibri" w:cs="Arial"/>
          <w:sz w:val="30"/>
          <w:szCs w:val="30"/>
          <w:lang w:val="en-US"/>
        </w:rPr>
        <w:t xml:space="preserve">the National Bank of Kazakhstan about their activities in Kazakhstan, </w:t>
      </w:r>
      <w:r w:rsidR="001D6989" w:rsidRPr="00A9366F">
        <w:rPr>
          <w:rFonts w:ascii="Calibri" w:hAnsi="Calibri" w:cs="Arial"/>
          <w:sz w:val="30"/>
          <w:szCs w:val="30"/>
          <w:lang w:val="en-US"/>
        </w:rPr>
        <w:t>while the</w:t>
      </w:r>
      <w:r w:rsidR="00264178" w:rsidRPr="00A9366F">
        <w:rPr>
          <w:rFonts w:ascii="Calibri" w:hAnsi="Calibri" w:cs="Arial"/>
          <w:sz w:val="30"/>
          <w:szCs w:val="30"/>
          <w:lang w:val="en-US"/>
        </w:rPr>
        <w:t xml:space="preserve"> banks </w:t>
      </w:r>
      <w:r w:rsidR="001D6989" w:rsidRPr="00A9366F">
        <w:rPr>
          <w:rFonts w:ascii="Calibri" w:hAnsi="Calibri" w:cs="Arial"/>
          <w:sz w:val="30"/>
          <w:szCs w:val="30"/>
          <w:lang w:val="en-US"/>
        </w:rPr>
        <w:t>are required to inform about their</w:t>
      </w:r>
      <w:r w:rsidR="00264178" w:rsidRPr="00A9366F">
        <w:rPr>
          <w:rFonts w:ascii="Calibri" w:hAnsi="Calibri" w:cs="Arial"/>
          <w:sz w:val="30"/>
          <w:szCs w:val="30"/>
          <w:lang w:val="en-US"/>
        </w:rPr>
        <w:t xml:space="preserve"> par</w:t>
      </w:r>
      <w:r w:rsidR="007E40A1" w:rsidRPr="00A9366F">
        <w:rPr>
          <w:rFonts w:ascii="Calibri" w:hAnsi="Calibri" w:cs="Arial"/>
          <w:sz w:val="30"/>
          <w:szCs w:val="30"/>
          <w:lang w:val="en-US"/>
        </w:rPr>
        <w:t xml:space="preserve">ticipation in the payment </w:t>
      </w:r>
      <w:r w:rsidR="00460A14" w:rsidRPr="00A9366F">
        <w:rPr>
          <w:rFonts w:ascii="Calibri" w:hAnsi="Calibri" w:cs="Arial"/>
          <w:sz w:val="30"/>
          <w:szCs w:val="30"/>
          <w:lang w:val="en-US"/>
        </w:rPr>
        <w:t>system</w:t>
      </w:r>
      <w:r w:rsidR="00264178" w:rsidRPr="00A9366F">
        <w:rPr>
          <w:rFonts w:ascii="Calibri" w:hAnsi="Calibri" w:cs="Arial"/>
          <w:sz w:val="30"/>
          <w:szCs w:val="30"/>
          <w:lang w:val="en-US"/>
        </w:rPr>
        <w:t xml:space="preserve">, including </w:t>
      </w:r>
      <w:r w:rsidR="001D6989" w:rsidRPr="00A9366F">
        <w:rPr>
          <w:rFonts w:ascii="Calibri" w:hAnsi="Calibri" w:cs="Arial"/>
          <w:sz w:val="30"/>
          <w:szCs w:val="30"/>
          <w:lang w:val="en-US"/>
        </w:rPr>
        <w:t xml:space="preserve">a </w:t>
      </w:r>
      <w:r w:rsidR="00264178" w:rsidRPr="00A9366F">
        <w:rPr>
          <w:rFonts w:ascii="Calibri" w:hAnsi="Calibri" w:cs="Arial"/>
          <w:sz w:val="30"/>
          <w:szCs w:val="30"/>
          <w:lang w:val="en-US"/>
        </w:rPr>
        <w:t xml:space="preserve">foreign payment system. </w:t>
      </w:r>
      <w:r w:rsidR="00812573" w:rsidRPr="00A9366F">
        <w:rPr>
          <w:rFonts w:ascii="Calibri" w:hAnsi="Calibri" w:cs="Arial"/>
          <w:sz w:val="30"/>
          <w:szCs w:val="30"/>
          <w:lang w:val="en-US"/>
        </w:rPr>
        <w:t xml:space="preserve">Requirements have been strengthened for the payment systems operators in terms of the services </w:t>
      </w:r>
      <w:r w:rsidR="00226733" w:rsidRPr="002C72D1">
        <w:rPr>
          <w:rFonts w:ascii="Calibri" w:hAnsi="Calibri" w:cs="Arial"/>
          <w:sz w:val="30"/>
          <w:szCs w:val="30"/>
          <w:lang w:val="en-US"/>
        </w:rPr>
        <w:t xml:space="preserve">providing </w:t>
      </w:r>
      <w:r w:rsidR="00812573" w:rsidRPr="002C72D1">
        <w:rPr>
          <w:rFonts w:ascii="Calibri" w:hAnsi="Calibri" w:cs="Arial"/>
          <w:sz w:val="30"/>
          <w:szCs w:val="30"/>
          <w:lang w:val="en-US"/>
        </w:rPr>
        <w:t>procedure</w:t>
      </w:r>
      <w:r w:rsidR="00264178" w:rsidRPr="002C72D1">
        <w:rPr>
          <w:rFonts w:ascii="Calibri" w:hAnsi="Calibri" w:cs="Arial"/>
          <w:sz w:val="30"/>
          <w:szCs w:val="30"/>
          <w:lang w:val="en-US"/>
        </w:rPr>
        <w:t xml:space="preserve">. </w:t>
      </w:r>
      <w:r w:rsidR="00812573" w:rsidRPr="002C72D1">
        <w:rPr>
          <w:rFonts w:ascii="Calibri" w:hAnsi="Calibri" w:cs="Arial"/>
          <w:sz w:val="30"/>
          <w:szCs w:val="30"/>
          <w:lang w:val="en-US"/>
        </w:rPr>
        <w:t>A</w:t>
      </w:r>
      <w:r w:rsidR="00264178" w:rsidRPr="002C72D1">
        <w:rPr>
          <w:rFonts w:ascii="Calibri" w:hAnsi="Calibri" w:cs="Arial"/>
          <w:sz w:val="30"/>
          <w:szCs w:val="30"/>
          <w:lang w:val="en-US"/>
        </w:rPr>
        <w:t xml:space="preserve"> number of requirements </w:t>
      </w:r>
      <w:r w:rsidR="00812573" w:rsidRPr="002C72D1">
        <w:rPr>
          <w:rFonts w:ascii="Calibri" w:hAnsi="Calibri" w:cs="Arial"/>
          <w:sz w:val="30"/>
          <w:szCs w:val="30"/>
          <w:lang w:val="en-US"/>
        </w:rPr>
        <w:t xml:space="preserve">has been </w:t>
      </w:r>
      <w:r w:rsidR="002C50F3" w:rsidRPr="002C72D1">
        <w:rPr>
          <w:rFonts w:ascii="Calibri" w:hAnsi="Calibri" w:cs="Arial"/>
          <w:sz w:val="30"/>
          <w:szCs w:val="30"/>
          <w:lang w:val="en-US"/>
        </w:rPr>
        <w:t>stipulated</w:t>
      </w:r>
      <w:r w:rsidR="00812573" w:rsidRPr="002C72D1">
        <w:rPr>
          <w:rFonts w:ascii="Calibri" w:hAnsi="Calibri" w:cs="Arial"/>
          <w:sz w:val="30"/>
          <w:szCs w:val="30"/>
          <w:lang w:val="en-US"/>
        </w:rPr>
        <w:t xml:space="preserve"> for </w:t>
      </w:r>
      <w:r w:rsidR="001D6989" w:rsidRPr="002C72D1">
        <w:rPr>
          <w:rFonts w:ascii="Calibri" w:hAnsi="Calibri" w:cs="Arial"/>
          <w:sz w:val="30"/>
          <w:szCs w:val="30"/>
          <w:lang w:val="en-US"/>
        </w:rPr>
        <w:t>the</w:t>
      </w:r>
      <w:r w:rsidR="00264178" w:rsidRPr="002C72D1">
        <w:rPr>
          <w:rFonts w:ascii="Calibri" w:hAnsi="Calibri" w:cs="Arial"/>
          <w:sz w:val="30"/>
          <w:szCs w:val="30"/>
          <w:lang w:val="en-US"/>
        </w:rPr>
        <w:t xml:space="preserve"> </w:t>
      </w:r>
      <w:r w:rsidR="00264178" w:rsidRPr="00A9366F">
        <w:rPr>
          <w:rFonts w:ascii="Calibri" w:hAnsi="Calibri" w:cs="Arial"/>
          <w:sz w:val="30"/>
          <w:szCs w:val="30"/>
          <w:lang w:val="en-US"/>
        </w:rPr>
        <w:t xml:space="preserve">operators of systemically important and </w:t>
      </w:r>
      <w:r w:rsidR="00341D47" w:rsidRPr="00A9366F">
        <w:rPr>
          <w:rFonts w:ascii="Calibri" w:hAnsi="Calibri" w:cs="Arial"/>
          <w:sz w:val="30"/>
          <w:szCs w:val="30"/>
          <w:lang w:val="en-US"/>
        </w:rPr>
        <w:t>important</w:t>
      </w:r>
      <w:r w:rsidR="00264178" w:rsidRPr="00A9366F">
        <w:rPr>
          <w:rFonts w:ascii="Calibri" w:hAnsi="Calibri" w:cs="Arial"/>
          <w:sz w:val="30"/>
          <w:szCs w:val="30"/>
          <w:lang w:val="en-US"/>
        </w:rPr>
        <w:t xml:space="preserve"> payment systems, including </w:t>
      </w:r>
      <w:r w:rsidR="001D6989" w:rsidRPr="00A9366F">
        <w:rPr>
          <w:rFonts w:ascii="Calibri" w:hAnsi="Calibri" w:cs="Arial"/>
          <w:sz w:val="30"/>
          <w:szCs w:val="30"/>
          <w:lang w:val="en-US"/>
        </w:rPr>
        <w:t xml:space="preserve">requirements to </w:t>
      </w:r>
      <w:r w:rsidR="00550E0F" w:rsidRPr="00A9366F">
        <w:rPr>
          <w:rFonts w:ascii="Calibri" w:hAnsi="Calibri" w:cs="Arial"/>
          <w:sz w:val="30"/>
          <w:szCs w:val="30"/>
          <w:lang w:val="en-US"/>
        </w:rPr>
        <w:t>organization</w:t>
      </w:r>
      <w:r w:rsidR="002C50F3" w:rsidRPr="00A9366F">
        <w:rPr>
          <w:rFonts w:ascii="Calibri" w:hAnsi="Calibri" w:cs="Arial"/>
          <w:sz w:val="30"/>
          <w:szCs w:val="30"/>
          <w:lang w:val="en-US"/>
        </w:rPr>
        <w:t xml:space="preserve"> running</w:t>
      </w:r>
      <w:r w:rsidR="001D6989" w:rsidRPr="00A9366F">
        <w:rPr>
          <w:rFonts w:ascii="Calibri" w:hAnsi="Calibri" w:cs="Arial"/>
          <w:sz w:val="30"/>
          <w:szCs w:val="30"/>
          <w:lang w:val="en-US"/>
        </w:rPr>
        <w:t xml:space="preserve"> and risk management</w:t>
      </w:r>
      <w:r w:rsidR="00264178" w:rsidRPr="00A9366F">
        <w:rPr>
          <w:rFonts w:ascii="Calibri" w:hAnsi="Calibri" w:cs="Arial"/>
          <w:sz w:val="30"/>
          <w:szCs w:val="30"/>
          <w:lang w:val="en-US"/>
        </w:rPr>
        <w:t xml:space="preserve"> (liquid</w:t>
      </w:r>
      <w:r w:rsidR="001D6989" w:rsidRPr="00A9366F">
        <w:rPr>
          <w:rFonts w:ascii="Calibri" w:hAnsi="Calibri" w:cs="Arial"/>
          <w:sz w:val="30"/>
          <w:szCs w:val="30"/>
          <w:lang w:val="en-US"/>
        </w:rPr>
        <w:t>ity risk</w:t>
      </w:r>
      <w:r w:rsidR="00264178" w:rsidRPr="00A9366F">
        <w:rPr>
          <w:rFonts w:ascii="Calibri" w:hAnsi="Calibri" w:cs="Arial"/>
          <w:sz w:val="30"/>
          <w:szCs w:val="30"/>
          <w:lang w:val="en-US"/>
        </w:rPr>
        <w:t>, operation</w:t>
      </w:r>
      <w:r w:rsidR="00EB2214" w:rsidRPr="00A9366F">
        <w:rPr>
          <w:rFonts w:ascii="Calibri" w:hAnsi="Calibri" w:cs="Arial"/>
          <w:sz w:val="30"/>
          <w:szCs w:val="30"/>
          <w:lang w:val="en-US"/>
        </w:rPr>
        <w:t>al</w:t>
      </w:r>
      <w:r w:rsidR="001D6989" w:rsidRPr="00A9366F">
        <w:rPr>
          <w:rFonts w:ascii="Calibri" w:hAnsi="Calibri" w:cs="Arial"/>
          <w:sz w:val="30"/>
          <w:szCs w:val="30"/>
          <w:lang w:val="en-US"/>
        </w:rPr>
        <w:t xml:space="preserve"> risk</w:t>
      </w:r>
      <w:r w:rsidR="00264178" w:rsidRPr="00A9366F">
        <w:rPr>
          <w:rFonts w:ascii="Calibri" w:hAnsi="Calibri" w:cs="Arial"/>
          <w:sz w:val="30"/>
          <w:szCs w:val="30"/>
          <w:lang w:val="en-US"/>
        </w:rPr>
        <w:t xml:space="preserve"> and other types of risks), self-assessment of </w:t>
      </w:r>
      <w:r w:rsidR="00264178" w:rsidRPr="002C72D1">
        <w:rPr>
          <w:rFonts w:ascii="Calibri" w:hAnsi="Calibri" w:cs="Arial"/>
          <w:sz w:val="30"/>
          <w:szCs w:val="30"/>
          <w:lang w:val="en-US"/>
        </w:rPr>
        <w:t>payment systems</w:t>
      </w:r>
      <w:r w:rsidR="001D6989" w:rsidRPr="002C72D1">
        <w:rPr>
          <w:rFonts w:ascii="Calibri" w:hAnsi="Calibri" w:cs="Arial"/>
          <w:sz w:val="30"/>
          <w:szCs w:val="30"/>
          <w:lang w:val="en-US"/>
        </w:rPr>
        <w:t xml:space="preserve"> </w:t>
      </w:r>
      <w:r w:rsidR="002C72D1" w:rsidRPr="002C72D1">
        <w:rPr>
          <w:rFonts w:ascii="Calibri" w:hAnsi="Calibri" w:cs="Arial"/>
          <w:sz w:val="30"/>
          <w:szCs w:val="30"/>
          <w:lang w:val="en-US"/>
        </w:rPr>
        <w:t>conducting</w:t>
      </w:r>
      <w:r w:rsidR="00264178" w:rsidRPr="002C72D1">
        <w:rPr>
          <w:rFonts w:ascii="Calibri" w:hAnsi="Calibri" w:cs="Arial"/>
          <w:sz w:val="30"/>
          <w:szCs w:val="30"/>
          <w:lang w:val="en-US"/>
        </w:rPr>
        <w:t>,</w:t>
      </w:r>
      <w:r w:rsidR="001D6989" w:rsidRPr="002C72D1">
        <w:rPr>
          <w:rFonts w:ascii="Calibri" w:hAnsi="Calibri" w:cs="Arial"/>
          <w:sz w:val="30"/>
          <w:szCs w:val="30"/>
          <w:lang w:val="en-US"/>
        </w:rPr>
        <w:t xml:space="preserve"> assessment of</w:t>
      </w:r>
      <w:r w:rsidR="00264178" w:rsidRPr="002C72D1">
        <w:rPr>
          <w:rFonts w:ascii="Calibri" w:hAnsi="Calibri" w:cs="Arial"/>
          <w:sz w:val="30"/>
          <w:szCs w:val="30"/>
          <w:lang w:val="en-US"/>
        </w:rPr>
        <w:t xml:space="preserve"> quality of services</w:t>
      </w:r>
      <w:r w:rsidR="001D6989" w:rsidRPr="002C72D1">
        <w:rPr>
          <w:rFonts w:ascii="Calibri" w:hAnsi="Calibri" w:cs="Arial"/>
          <w:sz w:val="30"/>
          <w:szCs w:val="30"/>
          <w:lang w:val="en-US"/>
        </w:rPr>
        <w:t xml:space="preserve"> </w:t>
      </w:r>
      <w:r w:rsidR="00226733" w:rsidRPr="002C72D1">
        <w:rPr>
          <w:rFonts w:ascii="Calibri" w:hAnsi="Calibri" w:cs="Arial"/>
          <w:sz w:val="30"/>
          <w:szCs w:val="30"/>
          <w:lang w:val="en-US"/>
        </w:rPr>
        <w:t>provided</w:t>
      </w:r>
      <w:r w:rsidR="00264178" w:rsidRPr="00A9366F">
        <w:rPr>
          <w:rFonts w:ascii="Calibri" w:hAnsi="Calibri" w:cs="Arial"/>
          <w:sz w:val="30"/>
          <w:szCs w:val="30"/>
          <w:lang w:val="en-US"/>
        </w:rPr>
        <w:t xml:space="preserve">, and reporting </w:t>
      </w:r>
      <w:r w:rsidR="001D6989" w:rsidRPr="00A9366F">
        <w:rPr>
          <w:rFonts w:ascii="Calibri" w:hAnsi="Calibri" w:cs="Arial"/>
          <w:sz w:val="30"/>
          <w:szCs w:val="30"/>
          <w:lang w:val="en-US"/>
        </w:rPr>
        <w:t>t</w:t>
      </w:r>
      <w:r w:rsidR="00264178" w:rsidRPr="00A9366F">
        <w:rPr>
          <w:rFonts w:ascii="Calibri" w:hAnsi="Calibri" w:cs="Arial"/>
          <w:sz w:val="30"/>
          <w:szCs w:val="30"/>
          <w:lang w:val="en-US"/>
        </w:rPr>
        <w:t>o the Nationa</w:t>
      </w:r>
      <w:r w:rsidR="00812573" w:rsidRPr="00A9366F">
        <w:rPr>
          <w:rFonts w:ascii="Calibri" w:hAnsi="Calibri" w:cs="Arial"/>
          <w:sz w:val="30"/>
          <w:szCs w:val="30"/>
          <w:lang w:val="en-US"/>
        </w:rPr>
        <w:t>l Bank of Kazakhstan, including those on</w:t>
      </w:r>
      <w:r w:rsidR="00264178" w:rsidRPr="00A9366F">
        <w:rPr>
          <w:rFonts w:ascii="Calibri" w:hAnsi="Calibri" w:cs="Arial"/>
          <w:sz w:val="30"/>
          <w:szCs w:val="30"/>
          <w:lang w:val="en-US"/>
        </w:rPr>
        <w:t xml:space="preserve"> payments made by </w:t>
      </w:r>
      <w:r w:rsidR="00341D47" w:rsidRPr="00A9366F">
        <w:rPr>
          <w:rFonts w:ascii="Calibri" w:hAnsi="Calibri" w:cs="Arial"/>
          <w:sz w:val="30"/>
          <w:szCs w:val="30"/>
          <w:lang w:val="en-US"/>
        </w:rPr>
        <w:t xml:space="preserve">important </w:t>
      </w:r>
      <w:r w:rsidR="00264178" w:rsidRPr="00A9366F">
        <w:rPr>
          <w:rFonts w:ascii="Calibri" w:hAnsi="Calibri" w:cs="Arial"/>
          <w:sz w:val="30"/>
          <w:szCs w:val="30"/>
          <w:lang w:val="en-US"/>
        </w:rPr>
        <w:t>clients.</w:t>
      </w:r>
    </w:p>
    <w:p w:rsidR="00707438" w:rsidRPr="00A9366F" w:rsidRDefault="001011AA"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r w:rsidRPr="00A9366F">
        <w:rPr>
          <w:rFonts w:ascii="Calibri" w:hAnsi="Calibri" w:cs="Arial"/>
          <w:sz w:val="30"/>
          <w:szCs w:val="30"/>
          <w:lang w:val="en-US"/>
        </w:rPr>
        <w:t>In this respect, t</w:t>
      </w:r>
      <w:r w:rsidR="00BD5459" w:rsidRPr="00A9366F">
        <w:rPr>
          <w:rFonts w:ascii="Calibri" w:hAnsi="Calibri" w:cs="Arial"/>
          <w:sz w:val="30"/>
          <w:szCs w:val="30"/>
          <w:lang w:val="en-US"/>
        </w:rPr>
        <w:t>he oversight</w:t>
      </w:r>
      <w:r w:rsidRPr="00A9366F">
        <w:rPr>
          <w:rFonts w:ascii="Calibri" w:hAnsi="Calibri" w:cs="Arial"/>
          <w:sz w:val="30"/>
          <w:szCs w:val="30"/>
          <w:lang w:val="en-US"/>
        </w:rPr>
        <w:t xml:space="preserve"> function</w:t>
      </w:r>
      <w:r w:rsidR="00BD5459" w:rsidRPr="00A9366F">
        <w:rPr>
          <w:rFonts w:ascii="Calibri" w:hAnsi="Calibri" w:cs="Arial"/>
          <w:sz w:val="30"/>
          <w:szCs w:val="30"/>
          <w:lang w:val="en-US"/>
        </w:rPr>
        <w:t xml:space="preserve"> of payment system </w:t>
      </w:r>
      <w:r w:rsidRPr="00A9366F">
        <w:rPr>
          <w:rFonts w:ascii="Calibri" w:hAnsi="Calibri" w:cs="Arial"/>
          <w:sz w:val="30"/>
          <w:szCs w:val="30"/>
          <w:lang w:val="en-US"/>
        </w:rPr>
        <w:t>is concerned with</w:t>
      </w:r>
      <w:r w:rsidR="00707438" w:rsidRPr="00A9366F">
        <w:rPr>
          <w:rFonts w:ascii="Calibri" w:hAnsi="Calibri" w:cs="Arial"/>
          <w:sz w:val="30"/>
          <w:szCs w:val="30"/>
          <w:lang w:val="en-US"/>
        </w:rPr>
        <w:t>:</w:t>
      </w:r>
    </w:p>
    <w:p w:rsidR="00707438" w:rsidRPr="00A9366F"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r w:rsidRPr="00A9366F">
        <w:rPr>
          <w:rFonts w:ascii="Calibri" w:hAnsi="Calibri" w:cs="Arial"/>
          <w:sz w:val="30"/>
          <w:szCs w:val="30"/>
          <w:lang w:val="en-US"/>
        </w:rPr>
        <w:t xml:space="preserve">1) </w:t>
      </w:r>
      <w:proofErr w:type="gramStart"/>
      <w:r w:rsidR="00BD5459" w:rsidRPr="00A9366F">
        <w:rPr>
          <w:rFonts w:ascii="Calibri" w:hAnsi="Calibri" w:cs="Arial"/>
          <w:sz w:val="30"/>
          <w:szCs w:val="30"/>
          <w:lang w:val="en-US"/>
        </w:rPr>
        <w:t>monitoring</w:t>
      </w:r>
      <w:proofErr w:type="gramEnd"/>
      <w:r w:rsidR="00BD5459" w:rsidRPr="00A9366F">
        <w:rPr>
          <w:rFonts w:ascii="Calibri" w:hAnsi="Calibri" w:cs="Arial"/>
          <w:sz w:val="30"/>
          <w:szCs w:val="30"/>
          <w:lang w:val="en-US"/>
        </w:rPr>
        <w:t xml:space="preserve"> of the systemically important payment system</w:t>
      </w:r>
      <w:r w:rsidR="006B0516" w:rsidRPr="00226733">
        <w:rPr>
          <w:rFonts w:ascii="Calibri" w:hAnsi="Calibri" w:cs="Arial"/>
          <w:strike/>
          <w:sz w:val="30"/>
          <w:szCs w:val="30"/>
          <w:lang w:val="en-US"/>
        </w:rPr>
        <w:t>s</w:t>
      </w:r>
      <w:r w:rsidRPr="00A9366F">
        <w:rPr>
          <w:rFonts w:ascii="Calibri" w:hAnsi="Calibri" w:cs="Arial"/>
          <w:sz w:val="30"/>
          <w:szCs w:val="30"/>
          <w:lang w:val="en-US"/>
        </w:rPr>
        <w:t>;</w:t>
      </w:r>
    </w:p>
    <w:p w:rsidR="00BD5459" w:rsidRPr="00A9366F"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bookmarkStart w:id="4" w:name="SUB210202"/>
      <w:bookmarkEnd w:id="4"/>
      <w:r w:rsidRPr="00A9366F">
        <w:rPr>
          <w:rFonts w:ascii="Calibri" w:hAnsi="Calibri" w:cs="Arial"/>
          <w:sz w:val="30"/>
          <w:szCs w:val="30"/>
          <w:lang w:val="en-US"/>
        </w:rPr>
        <w:t xml:space="preserve">2) </w:t>
      </w:r>
      <w:proofErr w:type="gramStart"/>
      <w:r w:rsidR="00BD5459" w:rsidRPr="00A9366F">
        <w:rPr>
          <w:rFonts w:ascii="Calibri" w:hAnsi="Calibri" w:cs="Arial"/>
          <w:sz w:val="30"/>
          <w:szCs w:val="30"/>
          <w:lang w:val="en-US"/>
        </w:rPr>
        <w:t>analysis</w:t>
      </w:r>
      <w:proofErr w:type="gramEnd"/>
      <w:r w:rsidR="00BD5459" w:rsidRPr="00A9366F">
        <w:rPr>
          <w:rFonts w:ascii="Calibri" w:hAnsi="Calibri" w:cs="Arial"/>
          <w:sz w:val="30"/>
          <w:szCs w:val="30"/>
          <w:lang w:val="en-US"/>
        </w:rPr>
        <w:t xml:space="preserve"> and assessment of </w:t>
      </w:r>
      <w:r w:rsidR="00E158F1" w:rsidRPr="00A9366F">
        <w:rPr>
          <w:rFonts w:ascii="Calibri" w:hAnsi="Calibri" w:cs="Arial"/>
          <w:sz w:val="30"/>
          <w:szCs w:val="30"/>
          <w:lang w:val="en-US"/>
        </w:rPr>
        <w:t>functioning</w:t>
      </w:r>
      <w:r w:rsidR="00BD5459" w:rsidRPr="00A9366F">
        <w:rPr>
          <w:rFonts w:ascii="Calibri" w:hAnsi="Calibri" w:cs="Arial"/>
          <w:sz w:val="30"/>
          <w:szCs w:val="30"/>
          <w:lang w:val="en-US"/>
        </w:rPr>
        <w:t xml:space="preserve"> of the</w:t>
      </w:r>
      <w:r w:rsidR="002C50F3" w:rsidRPr="00A9366F">
        <w:rPr>
          <w:rFonts w:ascii="Calibri" w:hAnsi="Calibri" w:cs="Arial"/>
          <w:sz w:val="30"/>
          <w:szCs w:val="30"/>
          <w:lang w:val="en-US"/>
        </w:rPr>
        <w:t xml:space="preserve"> systemically important </w:t>
      </w:r>
      <w:r w:rsidR="00226733" w:rsidRPr="002C72D1">
        <w:rPr>
          <w:rFonts w:ascii="Calibri" w:hAnsi="Calibri" w:cs="Arial"/>
          <w:sz w:val="30"/>
          <w:szCs w:val="30"/>
          <w:lang w:val="en-US"/>
        </w:rPr>
        <w:t xml:space="preserve">and important </w:t>
      </w:r>
      <w:r w:rsidR="002C50F3" w:rsidRPr="00A9366F">
        <w:rPr>
          <w:rFonts w:ascii="Calibri" w:hAnsi="Calibri" w:cs="Arial"/>
          <w:sz w:val="30"/>
          <w:szCs w:val="30"/>
          <w:lang w:val="en-US"/>
        </w:rPr>
        <w:t>payment</w:t>
      </w:r>
      <w:r w:rsidR="00BD5459" w:rsidRPr="00A9366F">
        <w:rPr>
          <w:rFonts w:ascii="Calibri" w:hAnsi="Calibri" w:cs="Arial"/>
          <w:sz w:val="30"/>
          <w:szCs w:val="30"/>
          <w:lang w:val="en-US"/>
        </w:rPr>
        <w:t xml:space="preserve"> systems for their compliance with </w:t>
      </w:r>
      <w:r w:rsidR="002C50F3" w:rsidRPr="00A9366F">
        <w:rPr>
          <w:rFonts w:ascii="Calibri" w:hAnsi="Calibri" w:cs="Arial"/>
          <w:sz w:val="30"/>
          <w:szCs w:val="30"/>
          <w:lang w:val="en-US"/>
        </w:rPr>
        <w:t xml:space="preserve">the </w:t>
      </w:r>
      <w:r w:rsidR="00BD5459" w:rsidRPr="00A9366F">
        <w:rPr>
          <w:rFonts w:ascii="Calibri" w:hAnsi="Calibri" w:cs="Arial"/>
          <w:sz w:val="30"/>
          <w:szCs w:val="30"/>
          <w:lang w:val="en-US"/>
        </w:rPr>
        <w:t xml:space="preserve">international standards, including analysis of </w:t>
      </w:r>
      <w:r w:rsidR="009632FB" w:rsidRPr="00A9366F">
        <w:rPr>
          <w:rFonts w:ascii="Calibri" w:hAnsi="Calibri" w:cs="Arial"/>
          <w:sz w:val="30"/>
          <w:szCs w:val="30"/>
          <w:lang w:val="en-US"/>
        </w:rPr>
        <w:t xml:space="preserve">impact of </w:t>
      </w:r>
      <w:r w:rsidR="00BD5459" w:rsidRPr="00A9366F">
        <w:rPr>
          <w:rFonts w:ascii="Calibri" w:hAnsi="Calibri" w:cs="Arial"/>
          <w:sz w:val="30"/>
          <w:szCs w:val="30"/>
          <w:lang w:val="en-US"/>
        </w:rPr>
        <w:t>the</w:t>
      </w:r>
      <w:r w:rsidR="00341D47" w:rsidRPr="00A9366F">
        <w:rPr>
          <w:rFonts w:ascii="Calibri" w:hAnsi="Calibri" w:cs="Arial"/>
          <w:sz w:val="30"/>
          <w:szCs w:val="30"/>
          <w:lang w:val="en-US"/>
        </w:rPr>
        <w:t xml:space="preserve"> important</w:t>
      </w:r>
      <w:r w:rsidR="00BD5459" w:rsidRPr="00A9366F">
        <w:rPr>
          <w:rFonts w:ascii="Calibri" w:hAnsi="Calibri" w:cs="Arial"/>
          <w:sz w:val="30"/>
          <w:szCs w:val="30"/>
          <w:lang w:val="en-US"/>
        </w:rPr>
        <w:t xml:space="preserve"> clients</w:t>
      </w:r>
      <w:r w:rsidR="00612BA8" w:rsidRPr="00A9366F">
        <w:rPr>
          <w:rFonts w:ascii="Calibri" w:hAnsi="Calibri" w:cs="Arial"/>
          <w:sz w:val="30"/>
          <w:szCs w:val="30"/>
          <w:lang w:val="en-US"/>
        </w:rPr>
        <w:t xml:space="preserve"> of</w:t>
      </w:r>
      <w:r w:rsidR="00BD5459" w:rsidRPr="00A9366F">
        <w:rPr>
          <w:rFonts w:ascii="Calibri" w:hAnsi="Calibri" w:cs="Arial"/>
          <w:sz w:val="30"/>
          <w:szCs w:val="30"/>
          <w:lang w:val="en-US"/>
        </w:rPr>
        <w:t xml:space="preserve"> </w:t>
      </w:r>
      <w:r w:rsidR="00612BA8" w:rsidRPr="00A9366F">
        <w:rPr>
          <w:rFonts w:ascii="Calibri" w:hAnsi="Calibri" w:cs="Arial"/>
          <w:sz w:val="30"/>
          <w:szCs w:val="30"/>
          <w:lang w:val="en-US"/>
        </w:rPr>
        <w:t xml:space="preserve">the payment system </w:t>
      </w:r>
      <w:r w:rsidR="001011AA" w:rsidRPr="00A9366F">
        <w:rPr>
          <w:rFonts w:ascii="Calibri" w:hAnsi="Calibri" w:cs="Arial"/>
          <w:sz w:val="30"/>
          <w:szCs w:val="30"/>
          <w:lang w:val="en-US"/>
        </w:rPr>
        <w:t>participant</w:t>
      </w:r>
      <w:r w:rsidR="00612BA8" w:rsidRPr="00A9366F">
        <w:rPr>
          <w:rFonts w:ascii="Calibri" w:hAnsi="Calibri" w:cs="Arial"/>
          <w:sz w:val="30"/>
          <w:szCs w:val="30"/>
          <w:lang w:val="en-US"/>
        </w:rPr>
        <w:t xml:space="preserve">s </w:t>
      </w:r>
      <w:r w:rsidR="00BD5459" w:rsidRPr="00A9366F">
        <w:rPr>
          <w:rFonts w:ascii="Calibri" w:hAnsi="Calibri" w:cs="Arial"/>
          <w:sz w:val="30"/>
          <w:szCs w:val="30"/>
          <w:lang w:val="en-US"/>
        </w:rPr>
        <w:t xml:space="preserve">on the </w:t>
      </w:r>
      <w:r w:rsidR="002C50F3" w:rsidRPr="00A9366F">
        <w:rPr>
          <w:rFonts w:ascii="Calibri" w:hAnsi="Calibri" w:cs="Arial"/>
          <w:sz w:val="30"/>
          <w:szCs w:val="30"/>
          <w:lang w:val="en-US"/>
        </w:rPr>
        <w:t>payment system operation</w:t>
      </w:r>
      <w:r w:rsidR="00BD5459" w:rsidRPr="00A9366F">
        <w:rPr>
          <w:rFonts w:ascii="Calibri" w:hAnsi="Calibri" w:cs="Arial"/>
          <w:sz w:val="30"/>
          <w:szCs w:val="30"/>
          <w:lang w:val="en-US"/>
        </w:rPr>
        <w:t xml:space="preserve">;  </w:t>
      </w:r>
    </w:p>
    <w:p w:rsidR="00707438" w:rsidRPr="00A9366F" w:rsidRDefault="00707438" w:rsidP="00C95127">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bookmarkStart w:id="5" w:name="SUB210203"/>
      <w:bookmarkStart w:id="6" w:name="SUB210204"/>
      <w:bookmarkEnd w:id="5"/>
      <w:bookmarkEnd w:id="6"/>
      <w:r w:rsidRPr="00A9366F">
        <w:rPr>
          <w:rFonts w:ascii="Calibri" w:hAnsi="Calibri" w:cs="Arial"/>
          <w:sz w:val="30"/>
          <w:szCs w:val="30"/>
          <w:lang w:val="en-US"/>
        </w:rPr>
        <w:t xml:space="preserve">3) </w:t>
      </w:r>
      <w:r w:rsidR="00AD00C3" w:rsidRPr="00A9366F">
        <w:rPr>
          <w:rFonts w:ascii="Calibri" w:hAnsi="Calibri" w:cs="Arial"/>
          <w:sz w:val="30"/>
          <w:szCs w:val="30"/>
          <w:lang w:val="en-US"/>
        </w:rPr>
        <w:t xml:space="preserve">collection and processing of information </w:t>
      </w:r>
      <w:r w:rsidR="00E47AAE" w:rsidRPr="00A9366F">
        <w:rPr>
          <w:rFonts w:ascii="Calibri" w:hAnsi="Calibri" w:cs="Arial"/>
          <w:sz w:val="30"/>
          <w:szCs w:val="30"/>
          <w:lang w:val="en-US"/>
        </w:rPr>
        <w:t xml:space="preserve">on payments and (or) </w:t>
      </w:r>
      <w:r w:rsidR="00E47AAE" w:rsidRPr="002C72D1">
        <w:rPr>
          <w:rFonts w:ascii="Calibri" w:hAnsi="Calibri" w:cs="Arial"/>
          <w:sz w:val="30"/>
          <w:szCs w:val="30"/>
          <w:lang w:val="en-US"/>
        </w:rPr>
        <w:t>money transfers</w:t>
      </w:r>
      <w:r w:rsidR="00226733" w:rsidRPr="002C72D1">
        <w:rPr>
          <w:rFonts w:ascii="Calibri" w:hAnsi="Calibri" w:cs="Arial"/>
          <w:sz w:val="30"/>
          <w:szCs w:val="30"/>
          <w:lang w:val="en-US"/>
        </w:rPr>
        <w:t>, on</w:t>
      </w:r>
      <w:r w:rsidR="00EB2214" w:rsidRPr="002C72D1">
        <w:rPr>
          <w:rFonts w:ascii="Calibri" w:hAnsi="Calibri" w:cs="Arial"/>
          <w:sz w:val="30"/>
          <w:szCs w:val="30"/>
          <w:lang w:val="en-US"/>
        </w:rPr>
        <w:t xml:space="preserve"> payment systems functioning </w:t>
      </w:r>
      <w:r w:rsidR="00AD00C3" w:rsidRPr="002C72D1">
        <w:rPr>
          <w:rFonts w:ascii="Calibri" w:hAnsi="Calibri" w:cs="Arial"/>
          <w:sz w:val="30"/>
          <w:szCs w:val="30"/>
          <w:lang w:val="en-US"/>
        </w:rPr>
        <w:t xml:space="preserve">received from the </w:t>
      </w:r>
      <w:r w:rsidR="00AD00C3" w:rsidRPr="00A9366F">
        <w:rPr>
          <w:rFonts w:ascii="Calibri" w:hAnsi="Calibri" w:cs="Arial"/>
          <w:sz w:val="30"/>
          <w:szCs w:val="30"/>
          <w:lang w:val="en-US"/>
        </w:rPr>
        <w:t xml:space="preserve">operators, operation centers and payment system </w:t>
      </w:r>
      <w:r w:rsidR="001011AA" w:rsidRPr="00A9366F">
        <w:rPr>
          <w:rFonts w:ascii="Calibri" w:hAnsi="Calibri" w:cs="Arial"/>
          <w:sz w:val="30"/>
          <w:szCs w:val="30"/>
          <w:lang w:val="en-US"/>
        </w:rPr>
        <w:t>participant</w:t>
      </w:r>
      <w:r w:rsidR="00AD00C3" w:rsidRPr="00A9366F">
        <w:rPr>
          <w:rFonts w:ascii="Calibri" w:hAnsi="Calibri" w:cs="Arial"/>
          <w:sz w:val="30"/>
          <w:szCs w:val="30"/>
          <w:lang w:val="en-US"/>
        </w:rPr>
        <w:t xml:space="preserve">s, </w:t>
      </w:r>
      <w:r w:rsidR="00E47AAE" w:rsidRPr="00A9366F">
        <w:rPr>
          <w:rFonts w:ascii="Calibri" w:hAnsi="Calibri" w:cs="Arial"/>
          <w:sz w:val="30"/>
          <w:szCs w:val="30"/>
          <w:lang w:val="en-US"/>
        </w:rPr>
        <w:t>and on</w:t>
      </w:r>
      <w:r w:rsidR="00AD00C3" w:rsidRPr="00A9366F">
        <w:rPr>
          <w:rFonts w:ascii="Calibri" w:hAnsi="Calibri" w:cs="Arial"/>
          <w:sz w:val="30"/>
          <w:szCs w:val="30"/>
          <w:lang w:val="en-US"/>
        </w:rPr>
        <w:t xml:space="preserve">, including data on amount of payments and (or) money transfers made through the systemically important or </w:t>
      </w:r>
      <w:r w:rsidR="00341D47" w:rsidRPr="00A9366F">
        <w:rPr>
          <w:rFonts w:ascii="Calibri" w:hAnsi="Calibri" w:cs="Arial"/>
          <w:sz w:val="30"/>
          <w:szCs w:val="30"/>
          <w:lang w:val="en-US"/>
        </w:rPr>
        <w:t>important</w:t>
      </w:r>
      <w:r w:rsidR="00612BA8" w:rsidRPr="00A9366F">
        <w:rPr>
          <w:rFonts w:ascii="Calibri" w:hAnsi="Calibri" w:cs="Arial"/>
          <w:sz w:val="30"/>
          <w:szCs w:val="30"/>
          <w:lang w:val="en-US"/>
        </w:rPr>
        <w:t xml:space="preserve"> payment systems, those made by </w:t>
      </w:r>
      <w:r w:rsidR="00341D47" w:rsidRPr="00A9366F">
        <w:rPr>
          <w:rFonts w:ascii="Calibri" w:hAnsi="Calibri" w:cs="Arial"/>
          <w:sz w:val="30"/>
          <w:szCs w:val="30"/>
          <w:lang w:val="en-US"/>
        </w:rPr>
        <w:t>important</w:t>
      </w:r>
      <w:r w:rsidR="00612BA8" w:rsidRPr="00A9366F">
        <w:rPr>
          <w:rFonts w:ascii="Calibri" w:hAnsi="Calibri" w:cs="Arial"/>
          <w:sz w:val="30"/>
          <w:szCs w:val="30"/>
          <w:lang w:val="en-US"/>
        </w:rPr>
        <w:t xml:space="preserve"> clients </w:t>
      </w:r>
      <w:r w:rsidR="001011AA" w:rsidRPr="00A9366F">
        <w:rPr>
          <w:rFonts w:ascii="Calibri" w:hAnsi="Calibri" w:cs="Arial"/>
          <w:sz w:val="30"/>
          <w:szCs w:val="30"/>
          <w:lang w:val="en-US"/>
        </w:rPr>
        <w:t xml:space="preserve">of </w:t>
      </w:r>
      <w:r w:rsidR="00765502" w:rsidRPr="00A9366F">
        <w:rPr>
          <w:rFonts w:ascii="Calibri" w:hAnsi="Calibri" w:cs="Arial"/>
          <w:sz w:val="30"/>
          <w:szCs w:val="30"/>
          <w:lang w:val="en-US"/>
        </w:rPr>
        <w:t>said</w:t>
      </w:r>
      <w:r w:rsidR="00C95127" w:rsidRPr="00A9366F">
        <w:rPr>
          <w:rFonts w:ascii="Calibri" w:hAnsi="Calibri" w:cs="Arial"/>
          <w:sz w:val="30"/>
          <w:szCs w:val="30"/>
          <w:lang w:val="en-US"/>
        </w:rPr>
        <w:t xml:space="preserve"> payment systems</w:t>
      </w:r>
      <w:r w:rsidR="001011AA" w:rsidRPr="00A9366F">
        <w:rPr>
          <w:rFonts w:ascii="Calibri" w:hAnsi="Calibri" w:cs="Arial"/>
          <w:sz w:val="30"/>
          <w:szCs w:val="30"/>
          <w:lang w:val="en-US"/>
        </w:rPr>
        <w:t xml:space="preserve"> participants</w:t>
      </w:r>
      <w:r w:rsidRPr="00A9366F">
        <w:rPr>
          <w:rFonts w:ascii="Calibri" w:hAnsi="Calibri" w:cs="Arial"/>
          <w:sz w:val="30"/>
          <w:szCs w:val="30"/>
          <w:lang w:val="en-US"/>
        </w:rPr>
        <w:t>;</w:t>
      </w:r>
    </w:p>
    <w:p w:rsidR="00707438" w:rsidRPr="00A9366F" w:rsidRDefault="00707438" w:rsidP="00707438">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bookmarkStart w:id="7" w:name="SUB210205"/>
      <w:bookmarkEnd w:id="7"/>
      <w:r w:rsidRPr="00A9366F">
        <w:rPr>
          <w:rFonts w:ascii="Calibri" w:hAnsi="Calibri" w:cs="Arial"/>
          <w:sz w:val="30"/>
          <w:szCs w:val="30"/>
          <w:lang w:val="en-US"/>
        </w:rPr>
        <w:t xml:space="preserve">4) </w:t>
      </w:r>
      <w:proofErr w:type="gramStart"/>
      <w:r w:rsidR="005070E6" w:rsidRPr="00A9366F">
        <w:rPr>
          <w:rFonts w:ascii="Calibri" w:hAnsi="Calibri" w:cs="Arial"/>
          <w:sz w:val="30"/>
          <w:szCs w:val="30"/>
          <w:lang w:val="en-US"/>
        </w:rPr>
        <w:t>check</w:t>
      </w:r>
      <w:proofErr w:type="gramEnd"/>
      <w:r w:rsidR="00C95127" w:rsidRPr="00A9366F">
        <w:rPr>
          <w:rFonts w:ascii="Calibri" w:hAnsi="Calibri" w:cs="Arial"/>
          <w:sz w:val="30"/>
          <w:szCs w:val="30"/>
          <w:lang w:val="en-US"/>
        </w:rPr>
        <w:t xml:space="preserve"> of activities of the operators and (or) operating centers of systemically important and </w:t>
      </w:r>
      <w:r w:rsidR="00341D47" w:rsidRPr="00A9366F">
        <w:rPr>
          <w:rFonts w:ascii="Calibri" w:hAnsi="Calibri" w:cs="Arial"/>
          <w:sz w:val="30"/>
          <w:szCs w:val="30"/>
          <w:lang w:val="en-US"/>
        </w:rPr>
        <w:t>important</w:t>
      </w:r>
      <w:r w:rsidR="00C95127" w:rsidRPr="00A9366F">
        <w:rPr>
          <w:rFonts w:ascii="Calibri" w:hAnsi="Calibri" w:cs="Arial"/>
          <w:sz w:val="30"/>
          <w:szCs w:val="30"/>
          <w:lang w:val="en-US"/>
        </w:rPr>
        <w:t xml:space="preserve"> payment systems</w:t>
      </w:r>
      <w:r w:rsidRPr="00A9366F">
        <w:rPr>
          <w:rFonts w:ascii="Calibri" w:hAnsi="Calibri" w:cs="Arial"/>
          <w:sz w:val="30"/>
          <w:szCs w:val="30"/>
          <w:lang w:val="en-US"/>
        </w:rPr>
        <w:t>;</w:t>
      </w:r>
    </w:p>
    <w:p w:rsidR="00707438" w:rsidRPr="00A9366F" w:rsidRDefault="00707438" w:rsidP="00C95127">
      <w:pPr>
        <w:widowControl w:val="0"/>
        <w:pBdr>
          <w:top w:val="single" w:sz="4" w:space="1" w:color="FFFFFF"/>
          <w:left w:val="single" w:sz="4" w:space="1" w:color="FFFFFF"/>
          <w:bottom w:val="single" w:sz="4" w:space="0" w:color="FFFFFF"/>
          <w:right w:val="single" w:sz="4" w:space="1" w:color="FFFFFF"/>
        </w:pBdr>
        <w:spacing w:line="235" w:lineRule="auto"/>
        <w:ind w:firstLine="708"/>
        <w:jc w:val="both"/>
        <w:rPr>
          <w:rFonts w:ascii="Calibri" w:hAnsi="Calibri" w:cs="Arial"/>
          <w:sz w:val="30"/>
          <w:szCs w:val="30"/>
          <w:lang w:val="en-US"/>
        </w:rPr>
      </w:pPr>
      <w:bookmarkStart w:id="8" w:name="SUB210206"/>
      <w:bookmarkEnd w:id="8"/>
      <w:r w:rsidRPr="00A9366F">
        <w:rPr>
          <w:rFonts w:ascii="Calibri" w:hAnsi="Calibri" w:cs="Arial"/>
          <w:sz w:val="30"/>
          <w:szCs w:val="30"/>
          <w:lang w:val="en-US"/>
        </w:rPr>
        <w:t xml:space="preserve">5) </w:t>
      </w:r>
      <w:proofErr w:type="gramStart"/>
      <w:r w:rsidR="005A66B4" w:rsidRPr="00A9366F">
        <w:rPr>
          <w:rFonts w:ascii="Calibri" w:hAnsi="Calibri" w:cs="Arial"/>
          <w:sz w:val="30"/>
          <w:szCs w:val="30"/>
          <w:lang w:val="en-US"/>
        </w:rPr>
        <w:t>superv</w:t>
      </w:r>
      <w:r w:rsidR="00586301" w:rsidRPr="00A9366F">
        <w:rPr>
          <w:rFonts w:ascii="Calibri" w:hAnsi="Calibri" w:cs="Arial"/>
          <w:sz w:val="30"/>
          <w:szCs w:val="30"/>
          <w:lang w:val="en-US"/>
        </w:rPr>
        <w:t>ision</w:t>
      </w:r>
      <w:proofErr w:type="gramEnd"/>
      <w:r w:rsidR="00C95127" w:rsidRPr="00A9366F">
        <w:rPr>
          <w:rFonts w:ascii="Calibri" w:hAnsi="Calibri" w:cs="Arial"/>
          <w:sz w:val="30"/>
          <w:szCs w:val="30"/>
          <w:lang w:val="en-US"/>
        </w:rPr>
        <w:t xml:space="preserve"> </w:t>
      </w:r>
      <w:r w:rsidR="00D5365A" w:rsidRPr="00A9366F">
        <w:rPr>
          <w:rFonts w:ascii="Calibri" w:hAnsi="Calibri" w:cs="Arial"/>
          <w:sz w:val="30"/>
          <w:szCs w:val="30"/>
          <w:lang w:val="en-US"/>
        </w:rPr>
        <w:t xml:space="preserve">of compliance </w:t>
      </w:r>
      <w:r w:rsidR="00C95127" w:rsidRPr="00A9366F">
        <w:rPr>
          <w:rFonts w:ascii="Calibri" w:hAnsi="Calibri" w:cs="Arial"/>
          <w:sz w:val="30"/>
          <w:szCs w:val="30"/>
          <w:lang w:val="en-US"/>
        </w:rPr>
        <w:t>by the p</w:t>
      </w:r>
      <w:r w:rsidR="001011AA" w:rsidRPr="00A9366F">
        <w:rPr>
          <w:rFonts w:ascii="Calibri" w:hAnsi="Calibri" w:cs="Arial"/>
          <w:sz w:val="30"/>
          <w:szCs w:val="30"/>
          <w:lang w:val="en-US"/>
        </w:rPr>
        <w:t>articipants</w:t>
      </w:r>
      <w:r w:rsidR="00C95127" w:rsidRPr="00A9366F">
        <w:rPr>
          <w:rFonts w:ascii="Calibri" w:hAnsi="Calibri" w:cs="Arial"/>
          <w:sz w:val="30"/>
          <w:szCs w:val="30"/>
          <w:lang w:val="en-US"/>
        </w:rPr>
        <w:t xml:space="preserve"> of systemically important payment systems </w:t>
      </w:r>
      <w:r w:rsidR="00C751D4" w:rsidRPr="00A9366F">
        <w:rPr>
          <w:rFonts w:ascii="Calibri" w:hAnsi="Calibri" w:cs="Arial"/>
          <w:sz w:val="30"/>
          <w:szCs w:val="30"/>
          <w:lang w:val="en-US"/>
        </w:rPr>
        <w:t>with</w:t>
      </w:r>
      <w:r w:rsidR="00C95127" w:rsidRPr="00A9366F">
        <w:rPr>
          <w:rFonts w:ascii="Calibri" w:hAnsi="Calibri" w:cs="Arial"/>
          <w:sz w:val="30"/>
          <w:szCs w:val="30"/>
          <w:lang w:val="en-US"/>
        </w:rPr>
        <w:t xml:space="preserve"> the requirements to the </w:t>
      </w:r>
      <w:r w:rsidR="00550E0F" w:rsidRPr="00A9366F">
        <w:rPr>
          <w:rFonts w:ascii="Calibri" w:hAnsi="Calibri" w:cs="Arial"/>
          <w:sz w:val="30"/>
          <w:szCs w:val="30"/>
          <w:lang w:val="en-US"/>
        </w:rPr>
        <w:t>organizational</w:t>
      </w:r>
      <w:r w:rsidR="00C95127" w:rsidRPr="00A9366F">
        <w:rPr>
          <w:rFonts w:ascii="Calibri" w:hAnsi="Calibri" w:cs="Arial"/>
          <w:sz w:val="30"/>
          <w:szCs w:val="30"/>
          <w:lang w:val="en-US"/>
        </w:rPr>
        <w:t xml:space="preserve"> measures and software and hardware </w:t>
      </w:r>
      <w:r w:rsidR="005A66B4" w:rsidRPr="00A9366F">
        <w:rPr>
          <w:rFonts w:ascii="Calibri" w:hAnsi="Calibri" w:cs="Arial"/>
          <w:sz w:val="30"/>
          <w:szCs w:val="30"/>
          <w:lang w:val="en-US"/>
        </w:rPr>
        <w:t>instruments</w:t>
      </w:r>
      <w:r w:rsidR="00C95127" w:rsidRPr="00A9366F">
        <w:rPr>
          <w:rFonts w:ascii="Calibri" w:hAnsi="Calibri" w:cs="Arial"/>
          <w:sz w:val="30"/>
          <w:szCs w:val="30"/>
          <w:lang w:val="en-US"/>
        </w:rPr>
        <w:t>, which ensure access to the systemically important payment systems</w:t>
      </w:r>
      <w:r w:rsidRPr="00A9366F">
        <w:rPr>
          <w:rFonts w:ascii="Calibri" w:hAnsi="Calibri" w:cs="Arial"/>
          <w:sz w:val="30"/>
          <w:szCs w:val="30"/>
          <w:lang w:val="en-US"/>
        </w:rPr>
        <w:t>.</w:t>
      </w:r>
    </w:p>
    <w:p w:rsidR="00C95127" w:rsidRPr="00A9366F" w:rsidRDefault="00C95127" w:rsidP="00707438">
      <w:pPr>
        <w:spacing w:line="235" w:lineRule="auto"/>
        <w:ind w:firstLine="709"/>
        <w:jc w:val="both"/>
        <w:rPr>
          <w:rFonts w:ascii="Calibri" w:hAnsi="Calibri" w:cs="Arial"/>
          <w:sz w:val="30"/>
          <w:szCs w:val="30"/>
          <w:lang w:val="en-US"/>
        </w:rPr>
      </w:pPr>
      <w:r w:rsidRPr="00A9366F">
        <w:rPr>
          <w:rFonts w:ascii="Calibri" w:hAnsi="Calibri" w:cs="Arial"/>
          <w:sz w:val="30"/>
          <w:szCs w:val="30"/>
          <w:lang w:val="en-US"/>
        </w:rPr>
        <w:t xml:space="preserve">As a part of control of the payment services market it is provided for that the National Bank of Kazakhstan </w:t>
      </w:r>
      <w:r w:rsidR="003E0133" w:rsidRPr="00A9366F">
        <w:rPr>
          <w:rFonts w:ascii="Calibri" w:hAnsi="Calibri" w:cs="Arial"/>
          <w:sz w:val="30"/>
          <w:szCs w:val="30"/>
          <w:lang w:val="en-US"/>
        </w:rPr>
        <w:t>performs analysis of the payment services market and application of the payment tools</w:t>
      </w:r>
      <w:r w:rsidR="00087E64" w:rsidRPr="00A9366F">
        <w:rPr>
          <w:rFonts w:ascii="Calibri" w:hAnsi="Calibri" w:cs="Arial"/>
          <w:sz w:val="30"/>
          <w:szCs w:val="30"/>
          <w:lang w:val="en-US"/>
        </w:rPr>
        <w:t>;</w:t>
      </w:r>
      <w:r w:rsidR="003E0133" w:rsidRPr="00A9366F">
        <w:rPr>
          <w:rFonts w:ascii="Calibri" w:hAnsi="Calibri" w:cs="Arial"/>
          <w:sz w:val="30"/>
          <w:szCs w:val="30"/>
          <w:lang w:val="en-US"/>
        </w:rPr>
        <w:t xml:space="preserve"> collec</w:t>
      </w:r>
      <w:r w:rsidR="008260F1" w:rsidRPr="00A9366F">
        <w:rPr>
          <w:rFonts w:ascii="Calibri" w:hAnsi="Calibri" w:cs="Arial"/>
          <w:sz w:val="30"/>
          <w:szCs w:val="30"/>
          <w:lang w:val="en-US"/>
        </w:rPr>
        <w:t>ts</w:t>
      </w:r>
      <w:r w:rsidR="003E0133" w:rsidRPr="00A9366F">
        <w:rPr>
          <w:rFonts w:ascii="Calibri" w:hAnsi="Calibri" w:cs="Arial"/>
          <w:sz w:val="30"/>
          <w:szCs w:val="30"/>
          <w:lang w:val="en-US"/>
        </w:rPr>
        <w:t xml:space="preserve"> and process</w:t>
      </w:r>
      <w:r w:rsidR="008260F1" w:rsidRPr="00A9366F">
        <w:rPr>
          <w:rFonts w:ascii="Calibri" w:hAnsi="Calibri" w:cs="Arial"/>
          <w:sz w:val="30"/>
          <w:szCs w:val="30"/>
          <w:lang w:val="en-US"/>
        </w:rPr>
        <w:t>es d</w:t>
      </w:r>
      <w:r w:rsidR="003E0133" w:rsidRPr="00A9366F">
        <w:rPr>
          <w:rFonts w:ascii="Calibri" w:hAnsi="Calibri" w:cs="Arial"/>
          <w:sz w:val="30"/>
          <w:szCs w:val="30"/>
          <w:lang w:val="en-US"/>
        </w:rPr>
        <w:t xml:space="preserve">ata </w:t>
      </w:r>
      <w:r w:rsidR="008260F1" w:rsidRPr="00A9366F">
        <w:rPr>
          <w:rFonts w:ascii="Calibri" w:hAnsi="Calibri" w:cs="Arial"/>
          <w:sz w:val="30"/>
          <w:szCs w:val="30"/>
          <w:lang w:val="en-US"/>
        </w:rPr>
        <w:t xml:space="preserve">on the payment services provided that has been </w:t>
      </w:r>
      <w:r w:rsidR="003E0133" w:rsidRPr="00A9366F">
        <w:rPr>
          <w:rFonts w:ascii="Calibri" w:hAnsi="Calibri" w:cs="Arial"/>
          <w:sz w:val="30"/>
          <w:szCs w:val="30"/>
          <w:lang w:val="en-US"/>
        </w:rPr>
        <w:t>received from the payment services providers</w:t>
      </w:r>
      <w:r w:rsidR="00087E64" w:rsidRPr="00A9366F">
        <w:rPr>
          <w:rFonts w:ascii="Calibri" w:hAnsi="Calibri" w:cs="Arial"/>
          <w:sz w:val="30"/>
          <w:szCs w:val="30"/>
          <w:lang w:val="en-US"/>
        </w:rPr>
        <w:t>;</w:t>
      </w:r>
      <w:r w:rsidR="003E0133" w:rsidRPr="00A9366F">
        <w:rPr>
          <w:rFonts w:ascii="Calibri" w:hAnsi="Calibri" w:cs="Arial"/>
          <w:sz w:val="30"/>
          <w:szCs w:val="30"/>
          <w:lang w:val="en-US"/>
        </w:rPr>
        <w:t xml:space="preserve"> carr</w:t>
      </w:r>
      <w:r w:rsidR="008260F1" w:rsidRPr="00A9366F">
        <w:rPr>
          <w:rFonts w:ascii="Calibri" w:hAnsi="Calibri" w:cs="Arial"/>
          <w:sz w:val="30"/>
          <w:szCs w:val="30"/>
          <w:lang w:val="en-US"/>
        </w:rPr>
        <w:t xml:space="preserve">ies </w:t>
      </w:r>
      <w:r w:rsidR="003E0133" w:rsidRPr="00A9366F">
        <w:rPr>
          <w:rFonts w:ascii="Calibri" w:hAnsi="Calibri" w:cs="Arial"/>
          <w:sz w:val="30"/>
          <w:szCs w:val="30"/>
          <w:lang w:val="en-US"/>
        </w:rPr>
        <w:t xml:space="preserve">out </w:t>
      </w:r>
      <w:r w:rsidR="008260F1" w:rsidRPr="00A9366F">
        <w:rPr>
          <w:rFonts w:ascii="Calibri" w:hAnsi="Calibri" w:cs="Arial"/>
          <w:sz w:val="30"/>
          <w:szCs w:val="30"/>
          <w:lang w:val="en-US"/>
        </w:rPr>
        <w:t xml:space="preserve">the </w:t>
      </w:r>
      <w:r w:rsidR="003E0133" w:rsidRPr="00A9366F">
        <w:rPr>
          <w:rFonts w:ascii="Calibri" w:hAnsi="Calibri" w:cs="Arial"/>
          <w:sz w:val="30"/>
          <w:szCs w:val="30"/>
          <w:lang w:val="en-US"/>
        </w:rPr>
        <w:t xml:space="preserve">record registration of payment </w:t>
      </w:r>
      <w:r w:rsidR="00550E0F" w:rsidRPr="00A9366F">
        <w:rPr>
          <w:rFonts w:ascii="Calibri" w:hAnsi="Calibri" w:cs="Arial"/>
          <w:sz w:val="30"/>
          <w:szCs w:val="30"/>
          <w:lang w:val="en-US"/>
        </w:rPr>
        <w:t>organizations</w:t>
      </w:r>
      <w:r w:rsidR="003E0133" w:rsidRPr="00A9366F">
        <w:rPr>
          <w:rFonts w:ascii="Calibri" w:hAnsi="Calibri" w:cs="Arial"/>
          <w:sz w:val="30"/>
          <w:szCs w:val="30"/>
          <w:lang w:val="en-US"/>
        </w:rPr>
        <w:t xml:space="preserve"> and keep</w:t>
      </w:r>
      <w:r w:rsidR="008260F1" w:rsidRPr="00A9366F">
        <w:rPr>
          <w:rFonts w:ascii="Calibri" w:hAnsi="Calibri" w:cs="Arial"/>
          <w:sz w:val="30"/>
          <w:szCs w:val="30"/>
          <w:lang w:val="en-US"/>
        </w:rPr>
        <w:t>s</w:t>
      </w:r>
      <w:r w:rsidR="003E0133" w:rsidRPr="00A9366F">
        <w:rPr>
          <w:rFonts w:ascii="Calibri" w:hAnsi="Calibri" w:cs="Arial"/>
          <w:sz w:val="30"/>
          <w:szCs w:val="30"/>
          <w:lang w:val="en-US"/>
        </w:rPr>
        <w:t xml:space="preserve"> </w:t>
      </w:r>
      <w:r w:rsidR="008260F1" w:rsidRPr="00A9366F">
        <w:rPr>
          <w:rFonts w:ascii="Calibri" w:hAnsi="Calibri" w:cs="Arial"/>
          <w:sz w:val="30"/>
          <w:szCs w:val="30"/>
          <w:lang w:val="en-US"/>
        </w:rPr>
        <w:t>a</w:t>
      </w:r>
      <w:r w:rsidR="003E0133" w:rsidRPr="00A9366F">
        <w:rPr>
          <w:rFonts w:ascii="Calibri" w:hAnsi="Calibri" w:cs="Arial"/>
          <w:sz w:val="30"/>
          <w:szCs w:val="30"/>
          <w:lang w:val="en-US"/>
        </w:rPr>
        <w:t xml:space="preserve"> </w:t>
      </w:r>
      <w:r w:rsidR="002D05A9" w:rsidRPr="00A9366F">
        <w:rPr>
          <w:rFonts w:ascii="Calibri" w:hAnsi="Calibri" w:cs="Arial"/>
          <w:sz w:val="30"/>
          <w:szCs w:val="30"/>
          <w:lang w:val="en-US"/>
        </w:rPr>
        <w:t xml:space="preserve">register of such </w:t>
      </w:r>
      <w:r w:rsidR="00550E0F" w:rsidRPr="00A9366F">
        <w:rPr>
          <w:rFonts w:ascii="Calibri" w:hAnsi="Calibri" w:cs="Arial"/>
          <w:sz w:val="30"/>
          <w:szCs w:val="30"/>
          <w:lang w:val="en-US"/>
        </w:rPr>
        <w:t>organizations</w:t>
      </w:r>
      <w:r w:rsidR="002D05A9" w:rsidRPr="00A9366F">
        <w:rPr>
          <w:rFonts w:ascii="Calibri" w:hAnsi="Calibri" w:cs="Arial"/>
          <w:sz w:val="30"/>
          <w:szCs w:val="30"/>
          <w:lang w:val="en-US"/>
        </w:rPr>
        <w:t>; keep</w:t>
      </w:r>
      <w:r w:rsidR="008260F1" w:rsidRPr="00A9366F">
        <w:rPr>
          <w:rFonts w:ascii="Calibri" w:hAnsi="Calibri" w:cs="Arial"/>
          <w:sz w:val="30"/>
          <w:szCs w:val="30"/>
          <w:lang w:val="en-US"/>
        </w:rPr>
        <w:t>s a</w:t>
      </w:r>
      <w:r w:rsidR="002D05A9" w:rsidRPr="00A9366F">
        <w:rPr>
          <w:rFonts w:ascii="Calibri" w:hAnsi="Calibri" w:cs="Arial"/>
          <w:sz w:val="30"/>
          <w:szCs w:val="30"/>
          <w:lang w:val="en-US"/>
        </w:rPr>
        <w:t xml:space="preserve"> register of the </w:t>
      </w:r>
      <w:r w:rsidR="00341D47" w:rsidRPr="00A9366F">
        <w:rPr>
          <w:rFonts w:ascii="Calibri" w:hAnsi="Calibri" w:cs="Arial"/>
          <w:sz w:val="30"/>
          <w:szCs w:val="30"/>
          <w:lang w:val="en-US"/>
        </w:rPr>
        <w:t>important</w:t>
      </w:r>
      <w:r w:rsidR="002D05A9" w:rsidRPr="00A9366F">
        <w:rPr>
          <w:rFonts w:ascii="Calibri" w:hAnsi="Calibri" w:cs="Arial"/>
          <w:sz w:val="30"/>
          <w:szCs w:val="30"/>
          <w:lang w:val="en-US"/>
        </w:rPr>
        <w:t xml:space="preserve"> pr</w:t>
      </w:r>
      <w:r w:rsidR="005E5076" w:rsidRPr="00A9366F">
        <w:rPr>
          <w:rFonts w:ascii="Calibri" w:hAnsi="Calibri" w:cs="Arial"/>
          <w:sz w:val="30"/>
          <w:szCs w:val="30"/>
          <w:lang w:val="en-US"/>
        </w:rPr>
        <w:t xml:space="preserve">oviders of the payment services and </w:t>
      </w:r>
      <w:r w:rsidR="005070E6" w:rsidRPr="00A9366F">
        <w:rPr>
          <w:rFonts w:ascii="Calibri" w:hAnsi="Calibri" w:cs="Arial"/>
          <w:sz w:val="30"/>
          <w:szCs w:val="30"/>
          <w:lang w:val="en-US"/>
        </w:rPr>
        <w:t>check</w:t>
      </w:r>
      <w:r w:rsidR="008260F1" w:rsidRPr="00A9366F">
        <w:rPr>
          <w:rFonts w:ascii="Calibri" w:hAnsi="Calibri" w:cs="Arial"/>
          <w:sz w:val="30"/>
          <w:szCs w:val="30"/>
          <w:lang w:val="en-US"/>
        </w:rPr>
        <w:t>s</w:t>
      </w:r>
      <w:r w:rsidR="005070E6" w:rsidRPr="00A9366F">
        <w:rPr>
          <w:rFonts w:ascii="Calibri" w:hAnsi="Calibri" w:cs="Arial"/>
          <w:sz w:val="30"/>
          <w:szCs w:val="30"/>
          <w:lang w:val="en-US"/>
        </w:rPr>
        <w:t xml:space="preserve"> </w:t>
      </w:r>
      <w:r w:rsidR="005E5076" w:rsidRPr="00A9366F">
        <w:rPr>
          <w:rFonts w:ascii="Calibri" w:hAnsi="Calibri" w:cs="Arial"/>
          <w:sz w:val="30"/>
          <w:szCs w:val="30"/>
          <w:lang w:val="en-US"/>
        </w:rPr>
        <w:t xml:space="preserve">activities of the payment services providers. </w:t>
      </w:r>
    </w:p>
    <w:p w:rsidR="00087E64" w:rsidRPr="00A9366F" w:rsidRDefault="00087E64" w:rsidP="00AF1356">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 xml:space="preserve">In accordance with the powers established by the Law of the Republic of Kazakhstan “On Payments and Payment Systems”, </w:t>
      </w:r>
      <w:r w:rsidR="00341D47" w:rsidRPr="00A9366F">
        <w:rPr>
          <w:rFonts w:ascii="Calibri" w:hAnsi="Calibri" w:cs="Arial"/>
          <w:sz w:val="30"/>
          <w:szCs w:val="30"/>
          <w:lang w:val="en-US"/>
        </w:rPr>
        <w:t xml:space="preserve">since February 2017 </w:t>
      </w:r>
      <w:r w:rsidRPr="00A9366F">
        <w:rPr>
          <w:rFonts w:ascii="Calibri" w:hAnsi="Calibri" w:cs="Arial"/>
          <w:sz w:val="30"/>
          <w:szCs w:val="30"/>
          <w:lang w:val="en-US"/>
        </w:rPr>
        <w:t xml:space="preserve">the National Bank of Kazakhstan has been keeping the registers of payment systems, payment </w:t>
      </w:r>
      <w:r w:rsidR="00550E0F" w:rsidRPr="00A9366F">
        <w:rPr>
          <w:rFonts w:ascii="Calibri" w:hAnsi="Calibri" w:cs="Arial"/>
          <w:sz w:val="30"/>
          <w:szCs w:val="30"/>
          <w:lang w:val="en-US"/>
        </w:rPr>
        <w:t>organizations</w:t>
      </w:r>
      <w:r w:rsidRPr="00A9366F">
        <w:rPr>
          <w:rFonts w:ascii="Calibri" w:hAnsi="Calibri" w:cs="Arial"/>
          <w:sz w:val="30"/>
          <w:szCs w:val="30"/>
          <w:lang w:val="en-US"/>
        </w:rPr>
        <w:t xml:space="preserve"> and </w:t>
      </w:r>
      <w:r w:rsidR="00341D47" w:rsidRPr="00A9366F">
        <w:rPr>
          <w:rFonts w:ascii="Calibri" w:hAnsi="Calibri" w:cs="Arial"/>
          <w:sz w:val="30"/>
          <w:szCs w:val="30"/>
          <w:lang w:val="en-US"/>
        </w:rPr>
        <w:t>important</w:t>
      </w:r>
      <w:r w:rsidRPr="00A9366F">
        <w:rPr>
          <w:rFonts w:ascii="Calibri" w:hAnsi="Calibri" w:cs="Arial"/>
          <w:sz w:val="30"/>
          <w:szCs w:val="30"/>
          <w:lang w:val="en-US"/>
        </w:rPr>
        <w:t xml:space="preserve"> providers of the payment services. Said registered are placed on the Internet resource of the National Bank of Kazakhstan. </w:t>
      </w:r>
    </w:p>
    <w:p w:rsidR="00087E64" w:rsidRPr="00A9366F" w:rsidRDefault="000B2FBE" w:rsidP="00AF1356">
      <w:pPr>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 xml:space="preserve">A register of payment systems comprises classification of the systems by types: systemically important, </w:t>
      </w:r>
      <w:r w:rsidR="00341D47" w:rsidRPr="00A9366F">
        <w:rPr>
          <w:rFonts w:ascii="Calibri" w:hAnsi="Calibri" w:cs="Arial"/>
          <w:sz w:val="30"/>
          <w:szCs w:val="30"/>
          <w:lang w:val="en-US"/>
        </w:rPr>
        <w:t>importan</w:t>
      </w:r>
      <w:r w:rsidRPr="00A9366F">
        <w:rPr>
          <w:rFonts w:ascii="Calibri" w:hAnsi="Calibri" w:cs="Arial"/>
          <w:sz w:val="30"/>
          <w:szCs w:val="30"/>
          <w:lang w:val="en-US"/>
        </w:rPr>
        <w:t xml:space="preserve">t and other payment systems in accordance with the criteria and indicators established by the above-mentioned Law and Resolution of No.222 dated 31 August 2016 of the </w:t>
      </w:r>
      <w:r w:rsidR="006C78C6" w:rsidRPr="006C78C6">
        <w:rPr>
          <w:rFonts w:ascii="Calibri" w:hAnsi="Calibri" w:cs="Arial"/>
          <w:color w:val="FF0000"/>
          <w:sz w:val="30"/>
          <w:szCs w:val="30"/>
          <w:lang w:val="en-US"/>
        </w:rPr>
        <w:t>M</w:t>
      </w:r>
      <w:r w:rsidRPr="00A9366F">
        <w:rPr>
          <w:rFonts w:ascii="Calibri" w:hAnsi="Calibri" w:cs="Arial"/>
          <w:sz w:val="30"/>
          <w:szCs w:val="30"/>
          <w:lang w:val="en-US"/>
        </w:rPr>
        <w:t>anagement Board of the National Bank of Kazakhstan “</w:t>
      </w:r>
      <w:r w:rsidR="003B54A9" w:rsidRPr="00A9366F">
        <w:rPr>
          <w:rFonts w:ascii="Calibri" w:hAnsi="Calibri" w:cs="Arial"/>
          <w:sz w:val="30"/>
          <w:szCs w:val="30"/>
          <w:lang w:val="en-US"/>
        </w:rPr>
        <w:t xml:space="preserve">On </w:t>
      </w:r>
      <w:r w:rsidR="00B2113A" w:rsidRPr="00A9366F">
        <w:rPr>
          <w:rFonts w:ascii="Calibri" w:hAnsi="Calibri" w:cs="Arial"/>
          <w:sz w:val="30"/>
          <w:szCs w:val="30"/>
          <w:lang w:val="en-US"/>
        </w:rPr>
        <w:t>A</w:t>
      </w:r>
      <w:r w:rsidR="003B54A9" w:rsidRPr="00A9366F">
        <w:rPr>
          <w:rFonts w:ascii="Calibri" w:hAnsi="Calibri" w:cs="Arial"/>
          <w:sz w:val="30"/>
          <w:szCs w:val="30"/>
          <w:lang w:val="en-US"/>
        </w:rPr>
        <w:t xml:space="preserve">pproval of the </w:t>
      </w:r>
      <w:r w:rsidR="00447584" w:rsidRPr="00A9366F">
        <w:rPr>
          <w:rFonts w:ascii="Calibri" w:hAnsi="Calibri" w:cs="Arial"/>
          <w:sz w:val="30"/>
          <w:szCs w:val="30"/>
          <w:lang w:val="en-US"/>
        </w:rPr>
        <w:t xml:space="preserve">Values of </w:t>
      </w:r>
      <w:r w:rsidR="00B2113A" w:rsidRPr="00A9366F">
        <w:rPr>
          <w:rFonts w:ascii="Calibri" w:hAnsi="Calibri" w:cs="Arial"/>
          <w:sz w:val="30"/>
          <w:szCs w:val="30"/>
          <w:lang w:val="en-US"/>
        </w:rPr>
        <w:t>C</w:t>
      </w:r>
      <w:r w:rsidR="003B54A9" w:rsidRPr="00A9366F">
        <w:rPr>
          <w:rFonts w:ascii="Calibri" w:hAnsi="Calibri" w:cs="Arial"/>
          <w:sz w:val="30"/>
          <w:szCs w:val="30"/>
          <w:lang w:val="en-US"/>
        </w:rPr>
        <w:t>riteria</w:t>
      </w:r>
      <w:r w:rsidR="00B2113A" w:rsidRPr="00A9366F">
        <w:rPr>
          <w:rFonts w:ascii="Calibri" w:hAnsi="Calibri" w:cs="Arial"/>
          <w:sz w:val="30"/>
          <w:szCs w:val="30"/>
          <w:lang w:val="en-US"/>
        </w:rPr>
        <w:t xml:space="preserve"> </w:t>
      </w:r>
      <w:r w:rsidR="00447584" w:rsidRPr="00A9366F">
        <w:rPr>
          <w:rFonts w:ascii="Calibri" w:hAnsi="Calibri" w:cs="Arial"/>
          <w:sz w:val="30"/>
          <w:szCs w:val="30"/>
          <w:lang w:val="en-US"/>
        </w:rPr>
        <w:t>for</w:t>
      </w:r>
      <w:r w:rsidR="005070E6" w:rsidRPr="00A9366F">
        <w:rPr>
          <w:rFonts w:ascii="Calibri" w:hAnsi="Calibri" w:cs="Arial"/>
          <w:sz w:val="30"/>
          <w:szCs w:val="30"/>
          <w:lang w:val="en-US"/>
        </w:rPr>
        <w:t xml:space="preserve"> </w:t>
      </w:r>
      <w:r w:rsidR="00B2113A" w:rsidRPr="00A9366F">
        <w:rPr>
          <w:rFonts w:ascii="Calibri" w:hAnsi="Calibri" w:cs="Arial"/>
          <w:sz w:val="30"/>
          <w:szCs w:val="30"/>
          <w:lang w:val="en-US"/>
        </w:rPr>
        <w:t>I</w:t>
      </w:r>
      <w:r w:rsidR="00341D47" w:rsidRPr="00A9366F">
        <w:rPr>
          <w:rFonts w:ascii="Calibri" w:hAnsi="Calibri" w:cs="Arial"/>
          <w:sz w:val="30"/>
          <w:szCs w:val="30"/>
          <w:lang w:val="en-US"/>
        </w:rPr>
        <w:t>mportant</w:t>
      </w:r>
      <w:r w:rsidR="005070E6" w:rsidRPr="00A9366F">
        <w:rPr>
          <w:rFonts w:ascii="Calibri" w:hAnsi="Calibri" w:cs="Arial"/>
          <w:sz w:val="30"/>
          <w:szCs w:val="30"/>
          <w:lang w:val="en-US"/>
        </w:rPr>
        <w:t xml:space="preserve"> </w:t>
      </w:r>
      <w:r w:rsidR="00B2113A" w:rsidRPr="00A9366F">
        <w:rPr>
          <w:rFonts w:ascii="Calibri" w:hAnsi="Calibri" w:cs="Arial"/>
          <w:sz w:val="30"/>
          <w:szCs w:val="30"/>
          <w:lang w:val="en-US"/>
        </w:rPr>
        <w:t>P</w:t>
      </w:r>
      <w:r w:rsidR="005070E6" w:rsidRPr="00A9366F">
        <w:rPr>
          <w:rFonts w:ascii="Calibri" w:hAnsi="Calibri" w:cs="Arial"/>
          <w:sz w:val="30"/>
          <w:szCs w:val="30"/>
          <w:lang w:val="en-US"/>
        </w:rPr>
        <w:t xml:space="preserve">ayment </w:t>
      </w:r>
      <w:r w:rsidR="00B2113A" w:rsidRPr="00A9366F">
        <w:rPr>
          <w:rFonts w:ascii="Calibri" w:hAnsi="Calibri" w:cs="Arial"/>
          <w:sz w:val="30"/>
          <w:szCs w:val="30"/>
          <w:lang w:val="en-US"/>
        </w:rPr>
        <w:t>S</w:t>
      </w:r>
      <w:r w:rsidR="005070E6" w:rsidRPr="00A9366F">
        <w:rPr>
          <w:rFonts w:ascii="Calibri" w:hAnsi="Calibri" w:cs="Arial"/>
          <w:sz w:val="30"/>
          <w:szCs w:val="30"/>
          <w:lang w:val="en-US"/>
        </w:rPr>
        <w:t xml:space="preserve">ystems.” Based on analysis performed </w:t>
      </w:r>
      <w:r w:rsidR="00447584" w:rsidRPr="00A9366F">
        <w:rPr>
          <w:rFonts w:ascii="Calibri" w:hAnsi="Calibri" w:cs="Arial"/>
          <w:sz w:val="30"/>
          <w:szCs w:val="30"/>
          <w:lang w:val="en-US"/>
        </w:rPr>
        <w:t xml:space="preserve">during </w:t>
      </w:r>
      <w:r w:rsidR="005070E6" w:rsidRPr="00A9366F">
        <w:rPr>
          <w:rFonts w:ascii="Calibri" w:hAnsi="Calibri" w:cs="Arial"/>
          <w:sz w:val="30"/>
          <w:szCs w:val="30"/>
          <w:lang w:val="en-US"/>
        </w:rPr>
        <w:t>2016, the Interbank System of Money Transfers was qualified as a systemically important payment system, while Interbank Clearing System, system of settlements for VISA payment cards and system of money transfer “</w:t>
      </w:r>
      <w:proofErr w:type="spellStart"/>
      <w:r w:rsidR="005070E6" w:rsidRPr="00A9366F">
        <w:rPr>
          <w:rFonts w:ascii="Calibri" w:hAnsi="Calibri" w:cs="Arial"/>
          <w:sz w:val="30"/>
          <w:szCs w:val="30"/>
          <w:lang w:val="en-US"/>
        </w:rPr>
        <w:t>Zolotaya</w:t>
      </w:r>
      <w:proofErr w:type="spellEnd"/>
      <w:r w:rsidR="005070E6" w:rsidRPr="00A9366F">
        <w:rPr>
          <w:rFonts w:ascii="Calibri" w:hAnsi="Calibri" w:cs="Arial"/>
          <w:sz w:val="30"/>
          <w:szCs w:val="30"/>
          <w:lang w:val="en-US"/>
        </w:rPr>
        <w:t xml:space="preserve"> </w:t>
      </w:r>
      <w:proofErr w:type="spellStart"/>
      <w:r w:rsidR="005070E6" w:rsidRPr="00A9366F">
        <w:rPr>
          <w:rFonts w:ascii="Calibri" w:hAnsi="Calibri" w:cs="Arial"/>
          <w:sz w:val="30"/>
          <w:szCs w:val="30"/>
          <w:lang w:val="en-US"/>
        </w:rPr>
        <w:t>Korona</w:t>
      </w:r>
      <w:proofErr w:type="spellEnd"/>
      <w:r w:rsidR="005070E6" w:rsidRPr="00A9366F">
        <w:rPr>
          <w:rFonts w:ascii="Calibri" w:hAnsi="Calibri" w:cs="Arial"/>
          <w:sz w:val="30"/>
          <w:szCs w:val="30"/>
          <w:lang w:val="en-US"/>
        </w:rPr>
        <w:t>” (</w:t>
      </w:r>
      <w:r w:rsidR="00817208" w:rsidRPr="00A9366F">
        <w:rPr>
          <w:rFonts w:ascii="Calibri" w:hAnsi="Calibri" w:cs="Arial"/>
          <w:sz w:val="30"/>
          <w:szCs w:val="30"/>
          <w:lang w:val="en-US"/>
        </w:rPr>
        <w:t>“</w:t>
      </w:r>
      <w:r w:rsidR="005070E6" w:rsidRPr="00A9366F">
        <w:rPr>
          <w:rFonts w:ascii="Calibri" w:hAnsi="Calibri" w:cs="Arial"/>
          <w:sz w:val="30"/>
          <w:szCs w:val="30"/>
          <w:lang w:val="en-US"/>
        </w:rPr>
        <w:t>Golden Crown</w:t>
      </w:r>
      <w:r w:rsidR="00817208" w:rsidRPr="00A9366F">
        <w:rPr>
          <w:rFonts w:ascii="Calibri" w:hAnsi="Calibri" w:cs="Arial"/>
          <w:sz w:val="30"/>
          <w:szCs w:val="30"/>
          <w:lang w:val="en-US"/>
        </w:rPr>
        <w:t>”</w:t>
      </w:r>
      <w:r w:rsidR="005070E6" w:rsidRPr="00A9366F">
        <w:rPr>
          <w:rFonts w:ascii="Calibri" w:hAnsi="Calibri" w:cs="Arial"/>
          <w:sz w:val="30"/>
          <w:szCs w:val="30"/>
          <w:lang w:val="en-US"/>
        </w:rPr>
        <w:t xml:space="preserve">) were included in the list of the </w:t>
      </w:r>
      <w:r w:rsidR="00341D47" w:rsidRPr="00A9366F">
        <w:rPr>
          <w:rFonts w:ascii="Calibri" w:hAnsi="Calibri" w:cs="Arial"/>
          <w:sz w:val="30"/>
          <w:szCs w:val="30"/>
          <w:lang w:val="en-US"/>
        </w:rPr>
        <w:t>important</w:t>
      </w:r>
      <w:r w:rsidR="005070E6" w:rsidRPr="00A9366F">
        <w:rPr>
          <w:rFonts w:ascii="Calibri" w:hAnsi="Calibri" w:cs="Arial"/>
          <w:sz w:val="30"/>
          <w:szCs w:val="30"/>
          <w:lang w:val="en-US"/>
        </w:rPr>
        <w:t xml:space="preserve"> payment systems. </w:t>
      </w:r>
      <w:r w:rsidR="00243283" w:rsidRPr="00A9366F">
        <w:rPr>
          <w:rFonts w:ascii="Calibri" w:hAnsi="Calibri" w:cs="Arial"/>
          <w:sz w:val="30"/>
          <w:szCs w:val="30"/>
          <w:lang w:val="en-US"/>
        </w:rPr>
        <w:t xml:space="preserve">The payment system register will be updated as a new payment system is established or enters </w:t>
      </w:r>
      <w:r w:rsidR="00817208" w:rsidRPr="00A9366F">
        <w:rPr>
          <w:rFonts w:ascii="Calibri" w:hAnsi="Calibri" w:cs="Arial"/>
          <w:sz w:val="30"/>
          <w:szCs w:val="30"/>
          <w:lang w:val="en-US"/>
        </w:rPr>
        <w:t>in</w:t>
      </w:r>
      <w:r w:rsidR="00243283" w:rsidRPr="00A9366F">
        <w:rPr>
          <w:rFonts w:ascii="Calibri" w:hAnsi="Calibri" w:cs="Arial"/>
          <w:sz w:val="30"/>
          <w:szCs w:val="30"/>
          <w:lang w:val="en-US"/>
        </w:rPr>
        <w:t>to Kazakhstan</w:t>
      </w:r>
      <w:r w:rsidR="00817208" w:rsidRPr="00A9366F">
        <w:rPr>
          <w:rFonts w:ascii="Calibri" w:hAnsi="Calibri" w:cs="Arial"/>
          <w:sz w:val="30"/>
          <w:szCs w:val="30"/>
          <w:lang w:val="en-US"/>
        </w:rPr>
        <w:t xml:space="preserve"> market</w:t>
      </w:r>
      <w:r w:rsidR="00243283" w:rsidRPr="00A9366F">
        <w:rPr>
          <w:rFonts w:ascii="Calibri" w:hAnsi="Calibri" w:cs="Arial"/>
          <w:sz w:val="30"/>
          <w:szCs w:val="30"/>
          <w:lang w:val="en-US"/>
        </w:rPr>
        <w:t xml:space="preserve">, and when </w:t>
      </w:r>
      <w:r w:rsidR="00817208" w:rsidRPr="00A9366F">
        <w:rPr>
          <w:rFonts w:ascii="Calibri" w:hAnsi="Calibri" w:cs="Arial"/>
          <w:sz w:val="30"/>
          <w:szCs w:val="30"/>
          <w:lang w:val="en-US"/>
        </w:rPr>
        <w:t xml:space="preserve">the level of importance </w:t>
      </w:r>
      <w:r w:rsidR="00243283" w:rsidRPr="00A9366F">
        <w:rPr>
          <w:rFonts w:ascii="Calibri" w:hAnsi="Calibri" w:cs="Arial"/>
          <w:sz w:val="30"/>
          <w:szCs w:val="30"/>
          <w:lang w:val="en-US"/>
        </w:rPr>
        <w:t xml:space="preserve">of a payment system changes. </w:t>
      </w:r>
    </w:p>
    <w:p w:rsidR="00243283" w:rsidRPr="00A9366F" w:rsidRDefault="00243283" w:rsidP="003874CE">
      <w:pPr>
        <w:spacing w:line="235" w:lineRule="auto"/>
        <w:ind w:firstLine="709"/>
        <w:jc w:val="both"/>
        <w:rPr>
          <w:rFonts w:ascii="Calibri" w:hAnsi="Calibri" w:cs="Arial"/>
          <w:sz w:val="30"/>
          <w:szCs w:val="30"/>
          <w:lang w:val="en-US"/>
        </w:rPr>
      </w:pPr>
      <w:r w:rsidRPr="00A9366F">
        <w:rPr>
          <w:rFonts w:ascii="Calibri" w:hAnsi="Calibri" w:cs="Arial"/>
          <w:sz w:val="30"/>
          <w:szCs w:val="30"/>
          <w:lang w:val="en-US"/>
        </w:rPr>
        <w:t>Based on</w:t>
      </w:r>
      <w:r w:rsidR="00F735B2" w:rsidRPr="00A9366F">
        <w:rPr>
          <w:rFonts w:ascii="Calibri" w:hAnsi="Calibri" w:cs="Arial"/>
          <w:sz w:val="30"/>
          <w:szCs w:val="30"/>
          <w:lang w:val="en-US"/>
        </w:rPr>
        <w:t xml:space="preserve"> </w:t>
      </w:r>
      <w:r w:rsidRPr="00A9366F">
        <w:rPr>
          <w:rFonts w:ascii="Calibri" w:hAnsi="Calibri" w:cs="Arial"/>
          <w:sz w:val="30"/>
          <w:szCs w:val="30"/>
          <w:lang w:val="en-US"/>
        </w:rPr>
        <w:t xml:space="preserve">results </w:t>
      </w:r>
      <w:r w:rsidR="00F735B2" w:rsidRPr="00A9366F">
        <w:rPr>
          <w:rFonts w:ascii="Calibri" w:hAnsi="Calibri" w:cs="Arial"/>
          <w:sz w:val="30"/>
          <w:szCs w:val="30"/>
          <w:lang w:val="en-US"/>
        </w:rPr>
        <w:t xml:space="preserve">of activities related to the </w:t>
      </w:r>
      <w:r w:rsidRPr="00A9366F">
        <w:rPr>
          <w:rFonts w:ascii="Calibri" w:hAnsi="Calibri" w:cs="Arial"/>
          <w:sz w:val="30"/>
          <w:szCs w:val="30"/>
          <w:lang w:val="en-US"/>
        </w:rPr>
        <w:t>record registration</w:t>
      </w:r>
      <w:r w:rsidR="00F735B2" w:rsidRPr="00A9366F">
        <w:rPr>
          <w:rFonts w:ascii="Calibri" w:hAnsi="Calibri" w:cs="Arial"/>
          <w:sz w:val="30"/>
          <w:szCs w:val="30"/>
          <w:lang w:val="en-US"/>
        </w:rPr>
        <w:t xml:space="preserve"> </w:t>
      </w:r>
      <w:r w:rsidRPr="00A9366F">
        <w:rPr>
          <w:rFonts w:ascii="Calibri" w:hAnsi="Calibri" w:cs="Arial"/>
          <w:sz w:val="30"/>
          <w:szCs w:val="30"/>
          <w:lang w:val="en-US"/>
        </w:rPr>
        <w:t xml:space="preserve">of payment </w:t>
      </w:r>
      <w:r w:rsidR="00550E0F" w:rsidRPr="00A9366F">
        <w:rPr>
          <w:rFonts w:ascii="Calibri" w:hAnsi="Calibri" w:cs="Arial"/>
          <w:sz w:val="30"/>
          <w:szCs w:val="30"/>
          <w:lang w:val="en-US"/>
        </w:rPr>
        <w:t>organizations</w:t>
      </w:r>
      <w:r w:rsidR="00F735B2" w:rsidRPr="00A9366F">
        <w:rPr>
          <w:rFonts w:ascii="Calibri" w:hAnsi="Calibri" w:cs="Arial"/>
          <w:sz w:val="30"/>
          <w:szCs w:val="30"/>
          <w:lang w:val="en-US"/>
        </w:rPr>
        <w:t>,</w:t>
      </w:r>
      <w:r w:rsidRPr="00A9366F">
        <w:rPr>
          <w:rFonts w:ascii="Calibri" w:hAnsi="Calibri" w:cs="Arial"/>
          <w:sz w:val="30"/>
          <w:szCs w:val="30"/>
          <w:lang w:val="en-US"/>
        </w:rPr>
        <w:t xml:space="preserve"> </w:t>
      </w:r>
      <w:r w:rsidR="001B430A" w:rsidRPr="00A9366F">
        <w:rPr>
          <w:rFonts w:ascii="Calibri" w:hAnsi="Calibri" w:cs="Arial"/>
          <w:sz w:val="30"/>
          <w:szCs w:val="30"/>
          <w:lang w:val="en-US"/>
        </w:rPr>
        <w:t xml:space="preserve">the National Bank has formed a register of payment </w:t>
      </w:r>
      <w:r w:rsidR="00550E0F" w:rsidRPr="00A9366F">
        <w:rPr>
          <w:rFonts w:ascii="Calibri" w:hAnsi="Calibri" w:cs="Arial"/>
          <w:sz w:val="30"/>
          <w:szCs w:val="30"/>
          <w:lang w:val="en-US"/>
        </w:rPr>
        <w:t>organizations</w:t>
      </w:r>
      <w:r w:rsidR="001B430A" w:rsidRPr="00A9366F">
        <w:rPr>
          <w:rFonts w:ascii="Calibri" w:hAnsi="Calibri" w:cs="Arial"/>
          <w:sz w:val="30"/>
          <w:szCs w:val="30"/>
          <w:lang w:val="en-US"/>
        </w:rPr>
        <w:t xml:space="preserve">, which is updated </w:t>
      </w:r>
      <w:r w:rsidR="001B2C5D" w:rsidRPr="00A9366F">
        <w:rPr>
          <w:rFonts w:ascii="Calibri" w:hAnsi="Calibri" w:cs="Arial"/>
          <w:sz w:val="30"/>
          <w:szCs w:val="30"/>
          <w:lang w:val="en-US"/>
        </w:rPr>
        <w:t xml:space="preserve">as </w:t>
      </w:r>
      <w:r w:rsidR="00216555" w:rsidRPr="00A9366F">
        <w:rPr>
          <w:rFonts w:ascii="Calibri" w:hAnsi="Calibri" w:cs="Arial"/>
          <w:sz w:val="30"/>
          <w:szCs w:val="30"/>
          <w:lang w:val="en-US"/>
        </w:rPr>
        <w:t>new</w:t>
      </w:r>
      <w:r w:rsidR="001B430A" w:rsidRPr="00A9366F">
        <w:rPr>
          <w:rFonts w:ascii="Calibri" w:hAnsi="Calibri" w:cs="Arial"/>
          <w:sz w:val="30"/>
          <w:szCs w:val="30"/>
          <w:lang w:val="en-US"/>
        </w:rPr>
        <w:t xml:space="preserve"> payment </w:t>
      </w:r>
      <w:r w:rsidR="00550E0F" w:rsidRPr="00A9366F">
        <w:rPr>
          <w:rFonts w:ascii="Calibri" w:hAnsi="Calibri" w:cs="Arial"/>
          <w:sz w:val="30"/>
          <w:szCs w:val="30"/>
          <w:lang w:val="en-US"/>
        </w:rPr>
        <w:t>originations</w:t>
      </w:r>
      <w:r w:rsidR="001B430A" w:rsidRPr="00A9366F">
        <w:rPr>
          <w:rFonts w:ascii="Calibri" w:hAnsi="Calibri" w:cs="Arial"/>
          <w:sz w:val="30"/>
          <w:szCs w:val="30"/>
          <w:lang w:val="en-US"/>
        </w:rPr>
        <w:t xml:space="preserve"> are registered.  </w:t>
      </w:r>
    </w:p>
    <w:p w:rsidR="001B430A" w:rsidRPr="00A9366F" w:rsidRDefault="001B430A" w:rsidP="003874CE">
      <w:pPr>
        <w:spacing w:line="235" w:lineRule="auto"/>
        <w:ind w:firstLine="709"/>
        <w:jc w:val="both"/>
        <w:rPr>
          <w:rFonts w:ascii="Calibri" w:hAnsi="Calibri" w:cs="Arial"/>
          <w:sz w:val="30"/>
          <w:szCs w:val="30"/>
          <w:lang w:val="en-US"/>
        </w:rPr>
      </w:pPr>
      <w:r w:rsidRPr="00A9366F">
        <w:rPr>
          <w:rFonts w:ascii="Calibri" w:hAnsi="Calibri" w:cs="Arial"/>
          <w:sz w:val="30"/>
          <w:szCs w:val="30"/>
          <w:lang w:val="en-US"/>
        </w:rPr>
        <w:t xml:space="preserve">A register of </w:t>
      </w:r>
      <w:r w:rsidR="00341D47" w:rsidRPr="00A9366F">
        <w:rPr>
          <w:rFonts w:ascii="Calibri" w:hAnsi="Calibri" w:cs="Arial"/>
          <w:sz w:val="30"/>
          <w:szCs w:val="30"/>
          <w:lang w:val="en-US"/>
        </w:rPr>
        <w:t>important</w:t>
      </w:r>
      <w:r w:rsidRPr="00A9366F">
        <w:rPr>
          <w:rFonts w:ascii="Calibri" w:hAnsi="Calibri" w:cs="Arial"/>
          <w:sz w:val="30"/>
          <w:szCs w:val="30"/>
          <w:lang w:val="en-US"/>
        </w:rPr>
        <w:t xml:space="preserve"> payment service providers includes those payment service providers that </w:t>
      </w:r>
      <w:r w:rsidR="001B2C5D" w:rsidRPr="00A9366F">
        <w:rPr>
          <w:rFonts w:ascii="Calibri" w:hAnsi="Calibri" w:cs="Arial"/>
          <w:sz w:val="30"/>
          <w:szCs w:val="30"/>
          <w:lang w:val="en-US"/>
        </w:rPr>
        <w:t>have</w:t>
      </w:r>
      <w:r w:rsidR="00D7003A" w:rsidRPr="00A9366F">
        <w:rPr>
          <w:rFonts w:ascii="Calibri" w:hAnsi="Calibri" w:cs="Arial"/>
          <w:sz w:val="30"/>
          <w:szCs w:val="30"/>
          <w:lang w:val="en-US"/>
        </w:rPr>
        <w:t xml:space="preserve"> a </w:t>
      </w:r>
      <w:r w:rsidR="001B2C5D" w:rsidRPr="00A9366F">
        <w:rPr>
          <w:rFonts w:ascii="Calibri" w:hAnsi="Calibri" w:cs="Arial"/>
          <w:sz w:val="30"/>
          <w:szCs w:val="30"/>
          <w:lang w:val="en-US"/>
        </w:rPr>
        <w:t>large</w:t>
      </w:r>
      <w:r w:rsidR="00D7003A" w:rsidRPr="00A9366F">
        <w:rPr>
          <w:rFonts w:ascii="Calibri" w:hAnsi="Calibri" w:cs="Arial"/>
          <w:sz w:val="30"/>
          <w:szCs w:val="30"/>
          <w:lang w:val="en-US"/>
        </w:rPr>
        <w:t xml:space="preserve"> share</w:t>
      </w:r>
      <w:r w:rsidRPr="00A9366F">
        <w:rPr>
          <w:rFonts w:ascii="Calibri" w:hAnsi="Calibri" w:cs="Arial"/>
          <w:sz w:val="30"/>
          <w:szCs w:val="30"/>
          <w:lang w:val="en-US"/>
        </w:rPr>
        <w:t xml:space="preserve"> </w:t>
      </w:r>
      <w:r w:rsidR="00B2113A" w:rsidRPr="00A9366F">
        <w:rPr>
          <w:rFonts w:ascii="Calibri" w:hAnsi="Calibri" w:cs="Arial"/>
          <w:sz w:val="30"/>
          <w:szCs w:val="30"/>
          <w:lang w:val="en-US"/>
        </w:rPr>
        <w:t xml:space="preserve">in </w:t>
      </w:r>
      <w:r w:rsidR="001B2C5D" w:rsidRPr="00A9366F">
        <w:rPr>
          <w:rFonts w:ascii="Calibri" w:hAnsi="Calibri" w:cs="Arial"/>
          <w:sz w:val="30"/>
          <w:szCs w:val="30"/>
          <w:lang w:val="en-US"/>
        </w:rPr>
        <w:t>the</w:t>
      </w:r>
      <w:r w:rsidRPr="00A9366F">
        <w:rPr>
          <w:rFonts w:ascii="Calibri" w:hAnsi="Calibri" w:cs="Arial"/>
          <w:sz w:val="30"/>
          <w:szCs w:val="30"/>
          <w:lang w:val="en-US"/>
        </w:rPr>
        <w:t xml:space="preserve"> particular market segment </w:t>
      </w:r>
      <w:r w:rsidR="00D7003A" w:rsidRPr="00A9366F">
        <w:rPr>
          <w:rFonts w:ascii="Calibri" w:hAnsi="Calibri" w:cs="Arial"/>
          <w:sz w:val="30"/>
          <w:szCs w:val="30"/>
          <w:lang w:val="en-US"/>
        </w:rPr>
        <w:t>(</w:t>
      </w:r>
      <w:r w:rsidR="00B2113A" w:rsidRPr="00A9366F">
        <w:rPr>
          <w:rFonts w:ascii="Calibri" w:hAnsi="Calibri" w:cs="Arial"/>
          <w:sz w:val="30"/>
          <w:szCs w:val="30"/>
          <w:lang w:val="en-US"/>
        </w:rPr>
        <w:t>f</w:t>
      </w:r>
      <w:r w:rsidR="00D7003A" w:rsidRPr="00A9366F">
        <w:rPr>
          <w:rFonts w:ascii="Calibri" w:hAnsi="Calibri" w:cs="Arial"/>
          <w:sz w:val="30"/>
          <w:szCs w:val="30"/>
          <w:lang w:val="en-US"/>
        </w:rPr>
        <w:t xml:space="preserve">or example, in the payment card market, electronic money market, in terms of remote servicing of clients through the remote access systems and electronic terminals), in accordance with the criteria set by the Law of the Republic of Kazakhstan “On Payments and Payment Systems” and given the indicators established by the Resolution No.223 dated 31 August 2016 of the Management Board of the National Bank “On </w:t>
      </w:r>
      <w:r w:rsidR="00B2113A" w:rsidRPr="00A9366F">
        <w:rPr>
          <w:rFonts w:ascii="Calibri" w:hAnsi="Calibri" w:cs="Arial"/>
          <w:sz w:val="30"/>
          <w:szCs w:val="30"/>
          <w:lang w:val="en-US"/>
        </w:rPr>
        <w:t>A</w:t>
      </w:r>
      <w:r w:rsidR="00D7003A" w:rsidRPr="00A9366F">
        <w:rPr>
          <w:rFonts w:ascii="Calibri" w:hAnsi="Calibri" w:cs="Arial"/>
          <w:sz w:val="30"/>
          <w:szCs w:val="30"/>
          <w:lang w:val="en-US"/>
        </w:rPr>
        <w:t xml:space="preserve">pproval of the </w:t>
      </w:r>
      <w:r w:rsidR="00B2113A" w:rsidRPr="00A9366F">
        <w:rPr>
          <w:rFonts w:ascii="Calibri" w:hAnsi="Calibri" w:cs="Arial"/>
          <w:sz w:val="30"/>
          <w:szCs w:val="30"/>
          <w:lang w:val="en-US"/>
        </w:rPr>
        <w:t>I</w:t>
      </w:r>
      <w:r w:rsidR="00D7003A" w:rsidRPr="00A9366F">
        <w:rPr>
          <w:rFonts w:ascii="Calibri" w:hAnsi="Calibri" w:cs="Arial"/>
          <w:sz w:val="30"/>
          <w:szCs w:val="30"/>
          <w:lang w:val="en-US"/>
        </w:rPr>
        <w:t>ndicators</w:t>
      </w:r>
      <w:r w:rsidR="00B2113A" w:rsidRPr="00A9366F">
        <w:rPr>
          <w:rFonts w:ascii="Calibri" w:hAnsi="Calibri" w:cs="Arial"/>
          <w:sz w:val="30"/>
          <w:szCs w:val="30"/>
          <w:lang w:val="en-US"/>
        </w:rPr>
        <w:t xml:space="preserve"> on the Basis of Which a P</w:t>
      </w:r>
      <w:r w:rsidR="00550E0F" w:rsidRPr="00A9366F">
        <w:rPr>
          <w:rFonts w:ascii="Calibri" w:hAnsi="Calibri" w:cs="Arial"/>
          <w:sz w:val="30"/>
          <w:szCs w:val="30"/>
          <w:lang w:val="en-US"/>
        </w:rPr>
        <w:t>ayment</w:t>
      </w:r>
      <w:r w:rsidR="00D7003A" w:rsidRPr="00A9366F">
        <w:rPr>
          <w:rFonts w:ascii="Calibri" w:hAnsi="Calibri" w:cs="Arial"/>
          <w:sz w:val="30"/>
          <w:szCs w:val="30"/>
          <w:lang w:val="en-US"/>
        </w:rPr>
        <w:t xml:space="preserve"> </w:t>
      </w:r>
      <w:r w:rsidR="00B2113A" w:rsidRPr="00A9366F">
        <w:rPr>
          <w:rFonts w:ascii="Calibri" w:hAnsi="Calibri" w:cs="Arial"/>
          <w:sz w:val="30"/>
          <w:szCs w:val="30"/>
          <w:lang w:val="en-US"/>
        </w:rPr>
        <w:t>S</w:t>
      </w:r>
      <w:r w:rsidR="00D7003A" w:rsidRPr="00A9366F">
        <w:rPr>
          <w:rFonts w:ascii="Calibri" w:hAnsi="Calibri" w:cs="Arial"/>
          <w:sz w:val="30"/>
          <w:szCs w:val="30"/>
          <w:lang w:val="en-US"/>
        </w:rPr>
        <w:t xml:space="preserve">ervice </w:t>
      </w:r>
      <w:r w:rsidR="00B2113A" w:rsidRPr="00A9366F">
        <w:rPr>
          <w:rFonts w:ascii="Calibri" w:hAnsi="Calibri" w:cs="Arial"/>
          <w:sz w:val="30"/>
          <w:szCs w:val="30"/>
          <w:lang w:val="en-US"/>
        </w:rPr>
        <w:t>P</w:t>
      </w:r>
      <w:r w:rsidR="00D7003A" w:rsidRPr="00A9366F">
        <w:rPr>
          <w:rFonts w:ascii="Calibri" w:hAnsi="Calibri" w:cs="Arial"/>
          <w:sz w:val="30"/>
          <w:szCs w:val="30"/>
          <w:lang w:val="en-US"/>
        </w:rPr>
        <w:t xml:space="preserve">rovider is </w:t>
      </w:r>
      <w:r w:rsidR="00B2113A" w:rsidRPr="00A9366F">
        <w:rPr>
          <w:rFonts w:ascii="Calibri" w:hAnsi="Calibri" w:cs="Arial"/>
          <w:sz w:val="30"/>
          <w:szCs w:val="30"/>
          <w:lang w:val="en-US"/>
        </w:rPr>
        <w:t>Q</w:t>
      </w:r>
      <w:r w:rsidR="00D7003A" w:rsidRPr="00A9366F">
        <w:rPr>
          <w:rFonts w:ascii="Calibri" w:hAnsi="Calibri" w:cs="Arial"/>
          <w:sz w:val="30"/>
          <w:szCs w:val="30"/>
          <w:lang w:val="en-US"/>
        </w:rPr>
        <w:t xml:space="preserve">ualified as </w:t>
      </w:r>
      <w:r w:rsidR="00B2113A" w:rsidRPr="00A9366F">
        <w:rPr>
          <w:rFonts w:ascii="Calibri" w:hAnsi="Calibri" w:cs="Arial"/>
          <w:sz w:val="30"/>
          <w:szCs w:val="30"/>
          <w:lang w:val="en-US"/>
        </w:rPr>
        <w:t>I</w:t>
      </w:r>
      <w:r w:rsidR="00341D47" w:rsidRPr="00A9366F">
        <w:rPr>
          <w:rFonts w:ascii="Calibri" w:hAnsi="Calibri" w:cs="Arial"/>
          <w:sz w:val="30"/>
          <w:szCs w:val="30"/>
          <w:lang w:val="en-US"/>
        </w:rPr>
        <w:t xml:space="preserve">mportant </w:t>
      </w:r>
      <w:r w:rsidR="00B2113A" w:rsidRPr="00A9366F">
        <w:rPr>
          <w:rFonts w:ascii="Calibri" w:hAnsi="Calibri" w:cs="Arial"/>
          <w:sz w:val="30"/>
          <w:szCs w:val="30"/>
          <w:lang w:val="en-US"/>
        </w:rPr>
        <w:t>P</w:t>
      </w:r>
      <w:r w:rsidR="00D7003A" w:rsidRPr="00A9366F">
        <w:rPr>
          <w:rFonts w:ascii="Calibri" w:hAnsi="Calibri" w:cs="Arial"/>
          <w:sz w:val="30"/>
          <w:szCs w:val="30"/>
          <w:lang w:val="en-US"/>
        </w:rPr>
        <w:t xml:space="preserve">ayment </w:t>
      </w:r>
      <w:r w:rsidR="00B2113A" w:rsidRPr="00A9366F">
        <w:rPr>
          <w:rFonts w:ascii="Calibri" w:hAnsi="Calibri" w:cs="Arial"/>
          <w:sz w:val="30"/>
          <w:szCs w:val="30"/>
          <w:lang w:val="en-US"/>
        </w:rPr>
        <w:t>Service P</w:t>
      </w:r>
      <w:r w:rsidR="00D7003A" w:rsidRPr="00A9366F">
        <w:rPr>
          <w:rFonts w:ascii="Calibri" w:hAnsi="Calibri" w:cs="Arial"/>
          <w:sz w:val="30"/>
          <w:szCs w:val="30"/>
          <w:lang w:val="en-US"/>
        </w:rPr>
        <w:t xml:space="preserve">rovider.” </w:t>
      </w:r>
      <w:r w:rsidR="00A20E78" w:rsidRPr="00A9366F">
        <w:rPr>
          <w:rFonts w:ascii="Calibri" w:hAnsi="Calibri" w:cs="Arial"/>
          <w:sz w:val="30"/>
          <w:szCs w:val="30"/>
          <w:lang w:val="en-US"/>
        </w:rPr>
        <w:t xml:space="preserve">The </w:t>
      </w:r>
      <w:r w:rsidR="00D7003A" w:rsidRPr="00A9366F">
        <w:rPr>
          <w:rFonts w:ascii="Calibri" w:hAnsi="Calibri" w:cs="Arial"/>
          <w:sz w:val="30"/>
          <w:szCs w:val="30"/>
          <w:lang w:val="en-US"/>
        </w:rPr>
        <w:t>register will be also revised by the National Bank on a regular basis following analysis of the payment service</w:t>
      </w:r>
      <w:r w:rsidR="00EC7461" w:rsidRPr="00A9366F">
        <w:rPr>
          <w:rFonts w:ascii="Calibri" w:hAnsi="Calibri" w:cs="Arial"/>
          <w:sz w:val="30"/>
          <w:szCs w:val="30"/>
          <w:lang w:val="en-US"/>
        </w:rPr>
        <w:t>s</w:t>
      </w:r>
      <w:r w:rsidR="00D7003A" w:rsidRPr="00A9366F">
        <w:rPr>
          <w:rFonts w:ascii="Calibri" w:hAnsi="Calibri" w:cs="Arial"/>
          <w:sz w:val="30"/>
          <w:szCs w:val="30"/>
          <w:lang w:val="en-US"/>
        </w:rPr>
        <w:t xml:space="preserve"> market</w:t>
      </w:r>
      <w:r w:rsidR="00A20E78" w:rsidRPr="00A9366F">
        <w:rPr>
          <w:rFonts w:ascii="Calibri" w:hAnsi="Calibri" w:cs="Arial"/>
          <w:sz w:val="30"/>
          <w:szCs w:val="30"/>
          <w:lang w:val="en-US"/>
        </w:rPr>
        <w:t>,</w:t>
      </w:r>
      <w:r w:rsidR="00D7003A" w:rsidRPr="00A9366F">
        <w:rPr>
          <w:rFonts w:ascii="Calibri" w:hAnsi="Calibri" w:cs="Arial"/>
          <w:sz w:val="30"/>
          <w:szCs w:val="30"/>
          <w:lang w:val="en-US"/>
        </w:rPr>
        <w:t xml:space="preserve"> or if the National Bank receive</w:t>
      </w:r>
      <w:r w:rsidR="00F609E2" w:rsidRPr="00A9366F">
        <w:rPr>
          <w:rFonts w:ascii="Calibri" w:hAnsi="Calibri" w:cs="Arial"/>
          <w:sz w:val="30"/>
          <w:szCs w:val="30"/>
          <w:lang w:val="en-US"/>
        </w:rPr>
        <w:t>s</w:t>
      </w:r>
      <w:r w:rsidR="00D7003A" w:rsidRPr="00A9366F">
        <w:rPr>
          <w:rFonts w:ascii="Calibri" w:hAnsi="Calibri" w:cs="Arial"/>
          <w:sz w:val="30"/>
          <w:szCs w:val="30"/>
          <w:lang w:val="en-US"/>
        </w:rPr>
        <w:t xml:space="preserve"> as a written application from a payment service</w:t>
      </w:r>
      <w:r w:rsidR="00A20E78" w:rsidRPr="00A9366F">
        <w:rPr>
          <w:rFonts w:ascii="Calibri" w:hAnsi="Calibri" w:cs="Arial"/>
          <w:sz w:val="30"/>
          <w:szCs w:val="30"/>
          <w:lang w:val="en-US"/>
        </w:rPr>
        <w:t>s</w:t>
      </w:r>
      <w:r w:rsidR="00D7003A" w:rsidRPr="00A9366F">
        <w:rPr>
          <w:rFonts w:ascii="Calibri" w:hAnsi="Calibri" w:cs="Arial"/>
          <w:sz w:val="30"/>
          <w:szCs w:val="30"/>
          <w:lang w:val="en-US"/>
        </w:rPr>
        <w:t xml:space="preserve"> provider. </w:t>
      </w:r>
    </w:p>
    <w:p w:rsidR="00F609E2" w:rsidRPr="00A9366F" w:rsidRDefault="00F609E2" w:rsidP="003874CE">
      <w:pPr>
        <w:autoSpaceDE w:val="0"/>
        <w:autoSpaceDN w:val="0"/>
        <w:adjustRightInd w:val="0"/>
        <w:spacing w:line="235" w:lineRule="auto"/>
        <w:ind w:firstLine="709"/>
        <w:jc w:val="both"/>
        <w:rPr>
          <w:rFonts w:ascii="Calibri" w:hAnsi="Calibri" w:cs="Arial"/>
          <w:sz w:val="30"/>
          <w:szCs w:val="30"/>
          <w:lang w:val="en-US"/>
        </w:rPr>
      </w:pPr>
      <w:r w:rsidRPr="00A9366F">
        <w:rPr>
          <w:rFonts w:ascii="Calibri" w:hAnsi="Calibri" w:cs="Arial"/>
          <w:sz w:val="30"/>
          <w:szCs w:val="30"/>
          <w:lang w:val="en-US"/>
        </w:rPr>
        <w:t xml:space="preserve">The overview </w:t>
      </w:r>
      <w:r w:rsidR="00A20E78" w:rsidRPr="00A9366F">
        <w:rPr>
          <w:rFonts w:ascii="Calibri" w:hAnsi="Calibri" w:cs="Arial"/>
          <w:sz w:val="30"/>
          <w:szCs w:val="30"/>
          <w:lang w:val="en-US"/>
        </w:rPr>
        <w:t>covers</w:t>
      </w:r>
      <w:r w:rsidRPr="00A9366F">
        <w:rPr>
          <w:rFonts w:ascii="Calibri" w:hAnsi="Calibri" w:cs="Arial"/>
          <w:sz w:val="30"/>
          <w:szCs w:val="30"/>
          <w:lang w:val="en-US"/>
        </w:rPr>
        <w:t xml:space="preserve"> the latest trends in Kazakhstan payment</w:t>
      </w:r>
      <w:r w:rsidR="00A20E78" w:rsidRPr="00A9366F">
        <w:rPr>
          <w:rFonts w:ascii="Calibri" w:hAnsi="Calibri" w:cs="Arial"/>
          <w:sz w:val="30"/>
          <w:szCs w:val="30"/>
          <w:lang w:val="en-US"/>
        </w:rPr>
        <w:t xml:space="preserve"> services</w:t>
      </w:r>
      <w:r w:rsidRPr="00A9366F">
        <w:rPr>
          <w:rFonts w:ascii="Calibri" w:hAnsi="Calibri" w:cs="Arial"/>
          <w:sz w:val="30"/>
          <w:szCs w:val="30"/>
          <w:lang w:val="en-US"/>
        </w:rPr>
        <w:t xml:space="preserve"> </w:t>
      </w:r>
      <w:r w:rsidR="006959B9" w:rsidRPr="00A9366F">
        <w:rPr>
          <w:rFonts w:ascii="Calibri" w:hAnsi="Calibri" w:cs="Arial"/>
          <w:sz w:val="30"/>
          <w:szCs w:val="30"/>
          <w:lang w:val="en-US"/>
        </w:rPr>
        <w:t xml:space="preserve">market; it provides results of oversight of the payment systems, including payment systems of the National Bank of Kazakhstan, money transfer systems and analysis of payments </w:t>
      </w:r>
      <w:r w:rsidR="00F66BA7" w:rsidRPr="00A9366F">
        <w:rPr>
          <w:rFonts w:ascii="Calibri" w:hAnsi="Calibri" w:cs="Arial"/>
          <w:sz w:val="30"/>
          <w:szCs w:val="30"/>
          <w:lang w:val="en-US"/>
        </w:rPr>
        <w:t>settled</w:t>
      </w:r>
      <w:r w:rsidR="006959B9" w:rsidRPr="00A9366F">
        <w:rPr>
          <w:rFonts w:ascii="Calibri" w:hAnsi="Calibri" w:cs="Arial"/>
          <w:sz w:val="30"/>
          <w:szCs w:val="30"/>
          <w:lang w:val="en-US"/>
        </w:rPr>
        <w:t xml:space="preserve"> through the correspondent </w:t>
      </w:r>
      <w:r w:rsidR="006959B9" w:rsidRPr="002C72D1">
        <w:rPr>
          <w:rFonts w:ascii="Calibri" w:hAnsi="Calibri" w:cs="Arial"/>
          <w:sz w:val="30"/>
          <w:szCs w:val="30"/>
          <w:lang w:val="en-US"/>
        </w:rPr>
        <w:t xml:space="preserve">accounts opened between the banks and </w:t>
      </w:r>
      <w:r w:rsidR="00550E0F" w:rsidRPr="002C72D1">
        <w:rPr>
          <w:rFonts w:ascii="Calibri" w:hAnsi="Calibri" w:cs="Arial"/>
          <w:sz w:val="30"/>
          <w:szCs w:val="30"/>
          <w:lang w:val="en-US"/>
        </w:rPr>
        <w:t>organizations</w:t>
      </w:r>
      <w:r w:rsidR="006C78C6" w:rsidRPr="002C72D1">
        <w:rPr>
          <w:rFonts w:ascii="Calibri" w:hAnsi="Calibri" w:cs="Arial"/>
          <w:sz w:val="30"/>
          <w:szCs w:val="30"/>
          <w:lang w:val="en-US"/>
        </w:rPr>
        <w:t xml:space="preserve"> engaged in </w:t>
      </w:r>
      <w:r w:rsidR="006959B9" w:rsidRPr="002C72D1">
        <w:rPr>
          <w:rFonts w:ascii="Calibri" w:hAnsi="Calibri" w:cs="Arial"/>
          <w:sz w:val="30"/>
          <w:szCs w:val="30"/>
          <w:lang w:val="en-US"/>
        </w:rPr>
        <w:t xml:space="preserve">certain </w:t>
      </w:r>
      <w:r w:rsidR="006959B9" w:rsidRPr="00A9366F">
        <w:rPr>
          <w:rFonts w:ascii="Calibri" w:hAnsi="Calibri" w:cs="Arial"/>
          <w:sz w:val="30"/>
          <w:szCs w:val="30"/>
          <w:lang w:val="en-US"/>
        </w:rPr>
        <w:t xml:space="preserve">types of banking operations. </w:t>
      </w:r>
      <w:r w:rsidRPr="00A9366F">
        <w:rPr>
          <w:rFonts w:ascii="Calibri" w:hAnsi="Calibri" w:cs="Arial"/>
          <w:sz w:val="30"/>
          <w:szCs w:val="30"/>
          <w:lang w:val="en-US"/>
        </w:rPr>
        <w:t xml:space="preserve"> </w:t>
      </w:r>
      <w:r w:rsidR="006959B9" w:rsidRPr="00A9366F">
        <w:rPr>
          <w:rFonts w:ascii="Calibri" w:hAnsi="Calibri" w:cs="Arial"/>
          <w:sz w:val="30"/>
          <w:szCs w:val="30"/>
          <w:lang w:val="en-US"/>
        </w:rPr>
        <w:t>Information on the trends in use of payment tools, development of the market of electronic payment services provided through the remote access systems, market of payment cards and electronic money is provided as a part of analysis of development of the payment service</w:t>
      </w:r>
      <w:r w:rsidR="00EC7461" w:rsidRPr="00A9366F">
        <w:rPr>
          <w:rFonts w:ascii="Calibri" w:hAnsi="Calibri" w:cs="Arial"/>
          <w:sz w:val="30"/>
          <w:szCs w:val="30"/>
          <w:lang w:val="en-US"/>
        </w:rPr>
        <w:t>s</w:t>
      </w:r>
      <w:r w:rsidR="006959B9" w:rsidRPr="00A9366F">
        <w:rPr>
          <w:rFonts w:ascii="Calibri" w:hAnsi="Calibri" w:cs="Arial"/>
          <w:sz w:val="30"/>
          <w:szCs w:val="30"/>
          <w:lang w:val="en-US"/>
        </w:rPr>
        <w:t xml:space="preserve"> market. </w:t>
      </w:r>
    </w:p>
    <w:p w:rsidR="00F609E2" w:rsidRPr="00A9366F" w:rsidRDefault="00F609E2" w:rsidP="003874CE">
      <w:pPr>
        <w:autoSpaceDE w:val="0"/>
        <w:autoSpaceDN w:val="0"/>
        <w:adjustRightInd w:val="0"/>
        <w:spacing w:line="235" w:lineRule="auto"/>
        <w:ind w:firstLine="709"/>
        <w:jc w:val="both"/>
        <w:rPr>
          <w:rFonts w:ascii="Calibri" w:hAnsi="Calibri" w:cs="Arial"/>
          <w:sz w:val="30"/>
          <w:szCs w:val="30"/>
          <w:lang w:val="en-US"/>
        </w:rPr>
      </w:pPr>
    </w:p>
    <w:p w:rsidR="00A30B7D" w:rsidRPr="00A9366F" w:rsidRDefault="00A30B7D"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7D0CC8" w:rsidRPr="00A9366F" w:rsidRDefault="007D0CC8" w:rsidP="003874CE">
      <w:pPr>
        <w:autoSpaceDE w:val="0"/>
        <w:autoSpaceDN w:val="0"/>
        <w:adjustRightInd w:val="0"/>
        <w:spacing w:line="235" w:lineRule="auto"/>
        <w:ind w:firstLine="709"/>
        <w:jc w:val="both"/>
        <w:rPr>
          <w:rFonts w:ascii="Calibri" w:hAnsi="Calibri" w:cs="Arial"/>
          <w:sz w:val="30"/>
          <w:szCs w:val="30"/>
          <w:lang w:val="en-US"/>
        </w:rPr>
      </w:pPr>
    </w:p>
    <w:p w:rsidR="007D0CC8" w:rsidRPr="00A9366F" w:rsidRDefault="007D0CC8" w:rsidP="003874CE">
      <w:pPr>
        <w:autoSpaceDE w:val="0"/>
        <w:autoSpaceDN w:val="0"/>
        <w:adjustRightInd w:val="0"/>
        <w:spacing w:line="235" w:lineRule="auto"/>
        <w:ind w:firstLine="709"/>
        <w:jc w:val="both"/>
        <w:rPr>
          <w:rFonts w:ascii="Calibri" w:hAnsi="Calibri" w:cs="Arial"/>
          <w:sz w:val="30"/>
          <w:szCs w:val="30"/>
          <w:lang w:val="en-US"/>
        </w:rPr>
      </w:pPr>
    </w:p>
    <w:p w:rsidR="00765DC8" w:rsidRPr="00A9366F" w:rsidRDefault="00765DC8" w:rsidP="003874CE">
      <w:pPr>
        <w:autoSpaceDE w:val="0"/>
        <w:autoSpaceDN w:val="0"/>
        <w:adjustRightInd w:val="0"/>
        <w:spacing w:line="235" w:lineRule="auto"/>
        <w:ind w:firstLine="709"/>
        <w:jc w:val="both"/>
        <w:rPr>
          <w:rFonts w:ascii="Calibri" w:hAnsi="Calibri" w:cs="Arial"/>
          <w:sz w:val="30"/>
          <w:szCs w:val="30"/>
          <w:lang w:val="en-US"/>
        </w:rPr>
      </w:pPr>
    </w:p>
    <w:p w:rsidR="00765DC8" w:rsidRPr="00A9366F" w:rsidRDefault="00765DC8"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D214E" w:rsidRPr="00A9366F" w:rsidRDefault="00DD214E" w:rsidP="003874CE">
      <w:pPr>
        <w:autoSpaceDE w:val="0"/>
        <w:autoSpaceDN w:val="0"/>
        <w:adjustRightInd w:val="0"/>
        <w:spacing w:line="235" w:lineRule="auto"/>
        <w:ind w:firstLine="709"/>
        <w:jc w:val="both"/>
        <w:rPr>
          <w:rFonts w:ascii="Calibri" w:hAnsi="Calibri" w:cs="Arial"/>
          <w:sz w:val="30"/>
          <w:szCs w:val="30"/>
          <w:lang w:val="en-US"/>
        </w:rPr>
      </w:pPr>
    </w:p>
    <w:p w:rsidR="00DF4304" w:rsidRPr="00A9366F" w:rsidRDefault="00DF4304" w:rsidP="003874CE">
      <w:pPr>
        <w:autoSpaceDE w:val="0"/>
        <w:autoSpaceDN w:val="0"/>
        <w:adjustRightInd w:val="0"/>
        <w:spacing w:line="235" w:lineRule="auto"/>
        <w:ind w:firstLine="709"/>
        <w:jc w:val="both"/>
        <w:rPr>
          <w:rFonts w:ascii="Calibri" w:hAnsi="Calibri" w:cs="Arial"/>
          <w:sz w:val="30"/>
          <w:szCs w:val="30"/>
          <w:lang w:val="en-US"/>
        </w:rPr>
      </w:pPr>
    </w:p>
    <w:p w:rsidR="00C95127" w:rsidRPr="00A9366F" w:rsidRDefault="00C95127" w:rsidP="003874CE">
      <w:pPr>
        <w:autoSpaceDE w:val="0"/>
        <w:autoSpaceDN w:val="0"/>
        <w:adjustRightInd w:val="0"/>
        <w:spacing w:line="235" w:lineRule="auto"/>
        <w:ind w:firstLine="709"/>
        <w:jc w:val="both"/>
        <w:rPr>
          <w:rFonts w:ascii="Calibri" w:hAnsi="Calibri" w:cs="Arial"/>
          <w:sz w:val="30"/>
          <w:szCs w:val="30"/>
          <w:lang w:val="en-US"/>
        </w:rPr>
      </w:pPr>
    </w:p>
    <w:p w:rsidR="00C95127" w:rsidRPr="00A9366F" w:rsidRDefault="00C95127" w:rsidP="003874CE">
      <w:pPr>
        <w:autoSpaceDE w:val="0"/>
        <w:autoSpaceDN w:val="0"/>
        <w:adjustRightInd w:val="0"/>
        <w:spacing w:line="235" w:lineRule="auto"/>
        <w:ind w:firstLine="709"/>
        <w:jc w:val="both"/>
        <w:rPr>
          <w:rFonts w:ascii="Calibri" w:hAnsi="Calibri" w:cs="Arial"/>
          <w:sz w:val="30"/>
          <w:szCs w:val="30"/>
          <w:lang w:val="en-US"/>
        </w:rPr>
      </w:pPr>
    </w:p>
    <w:p w:rsidR="00C95127" w:rsidRPr="00A9366F" w:rsidRDefault="00C95127" w:rsidP="003874CE">
      <w:pPr>
        <w:autoSpaceDE w:val="0"/>
        <w:autoSpaceDN w:val="0"/>
        <w:adjustRightInd w:val="0"/>
        <w:spacing w:line="235" w:lineRule="auto"/>
        <w:ind w:firstLine="709"/>
        <w:jc w:val="both"/>
        <w:rPr>
          <w:rFonts w:ascii="Calibri" w:hAnsi="Calibri" w:cs="Arial"/>
          <w:sz w:val="30"/>
          <w:szCs w:val="30"/>
          <w:lang w:val="en-US"/>
        </w:rPr>
      </w:pPr>
    </w:p>
    <w:p w:rsidR="00C95127" w:rsidRPr="00A9366F" w:rsidRDefault="00C95127" w:rsidP="003874CE">
      <w:pPr>
        <w:autoSpaceDE w:val="0"/>
        <w:autoSpaceDN w:val="0"/>
        <w:adjustRightInd w:val="0"/>
        <w:spacing w:line="235" w:lineRule="auto"/>
        <w:ind w:firstLine="709"/>
        <w:jc w:val="both"/>
        <w:rPr>
          <w:rFonts w:ascii="Calibri" w:hAnsi="Calibri" w:cs="Arial"/>
          <w:sz w:val="30"/>
          <w:szCs w:val="30"/>
          <w:lang w:val="en-US"/>
        </w:rPr>
      </w:pPr>
    </w:p>
    <w:p w:rsidR="00C95127" w:rsidRPr="00A9366F" w:rsidRDefault="00C95127" w:rsidP="003874CE">
      <w:pPr>
        <w:autoSpaceDE w:val="0"/>
        <w:autoSpaceDN w:val="0"/>
        <w:adjustRightInd w:val="0"/>
        <w:spacing w:line="235" w:lineRule="auto"/>
        <w:ind w:firstLine="709"/>
        <w:jc w:val="both"/>
        <w:rPr>
          <w:rFonts w:ascii="Calibri" w:hAnsi="Calibri" w:cs="Arial"/>
          <w:sz w:val="30"/>
          <w:szCs w:val="30"/>
          <w:lang w:val="en-US"/>
        </w:rPr>
      </w:pPr>
    </w:p>
    <w:p w:rsidR="005029CA" w:rsidRPr="00A9366F" w:rsidRDefault="005029CA" w:rsidP="003874CE">
      <w:pPr>
        <w:autoSpaceDE w:val="0"/>
        <w:autoSpaceDN w:val="0"/>
        <w:adjustRightInd w:val="0"/>
        <w:spacing w:line="235" w:lineRule="auto"/>
        <w:ind w:firstLine="709"/>
        <w:jc w:val="both"/>
        <w:rPr>
          <w:rFonts w:ascii="Calibri" w:hAnsi="Calibri" w:cs="Arial"/>
          <w:sz w:val="30"/>
          <w:szCs w:val="30"/>
          <w:lang w:val="en-US"/>
        </w:rPr>
      </w:pPr>
    </w:p>
    <w:p w:rsidR="005029CA" w:rsidRPr="00A9366F" w:rsidRDefault="005029CA" w:rsidP="003874CE">
      <w:pPr>
        <w:autoSpaceDE w:val="0"/>
        <w:autoSpaceDN w:val="0"/>
        <w:adjustRightInd w:val="0"/>
        <w:spacing w:line="235" w:lineRule="auto"/>
        <w:ind w:firstLine="709"/>
        <w:jc w:val="both"/>
        <w:rPr>
          <w:rFonts w:ascii="Calibri" w:hAnsi="Calibri" w:cs="Arial"/>
          <w:sz w:val="30"/>
          <w:szCs w:val="30"/>
          <w:lang w:val="en-US"/>
        </w:rPr>
      </w:pPr>
    </w:p>
    <w:p w:rsidR="005029CA" w:rsidRPr="002C72D1" w:rsidRDefault="005029CA" w:rsidP="003874CE">
      <w:pPr>
        <w:autoSpaceDE w:val="0"/>
        <w:autoSpaceDN w:val="0"/>
        <w:adjustRightInd w:val="0"/>
        <w:spacing w:line="235" w:lineRule="auto"/>
        <w:ind w:firstLine="709"/>
        <w:jc w:val="both"/>
        <w:rPr>
          <w:rFonts w:ascii="Calibri" w:hAnsi="Calibri" w:cs="Arial"/>
          <w:sz w:val="30"/>
          <w:szCs w:val="30"/>
          <w:lang w:val="en-US"/>
        </w:rPr>
      </w:pPr>
    </w:p>
    <w:p w:rsidR="00956D7B" w:rsidRPr="002C72D1" w:rsidRDefault="00956D7B" w:rsidP="003874CE">
      <w:pPr>
        <w:autoSpaceDE w:val="0"/>
        <w:autoSpaceDN w:val="0"/>
        <w:adjustRightInd w:val="0"/>
        <w:spacing w:line="235" w:lineRule="auto"/>
        <w:ind w:firstLine="709"/>
        <w:jc w:val="both"/>
        <w:rPr>
          <w:rFonts w:ascii="Calibri" w:hAnsi="Calibri" w:cs="Arial"/>
          <w:sz w:val="30"/>
          <w:szCs w:val="30"/>
          <w:lang w:val="en-US"/>
        </w:rPr>
      </w:pPr>
    </w:p>
    <w:p w:rsidR="00981833" w:rsidRPr="00A9366F" w:rsidRDefault="00981833" w:rsidP="003874CE">
      <w:pPr>
        <w:autoSpaceDE w:val="0"/>
        <w:autoSpaceDN w:val="0"/>
        <w:adjustRightInd w:val="0"/>
        <w:spacing w:line="235" w:lineRule="auto"/>
        <w:ind w:firstLine="709"/>
        <w:jc w:val="both"/>
        <w:rPr>
          <w:rFonts w:ascii="Calibri" w:hAnsi="Calibri" w:cs="Arial"/>
          <w:sz w:val="30"/>
          <w:szCs w:val="30"/>
          <w:lang w:val="en-US"/>
        </w:rPr>
      </w:pPr>
    </w:p>
    <w:p w:rsidR="009E09D9" w:rsidRPr="00A9366F" w:rsidRDefault="005029CA" w:rsidP="00C52217">
      <w:pPr>
        <w:pStyle w:val="1"/>
        <w:tabs>
          <w:tab w:val="left" w:pos="561"/>
        </w:tabs>
        <w:spacing w:before="0" w:after="0" w:line="233" w:lineRule="auto"/>
        <w:ind w:right="534"/>
        <w:jc w:val="center"/>
        <w:rPr>
          <w:rFonts w:ascii="Calibri" w:hAnsi="Calibri"/>
          <w:bCs w:val="0"/>
          <w:snapToGrid w:val="0"/>
          <w:color w:val="0E4C28"/>
          <w:spacing w:val="-2"/>
          <w:kern w:val="0"/>
          <w:sz w:val="36"/>
          <w:szCs w:val="36"/>
          <w:lang w:val="en-US"/>
        </w:rPr>
      </w:pPr>
      <w:bookmarkStart w:id="9" w:name="_Toc485626993"/>
      <w:proofErr w:type="gramStart"/>
      <w:r w:rsidRPr="00A9366F">
        <w:rPr>
          <w:rFonts w:ascii="Calibri" w:hAnsi="Calibri"/>
          <w:bCs w:val="0"/>
          <w:snapToGrid w:val="0"/>
          <w:color w:val="0E4C28"/>
          <w:spacing w:val="-2"/>
          <w:kern w:val="0"/>
          <w:sz w:val="36"/>
          <w:szCs w:val="36"/>
          <w:lang w:val="en-US"/>
        </w:rPr>
        <w:t>SECTION</w:t>
      </w:r>
      <w:r w:rsidR="005C7913" w:rsidRPr="00A9366F">
        <w:rPr>
          <w:rFonts w:ascii="Calibri" w:hAnsi="Calibri"/>
          <w:bCs w:val="0"/>
          <w:snapToGrid w:val="0"/>
          <w:color w:val="0E4C28"/>
          <w:spacing w:val="-2"/>
          <w:kern w:val="0"/>
          <w:sz w:val="36"/>
          <w:szCs w:val="36"/>
          <w:lang w:val="en-US"/>
        </w:rPr>
        <w:t xml:space="preserve"> 1</w:t>
      </w:r>
      <w:r w:rsidR="009E09D9" w:rsidRPr="00A9366F">
        <w:rPr>
          <w:rFonts w:ascii="Calibri" w:hAnsi="Calibri"/>
          <w:bCs w:val="0"/>
          <w:snapToGrid w:val="0"/>
          <w:color w:val="0E4C28"/>
          <w:spacing w:val="-2"/>
          <w:kern w:val="0"/>
          <w:sz w:val="36"/>
          <w:szCs w:val="36"/>
          <w:lang w:val="en-US"/>
        </w:rPr>
        <w:t>.</w:t>
      </w:r>
      <w:proofErr w:type="gramEnd"/>
      <w:r w:rsidR="009E09D9"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PAYMENT SYSTEMS OF THE NATIONAL BANK OF KAZAKHSTAN</w:t>
      </w:r>
      <w:bookmarkEnd w:id="9"/>
    </w:p>
    <w:p w:rsidR="00055BE7" w:rsidRPr="00A9366F" w:rsidRDefault="00055BE7" w:rsidP="00F224A0">
      <w:pPr>
        <w:autoSpaceDE w:val="0"/>
        <w:autoSpaceDN w:val="0"/>
        <w:adjustRightInd w:val="0"/>
        <w:ind w:firstLine="709"/>
        <w:jc w:val="both"/>
        <w:rPr>
          <w:rFonts w:ascii="Calibri" w:hAnsi="Calibri" w:cs="Arial"/>
          <w:sz w:val="30"/>
          <w:szCs w:val="30"/>
          <w:lang w:val="en-US"/>
        </w:rPr>
      </w:pPr>
      <w:bookmarkStart w:id="10" w:name="_Toc470534234"/>
    </w:p>
    <w:p w:rsidR="005029CA" w:rsidRPr="00A9366F" w:rsidRDefault="00FB60A9" w:rsidP="00F224A0">
      <w:pPr>
        <w:autoSpaceDE w:val="0"/>
        <w:autoSpaceDN w:val="0"/>
        <w:adjustRightInd w:val="0"/>
        <w:ind w:firstLine="709"/>
        <w:jc w:val="both"/>
        <w:rPr>
          <w:rFonts w:ascii="Calibri" w:hAnsi="Calibri" w:cs="Arial"/>
          <w:b/>
          <w:sz w:val="30"/>
          <w:szCs w:val="30"/>
          <w:lang w:val="en-US"/>
        </w:rPr>
      </w:pPr>
      <w:r w:rsidRPr="00A9366F">
        <w:rPr>
          <w:rFonts w:ascii="Calibri" w:hAnsi="Calibri" w:cs="Arial"/>
          <w:noProof/>
          <w:sz w:val="30"/>
          <w:szCs w:val="30"/>
        </w:rPr>
        <mc:AlternateContent>
          <mc:Choice Requires="wps">
            <w:drawing>
              <wp:anchor distT="0" distB="0" distL="114300" distR="114300" simplePos="0" relativeHeight="251657216" behindDoc="0" locked="0" layoutInCell="1" allowOverlap="1">
                <wp:simplePos x="0" y="0"/>
                <wp:positionH relativeFrom="column">
                  <wp:posOffset>2628900</wp:posOffset>
                </wp:positionH>
                <wp:positionV relativeFrom="paragraph">
                  <wp:posOffset>52705</wp:posOffset>
                </wp:positionV>
                <wp:extent cx="3261995" cy="2122805"/>
                <wp:effectExtent l="0" t="0" r="33655" b="48895"/>
                <wp:wrapSquare wrapText="bothSides"/>
                <wp:docPr id="6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1995" cy="2122805"/>
                        </a:xfrm>
                        <a:prstGeom prst="roundRect">
                          <a:avLst>
                            <a:gd name="adj" fmla="val 16667"/>
                          </a:avLst>
                        </a:prstGeom>
                        <a:solidFill>
                          <a:srgbClr val="CCFF99"/>
                        </a:solidFill>
                        <a:ln w="12700" algn="ctr">
                          <a:solidFill>
                            <a:srgbClr val="CCFF99"/>
                          </a:solidFill>
                          <a:round/>
                          <a:headEnd/>
                          <a:tailEnd/>
                        </a:ln>
                        <a:effectLst>
                          <a:outerShdw dist="28398" dir="3806097" algn="ctr" rotWithShape="0">
                            <a:srgbClr val="205867">
                              <a:alpha val="50000"/>
                            </a:srgbClr>
                          </a:outerShdw>
                        </a:effectLst>
                      </wps:spPr>
                      <wps:txbx>
                        <w:txbxContent>
                          <w:p w:rsidR="00541D5F" w:rsidRPr="00545F3D" w:rsidRDefault="00541D5F" w:rsidP="00F224A0">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Process</w:t>
                            </w:r>
                            <w:r w:rsidRPr="00545F3D">
                              <w:rPr>
                                <w:rFonts w:ascii="Calibri" w:hAnsi="Calibri" w:cs="Arial"/>
                                <w:sz w:val="30"/>
                                <w:szCs w:val="30"/>
                                <w:lang w:val="en-US"/>
                              </w:rPr>
                              <w:t xml:space="preserve"> 96.7% </w:t>
                            </w:r>
                            <w:r>
                              <w:rPr>
                                <w:rFonts w:ascii="Calibri" w:hAnsi="Calibri" w:cs="Arial"/>
                                <w:sz w:val="30"/>
                                <w:szCs w:val="30"/>
                                <w:lang w:val="en-US"/>
                              </w:rPr>
                              <w:t>of</w:t>
                            </w:r>
                            <w:r w:rsidRPr="00545F3D">
                              <w:rPr>
                                <w:rFonts w:ascii="Calibri" w:hAnsi="Calibri" w:cs="Arial"/>
                                <w:sz w:val="30"/>
                                <w:szCs w:val="30"/>
                                <w:lang w:val="en-US"/>
                              </w:rPr>
                              <w:t xml:space="preserve"> </w:t>
                            </w:r>
                            <w:r>
                              <w:rPr>
                                <w:rFonts w:ascii="Calibri" w:hAnsi="Calibri" w:cs="Arial"/>
                                <w:sz w:val="30"/>
                                <w:szCs w:val="30"/>
                                <w:lang w:val="en-US"/>
                              </w:rPr>
                              <w:t>all</w:t>
                            </w:r>
                            <w:r w:rsidRPr="00545F3D">
                              <w:rPr>
                                <w:rFonts w:ascii="Calibri" w:hAnsi="Calibri" w:cs="Arial"/>
                                <w:sz w:val="30"/>
                                <w:szCs w:val="30"/>
                                <w:lang w:val="en-US"/>
                              </w:rPr>
                              <w:t xml:space="preserve"> </w:t>
                            </w:r>
                            <w:r>
                              <w:rPr>
                                <w:rFonts w:ascii="Calibri" w:hAnsi="Calibri" w:cs="Arial"/>
                                <w:sz w:val="30"/>
                                <w:szCs w:val="30"/>
                                <w:lang w:val="en-US"/>
                              </w:rPr>
                              <w:t>cashless</w:t>
                            </w:r>
                            <w:r w:rsidRPr="00545F3D">
                              <w:rPr>
                                <w:rFonts w:ascii="Calibri" w:hAnsi="Calibri" w:cs="Arial"/>
                                <w:sz w:val="30"/>
                                <w:szCs w:val="30"/>
                                <w:lang w:val="en-US"/>
                              </w:rPr>
                              <w:t xml:space="preserve"> </w:t>
                            </w:r>
                            <w:r>
                              <w:rPr>
                                <w:rFonts w:ascii="Calibri" w:hAnsi="Calibri" w:cs="Arial"/>
                                <w:sz w:val="30"/>
                                <w:szCs w:val="30"/>
                                <w:lang w:val="en-US"/>
                              </w:rPr>
                              <w:t>interbank payments made in Kazakhstan</w:t>
                            </w:r>
                            <w:r w:rsidRPr="00545F3D">
                              <w:rPr>
                                <w:rFonts w:ascii="Calibri" w:hAnsi="Calibri" w:cs="Arial"/>
                                <w:sz w:val="30"/>
                                <w:szCs w:val="30"/>
                                <w:lang w:val="en-US"/>
                              </w:rPr>
                              <w:t>;</w:t>
                            </w:r>
                          </w:p>
                          <w:p w:rsidR="00541D5F" w:rsidRPr="00545F3D" w:rsidRDefault="00541D5F" w:rsidP="00F224A0">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Comply with the international standards</w:t>
                            </w:r>
                            <w:r w:rsidRPr="00545F3D">
                              <w:rPr>
                                <w:rFonts w:ascii="Calibri" w:hAnsi="Calibri" w:cs="Arial"/>
                                <w:sz w:val="30"/>
                                <w:szCs w:val="30"/>
                                <w:lang w:val="en-US"/>
                              </w:rPr>
                              <w:t>;</w:t>
                            </w:r>
                          </w:p>
                          <w:p w:rsidR="00541D5F" w:rsidRPr="00545F3D" w:rsidRDefault="00541D5F" w:rsidP="00545F3D">
                            <w:pPr>
                              <w:numPr>
                                <w:ilvl w:val="0"/>
                                <w:numId w:val="28"/>
                              </w:numPr>
                              <w:tabs>
                                <w:tab w:val="left" w:pos="360"/>
                              </w:tabs>
                              <w:autoSpaceDE w:val="0"/>
                              <w:autoSpaceDN w:val="0"/>
                              <w:adjustRightInd w:val="0"/>
                              <w:ind w:left="0" w:firstLine="0"/>
                              <w:jc w:val="both"/>
                              <w:rPr>
                                <w:lang w:val="en-US"/>
                              </w:rPr>
                            </w:pPr>
                            <w:r w:rsidRPr="00545F3D">
                              <w:rPr>
                                <w:rFonts w:ascii="Calibri" w:hAnsi="Calibri" w:cs="Arial"/>
                                <w:sz w:val="30"/>
                                <w:szCs w:val="30"/>
                                <w:lang w:val="en-US"/>
                              </w:rPr>
                              <w:t>High level</w:t>
                            </w:r>
                            <w:r>
                              <w:rPr>
                                <w:rFonts w:ascii="Calibri" w:hAnsi="Calibri" w:cs="Arial"/>
                                <w:sz w:val="30"/>
                                <w:szCs w:val="30"/>
                                <w:lang w:val="en-US"/>
                              </w:rPr>
                              <w:t xml:space="preserve"> of business continuity of</w:t>
                            </w:r>
                            <w:r w:rsidRPr="00545F3D">
                              <w:rPr>
                                <w:rFonts w:ascii="Calibri" w:hAnsi="Calibri" w:cs="Arial"/>
                                <w:sz w:val="30"/>
                                <w:szCs w:val="30"/>
                                <w:lang w:val="en-US"/>
                              </w:rPr>
                              <w:t xml:space="preserve"> payment systems</w:t>
                            </w:r>
                            <w:r>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27" style="position:absolute;left:0;text-align:left;margin-left:207pt;margin-top:4.15pt;width:256.85pt;height:16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" fillcolor="#cf9" strokecolor="#cf9" strokeweight="1pt">
                <v:shadow on="t" color="#205867" opacity=".5" offset="1pt"/>
                <v:textbox>
                  <w:txbxContent>
                    <w:p w:rsidR="00541D5F" w:rsidRPr="00545F3D" w:rsidRDefault="00541D5F" w:rsidP="00F224A0">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Process</w:t>
                      </w:r>
                      <w:r w:rsidRPr="00545F3D">
                        <w:rPr>
                          <w:rFonts w:ascii="Calibri" w:hAnsi="Calibri" w:cs="Arial"/>
                          <w:sz w:val="30"/>
                          <w:szCs w:val="30"/>
                          <w:lang w:val="en-US"/>
                        </w:rPr>
                        <w:t xml:space="preserve"> 96.7% </w:t>
                      </w:r>
                      <w:r>
                        <w:rPr>
                          <w:rFonts w:ascii="Calibri" w:hAnsi="Calibri" w:cs="Arial"/>
                          <w:sz w:val="30"/>
                          <w:szCs w:val="30"/>
                          <w:lang w:val="en-US"/>
                        </w:rPr>
                        <w:t>of</w:t>
                      </w:r>
                      <w:r w:rsidRPr="00545F3D">
                        <w:rPr>
                          <w:rFonts w:ascii="Calibri" w:hAnsi="Calibri" w:cs="Arial"/>
                          <w:sz w:val="30"/>
                          <w:szCs w:val="30"/>
                          <w:lang w:val="en-US"/>
                        </w:rPr>
                        <w:t xml:space="preserve"> </w:t>
                      </w:r>
                      <w:r>
                        <w:rPr>
                          <w:rFonts w:ascii="Calibri" w:hAnsi="Calibri" w:cs="Arial"/>
                          <w:sz w:val="30"/>
                          <w:szCs w:val="30"/>
                          <w:lang w:val="en-US"/>
                        </w:rPr>
                        <w:t>all</w:t>
                      </w:r>
                      <w:r w:rsidRPr="00545F3D">
                        <w:rPr>
                          <w:rFonts w:ascii="Calibri" w:hAnsi="Calibri" w:cs="Arial"/>
                          <w:sz w:val="30"/>
                          <w:szCs w:val="30"/>
                          <w:lang w:val="en-US"/>
                        </w:rPr>
                        <w:t xml:space="preserve"> </w:t>
                      </w:r>
                      <w:r>
                        <w:rPr>
                          <w:rFonts w:ascii="Calibri" w:hAnsi="Calibri" w:cs="Arial"/>
                          <w:sz w:val="30"/>
                          <w:szCs w:val="30"/>
                          <w:lang w:val="en-US"/>
                        </w:rPr>
                        <w:t>cashless</w:t>
                      </w:r>
                      <w:r w:rsidRPr="00545F3D">
                        <w:rPr>
                          <w:rFonts w:ascii="Calibri" w:hAnsi="Calibri" w:cs="Arial"/>
                          <w:sz w:val="30"/>
                          <w:szCs w:val="30"/>
                          <w:lang w:val="en-US"/>
                        </w:rPr>
                        <w:t xml:space="preserve"> </w:t>
                      </w:r>
                      <w:r>
                        <w:rPr>
                          <w:rFonts w:ascii="Calibri" w:hAnsi="Calibri" w:cs="Arial"/>
                          <w:sz w:val="30"/>
                          <w:szCs w:val="30"/>
                          <w:lang w:val="en-US"/>
                        </w:rPr>
                        <w:t>interbank payments made in Kazakhstan</w:t>
                      </w:r>
                      <w:r w:rsidRPr="00545F3D">
                        <w:rPr>
                          <w:rFonts w:ascii="Calibri" w:hAnsi="Calibri" w:cs="Arial"/>
                          <w:sz w:val="30"/>
                          <w:szCs w:val="30"/>
                          <w:lang w:val="en-US"/>
                        </w:rPr>
                        <w:t>;</w:t>
                      </w:r>
                    </w:p>
                    <w:p w:rsidR="00541D5F" w:rsidRPr="00545F3D" w:rsidRDefault="00541D5F" w:rsidP="00F224A0">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Comply with the international standards</w:t>
                      </w:r>
                      <w:r w:rsidRPr="00545F3D">
                        <w:rPr>
                          <w:rFonts w:ascii="Calibri" w:hAnsi="Calibri" w:cs="Arial"/>
                          <w:sz w:val="30"/>
                          <w:szCs w:val="30"/>
                          <w:lang w:val="en-US"/>
                        </w:rPr>
                        <w:t>;</w:t>
                      </w:r>
                    </w:p>
                    <w:p w:rsidR="00541D5F" w:rsidRPr="00545F3D" w:rsidRDefault="00541D5F" w:rsidP="00545F3D">
                      <w:pPr>
                        <w:numPr>
                          <w:ilvl w:val="0"/>
                          <w:numId w:val="28"/>
                        </w:numPr>
                        <w:tabs>
                          <w:tab w:val="left" w:pos="360"/>
                        </w:tabs>
                        <w:autoSpaceDE w:val="0"/>
                        <w:autoSpaceDN w:val="0"/>
                        <w:adjustRightInd w:val="0"/>
                        <w:ind w:left="0" w:firstLine="0"/>
                        <w:jc w:val="both"/>
                        <w:rPr>
                          <w:lang w:val="en-US"/>
                        </w:rPr>
                      </w:pPr>
                      <w:r w:rsidRPr="00545F3D">
                        <w:rPr>
                          <w:rFonts w:ascii="Calibri" w:hAnsi="Calibri" w:cs="Arial"/>
                          <w:sz w:val="30"/>
                          <w:szCs w:val="30"/>
                          <w:lang w:val="en-US"/>
                        </w:rPr>
                        <w:t>High level</w:t>
                      </w:r>
                      <w:r>
                        <w:rPr>
                          <w:rFonts w:ascii="Calibri" w:hAnsi="Calibri" w:cs="Arial"/>
                          <w:sz w:val="30"/>
                          <w:szCs w:val="30"/>
                          <w:lang w:val="en-US"/>
                        </w:rPr>
                        <w:t xml:space="preserve"> of business continuity of</w:t>
                      </w:r>
                      <w:r w:rsidRPr="00545F3D">
                        <w:rPr>
                          <w:rFonts w:ascii="Calibri" w:hAnsi="Calibri" w:cs="Arial"/>
                          <w:sz w:val="30"/>
                          <w:szCs w:val="30"/>
                          <w:lang w:val="en-US"/>
                        </w:rPr>
                        <w:t xml:space="preserve"> payment systems</w:t>
                      </w:r>
                      <w:r>
                        <w:rPr>
                          <w:rFonts w:ascii="Calibri" w:hAnsi="Calibri" w:cs="Arial"/>
                          <w:sz w:val="30"/>
                          <w:szCs w:val="30"/>
                          <w:lang w:val="en-US"/>
                        </w:rPr>
                        <w:t>.</w:t>
                      </w:r>
                    </w:p>
                  </w:txbxContent>
                </v:textbox>
                <w10:wrap type="square"/>
              </v:roundrect>
            </w:pict>
          </mc:Fallback>
        </mc:AlternateContent>
      </w:r>
      <w:r w:rsidR="005029CA" w:rsidRPr="00A9366F">
        <w:rPr>
          <w:rFonts w:ascii="Calibri" w:hAnsi="Calibri" w:cs="Arial"/>
          <w:sz w:val="30"/>
          <w:szCs w:val="30"/>
          <w:lang w:val="en-US"/>
        </w:rPr>
        <w:t xml:space="preserve">The payment systems of the National Bank of Kazakhstan comprise </w:t>
      </w:r>
      <w:r w:rsidR="005029CA" w:rsidRPr="00A9366F">
        <w:rPr>
          <w:rFonts w:ascii="Calibri" w:hAnsi="Calibri" w:cs="Arial"/>
          <w:b/>
          <w:sz w:val="30"/>
          <w:szCs w:val="30"/>
          <w:lang w:val="en-US"/>
        </w:rPr>
        <w:t>the Interbank System of Money Transfer (ISMT) and Interbank Clearing System (ICS)</w:t>
      </w:r>
      <w:r w:rsidR="00BB3365" w:rsidRPr="00A9366F">
        <w:rPr>
          <w:rFonts w:ascii="Calibri" w:hAnsi="Calibri" w:cs="Arial"/>
          <w:b/>
          <w:sz w:val="30"/>
          <w:szCs w:val="30"/>
          <w:lang w:val="en-US"/>
        </w:rPr>
        <w:t xml:space="preserve">, which process interbank payments between the system participants in the national currency – </w:t>
      </w:r>
      <w:proofErr w:type="spellStart"/>
      <w:r w:rsidR="00BB3365" w:rsidRPr="00A9366F">
        <w:rPr>
          <w:rFonts w:ascii="Calibri" w:hAnsi="Calibri" w:cs="Arial"/>
          <w:b/>
          <w:sz w:val="30"/>
          <w:szCs w:val="30"/>
          <w:lang w:val="en-US"/>
        </w:rPr>
        <w:t>tenge</w:t>
      </w:r>
      <w:proofErr w:type="spellEnd"/>
      <w:r w:rsidR="00BB3365" w:rsidRPr="00A9366F">
        <w:rPr>
          <w:rFonts w:ascii="Calibri" w:hAnsi="Calibri" w:cs="Arial"/>
          <w:b/>
          <w:sz w:val="30"/>
          <w:szCs w:val="30"/>
          <w:lang w:val="en-US"/>
        </w:rPr>
        <w:t>.</w:t>
      </w:r>
      <w:r w:rsidR="005029CA" w:rsidRPr="00A9366F">
        <w:rPr>
          <w:rFonts w:ascii="Calibri" w:hAnsi="Calibri" w:cs="Arial"/>
          <w:b/>
          <w:sz w:val="30"/>
          <w:szCs w:val="30"/>
          <w:lang w:val="en-US"/>
        </w:rPr>
        <w:t xml:space="preserve"> </w:t>
      </w:r>
    </w:p>
    <w:p w:rsidR="00BB3365" w:rsidRPr="00A9366F" w:rsidRDefault="00BB3365" w:rsidP="00F224A0">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ISMT participants </w:t>
      </w:r>
      <w:r w:rsidR="00BE697E" w:rsidRPr="00A9366F">
        <w:rPr>
          <w:rFonts w:ascii="Calibri" w:hAnsi="Calibri" w:cs="Arial"/>
          <w:sz w:val="30"/>
          <w:szCs w:val="30"/>
          <w:lang w:val="en-US"/>
        </w:rPr>
        <w:t>are</w:t>
      </w:r>
      <w:r w:rsidRPr="00A9366F">
        <w:rPr>
          <w:rFonts w:ascii="Calibri" w:hAnsi="Calibri" w:cs="Arial"/>
          <w:sz w:val="30"/>
          <w:szCs w:val="30"/>
          <w:lang w:val="en-US"/>
        </w:rPr>
        <w:t xml:space="preserve"> all banks of Kazakhstan, </w:t>
      </w:r>
      <w:proofErr w:type="spellStart"/>
      <w:r w:rsidR="005B27F8" w:rsidRPr="00A9366F">
        <w:rPr>
          <w:rFonts w:ascii="Calibri" w:hAnsi="Calibri" w:cs="Arial"/>
          <w:sz w:val="30"/>
          <w:szCs w:val="30"/>
          <w:lang w:val="en-US"/>
        </w:rPr>
        <w:t>Kazpost</w:t>
      </w:r>
      <w:proofErr w:type="spellEnd"/>
      <w:r w:rsidR="005B27F8" w:rsidRPr="00A9366F">
        <w:rPr>
          <w:rFonts w:ascii="Calibri" w:hAnsi="Calibri" w:cs="Arial"/>
          <w:sz w:val="30"/>
          <w:szCs w:val="30"/>
          <w:lang w:val="en-US"/>
        </w:rPr>
        <w:t xml:space="preserve"> JSC, Treasury Committee of the Ministry of Finance of the Republic of Kazakhstan, Non</w:t>
      </w:r>
      <w:r w:rsidR="004E1E7F" w:rsidRPr="00A9366F">
        <w:rPr>
          <w:rFonts w:ascii="Calibri" w:hAnsi="Calibri" w:cs="Arial"/>
          <w:sz w:val="30"/>
          <w:szCs w:val="30"/>
          <w:lang w:val="en-US"/>
        </w:rPr>
        <w:t xml:space="preserve">-commercial Joint-Stock Company State Corporation “Government for Citizens”, </w:t>
      </w:r>
      <w:r w:rsidR="004E1E7F" w:rsidRPr="00A9366F">
        <w:rPr>
          <w:rFonts w:ascii="Calibri" w:hAnsi="Calibri" w:cs="Arial"/>
          <w:iCs/>
          <w:sz w:val="30"/>
          <w:szCs w:val="30"/>
          <w:lang w:val="en-US"/>
        </w:rPr>
        <w:t>Central Securities Depository</w:t>
      </w:r>
      <w:r w:rsidR="00CB3927" w:rsidRPr="00A9366F">
        <w:rPr>
          <w:rFonts w:ascii="Calibri" w:hAnsi="Calibri" w:cs="Arial"/>
          <w:iCs/>
          <w:sz w:val="30"/>
          <w:szCs w:val="30"/>
          <w:lang w:val="en-US"/>
        </w:rPr>
        <w:t xml:space="preserve">, Kazakhstan Stock Exchange, and certain international </w:t>
      </w:r>
      <w:r w:rsidR="00BE697E" w:rsidRPr="00A9366F">
        <w:rPr>
          <w:rFonts w:ascii="Calibri" w:hAnsi="Calibri" w:cs="Arial"/>
          <w:iCs/>
          <w:sz w:val="30"/>
          <w:szCs w:val="30"/>
          <w:lang w:val="en-US"/>
        </w:rPr>
        <w:t>b</w:t>
      </w:r>
      <w:r w:rsidR="00CB3927" w:rsidRPr="00A9366F">
        <w:rPr>
          <w:rFonts w:ascii="Calibri" w:hAnsi="Calibri" w:cs="Arial"/>
          <w:iCs/>
          <w:sz w:val="30"/>
          <w:szCs w:val="30"/>
          <w:lang w:val="en-US"/>
        </w:rPr>
        <w:t xml:space="preserve">anks and non-resident financial organizations. ICS participants comprise Kazakhstan banks, </w:t>
      </w:r>
      <w:proofErr w:type="spellStart"/>
      <w:r w:rsidR="00CB3927" w:rsidRPr="00A9366F">
        <w:rPr>
          <w:rFonts w:ascii="Calibri" w:hAnsi="Calibri" w:cs="Arial"/>
          <w:iCs/>
          <w:sz w:val="30"/>
          <w:szCs w:val="30"/>
          <w:lang w:val="en-US"/>
        </w:rPr>
        <w:t>Kazpost</w:t>
      </w:r>
      <w:proofErr w:type="spellEnd"/>
      <w:r w:rsidR="00CB3927" w:rsidRPr="00A9366F">
        <w:rPr>
          <w:rFonts w:ascii="Calibri" w:hAnsi="Calibri" w:cs="Arial"/>
          <w:iCs/>
          <w:sz w:val="30"/>
          <w:szCs w:val="30"/>
          <w:lang w:val="en-US"/>
        </w:rPr>
        <w:t xml:space="preserve"> JSC, Treasury Committee of the </w:t>
      </w:r>
      <w:r w:rsidR="00CB3927" w:rsidRPr="00A9366F">
        <w:rPr>
          <w:rFonts w:ascii="Calibri" w:hAnsi="Calibri" w:cs="Arial"/>
          <w:sz w:val="30"/>
          <w:szCs w:val="30"/>
          <w:lang w:val="en-US"/>
        </w:rPr>
        <w:t xml:space="preserve">Ministry of Finance of the Republic of Kazakhstan, Non-commercial Joint-Stock Company State Corporation “Government for Citizens” and </w:t>
      </w:r>
      <w:r w:rsidR="00CB3927" w:rsidRPr="00A9366F">
        <w:rPr>
          <w:rFonts w:ascii="Calibri" w:hAnsi="Calibri" w:cs="Arial"/>
          <w:iCs/>
          <w:sz w:val="30"/>
          <w:szCs w:val="30"/>
          <w:lang w:val="en-US"/>
        </w:rPr>
        <w:t xml:space="preserve">Central Securities Depository. </w:t>
      </w:r>
    </w:p>
    <w:p w:rsidR="00CB3927" w:rsidRPr="00A9366F" w:rsidRDefault="00CB3927" w:rsidP="00F224A0">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The operating center of the payment systems of the National Bank of Kazakhstan is the state enterprise with the right of economic management “Ka</w:t>
      </w:r>
      <w:r w:rsidR="009353BC" w:rsidRPr="00A9366F">
        <w:rPr>
          <w:rFonts w:ascii="Calibri" w:hAnsi="Calibri" w:cs="Arial"/>
          <w:sz w:val="30"/>
          <w:szCs w:val="30"/>
          <w:lang w:val="en-US"/>
        </w:rPr>
        <w:t>z</w:t>
      </w:r>
      <w:r w:rsidRPr="00A9366F">
        <w:rPr>
          <w:rFonts w:ascii="Calibri" w:hAnsi="Calibri" w:cs="Arial"/>
          <w:sz w:val="30"/>
          <w:szCs w:val="30"/>
          <w:lang w:val="en-US"/>
        </w:rPr>
        <w:t xml:space="preserve">akhstan Interbank Settlement Center of the National Bank of the Republic of Kazakhstan (KISC), a subsidiary of the National Bank of Kazakhstan. </w:t>
      </w:r>
    </w:p>
    <w:p w:rsidR="00FB4CF4" w:rsidRPr="00A9366F" w:rsidRDefault="00FB4CF4" w:rsidP="00F224A0">
      <w:pPr>
        <w:autoSpaceDE w:val="0"/>
        <w:autoSpaceDN w:val="0"/>
        <w:adjustRightInd w:val="0"/>
        <w:ind w:firstLine="709"/>
        <w:jc w:val="both"/>
        <w:rPr>
          <w:rFonts w:ascii="Calibri" w:hAnsi="Calibri" w:cs="Arial"/>
          <w:sz w:val="30"/>
          <w:szCs w:val="30"/>
          <w:lang w:val="en-US"/>
        </w:rPr>
      </w:pPr>
    </w:p>
    <w:tbl>
      <w:tblPr>
        <w:tblStyle w:val="a3"/>
        <w:tblW w:w="0" w:type="auto"/>
        <w:shd w:val="clear" w:color="auto" w:fill="E0E0E0"/>
        <w:tblLook w:val="01E0" w:firstRow="1" w:lastRow="1" w:firstColumn="1" w:lastColumn="1" w:noHBand="0" w:noVBand="0"/>
      </w:tblPr>
      <w:tblGrid>
        <w:gridCol w:w="9570"/>
      </w:tblGrid>
      <w:tr w:rsidR="005975A6" w:rsidRPr="00EA720F" w:rsidTr="006F65CE">
        <w:tc>
          <w:tcPr>
            <w:tcW w:w="9570" w:type="dxa"/>
            <w:shd w:val="clear" w:color="auto" w:fill="E0E0E0"/>
          </w:tcPr>
          <w:p w:rsidR="006F65CE" w:rsidRPr="00A9366F" w:rsidRDefault="007E22AB" w:rsidP="006F65CE">
            <w:pPr>
              <w:autoSpaceDE w:val="0"/>
              <w:autoSpaceDN w:val="0"/>
              <w:adjustRightInd w:val="0"/>
              <w:jc w:val="center"/>
              <w:rPr>
                <w:rFonts w:ascii="Calibri" w:hAnsi="Calibri" w:cs="Arial"/>
                <w:b/>
                <w:sz w:val="6"/>
                <w:lang w:val="en-US"/>
              </w:rPr>
            </w:pPr>
            <w:r w:rsidRPr="00A9366F">
              <w:rPr>
                <w:rFonts w:ascii="Calibri" w:hAnsi="Calibri" w:cs="Arial"/>
                <w:b/>
                <w:lang w:val="en-US"/>
              </w:rPr>
              <w:t>Box</w:t>
            </w:r>
            <w:r w:rsidR="0045471B" w:rsidRPr="00A9366F">
              <w:rPr>
                <w:rFonts w:ascii="Calibri" w:hAnsi="Calibri" w:cs="Arial"/>
                <w:b/>
                <w:lang w:val="en-US"/>
              </w:rPr>
              <w:t xml:space="preserve"> </w:t>
            </w:r>
            <w:r w:rsidR="003E1657" w:rsidRPr="00A9366F">
              <w:rPr>
                <w:rFonts w:ascii="Calibri" w:hAnsi="Calibri" w:cs="Arial"/>
                <w:b/>
                <w:lang w:val="en-US"/>
              </w:rPr>
              <w:t>1</w:t>
            </w:r>
            <w:r w:rsidR="006F65CE" w:rsidRPr="00A9366F">
              <w:rPr>
                <w:rFonts w:ascii="Calibri" w:hAnsi="Calibri" w:cs="Arial"/>
                <w:b/>
                <w:lang w:val="en-US"/>
              </w:rPr>
              <w:t xml:space="preserve"> – </w:t>
            </w:r>
            <w:r w:rsidR="00CB3927" w:rsidRPr="00A9366F">
              <w:rPr>
                <w:rFonts w:ascii="Calibri" w:hAnsi="Calibri" w:cs="Arial"/>
                <w:b/>
                <w:lang w:val="en-US"/>
              </w:rPr>
              <w:t>KISC profile</w:t>
            </w:r>
          </w:p>
          <w:p w:rsidR="00CB3927" w:rsidRPr="00A9366F" w:rsidRDefault="00D57547" w:rsidP="00731D01">
            <w:pPr>
              <w:autoSpaceDE w:val="0"/>
              <w:autoSpaceDN w:val="0"/>
              <w:adjustRightInd w:val="0"/>
              <w:ind w:firstLine="709"/>
              <w:jc w:val="both"/>
              <w:rPr>
                <w:rFonts w:ascii="Calibri" w:hAnsi="Calibri" w:cs="Arial"/>
                <w:lang w:val="en-US"/>
              </w:rPr>
            </w:pPr>
            <w:r w:rsidRPr="00A9366F">
              <w:rPr>
                <w:rFonts w:ascii="Calibri" w:hAnsi="Calibri" w:cs="Arial"/>
                <w:lang w:val="en-US"/>
              </w:rPr>
              <w:t>K</w:t>
            </w:r>
            <w:r w:rsidR="00CB3927" w:rsidRPr="00A9366F">
              <w:rPr>
                <w:rFonts w:ascii="Calibri" w:hAnsi="Calibri" w:cs="Arial"/>
                <w:lang w:val="en-US"/>
              </w:rPr>
              <w:t xml:space="preserve">ISC was established </w:t>
            </w:r>
            <w:r w:rsidR="00873300" w:rsidRPr="00A9366F">
              <w:rPr>
                <w:rFonts w:ascii="Calibri" w:hAnsi="Calibri" w:cs="Arial"/>
                <w:lang w:val="en-US"/>
              </w:rPr>
              <w:t>on the basis of the</w:t>
            </w:r>
            <w:r w:rsidR="00CB3927" w:rsidRPr="00A9366F">
              <w:rPr>
                <w:rFonts w:ascii="Calibri" w:hAnsi="Calibri" w:cs="Arial"/>
                <w:lang w:val="en-US"/>
              </w:rPr>
              <w:t xml:space="preserve"> Resolution No. 252 dated 10 December 1995 of the Management Board of the National Bank of Kazakhstan</w:t>
            </w:r>
            <w:r w:rsidR="00873300" w:rsidRPr="00A9366F">
              <w:rPr>
                <w:rFonts w:ascii="Calibri" w:hAnsi="Calibri" w:cs="Arial"/>
                <w:lang w:val="en-US"/>
              </w:rPr>
              <w:t>,</w:t>
            </w:r>
            <w:r w:rsidR="00CB3927" w:rsidRPr="00A9366F">
              <w:rPr>
                <w:rFonts w:ascii="Calibri" w:hAnsi="Calibri" w:cs="Arial"/>
                <w:lang w:val="en-US"/>
              </w:rPr>
              <w:t xml:space="preserve"> </w:t>
            </w:r>
            <w:r w:rsidR="00667C56" w:rsidRPr="00A9366F">
              <w:rPr>
                <w:rFonts w:ascii="Calibri" w:hAnsi="Calibri" w:cs="Arial"/>
                <w:lang w:val="en-US"/>
              </w:rPr>
              <w:t xml:space="preserve">in accordance with the Program of </w:t>
            </w:r>
            <w:r w:rsidR="00873300" w:rsidRPr="00A9366F">
              <w:rPr>
                <w:rFonts w:ascii="Calibri" w:hAnsi="Calibri" w:cs="Arial"/>
                <w:lang w:val="en-US"/>
              </w:rPr>
              <w:t>R</w:t>
            </w:r>
            <w:r w:rsidR="00667C56" w:rsidRPr="00A9366F">
              <w:rPr>
                <w:rFonts w:ascii="Calibri" w:hAnsi="Calibri" w:cs="Arial"/>
                <w:lang w:val="en-US"/>
              </w:rPr>
              <w:t>eforms in the Banking System of the Republic of Kazakhsta</w:t>
            </w:r>
            <w:r w:rsidR="00055BE7" w:rsidRPr="00A9366F">
              <w:rPr>
                <w:rFonts w:ascii="Calibri" w:hAnsi="Calibri" w:cs="Arial"/>
                <w:lang w:val="en-US"/>
              </w:rPr>
              <w:t>n. K</w:t>
            </w:r>
            <w:r w:rsidR="00667C56" w:rsidRPr="00A9366F">
              <w:rPr>
                <w:rFonts w:ascii="Calibri" w:hAnsi="Calibri" w:cs="Arial"/>
                <w:lang w:val="en-US"/>
              </w:rPr>
              <w:t>ISC founder and authorized body is the National Bank of the Republic of Kazakhstan.</w:t>
            </w:r>
          </w:p>
          <w:p w:rsidR="00667C56" w:rsidRPr="00A9366F" w:rsidRDefault="00D57547" w:rsidP="00731D01">
            <w:pPr>
              <w:autoSpaceDE w:val="0"/>
              <w:autoSpaceDN w:val="0"/>
              <w:adjustRightInd w:val="0"/>
              <w:ind w:firstLine="709"/>
              <w:jc w:val="both"/>
              <w:rPr>
                <w:rFonts w:ascii="Calibri" w:hAnsi="Calibri" w:cs="Arial"/>
                <w:lang w:val="en-US"/>
              </w:rPr>
            </w:pPr>
            <w:r w:rsidRPr="00A9366F">
              <w:rPr>
                <w:rFonts w:ascii="Calibri" w:hAnsi="Calibri" w:cs="Arial"/>
                <w:lang w:val="en-US"/>
              </w:rPr>
              <w:t>K</w:t>
            </w:r>
            <w:r w:rsidR="00667C56" w:rsidRPr="00A9366F">
              <w:rPr>
                <w:rFonts w:ascii="Calibri" w:hAnsi="Calibri" w:cs="Arial"/>
                <w:lang w:val="en-US"/>
              </w:rPr>
              <w:t xml:space="preserve">ISC is an independent economic entity and </w:t>
            </w:r>
            <w:r w:rsidR="00873300" w:rsidRPr="00A9366F">
              <w:rPr>
                <w:rFonts w:ascii="Calibri" w:hAnsi="Calibri" w:cs="Arial"/>
                <w:lang w:val="en-US"/>
              </w:rPr>
              <w:t>forms</w:t>
            </w:r>
            <w:r w:rsidR="00667C56" w:rsidRPr="00A9366F">
              <w:rPr>
                <w:rFonts w:ascii="Calibri" w:hAnsi="Calibri" w:cs="Arial"/>
                <w:lang w:val="en-US"/>
              </w:rPr>
              <w:t xml:space="preserve"> a part of the structure of the National Bank of Kazakhstan</w:t>
            </w:r>
            <w:r w:rsidR="00667C56" w:rsidRPr="002C72D1">
              <w:rPr>
                <w:rFonts w:ascii="Calibri" w:hAnsi="Calibri" w:cs="Arial"/>
                <w:lang w:val="en-US"/>
              </w:rPr>
              <w:t xml:space="preserve">.  The </w:t>
            </w:r>
            <w:r w:rsidRPr="002C72D1">
              <w:rPr>
                <w:rFonts w:ascii="Calibri" w:hAnsi="Calibri" w:cs="Arial"/>
                <w:lang w:val="en-US"/>
              </w:rPr>
              <w:t>K</w:t>
            </w:r>
            <w:r w:rsidR="00667C56" w:rsidRPr="002C72D1">
              <w:rPr>
                <w:rFonts w:ascii="Calibri" w:hAnsi="Calibri" w:cs="Arial"/>
                <w:lang w:val="en-US"/>
              </w:rPr>
              <w:t>ISC</w:t>
            </w:r>
            <w:r w:rsidR="00343AC3" w:rsidRPr="002C72D1">
              <w:rPr>
                <w:rFonts w:ascii="Calibri" w:hAnsi="Calibri" w:cs="Arial"/>
                <w:lang w:val="en-US"/>
              </w:rPr>
              <w:t>’s</w:t>
            </w:r>
            <w:r w:rsidR="00667C56" w:rsidRPr="002C72D1">
              <w:rPr>
                <w:rFonts w:ascii="Calibri" w:hAnsi="Calibri" w:cs="Arial"/>
                <w:lang w:val="en-US"/>
              </w:rPr>
              <w:t xml:space="preserve"> principal </w:t>
            </w:r>
            <w:r w:rsidR="00667C56" w:rsidRPr="00A9366F">
              <w:rPr>
                <w:rFonts w:ascii="Calibri" w:hAnsi="Calibri" w:cs="Arial"/>
                <w:lang w:val="en-US"/>
              </w:rPr>
              <w:t xml:space="preserve">activity is </w:t>
            </w:r>
            <w:r w:rsidR="009353BC" w:rsidRPr="00A9366F">
              <w:rPr>
                <w:rFonts w:ascii="Calibri" w:hAnsi="Calibri" w:cs="Arial"/>
                <w:lang w:val="en-US"/>
              </w:rPr>
              <w:t xml:space="preserve">to make </w:t>
            </w:r>
            <w:r w:rsidR="00667C56" w:rsidRPr="00A9366F">
              <w:rPr>
                <w:rFonts w:ascii="Calibri" w:hAnsi="Calibri" w:cs="Arial"/>
                <w:lang w:val="en-US"/>
              </w:rPr>
              <w:t xml:space="preserve">interbank settlements </w:t>
            </w:r>
            <w:r w:rsidR="009353BC" w:rsidRPr="00A9366F">
              <w:rPr>
                <w:rFonts w:ascii="Calibri" w:hAnsi="Calibri" w:cs="Arial"/>
                <w:lang w:val="en-US"/>
              </w:rPr>
              <w:t xml:space="preserve">and money transfers through ISMT, ICS and </w:t>
            </w:r>
            <w:r w:rsidRPr="00A9366F">
              <w:rPr>
                <w:rFonts w:ascii="Calibri" w:hAnsi="Calibri" w:cs="Arial"/>
                <w:lang w:val="en-US"/>
              </w:rPr>
              <w:t xml:space="preserve">to provide </w:t>
            </w:r>
            <w:r w:rsidR="009353BC" w:rsidRPr="00A9366F">
              <w:rPr>
                <w:rFonts w:ascii="Calibri" w:hAnsi="Calibri" w:cs="Arial"/>
                <w:lang w:val="en-US"/>
              </w:rPr>
              <w:t xml:space="preserve">technical support to </w:t>
            </w:r>
            <w:r w:rsidR="00873300" w:rsidRPr="00A9366F">
              <w:rPr>
                <w:rFonts w:ascii="Calibri" w:hAnsi="Calibri" w:cs="Arial"/>
                <w:lang w:val="en-US"/>
              </w:rPr>
              <w:t>the payment systems functioning</w:t>
            </w:r>
            <w:r w:rsidR="009353BC" w:rsidRPr="00A9366F">
              <w:rPr>
                <w:rFonts w:ascii="Calibri" w:hAnsi="Calibri" w:cs="Arial"/>
                <w:lang w:val="en-US"/>
              </w:rPr>
              <w:t xml:space="preserve">.  </w:t>
            </w:r>
          </w:p>
          <w:p w:rsidR="006F65CE" w:rsidRPr="00A9366F" w:rsidRDefault="00D57547" w:rsidP="00731D01">
            <w:pPr>
              <w:autoSpaceDE w:val="0"/>
              <w:autoSpaceDN w:val="0"/>
              <w:adjustRightInd w:val="0"/>
              <w:ind w:firstLine="709"/>
              <w:jc w:val="both"/>
              <w:rPr>
                <w:rFonts w:ascii="Calibri" w:hAnsi="Calibri" w:cs="Arial"/>
                <w:lang w:val="en-US"/>
              </w:rPr>
            </w:pPr>
            <w:r w:rsidRPr="00A9366F">
              <w:rPr>
                <w:rFonts w:ascii="Calibri" w:hAnsi="Calibri" w:cs="Arial"/>
                <w:lang w:val="en-US"/>
              </w:rPr>
              <w:t xml:space="preserve">Data on KISC principal activities and organization chart is provided on KISC website at </w:t>
            </w:r>
            <w:hyperlink r:id="rId11" w:history="1">
              <w:r w:rsidR="006F65CE" w:rsidRPr="00A9366F">
                <w:rPr>
                  <w:rFonts w:ascii="Calibri" w:hAnsi="Calibri" w:cs="Arial"/>
                  <w:lang w:val="en-US"/>
                </w:rPr>
                <w:t>www.kisc.kz</w:t>
              </w:r>
            </w:hyperlink>
            <w:r w:rsidR="00873300" w:rsidRPr="00A9366F">
              <w:rPr>
                <w:rFonts w:ascii="Calibri" w:hAnsi="Calibri" w:cs="Arial"/>
                <w:lang w:val="en-US"/>
              </w:rPr>
              <w:t xml:space="preserve"> </w:t>
            </w:r>
          </w:p>
          <w:p w:rsidR="000666B2" w:rsidRPr="00A9366F" w:rsidRDefault="000666B2" w:rsidP="009A0CF5">
            <w:pPr>
              <w:autoSpaceDE w:val="0"/>
              <w:autoSpaceDN w:val="0"/>
              <w:adjustRightInd w:val="0"/>
              <w:ind w:firstLine="709"/>
              <w:jc w:val="both"/>
              <w:rPr>
                <w:rFonts w:ascii="Calibri" w:hAnsi="Calibri" w:cs="Arial"/>
                <w:lang w:val="en-US"/>
              </w:rPr>
            </w:pPr>
            <w:r w:rsidRPr="00A9366F">
              <w:rPr>
                <w:rFonts w:ascii="Calibri" w:hAnsi="Calibri" w:cs="Arial"/>
                <w:lang w:val="en-US"/>
              </w:rPr>
              <w:t xml:space="preserve">In accordance with the Rules of ISMT </w:t>
            </w:r>
            <w:r w:rsidR="005B4CB5" w:rsidRPr="00A9366F">
              <w:rPr>
                <w:rFonts w:ascii="Calibri" w:hAnsi="Calibri" w:cs="Arial"/>
                <w:lang w:val="en-US"/>
              </w:rPr>
              <w:t xml:space="preserve">Functioning </w:t>
            </w:r>
            <w:r w:rsidRPr="00A9366F">
              <w:rPr>
                <w:rFonts w:ascii="Calibri" w:hAnsi="Calibri" w:cs="Arial"/>
                <w:lang w:val="en-US"/>
              </w:rPr>
              <w:t>approved by the Resolution No.201 dated 31 August 2016 of the Management Board of the National Bank of Kazakhstan</w:t>
            </w:r>
            <w:r w:rsidR="00C71150" w:rsidRPr="00A9366F">
              <w:rPr>
                <w:rFonts w:ascii="Calibri" w:hAnsi="Calibri" w:cs="Arial"/>
                <w:lang w:val="en-US"/>
              </w:rPr>
              <w:t xml:space="preserve"> and Rules of ICS </w:t>
            </w:r>
            <w:r w:rsidR="005B4CB5" w:rsidRPr="00A9366F">
              <w:rPr>
                <w:rFonts w:ascii="Calibri" w:hAnsi="Calibri" w:cs="Arial"/>
                <w:lang w:val="en-US"/>
              </w:rPr>
              <w:t>Functioning</w:t>
            </w:r>
            <w:r w:rsidR="00C71150" w:rsidRPr="00A9366F">
              <w:rPr>
                <w:rFonts w:ascii="Calibri" w:hAnsi="Calibri" w:cs="Arial"/>
                <w:lang w:val="en-US"/>
              </w:rPr>
              <w:t xml:space="preserve"> approved by the Resolution No.211 dated 31 August 2016 of the</w:t>
            </w:r>
            <w:r w:rsidRPr="00A9366F">
              <w:rPr>
                <w:rFonts w:ascii="Calibri" w:hAnsi="Calibri" w:cs="Arial"/>
                <w:lang w:val="en-US"/>
              </w:rPr>
              <w:t xml:space="preserve"> </w:t>
            </w:r>
            <w:r w:rsidR="00C71150" w:rsidRPr="00A9366F">
              <w:rPr>
                <w:rFonts w:ascii="Calibri" w:hAnsi="Calibri" w:cs="Arial"/>
                <w:lang w:val="en-US"/>
              </w:rPr>
              <w:t xml:space="preserve">Management Board of the National Bank of Kazakhstan, KISC performs functions of acceptance and processing of the payment orders and on the basis thereof makes transfers from the position of </w:t>
            </w:r>
            <w:r w:rsidR="00C82AB1" w:rsidRPr="00A9366F">
              <w:rPr>
                <w:rFonts w:ascii="Calibri" w:hAnsi="Calibri" w:cs="Arial"/>
                <w:lang w:val="en-US"/>
              </w:rPr>
              <w:t>a</w:t>
            </w:r>
            <w:r w:rsidR="00C71150" w:rsidRPr="00A9366F">
              <w:rPr>
                <w:rFonts w:ascii="Calibri" w:hAnsi="Calibri" w:cs="Arial"/>
                <w:lang w:val="en-US"/>
              </w:rPr>
              <w:t xml:space="preserve"> participant</w:t>
            </w:r>
            <w:r w:rsidR="00C82AB1" w:rsidRPr="00A9366F">
              <w:rPr>
                <w:rFonts w:ascii="Calibri" w:hAnsi="Calibri" w:cs="Arial"/>
                <w:lang w:val="en-US"/>
              </w:rPr>
              <w:t>-remitter</w:t>
            </w:r>
            <w:r w:rsidR="00C71150" w:rsidRPr="00A9366F">
              <w:rPr>
                <w:rFonts w:ascii="Calibri" w:hAnsi="Calibri" w:cs="Arial"/>
                <w:lang w:val="en-US"/>
              </w:rPr>
              <w:t xml:space="preserve"> to the position of a participant</w:t>
            </w:r>
            <w:r w:rsidR="00C82AB1" w:rsidRPr="00A9366F">
              <w:rPr>
                <w:rFonts w:ascii="Calibri" w:hAnsi="Calibri" w:cs="Arial"/>
                <w:lang w:val="en-US"/>
              </w:rPr>
              <w:t>-recipient</w:t>
            </w:r>
            <w:r w:rsidR="00576B35" w:rsidRPr="00A9366F">
              <w:rPr>
                <w:rFonts w:ascii="Calibri" w:hAnsi="Calibri" w:cs="Arial"/>
                <w:lang w:val="en-US"/>
              </w:rPr>
              <w:t xml:space="preserve">; KISC also performs functions of acceptance, processing and delivery of information </w:t>
            </w:r>
            <w:r w:rsidR="007E4D10" w:rsidRPr="00A9366F">
              <w:rPr>
                <w:rFonts w:ascii="Calibri" w:hAnsi="Calibri" w:cs="Arial"/>
                <w:lang w:val="en-US"/>
              </w:rPr>
              <w:t>messages to the participants on the transactions performed and other operating and technological functions</w:t>
            </w:r>
            <w:r w:rsidR="00873300" w:rsidRPr="00A9366F">
              <w:rPr>
                <w:rFonts w:ascii="Calibri" w:hAnsi="Calibri" w:cs="Arial"/>
                <w:lang w:val="en-US"/>
              </w:rPr>
              <w:t>, which are carried out t</w:t>
            </w:r>
            <w:r w:rsidR="007E4D10" w:rsidRPr="00A9366F">
              <w:rPr>
                <w:rFonts w:ascii="Calibri" w:hAnsi="Calibri" w:cs="Arial"/>
                <w:lang w:val="en-US"/>
              </w:rPr>
              <w:t xml:space="preserve">o ensure functioning of the payment systems determined by Article 8 of the Law of the Republic of Kazakhstan “On Payments and Payment Systems”. </w:t>
            </w:r>
          </w:p>
          <w:p w:rsidR="005528B2" w:rsidRPr="00A9366F" w:rsidRDefault="005528B2" w:rsidP="007E4D10">
            <w:pPr>
              <w:autoSpaceDE w:val="0"/>
              <w:autoSpaceDN w:val="0"/>
              <w:adjustRightInd w:val="0"/>
              <w:ind w:firstLine="709"/>
              <w:jc w:val="both"/>
              <w:rPr>
                <w:rFonts w:ascii="Calibri" w:hAnsi="Calibri" w:cs="Arial"/>
                <w:sz w:val="10"/>
                <w:szCs w:val="30"/>
                <w:lang w:val="en-US"/>
              </w:rPr>
            </w:pPr>
          </w:p>
        </w:tc>
      </w:tr>
    </w:tbl>
    <w:p w:rsidR="006F65CE" w:rsidRPr="00A9366F" w:rsidRDefault="006F65CE" w:rsidP="00610467">
      <w:pPr>
        <w:autoSpaceDE w:val="0"/>
        <w:autoSpaceDN w:val="0"/>
        <w:adjustRightInd w:val="0"/>
        <w:ind w:firstLine="709"/>
        <w:jc w:val="both"/>
        <w:rPr>
          <w:rFonts w:ascii="Calibri" w:hAnsi="Calibri" w:cs="Arial"/>
          <w:sz w:val="30"/>
          <w:szCs w:val="30"/>
          <w:lang w:val="en-US"/>
        </w:rPr>
      </w:pPr>
    </w:p>
    <w:p w:rsidR="0097371C" w:rsidRPr="00A9366F" w:rsidRDefault="00A30B7D" w:rsidP="00610467">
      <w:pPr>
        <w:pStyle w:val="1"/>
        <w:widowControl w:val="0"/>
        <w:pBdr>
          <w:bottom w:val="single" w:sz="12" w:space="1" w:color="auto"/>
        </w:pBdr>
        <w:tabs>
          <w:tab w:val="left" w:pos="561"/>
        </w:tabs>
        <w:spacing w:before="0" w:after="0"/>
        <w:rPr>
          <w:rFonts w:ascii="Calibri" w:hAnsi="Calibri"/>
          <w:bCs w:val="0"/>
          <w:snapToGrid w:val="0"/>
          <w:color w:val="0E4C28"/>
          <w:spacing w:val="-2"/>
          <w:kern w:val="0"/>
          <w:lang w:val="en-US"/>
        </w:rPr>
      </w:pPr>
      <w:bookmarkStart w:id="11" w:name="_Toc485626994"/>
      <w:r w:rsidRPr="00A9366F">
        <w:rPr>
          <w:rFonts w:ascii="Calibri" w:hAnsi="Calibri"/>
          <w:bCs w:val="0"/>
          <w:snapToGrid w:val="0"/>
          <w:color w:val="0E4C28"/>
          <w:spacing w:val="-2"/>
          <w:kern w:val="0"/>
          <w:lang w:val="en-US"/>
        </w:rPr>
        <w:t>1</w:t>
      </w:r>
      <w:r w:rsidR="0097371C" w:rsidRPr="00A9366F">
        <w:rPr>
          <w:rFonts w:ascii="Calibri" w:hAnsi="Calibri"/>
          <w:bCs w:val="0"/>
          <w:snapToGrid w:val="0"/>
          <w:color w:val="0E4C28"/>
          <w:spacing w:val="-2"/>
          <w:kern w:val="0"/>
          <w:lang w:val="en-US"/>
        </w:rPr>
        <w:t>.</w:t>
      </w:r>
      <w:r w:rsidR="00EA53E0" w:rsidRPr="00A9366F">
        <w:rPr>
          <w:rFonts w:ascii="Calibri" w:hAnsi="Calibri"/>
          <w:bCs w:val="0"/>
          <w:snapToGrid w:val="0"/>
          <w:color w:val="0E4C28"/>
          <w:spacing w:val="-2"/>
          <w:kern w:val="0"/>
          <w:lang w:val="en-US"/>
        </w:rPr>
        <w:t>1</w:t>
      </w:r>
      <w:r w:rsidR="0097371C" w:rsidRPr="00A9366F">
        <w:rPr>
          <w:rFonts w:ascii="Calibri" w:hAnsi="Calibri"/>
          <w:bCs w:val="0"/>
          <w:snapToGrid w:val="0"/>
          <w:color w:val="0E4C28"/>
          <w:spacing w:val="-2"/>
          <w:kern w:val="0"/>
          <w:lang w:val="en-US"/>
        </w:rPr>
        <w:t xml:space="preserve">. </w:t>
      </w:r>
      <w:r w:rsidR="00873300" w:rsidRPr="00A9366F">
        <w:rPr>
          <w:rFonts w:ascii="Calibri" w:hAnsi="Calibri"/>
          <w:bCs w:val="0"/>
          <w:snapToGrid w:val="0"/>
          <w:color w:val="0E4C28"/>
          <w:spacing w:val="-2"/>
          <w:kern w:val="0"/>
          <w:lang w:val="en-US"/>
        </w:rPr>
        <w:t>Summary</w:t>
      </w:r>
      <w:r w:rsidR="007E4D10" w:rsidRPr="00A9366F">
        <w:rPr>
          <w:rFonts w:ascii="Calibri" w:hAnsi="Calibri"/>
          <w:bCs w:val="0"/>
          <w:snapToGrid w:val="0"/>
          <w:color w:val="0E4C28"/>
          <w:spacing w:val="-2"/>
          <w:kern w:val="0"/>
          <w:lang w:val="en-US"/>
        </w:rPr>
        <w:t xml:space="preserve"> of the payment systems</w:t>
      </w:r>
      <w:bookmarkEnd w:id="11"/>
      <w:r w:rsidR="007E4D10" w:rsidRPr="00A9366F">
        <w:rPr>
          <w:rFonts w:ascii="Calibri" w:hAnsi="Calibri"/>
          <w:bCs w:val="0"/>
          <w:snapToGrid w:val="0"/>
          <w:color w:val="0E4C28"/>
          <w:spacing w:val="-2"/>
          <w:kern w:val="0"/>
          <w:lang w:val="en-US"/>
        </w:rPr>
        <w:t xml:space="preserve"> </w:t>
      </w:r>
    </w:p>
    <w:p w:rsidR="007E4D10" w:rsidRPr="00A9366F" w:rsidRDefault="007E4D10" w:rsidP="00610467">
      <w:pPr>
        <w:autoSpaceDE w:val="0"/>
        <w:autoSpaceDN w:val="0"/>
        <w:adjustRightInd w:val="0"/>
        <w:ind w:firstLine="709"/>
        <w:jc w:val="both"/>
        <w:rPr>
          <w:rFonts w:ascii="Calibri" w:hAnsi="Calibri" w:cs="Arial"/>
          <w:b/>
          <w:sz w:val="30"/>
          <w:szCs w:val="30"/>
          <w:lang w:val="en-US"/>
        </w:rPr>
      </w:pPr>
      <w:r w:rsidRPr="00A9366F">
        <w:rPr>
          <w:rFonts w:ascii="Calibri" w:hAnsi="Calibri" w:cs="Arial"/>
          <w:b/>
          <w:sz w:val="30"/>
          <w:szCs w:val="30"/>
          <w:lang w:val="en-US"/>
        </w:rPr>
        <w:t xml:space="preserve">Settlements in </w:t>
      </w:r>
      <w:r w:rsidRPr="00541D5F">
        <w:rPr>
          <w:rFonts w:ascii="Calibri" w:hAnsi="Calibri" w:cs="Arial"/>
          <w:b/>
          <w:sz w:val="30"/>
          <w:szCs w:val="30"/>
          <w:lang w:val="en-US"/>
        </w:rPr>
        <w:t xml:space="preserve">ISMT </w:t>
      </w:r>
      <w:r w:rsidRPr="00A9366F">
        <w:rPr>
          <w:rFonts w:ascii="Calibri" w:hAnsi="Calibri" w:cs="Arial"/>
          <w:b/>
          <w:sz w:val="30"/>
          <w:szCs w:val="30"/>
          <w:lang w:val="en-US"/>
        </w:rPr>
        <w:t xml:space="preserve">are made on a real-time basis, i.e. every payment document, once entered in the system, is settled immediately, within a few seconds. </w:t>
      </w:r>
    </w:p>
    <w:p w:rsidR="007E4D10" w:rsidRPr="00A9366F" w:rsidRDefault="00FB60A9"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b/>
          <w:noProof/>
          <w:sz w:val="30"/>
          <w:szCs w:val="30"/>
        </w:rPr>
        <mc:AlternateContent>
          <mc:Choice Requires="wps">
            <w:drawing>
              <wp:anchor distT="0" distB="0" distL="114300" distR="114300" simplePos="0" relativeHeight="251658240" behindDoc="0" locked="0" layoutInCell="1" allowOverlap="1">
                <wp:simplePos x="0" y="0"/>
                <wp:positionH relativeFrom="column">
                  <wp:posOffset>2628265</wp:posOffset>
                </wp:positionH>
                <wp:positionV relativeFrom="paragraph">
                  <wp:posOffset>60325</wp:posOffset>
                </wp:positionV>
                <wp:extent cx="3314700" cy="1897380"/>
                <wp:effectExtent l="0" t="0" r="38100" b="64770"/>
                <wp:wrapSquare wrapText="bothSides"/>
                <wp:docPr id="66"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89738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Real time settlements</w:t>
                            </w:r>
                            <w:r w:rsidRPr="00F224A0">
                              <w:rPr>
                                <w:rFonts w:ascii="Calibri" w:hAnsi="Calibri" w:cs="Arial"/>
                                <w:sz w:val="30"/>
                                <w:szCs w:val="30"/>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Individual processing of each payment</w:t>
                            </w:r>
                            <w:r w:rsidRPr="00545F3D">
                              <w:rPr>
                                <w:rFonts w:ascii="Calibri" w:hAnsi="Calibri" w:cs="Arial"/>
                                <w:sz w:val="30"/>
                                <w:szCs w:val="30"/>
                                <w:lang w:val="en-US"/>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FIFO principle in making settlements</w:t>
                            </w:r>
                            <w:r w:rsidRPr="00545F3D">
                              <w:rPr>
                                <w:rFonts w:ascii="Calibri" w:hAnsi="Calibri" w:cs="Arial"/>
                                <w:sz w:val="30"/>
                                <w:szCs w:val="30"/>
                                <w:lang w:val="en-US"/>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E52EAF">
                              <w:rPr>
                                <w:rFonts w:ascii="Calibri" w:hAnsi="Calibri" w:cs="Arial"/>
                                <w:sz w:val="30"/>
                                <w:szCs w:val="30"/>
                                <w:lang w:val="en-US"/>
                              </w:rPr>
                              <w:t xml:space="preserve">High-priority and </w:t>
                            </w:r>
                            <w:r>
                              <w:rPr>
                                <w:rFonts w:ascii="Calibri" w:hAnsi="Calibri" w:cs="Arial"/>
                                <w:sz w:val="30"/>
                                <w:szCs w:val="30"/>
                                <w:lang w:val="en-US"/>
                              </w:rPr>
                              <w:t xml:space="preserve">immediate </w:t>
                            </w:r>
                            <w:r w:rsidRPr="00E52EAF">
                              <w:rPr>
                                <w:rFonts w:ascii="Calibri" w:hAnsi="Calibri" w:cs="Arial"/>
                                <w:sz w:val="30"/>
                                <w:szCs w:val="30"/>
                                <w:lang w:val="en-US"/>
                              </w:rPr>
                              <w:t xml:space="preserve">payments of the financial </w:t>
                            </w:r>
                            <w:r>
                              <w:rPr>
                                <w:rFonts w:ascii="Calibri" w:hAnsi="Calibri" w:cs="Arial"/>
                                <w:sz w:val="30"/>
                                <w:szCs w:val="30"/>
                                <w:lang w:val="en-US"/>
                              </w:rPr>
                              <w:t>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28" style="position:absolute;left:0;text-align:left;margin-left:206.95pt;margin-top:4.75pt;width:261pt;height:1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" fillcolor="#cf9" strokecolor="#cf9" strokeweight="1pt">
                <v:shadow on="t" color="#205867" opacity=".5" offset="1pt"/>
                <v:textbox>
                  <w:txbxContent>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Real time settlements</w:t>
                      </w:r>
                      <w:r w:rsidRPr="00F224A0">
                        <w:rPr>
                          <w:rFonts w:ascii="Calibri" w:hAnsi="Calibri" w:cs="Arial"/>
                          <w:sz w:val="30"/>
                          <w:szCs w:val="30"/>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Individual processing of each payment</w:t>
                      </w:r>
                      <w:r w:rsidRPr="00545F3D">
                        <w:rPr>
                          <w:rFonts w:ascii="Calibri" w:hAnsi="Calibri" w:cs="Arial"/>
                          <w:sz w:val="30"/>
                          <w:szCs w:val="30"/>
                          <w:lang w:val="en-US"/>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FIFO principle in making settlements</w:t>
                      </w:r>
                      <w:r w:rsidRPr="00545F3D">
                        <w:rPr>
                          <w:rFonts w:ascii="Calibri" w:hAnsi="Calibri" w:cs="Arial"/>
                          <w:sz w:val="30"/>
                          <w:szCs w:val="30"/>
                          <w:lang w:val="en-US"/>
                        </w:rPr>
                        <w:t>;</w:t>
                      </w:r>
                    </w:p>
                    <w:p w:rsidR="00541D5F" w:rsidRPr="00545F3D"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E52EAF">
                        <w:rPr>
                          <w:rFonts w:ascii="Calibri" w:hAnsi="Calibri" w:cs="Arial"/>
                          <w:sz w:val="30"/>
                          <w:szCs w:val="30"/>
                          <w:lang w:val="en-US"/>
                        </w:rPr>
                        <w:t xml:space="preserve">High-priority and </w:t>
                      </w:r>
                      <w:r>
                        <w:rPr>
                          <w:rFonts w:ascii="Calibri" w:hAnsi="Calibri" w:cs="Arial"/>
                          <w:sz w:val="30"/>
                          <w:szCs w:val="30"/>
                          <w:lang w:val="en-US"/>
                        </w:rPr>
                        <w:t xml:space="preserve">immediate </w:t>
                      </w:r>
                      <w:r w:rsidRPr="00E52EAF">
                        <w:rPr>
                          <w:rFonts w:ascii="Calibri" w:hAnsi="Calibri" w:cs="Arial"/>
                          <w:sz w:val="30"/>
                          <w:szCs w:val="30"/>
                          <w:lang w:val="en-US"/>
                        </w:rPr>
                        <w:t xml:space="preserve">payments of the financial </w:t>
                      </w:r>
                      <w:r>
                        <w:rPr>
                          <w:rFonts w:ascii="Calibri" w:hAnsi="Calibri" w:cs="Arial"/>
                          <w:sz w:val="30"/>
                          <w:szCs w:val="30"/>
                          <w:lang w:val="en-US"/>
                        </w:rPr>
                        <w:t>sector</w:t>
                      </w:r>
                    </w:p>
                  </w:txbxContent>
                </v:textbox>
                <w10:wrap type="square"/>
              </v:roundrect>
            </w:pict>
          </mc:Fallback>
        </mc:AlternateContent>
      </w:r>
      <w:r w:rsidR="007E4D10" w:rsidRPr="00A9366F">
        <w:rPr>
          <w:rFonts w:ascii="Calibri" w:hAnsi="Calibri" w:cs="Arial"/>
          <w:sz w:val="30"/>
          <w:szCs w:val="30"/>
          <w:lang w:val="en-US"/>
        </w:rPr>
        <w:t>The system is operati</w:t>
      </w:r>
      <w:r w:rsidR="00C82AB1" w:rsidRPr="00A9366F">
        <w:rPr>
          <w:rFonts w:ascii="Calibri" w:hAnsi="Calibri" w:cs="Arial"/>
          <w:sz w:val="30"/>
          <w:szCs w:val="30"/>
          <w:lang w:val="en-US"/>
        </w:rPr>
        <w:t xml:space="preserve">ng </w:t>
      </w:r>
      <w:r w:rsidR="007E4D10" w:rsidRPr="00A9366F">
        <w:rPr>
          <w:rFonts w:ascii="Calibri" w:hAnsi="Calibri" w:cs="Arial"/>
          <w:sz w:val="30"/>
          <w:szCs w:val="30"/>
          <w:lang w:val="en-US"/>
        </w:rPr>
        <w:t xml:space="preserve">all days of week, except for the holidays and weekends. </w:t>
      </w:r>
      <w:r w:rsidR="00EE2B73" w:rsidRPr="00A9366F">
        <w:rPr>
          <w:rFonts w:ascii="Calibri" w:hAnsi="Calibri" w:cs="Arial"/>
          <w:sz w:val="30"/>
          <w:szCs w:val="30"/>
          <w:lang w:val="en-US"/>
        </w:rPr>
        <w:t>ISMT</w:t>
      </w:r>
      <w:r w:rsidR="009D4439" w:rsidRPr="00A9366F">
        <w:rPr>
          <w:rFonts w:ascii="Calibri" w:hAnsi="Calibri" w:cs="Arial"/>
          <w:sz w:val="30"/>
          <w:szCs w:val="30"/>
          <w:lang w:val="en-US"/>
        </w:rPr>
        <w:t xml:space="preserve"> operating day is from 9.00 am till 7.00 pm. If necessary, an operating day can be prolonged on the basis of an application from a system participant. </w:t>
      </w:r>
    </w:p>
    <w:p w:rsidR="00E52EAF" w:rsidRPr="00A9366F" w:rsidRDefault="00E52EAF"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Prior to commencement of an operating day </w:t>
      </w:r>
      <w:r w:rsidR="00EE2B73" w:rsidRPr="00A9366F">
        <w:rPr>
          <w:rFonts w:ascii="Calibri" w:hAnsi="Calibri" w:cs="Arial"/>
          <w:sz w:val="30"/>
          <w:szCs w:val="30"/>
          <w:lang w:val="en-US"/>
        </w:rPr>
        <w:t>ISMT</w:t>
      </w:r>
      <w:r w:rsidRPr="00A9366F">
        <w:rPr>
          <w:rFonts w:ascii="Calibri" w:hAnsi="Calibri" w:cs="Arial"/>
          <w:sz w:val="30"/>
          <w:szCs w:val="30"/>
          <w:lang w:val="en-US"/>
        </w:rPr>
        <w:t xml:space="preserve"> transfers money from the correspondent accounts of the payment system participants opened with the National Bank of Kazakhstan to the </w:t>
      </w:r>
      <w:proofErr w:type="gramStart"/>
      <w:r w:rsidRPr="00A9366F">
        <w:rPr>
          <w:rFonts w:ascii="Calibri" w:hAnsi="Calibri" w:cs="Arial"/>
          <w:sz w:val="30"/>
          <w:szCs w:val="30"/>
          <w:lang w:val="en-US"/>
        </w:rPr>
        <w:t>system’s</w:t>
      </w:r>
      <w:proofErr w:type="gramEnd"/>
      <w:r w:rsidRPr="00A9366F">
        <w:rPr>
          <w:rFonts w:ascii="Calibri" w:hAnsi="Calibri" w:cs="Arial"/>
          <w:sz w:val="30"/>
          <w:szCs w:val="30"/>
          <w:lang w:val="en-US"/>
        </w:rPr>
        <w:t xml:space="preserve"> account.  The National Bank of Kazakhstan informs KISC about the amount of money transferred to each participant. Based on this information KISC </w:t>
      </w:r>
      <w:r w:rsidR="009632FB" w:rsidRPr="00A9366F">
        <w:rPr>
          <w:rFonts w:ascii="Calibri" w:hAnsi="Calibri" w:cs="Arial"/>
          <w:sz w:val="30"/>
          <w:szCs w:val="30"/>
          <w:lang w:val="en-US"/>
        </w:rPr>
        <w:t>posts</w:t>
      </w:r>
      <w:r w:rsidRPr="00A9366F">
        <w:rPr>
          <w:rFonts w:ascii="Calibri" w:hAnsi="Calibri" w:cs="Arial"/>
          <w:sz w:val="30"/>
          <w:szCs w:val="30"/>
          <w:lang w:val="en-US"/>
        </w:rPr>
        <w:t xml:space="preserve"> the cash amounts from </w:t>
      </w:r>
      <w:r w:rsidR="00EE2B73" w:rsidRPr="00A9366F">
        <w:rPr>
          <w:rFonts w:ascii="Calibri" w:hAnsi="Calibri" w:cs="Arial"/>
          <w:sz w:val="30"/>
          <w:szCs w:val="30"/>
          <w:lang w:val="en-US"/>
        </w:rPr>
        <w:t>ISMT</w:t>
      </w:r>
      <w:r w:rsidRPr="00A9366F">
        <w:rPr>
          <w:rFonts w:ascii="Calibri" w:hAnsi="Calibri" w:cs="Arial"/>
          <w:sz w:val="30"/>
          <w:szCs w:val="30"/>
          <w:lang w:val="en-US"/>
        </w:rPr>
        <w:t xml:space="preserve"> account to positions of the participants </w:t>
      </w:r>
      <w:r w:rsidR="00873300" w:rsidRPr="00A9366F">
        <w:rPr>
          <w:rFonts w:ascii="Calibri" w:hAnsi="Calibri" w:cs="Arial"/>
          <w:sz w:val="30"/>
          <w:szCs w:val="30"/>
          <w:lang w:val="en-US"/>
        </w:rPr>
        <w:t>in</w:t>
      </w:r>
      <w:r w:rsidRPr="00A9366F">
        <w:rPr>
          <w:rFonts w:ascii="Calibri" w:hAnsi="Calibri" w:cs="Arial"/>
          <w:sz w:val="30"/>
          <w:szCs w:val="30"/>
          <w:lang w:val="en-US"/>
        </w:rPr>
        <w:t xml:space="preserve"> KISC. During an operating day</w:t>
      </w:r>
      <w:r w:rsidR="00A9366F">
        <w:rPr>
          <w:rFonts w:ascii="Calibri" w:hAnsi="Calibri" w:cs="Arial"/>
          <w:sz w:val="30"/>
          <w:szCs w:val="30"/>
          <w:lang w:val="en-US"/>
        </w:rPr>
        <w:t>,</w:t>
      </w:r>
      <w:r w:rsidRPr="00A9366F">
        <w:rPr>
          <w:rFonts w:ascii="Calibri" w:hAnsi="Calibri" w:cs="Arial"/>
          <w:sz w:val="30"/>
          <w:szCs w:val="30"/>
          <w:lang w:val="en-US"/>
        </w:rPr>
        <w:t xml:space="preserve"> </w:t>
      </w:r>
      <w:r w:rsidR="00EE2B73" w:rsidRPr="00A9366F">
        <w:rPr>
          <w:rFonts w:ascii="Calibri" w:hAnsi="Calibri" w:cs="Arial"/>
          <w:sz w:val="30"/>
          <w:szCs w:val="30"/>
          <w:lang w:val="en-US"/>
        </w:rPr>
        <w:t>ISMT</w:t>
      </w:r>
      <w:r w:rsidRPr="00A9366F">
        <w:rPr>
          <w:rFonts w:ascii="Calibri" w:hAnsi="Calibri" w:cs="Arial"/>
          <w:sz w:val="30"/>
          <w:szCs w:val="30"/>
          <w:lang w:val="en-US"/>
        </w:rPr>
        <w:t xml:space="preserve"> </w:t>
      </w:r>
      <w:r w:rsidR="00873300" w:rsidRPr="00A9366F">
        <w:rPr>
          <w:rFonts w:ascii="Calibri" w:hAnsi="Calibri" w:cs="Arial"/>
          <w:sz w:val="30"/>
          <w:szCs w:val="30"/>
          <w:lang w:val="en-US"/>
        </w:rPr>
        <w:t>makes</w:t>
      </w:r>
      <w:r w:rsidRPr="00A9366F">
        <w:rPr>
          <w:rFonts w:ascii="Calibri" w:hAnsi="Calibri" w:cs="Arial"/>
          <w:sz w:val="30"/>
          <w:szCs w:val="30"/>
          <w:lang w:val="en-US"/>
        </w:rPr>
        <w:t xml:space="preserve"> </w:t>
      </w:r>
      <w:r w:rsidR="00C82AB1" w:rsidRPr="00A9366F">
        <w:rPr>
          <w:rFonts w:ascii="Calibri" w:hAnsi="Calibri" w:cs="Arial"/>
          <w:sz w:val="30"/>
          <w:szCs w:val="30"/>
          <w:lang w:val="en-US"/>
        </w:rPr>
        <w:t xml:space="preserve">the </w:t>
      </w:r>
      <w:r w:rsidRPr="00A9366F">
        <w:rPr>
          <w:rFonts w:ascii="Calibri" w:hAnsi="Calibri" w:cs="Arial"/>
          <w:sz w:val="30"/>
          <w:szCs w:val="30"/>
          <w:lang w:val="en-US"/>
        </w:rPr>
        <w:t xml:space="preserve">irrevocable and final settlements of the payment orders </w:t>
      </w:r>
      <w:r w:rsidR="00C82AB1" w:rsidRPr="00A9366F">
        <w:rPr>
          <w:rFonts w:ascii="Calibri" w:hAnsi="Calibri" w:cs="Arial"/>
          <w:sz w:val="30"/>
          <w:szCs w:val="30"/>
          <w:lang w:val="en-US"/>
        </w:rPr>
        <w:t>sent by the participants</w:t>
      </w:r>
      <w:r w:rsidR="00873300" w:rsidRPr="00A9366F">
        <w:rPr>
          <w:rFonts w:ascii="Calibri" w:hAnsi="Calibri" w:cs="Arial"/>
          <w:sz w:val="30"/>
          <w:szCs w:val="30"/>
          <w:lang w:val="en-US"/>
        </w:rPr>
        <w:t xml:space="preserve">, by debiting positions of those </w:t>
      </w:r>
      <w:r w:rsidR="00C82AB1" w:rsidRPr="00A9366F">
        <w:rPr>
          <w:rFonts w:ascii="Calibri" w:hAnsi="Calibri" w:cs="Arial"/>
          <w:sz w:val="30"/>
          <w:szCs w:val="30"/>
          <w:lang w:val="en-US"/>
        </w:rPr>
        <w:t>participants</w:t>
      </w:r>
      <w:r w:rsidR="00873300" w:rsidRPr="00A9366F">
        <w:rPr>
          <w:rFonts w:ascii="Calibri" w:hAnsi="Calibri" w:cs="Arial"/>
          <w:sz w:val="30"/>
          <w:szCs w:val="30"/>
          <w:lang w:val="en-US"/>
        </w:rPr>
        <w:t xml:space="preserve"> that </w:t>
      </w:r>
      <w:r w:rsidR="0093743B" w:rsidRPr="00A9366F">
        <w:rPr>
          <w:rFonts w:ascii="Calibri" w:hAnsi="Calibri" w:cs="Arial"/>
          <w:sz w:val="30"/>
          <w:szCs w:val="30"/>
          <w:lang w:val="en-US"/>
        </w:rPr>
        <w:t>send money</w:t>
      </w:r>
      <w:r w:rsidR="00C82AB1" w:rsidRPr="00A9366F">
        <w:rPr>
          <w:rFonts w:ascii="Calibri" w:hAnsi="Calibri" w:cs="Arial"/>
          <w:sz w:val="30"/>
          <w:szCs w:val="30"/>
          <w:lang w:val="en-US"/>
        </w:rPr>
        <w:t xml:space="preserve">. </w:t>
      </w:r>
      <w:r w:rsidRPr="00A9366F">
        <w:rPr>
          <w:rFonts w:ascii="Calibri" w:hAnsi="Calibri" w:cs="Arial"/>
          <w:sz w:val="30"/>
          <w:szCs w:val="30"/>
          <w:lang w:val="en-US"/>
        </w:rPr>
        <w:t xml:space="preserve"> </w:t>
      </w:r>
      <w:r w:rsidR="00C82AB1" w:rsidRPr="00A9366F">
        <w:rPr>
          <w:rFonts w:ascii="Calibri" w:hAnsi="Calibri" w:cs="Arial"/>
          <w:sz w:val="30"/>
          <w:szCs w:val="30"/>
          <w:lang w:val="en-US"/>
        </w:rPr>
        <w:t xml:space="preserve">If </w:t>
      </w:r>
      <w:r w:rsidR="00C82AB1" w:rsidRPr="002C72D1">
        <w:rPr>
          <w:rFonts w:ascii="Calibri" w:hAnsi="Calibri" w:cs="Arial"/>
          <w:sz w:val="30"/>
          <w:szCs w:val="30"/>
          <w:lang w:val="en-US"/>
        </w:rPr>
        <w:t xml:space="preserve">there is no sufficient </w:t>
      </w:r>
      <w:r w:rsidR="00343AC3" w:rsidRPr="002C72D1">
        <w:rPr>
          <w:rFonts w:ascii="Calibri" w:hAnsi="Calibri" w:cs="Arial"/>
          <w:sz w:val="30"/>
          <w:szCs w:val="30"/>
          <w:lang w:val="en-US"/>
        </w:rPr>
        <w:t xml:space="preserve">liquidity </w:t>
      </w:r>
      <w:r w:rsidR="00C82AB1" w:rsidRPr="002C72D1">
        <w:rPr>
          <w:rFonts w:ascii="Calibri" w:hAnsi="Calibri" w:cs="Arial"/>
          <w:sz w:val="30"/>
          <w:szCs w:val="30"/>
          <w:lang w:val="en-US"/>
        </w:rPr>
        <w:t xml:space="preserve">to make payment, a payment order is queued. </w:t>
      </w:r>
      <w:r w:rsidR="00C82AB1" w:rsidRPr="00A9366F">
        <w:rPr>
          <w:rFonts w:ascii="Calibri" w:hAnsi="Calibri" w:cs="Arial"/>
          <w:sz w:val="30"/>
          <w:szCs w:val="30"/>
          <w:lang w:val="en-US"/>
        </w:rPr>
        <w:t xml:space="preserve">Payment documents in a queue are processed according to FIFO (first-in-first-out) principle.  </w:t>
      </w:r>
      <w:r w:rsidR="004225CE" w:rsidRPr="00A9366F">
        <w:rPr>
          <w:rFonts w:ascii="Calibri" w:hAnsi="Calibri" w:cs="Arial"/>
          <w:sz w:val="30"/>
          <w:szCs w:val="30"/>
          <w:lang w:val="en-US"/>
        </w:rPr>
        <w:t>Payment system participants have a right to set and change a sequence of settl</w:t>
      </w:r>
      <w:r w:rsidR="00D7614C" w:rsidRPr="00A9366F">
        <w:rPr>
          <w:rFonts w:ascii="Calibri" w:hAnsi="Calibri" w:cs="Arial"/>
          <w:sz w:val="30"/>
          <w:szCs w:val="30"/>
          <w:lang w:val="en-US"/>
        </w:rPr>
        <w:t xml:space="preserve">ement </w:t>
      </w:r>
      <w:r w:rsidR="004225CE" w:rsidRPr="00A9366F">
        <w:rPr>
          <w:rFonts w:ascii="Calibri" w:hAnsi="Calibri" w:cs="Arial"/>
          <w:sz w:val="30"/>
          <w:szCs w:val="30"/>
          <w:lang w:val="en-US"/>
        </w:rPr>
        <w:t xml:space="preserve">of the payment documents.  In this case, it is provided for that the priority of a payment order can be changed without its recall from the payment system.  The payment system participants can recall a payment document in a queue.  </w:t>
      </w:r>
    </w:p>
    <w:p w:rsidR="005975A6" w:rsidRPr="00A9366F" w:rsidRDefault="00EE2B73" w:rsidP="005B7E01">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ISMT</w:t>
      </w:r>
      <w:r w:rsidR="008A19C3" w:rsidRPr="00A9366F">
        <w:rPr>
          <w:rFonts w:ascii="Calibri" w:hAnsi="Calibri" w:cs="Arial"/>
          <w:sz w:val="30"/>
          <w:szCs w:val="30"/>
          <w:lang w:val="en-US"/>
        </w:rPr>
        <w:t xml:space="preserve"> also provides money transfers based on results of clearing in the retail payment systems</w:t>
      </w:r>
      <w:r w:rsidR="005B7E01" w:rsidRPr="00A9366F">
        <w:rPr>
          <w:rFonts w:ascii="Calibri" w:hAnsi="Calibri" w:cs="Arial"/>
          <w:sz w:val="30"/>
          <w:szCs w:val="30"/>
          <w:lang w:val="en-US"/>
        </w:rPr>
        <w:t>, for example, settlement of net positions based on results of multilateral clearing in ICS, in-country interbank transactions using Visa and MasterCard</w:t>
      </w:r>
      <w:r w:rsidR="009A0CF5" w:rsidRPr="00A9366F">
        <w:rPr>
          <w:rStyle w:val="a6"/>
          <w:rFonts w:ascii="Calibri" w:hAnsi="Calibri" w:cs="Arial"/>
          <w:sz w:val="30"/>
          <w:szCs w:val="30"/>
          <w:lang w:val="en-US"/>
        </w:rPr>
        <w:footnoteReference w:id="1"/>
      </w:r>
      <w:r w:rsidR="005B7E01" w:rsidRPr="00A9366F">
        <w:rPr>
          <w:rFonts w:ascii="Calibri" w:hAnsi="Calibri" w:cs="Arial"/>
          <w:sz w:val="30"/>
          <w:szCs w:val="30"/>
          <w:lang w:val="en-US"/>
        </w:rPr>
        <w:t xml:space="preserve"> payment cards</w:t>
      </w:r>
      <w:r w:rsidR="005975A6" w:rsidRPr="00A9366F">
        <w:rPr>
          <w:rFonts w:ascii="Calibri" w:hAnsi="Calibri" w:cs="Arial"/>
          <w:sz w:val="30"/>
          <w:szCs w:val="30"/>
          <w:lang w:val="en-US"/>
        </w:rPr>
        <w:t>.</w:t>
      </w:r>
    </w:p>
    <w:p w:rsidR="00DF43AB" w:rsidRPr="00A9366F" w:rsidRDefault="00FE754E"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ISMT is a systemically important payment system of Kazakhstan</w:t>
      </w:r>
      <w:r w:rsidR="00D7614C" w:rsidRPr="00A9366F">
        <w:rPr>
          <w:rFonts w:ascii="Calibri" w:hAnsi="Calibri" w:cs="Arial"/>
          <w:sz w:val="30"/>
          <w:szCs w:val="30"/>
          <w:lang w:val="en-US"/>
        </w:rPr>
        <w:t>, and</w:t>
      </w:r>
      <w:r w:rsidRPr="00A9366F">
        <w:rPr>
          <w:rFonts w:ascii="Calibri" w:hAnsi="Calibri" w:cs="Arial"/>
          <w:sz w:val="30"/>
          <w:szCs w:val="30"/>
          <w:lang w:val="en-US"/>
        </w:rPr>
        <w:t xml:space="preserve"> is </w:t>
      </w:r>
      <w:r w:rsidR="00D7614C" w:rsidRPr="00A9366F">
        <w:rPr>
          <w:rFonts w:ascii="Calibri" w:hAnsi="Calibri" w:cs="Arial"/>
          <w:sz w:val="30"/>
          <w:szCs w:val="30"/>
          <w:lang w:val="en-US"/>
        </w:rPr>
        <w:t xml:space="preserve">intended for high-priority and real-time </w:t>
      </w:r>
      <w:r w:rsidRPr="00A9366F">
        <w:rPr>
          <w:rFonts w:ascii="Calibri" w:hAnsi="Calibri" w:cs="Arial"/>
          <w:sz w:val="30"/>
          <w:szCs w:val="30"/>
          <w:lang w:val="en-US"/>
        </w:rPr>
        <w:t xml:space="preserve">payments of the financial sector and economic entities (an average amount of one payment is KZT 41.7 million). </w:t>
      </w:r>
    </w:p>
    <w:p w:rsidR="00E425FF" w:rsidRPr="00A9366F" w:rsidRDefault="00FB60A9" w:rsidP="00E425FF">
      <w:pPr>
        <w:autoSpaceDE w:val="0"/>
        <w:autoSpaceDN w:val="0"/>
        <w:adjustRightInd w:val="0"/>
        <w:ind w:firstLine="709"/>
        <w:jc w:val="both"/>
        <w:rPr>
          <w:rFonts w:ascii="Calibri" w:hAnsi="Calibri" w:cs="Arial"/>
          <w:b/>
          <w:sz w:val="30"/>
          <w:szCs w:val="30"/>
          <w:lang w:val="en-US"/>
        </w:rPr>
      </w:pPr>
      <w:r w:rsidRPr="00A9366F">
        <w:rPr>
          <w:rFonts w:ascii="Calibri" w:hAnsi="Calibri" w:cs="Arial"/>
          <w:noProof/>
          <w:sz w:val="30"/>
          <w:szCs w:val="30"/>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485775</wp:posOffset>
                </wp:positionV>
                <wp:extent cx="3886200" cy="2870835"/>
                <wp:effectExtent l="0" t="0" r="38100" b="62865"/>
                <wp:wrapSquare wrapText="bothSides"/>
                <wp:docPr id="452" name="AutoShap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86200" cy="2870835"/>
                        </a:xfrm>
                        <a:prstGeom prst="roundRect">
                          <a:avLst>
                            <a:gd name="adj" fmla="val 8625"/>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клиринговая система</w:t>
                            </w:r>
                            <w:r w:rsidRPr="00F224A0">
                              <w:rPr>
                                <w:rFonts w:ascii="Calibri" w:hAnsi="Calibri" w:cs="Arial"/>
                                <w:sz w:val="30"/>
                                <w:szCs w:val="30"/>
                              </w:rPr>
                              <w:t>;</w:t>
                            </w:r>
                          </w:p>
                          <w:p w:rsidR="00541D5F" w:rsidRPr="00F224A0"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построение платежных сообщений в очередь в течение операционного дня;</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многосторонний клиринг сообщений</w:t>
                            </w:r>
                            <w:r w:rsidRPr="00F224A0">
                              <w:rPr>
                                <w:rFonts w:ascii="Calibri" w:hAnsi="Calibri" w:cs="Arial"/>
                                <w:sz w:val="30"/>
                                <w:szCs w:val="30"/>
                              </w:rPr>
                              <w:t>;</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без предварительного депонирования средств;</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перевод денег по результатам клиринга в МСПД;</w:t>
                            </w:r>
                          </w:p>
                          <w:p w:rsidR="00541D5F" w:rsidRPr="00DF43AB"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розничные платежи на небольшие суммы (ограничение по сумме – до 5 млн. тенге).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29" style="position:absolute;left:0;text-align:left;margin-left:162pt;margin-top:38.25pt;width:306pt;height:2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" fillcolor="#cf9" strokecolor="#cf9" strokeweight="1pt">
                <v:shadow on="t" color="#205867" opacity=".5" offset="1pt"/>
                <o:lock v:ext="edit" aspectratio="t"/>
                <v:textbox>
                  <w:txbxContent>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клиринговая система</w:t>
                      </w:r>
                      <w:r w:rsidRPr="00F224A0">
                        <w:rPr>
                          <w:rFonts w:ascii="Calibri" w:hAnsi="Calibri" w:cs="Arial"/>
                          <w:sz w:val="30"/>
                          <w:szCs w:val="30"/>
                        </w:rPr>
                        <w:t>;</w:t>
                      </w:r>
                    </w:p>
                    <w:p w:rsidR="00541D5F" w:rsidRPr="00F224A0"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построение платежных сообщений в очередь в течение операционного дня;</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многосторонний клиринг сообщений</w:t>
                      </w:r>
                      <w:r w:rsidRPr="00F224A0">
                        <w:rPr>
                          <w:rFonts w:ascii="Calibri" w:hAnsi="Calibri" w:cs="Arial"/>
                          <w:sz w:val="30"/>
                          <w:szCs w:val="30"/>
                        </w:rPr>
                        <w:t>;</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без предварительного депонирования средств;</w:t>
                      </w:r>
                    </w:p>
                    <w:p w:rsidR="00541D5F"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перевод денег по результатам клиринга в МСПД;</w:t>
                      </w:r>
                    </w:p>
                    <w:p w:rsidR="00541D5F" w:rsidRPr="00DF43AB" w:rsidRDefault="00541D5F" w:rsidP="00DF43A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rPr>
                        <w:t>розничные платежи на небольшие суммы (ограничение по сумме – до 5 млн. тенге).</w:t>
                      </w:r>
                    </w:p>
                  </w:txbxContent>
                </v:textbox>
                <w10:wrap type="square"/>
              </v:roundrect>
            </w:pict>
          </mc:Fallback>
        </mc:AlternateContent>
      </w:r>
      <w:r w:rsidR="00E425FF" w:rsidRPr="00A9366F">
        <w:rPr>
          <w:rFonts w:ascii="Calibri" w:hAnsi="Calibri" w:cs="Arial"/>
          <w:b/>
          <w:sz w:val="30"/>
          <w:szCs w:val="30"/>
          <w:lang w:val="en-US"/>
        </w:rPr>
        <w:t>All payments in ICS are made on a net basis, by offsetting the mutual requirements and obligations of the participants.</w:t>
      </w:r>
    </w:p>
    <w:p w:rsidR="00DF43AB" w:rsidRPr="00A9366F" w:rsidRDefault="00FB60A9"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noProof/>
          <w:sz w:val="30"/>
          <w:szCs w:val="30"/>
        </w:rPr>
        <mc:AlternateContent>
          <mc:Choice Requires="wps">
            <w:drawing>
              <wp:anchor distT="0" distB="0" distL="114300" distR="114300" simplePos="0" relativeHeight="251703296" behindDoc="0" locked="0" layoutInCell="1" allowOverlap="1">
                <wp:simplePos x="0" y="0"/>
                <wp:positionH relativeFrom="column">
                  <wp:posOffset>2059305</wp:posOffset>
                </wp:positionH>
                <wp:positionV relativeFrom="paragraph">
                  <wp:posOffset>18415</wp:posOffset>
                </wp:positionV>
                <wp:extent cx="3886200" cy="2887980"/>
                <wp:effectExtent l="0" t="0" r="38100" b="64770"/>
                <wp:wrapSquare wrapText="bothSides"/>
                <wp:docPr id="65" name="AutoShap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86200" cy="2887980"/>
                        </a:xfrm>
                        <a:prstGeom prst="roundRect">
                          <a:avLst>
                            <a:gd name="adj" fmla="val 8625"/>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Clearing system</w:t>
                            </w:r>
                            <w:r w:rsidRPr="00F224A0">
                              <w:rPr>
                                <w:rFonts w:ascii="Calibri" w:hAnsi="Calibri" w:cs="Arial"/>
                                <w:sz w:val="30"/>
                                <w:szCs w:val="30"/>
                              </w:rPr>
                              <w:t>;</w:t>
                            </w:r>
                          </w:p>
                          <w:p w:rsidR="00541D5F" w:rsidRPr="00545F3D"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Queuing</w:t>
                            </w:r>
                            <w:r w:rsidRPr="00545F3D">
                              <w:rPr>
                                <w:rFonts w:ascii="Calibri" w:hAnsi="Calibri" w:cs="Arial"/>
                                <w:sz w:val="30"/>
                                <w:szCs w:val="30"/>
                                <w:lang w:val="en-US"/>
                              </w:rPr>
                              <w:t xml:space="preserve"> </w:t>
                            </w:r>
                            <w:r>
                              <w:rPr>
                                <w:rFonts w:ascii="Calibri" w:hAnsi="Calibri" w:cs="Arial"/>
                                <w:sz w:val="30"/>
                                <w:szCs w:val="30"/>
                                <w:lang w:val="en-US"/>
                              </w:rPr>
                              <w:t>of</w:t>
                            </w:r>
                            <w:r w:rsidRPr="00545F3D">
                              <w:rPr>
                                <w:rFonts w:ascii="Calibri" w:hAnsi="Calibri" w:cs="Arial"/>
                                <w:sz w:val="30"/>
                                <w:szCs w:val="30"/>
                                <w:lang w:val="en-US"/>
                              </w:rPr>
                              <w:t xml:space="preserve"> </w:t>
                            </w:r>
                            <w:r>
                              <w:rPr>
                                <w:rFonts w:ascii="Calibri" w:hAnsi="Calibri" w:cs="Arial"/>
                                <w:sz w:val="30"/>
                                <w:szCs w:val="30"/>
                                <w:lang w:val="en-US"/>
                              </w:rPr>
                              <w:t>payment</w:t>
                            </w:r>
                            <w:r w:rsidRPr="00545F3D">
                              <w:rPr>
                                <w:rFonts w:ascii="Calibri" w:hAnsi="Calibri" w:cs="Arial"/>
                                <w:sz w:val="30"/>
                                <w:szCs w:val="30"/>
                                <w:lang w:val="en-US"/>
                              </w:rPr>
                              <w:t xml:space="preserve"> </w:t>
                            </w:r>
                            <w:r>
                              <w:rPr>
                                <w:rFonts w:ascii="Calibri" w:hAnsi="Calibri" w:cs="Arial"/>
                                <w:sz w:val="30"/>
                                <w:szCs w:val="30"/>
                                <w:lang w:val="en-US"/>
                              </w:rPr>
                              <w:t>messages</w:t>
                            </w:r>
                            <w:r w:rsidRPr="00545F3D">
                              <w:rPr>
                                <w:rFonts w:ascii="Calibri" w:hAnsi="Calibri" w:cs="Arial"/>
                                <w:sz w:val="30"/>
                                <w:szCs w:val="30"/>
                                <w:lang w:val="en-US"/>
                              </w:rPr>
                              <w:t xml:space="preserve"> </w:t>
                            </w:r>
                            <w:r>
                              <w:rPr>
                                <w:rFonts w:ascii="Calibri" w:hAnsi="Calibri" w:cs="Arial"/>
                                <w:sz w:val="30"/>
                                <w:szCs w:val="30"/>
                                <w:lang w:val="en-US"/>
                              </w:rPr>
                              <w:t>during</w:t>
                            </w:r>
                            <w:r w:rsidRPr="00545F3D">
                              <w:rPr>
                                <w:rFonts w:ascii="Calibri" w:hAnsi="Calibri" w:cs="Arial"/>
                                <w:sz w:val="30"/>
                                <w:szCs w:val="30"/>
                                <w:lang w:val="en-US"/>
                              </w:rPr>
                              <w:t xml:space="preserve"> </w:t>
                            </w:r>
                            <w:r>
                              <w:rPr>
                                <w:rFonts w:ascii="Calibri" w:hAnsi="Calibri" w:cs="Arial"/>
                                <w:sz w:val="30"/>
                                <w:szCs w:val="30"/>
                                <w:lang w:val="en-US"/>
                              </w:rPr>
                              <w:t>an</w:t>
                            </w:r>
                            <w:r w:rsidRPr="00545F3D">
                              <w:rPr>
                                <w:rFonts w:ascii="Calibri" w:hAnsi="Calibri" w:cs="Arial"/>
                                <w:sz w:val="30"/>
                                <w:szCs w:val="30"/>
                                <w:lang w:val="en-US"/>
                              </w:rPr>
                              <w:t xml:space="preserve"> </w:t>
                            </w:r>
                            <w:r>
                              <w:rPr>
                                <w:rFonts w:ascii="Calibri" w:hAnsi="Calibri" w:cs="Arial"/>
                                <w:sz w:val="30"/>
                                <w:szCs w:val="30"/>
                                <w:lang w:val="en-US"/>
                              </w:rPr>
                              <w:t>operating</w:t>
                            </w:r>
                            <w:r w:rsidRPr="00545F3D">
                              <w:rPr>
                                <w:rFonts w:ascii="Calibri" w:hAnsi="Calibri" w:cs="Arial"/>
                                <w:sz w:val="30"/>
                                <w:szCs w:val="30"/>
                                <w:lang w:val="en-US"/>
                              </w:rPr>
                              <w:t xml:space="preserve"> </w:t>
                            </w:r>
                            <w:r>
                              <w:rPr>
                                <w:rFonts w:ascii="Calibri" w:hAnsi="Calibri" w:cs="Arial"/>
                                <w:sz w:val="30"/>
                                <w:szCs w:val="30"/>
                                <w:lang w:val="en-US"/>
                              </w:rPr>
                              <w:t>day</w:t>
                            </w:r>
                            <w:r w:rsidRPr="00545F3D">
                              <w:rPr>
                                <w:rFonts w:ascii="Calibri" w:hAnsi="Calibri" w:cs="Arial"/>
                                <w:sz w:val="30"/>
                                <w:szCs w:val="30"/>
                                <w:lang w:val="en-US"/>
                              </w:rPr>
                              <w:t>;</w:t>
                            </w:r>
                          </w:p>
                          <w:p w:rsidR="00541D5F" w:rsidRPr="00545F3D"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Multilateral clearing of messages</w:t>
                            </w:r>
                            <w:r w:rsidRPr="00545F3D">
                              <w:rPr>
                                <w:rFonts w:ascii="Calibri" w:hAnsi="Calibri" w:cs="Arial"/>
                                <w:sz w:val="30"/>
                                <w:szCs w:val="30"/>
                                <w:lang w:val="en-US"/>
                              </w:rPr>
                              <w:t>;</w:t>
                            </w:r>
                          </w:p>
                          <w:p w:rsidR="00541D5F" w:rsidRPr="002C72D1"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2C72D1">
                              <w:rPr>
                                <w:rFonts w:ascii="Calibri" w:hAnsi="Calibri" w:cs="Arial"/>
                                <w:sz w:val="30"/>
                                <w:szCs w:val="30"/>
                                <w:lang w:val="en-US"/>
                              </w:rPr>
                              <w:t>Without money pre-depositing;</w:t>
                            </w:r>
                          </w:p>
                          <w:p w:rsidR="00541D5F" w:rsidRPr="00625E73"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2C72D1">
                              <w:rPr>
                                <w:rFonts w:ascii="Calibri" w:hAnsi="Calibri" w:cs="Arial"/>
                                <w:sz w:val="30"/>
                                <w:szCs w:val="30"/>
                                <w:lang w:val="en-US"/>
                              </w:rPr>
                              <w:t xml:space="preserve">Money transfer </w:t>
                            </w:r>
                            <w:r>
                              <w:rPr>
                                <w:rFonts w:ascii="Calibri" w:hAnsi="Calibri" w:cs="Arial"/>
                                <w:sz w:val="30"/>
                                <w:szCs w:val="30"/>
                                <w:lang w:val="en-US"/>
                              </w:rPr>
                              <w:t>to</w:t>
                            </w:r>
                            <w:r w:rsidRPr="00625E73">
                              <w:rPr>
                                <w:rFonts w:ascii="Calibri" w:hAnsi="Calibri" w:cs="Arial"/>
                                <w:sz w:val="30"/>
                                <w:szCs w:val="30"/>
                                <w:lang w:val="en-US"/>
                              </w:rPr>
                              <w:t xml:space="preserve"> </w:t>
                            </w:r>
                            <w:r>
                              <w:rPr>
                                <w:rFonts w:ascii="Calibri" w:hAnsi="Calibri" w:cs="Arial"/>
                                <w:sz w:val="30"/>
                                <w:szCs w:val="30"/>
                                <w:lang w:val="en-US"/>
                              </w:rPr>
                              <w:t>ISMT based</w:t>
                            </w:r>
                            <w:r w:rsidRPr="00625E73">
                              <w:rPr>
                                <w:rFonts w:ascii="Calibri" w:hAnsi="Calibri" w:cs="Arial"/>
                                <w:sz w:val="30"/>
                                <w:szCs w:val="30"/>
                                <w:lang w:val="en-US"/>
                              </w:rPr>
                              <w:t xml:space="preserve"> </w:t>
                            </w:r>
                            <w:r>
                              <w:rPr>
                                <w:rFonts w:ascii="Calibri" w:hAnsi="Calibri" w:cs="Arial"/>
                                <w:sz w:val="30"/>
                                <w:szCs w:val="30"/>
                                <w:lang w:val="en-US"/>
                              </w:rPr>
                              <w:t>on</w:t>
                            </w:r>
                            <w:r w:rsidRPr="00625E73">
                              <w:rPr>
                                <w:rFonts w:ascii="Calibri" w:hAnsi="Calibri" w:cs="Arial"/>
                                <w:sz w:val="30"/>
                                <w:szCs w:val="30"/>
                                <w:lang w:val="en-US"/>
                              </w:rPr>
                              <w:t xml:space="preserve"> </w:t>
                            </w:r>
                            <w:r>
                              <w:rPr>
                                <w:rFonts w:ascii="Calibri" w:hAnsi="Calibri" w:cs="Arial"/>
                                <w:sz w:val="30"/>
                                <w:szCs w:val="30"/>
                                <w:lang w:val="en-US"/>
                              </w:rPr>
                              <w:t>clearing results</w:t>
                            </w:r>
                            <w:r w:rsidRPr="00625E73">
                              <w:rPr>
                                <w:rFonts w:ascii="Calibri" w:hAnsi="Calibri" w:cs="Arial"/>
                                <w:sz w:val="30"/>
                                <w:szCs w:val="30"/>
                                <w:lang w:val="en-US"/>
                              </w:rPr>
                              <w:t>;</w:t>
                            </w:r>
                          </w:p>
                          <w:p w:rsidR="00541D5F" w:rsidRPr="00625E73"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956D7B">
                              <w:rPr>
                                <w:rFonts w:ascii="Calibri" w:hAnsi="Calibri" w:cs="Arial"/>
                                <w:sz w:val="30"/>
                                <w:szCs w:val="30"/>
                                <w:lang w:val="en-US"/>
                              </w:rPr>
                              <w:t>Retail payments for small amounts (capped by KZT 5 million).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0" style="position:absolute;left:0;text-align:left;margin-left:162.15pt;margin-top:1.45pt;width:306pt;height:227.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" fillcolor="#cf9" strokecolor="#cf9" strokeweight="1pt">
                <v:shadow on="t" color="#205867" opacity=".5" offset="1pt"/>
                <o:lock v:ext="edit" aspectratio="t"/>
                <v:textbox>
                  <w:txbxContent>
                    <w:p w:rsidR="00541D5F"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Clearing system</w:t>
                      </w:r>
                      <w:r w:rsidRPr="00F224A0">
                        <w:rPr>
                          <w:rFonts w:ascii="Calibri" w:hAnsi="Calibri" w:cs="Arial"/>
                          <w:sz w:val="30"/>
                          <w:szCs w:val="30"/>
                        </w:rPr>
                        <w:t>;</w:t>
                      </w:r>
                    </w:p>
                    <w:p w:rsidR="00541D5F" w:rsidRPr="00545F3D"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Queuing</w:t>
                      </w:r>
                      <w:r w:rsidRPr="00545F3D">
                        <w:rPr>
                          <w:rFonts w:ascii="Calibri" w:hAnsi="Calibri" w:cs="Arial"/>
                          <w:sz w:val="30"/>
                          <w:szCs w:val="30"/>
                          <w:lang w:val="en-US"/>
                        </w:rPr>
                        <w:t xml:space="preserve"> </w:t>
                      </w:r>
                      <w:r>
                        <w:rPr>
                          <w:rFonts w:ascii="Calibri" w:hAnsi="Calibri" w:cs="Arial"/>
                          <w:sz w:val="30"/>
                          <w:szCs w:val="30"/>
                          <w:lang w:val="en-US"/>
                        </w:rPr>
                        <w:t>of</w:t>
                      </w:r>
                      <w:r w:rsidRPr="00545F3D">
                        <w:rPr>
                          <w:rFonts w:ascii="Calibri" w:hAnsi="Calibri" w:cs="Arial"/>
                          <w:sz w:val="30"/>
                          <w:szCs w:val="30"/>
                          <w:lang w:val="en-US"/>
                        </w:rPr>
                        <w:t xml:space="preserve"> </w:t>
                      </w:r>
                      <w:r>
                        <w:rPr>
                          <w:rFonts w:ascii="Calibri" w:hAnsi="Calibri" w:cs="Arial"/>
                          <w:sz w:val="30"/>
                          <w:szCs w:val="30"/>
                          <w:lang w:val="en-US"/>
                        </w:rPr>
                        <w:t>payment</w:t>
                      </w:r>
                      <w:r w:rsidRPr="00545F3D">
                        <w:rPr>
                          <w:rFonts w:ascii="Calibri" w:hAnsi="Calibri" w:cs="Arial"/>
                          <w:sz w:val="30"/>
                          <w:szCs w:val="30"/>
                          <w:lang w:val="en-US"/>
                        </w:rPr>
                        <w:t xml:space="preserve"> </w:t>
                      </w:r>
                      <w:r>
                        <w:rPr>
                          <w:rFonts w:ascii="Calibri" w:hAnsi="Calibri" w:cs="Arial"/>
                          <w:sz w:val="30"/>
                          <w:szCs w:val="30"/>
                          <w:lang w:val="en-US"/>
                        </w:rPr>
                        <w:t>messages</w:t>
                      </w:r>
                      <w:r w:rsidRPr="00545F3D">
                        <w:rPr>
                          <w:rFonts w:ascii="Calibri" w:hAnsi="Calibri" w:cs="Arial"/>
                          <w:sz w:val="30"/>
                          <w:szCs w:val="30"/>
                          <w:lang w:val="en-US"/>
                        </w:rPr>
                        <w:t xml:space="preserve"> </w:t>
                      </w:r>
                      <w:r>
                        <w:rPr>
                          <w:rFonts w:ascii="Calibri" w:hAnsi="Calibri" w:cs="Arial"/>
                          <w:sz w:val="30"/>
                          <w:szCs w:val="30"/>
                          <w:lang w:val="en-US"/>
                        </w:rPr>
                        <w:t>during</w:t>
                      </w:r>
                      <w:r w:rsidRPr="00545F3D">
                        <w:rPr>
                          <w:rFonts w:ascii="Calibri" w:hAnsi="Calibri" w:cs="Arial"/>
                          <w:sz w:val="30"/>
                          <w:szCs w:val="30"/>
                          <w:lang w:val="en-US"/>
                        </w:rPr>
                        <w:t xml:space="preserve"> </w:t>
                      </w:r>
                      <w:r>
                        <w:rPr>
                          <w:rFonts w:ascii="Calibri" w:hAnsi="Calibri" w:cs="Arial"/>
                          <w:sz w:val="30"/>
                          <w:szCs w:val="30"/>
                          <w:lang w:val="en-US"/>
                        </w:rPr>
                        <w:t>an</w:t>
                      </w:r>
                      <w:r w:rsidRPr="00545F3D">
                        <w:rPr>
                          <w:rFonts w:ascii="Calibri" w:hAnsi="Calibri" w:cs="Arial"/>
                          <w:sz w:val="30"/>
                          <w:szCs w:val="30"/>
                          <w:lang w:val="en-US"/>
                        </w:rPr>
                        <w:t xml:space="preserve"> </w:t>
                      </w:r>
                      <w:r>
                        <w:rPr>
                          <w:rFonts w:ascii="Calibri" w:hAnsi="Calibri" w:cs="Arial"/>
                          <w:sz w:val="30"/>
                          <w:szCs w:val="30"/>
                          <w:lang w:val="en-US"/>
                        </w:rPr>
                        <w:t>operating</w:t>
                      </w:r>
                      <w:r w:rsidRPr="00545F3D">
                        <w:rPr>
                          <w:rFonts w:ascii="Calibri" w:hAnsi="Calibri" w:cs="Arial"/>
                          <w:sz w:val="30"/>
                          <w:szCs w:val="30"/>
                          <w:lang w:val="en-US"/>
                        </w:rPr>
                        <w:t xml:space="preserve"> </w:t>
                      </w:r>
                      <w:r>
                        <w:rPr>
                          <w:rFonts w:ascii="Calibri" w:hAnsi="Calibri" w:cs="Arial"/>
                          <w:sz w:val="30"/>
                          <w:szCs w:val="30"/>
                          <w:lang w:val="en-US"/>
                        </w:rPr>
                        <w:t>day</w:t>
                      </w:r>
                      <w:r w:rsidRPr="00545F3D">
                        <w:rPr>
                          <w:rFonts w:ascii="Calibri" w:hAnsi="Calibri" w:cs="Arial"/>
                          <w:sz w:val="30"/>
                          <w:szCs w:val="30"/>
                          <w:lang w:val="en-US"/>
                        </w:rPr>
                        <w:t>;</w:t>
                      </w:r>
                    </w:p>
                    <w:p w:rsidR="00541D5F" w:rsidRPr="00545F3D"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Multilateral clearing of messages</w:t>
                      </w:r>
                      <w:r w:rsidRPr="00545F3D">
                        <w:rPr>
                          <w:rFonts w:ascii="Calibri" w:hAnsi="Calibri" w:cs="Arial"/>
                          <w:sz w:val="30"/>
                          <w:szCs w:val="30"/>
                          <w:lang w:val="en-US"/>
                        </w:rPr>
                        <w:t>;</w:t>
                      </w:r>
                    </w:p>
                    <w:p w:rsidR="00541D5F" w:rsidRPr="002C72D1"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2C72D1">
                        <w:rPr>
                          <w:rFonts w:ascii="Calibri" w:hAnsi="Calibri" w:cs="Arial"/>
                          <w:sz w:val="30"/>
                          <w:szCs w:val="30"/>
                          <w:lang w:val="en-US"/>
                        </w:rPr>
                        <w:t>Without money pre-depositing;</w:t>
                      </w:r>
                    </w:p>
                    <w:p w:rsidR="00541D5F" w:rsidRPr="00625E73"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2C72D1">
                        <w:rPr>
                          <w:rFonts w:ascii="Calibri" w:hAnsi="Calibri" w:cs="Arial"/>
                          <w:sz w:val="30"/>
                          <w:szCs w:val="30"/>
                          <w:lang w:val="en-US"/>
                        </w:rPr>
                        <w:t xml:space="preserve">Money transfer </w:t>
                      </w:r>
                      <w:r>
                        <w:rPr>
                          <w:rFonts w:ascii="Calibri" w:hAnsi="Calibri" w:cs="Arial"/>
                          <w:sz w:val="30"/>
                          <w:szCs w:val="30"/>
                          <w:lang w:val="en-US"/>
                        </w:rPr>
                        <w:t>to</w:t>
                      </w:r>
                      <w:r w:rsidRPr="00625E73">
                        <w:rPr>
                          <w:rFonts w:ascii="Calibri" w:hAnsi="Calibri" w:cs="Arial"/>
                          <w:sz w:val="30"/>
                          <w:szCs w:val="30"/>
                          <w:lang w:val="en-US"/>
                        </w:rPr>
                        <w:t xml:space="preserve"> </w:t>
                      </w:r>
                      <w:r>
                        <w:rPr>
                          <w:rFonts w:ascii="Calibri" w:hAnsi="Calibri" w:cs="Arial"/>
                          <w:sz w:val="30"/>
                          <w:szCs w:val="30"/>
                          <w:lang w:val="en-US"/>
                        </w:rPr>
                        <w:t>ISMT based</w:t>
                      </w:r>
                      <w:r w:rsidRPr="00625E73">
                        <w:rPr>
                          <w:rFonts w:ascii="Calibri" w:hAnsi="Calibri" w:cs="Arial"/>
                          <w:sz w:val="30"/>
                          <w:szCs w:val="30"/>
                          <w:lang w:val="en-US"/>
                        </w:rPr>
                        <w:t xml:space="preserve"> </w:t>
                      </w:r>
                      <w:r>
                        <w:rPr>
                          <w:rFonts w:ascii="Calibri" w:hAnsi="Calibri" w:cs="Arial"/>
                          <w:sz w:val="30"/>
                          <w:szCs w:val="30"/>
                          <w:lang w:val="en-US"/>
                        </w:rPr>
                        <w:t>on</w:t>
                      </w:r>
                      <w:r w:rsidRPr="00625E73">
                        <w:rPr>
                          <w:rFonts w:ascii="Calibri" w:hAnsi="Calibri" w:cs="Arial"/>
                          <w:sz w:val="30"/>
                          <w:szCs w:val="30"/>
                          <w:lang w:val="en-US"/>
                        </w:rPr>
                        <w:t xml:space="preserve"> </w:t>
                      </w:r>
                      <w:r>
                        <w:rPr>
                          <w:rFonts w:ascii="Calibri" w:hAnsi="Calibri" w:cs="Arial"/>
                          <w:sz w:val="30"/>
                          <w:szCs w:val="30"/>
                          <w:lang w:val="en-US"/>
                        </w:rPr>
                        <w:t>clearing results</w:t>
                      </w:r>
                      <w:r w:rsidRPr="00625E73">
                        <w:rPr>
                          <w:rFonts w:ascii="Calibri" w:hAnsi="Calibri" w:cs="Arial"/>
                          <w:sz w:val="30"/>
                          <w:szCs w:val="30"/>
                          <w:lang w:val="en-US"/>
                        </w:rPr>
                        <w:t>;</w:t>
                      </w:r>
                    </w:p>
                    <w:p w:rsidR="00541D5F" w:rsidRPr="00625E73" w:rsidRDefault="00541D5F" w:rsidP="00E425F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956D7B">
                        <w:rPr>
                          <w:rFonts w:ascii="Calibri" w:hAnsi="Calibri" w:cs="Arial"/>
                          <w:sz w:val="30"/>
                          <w:szCs w:val="30"/>
                          <w:lang w:val="en-US"/>
                        </w:rPr>
                        <w:t>Retail payments for small amounts (capped by KZT 5 million).</w:t>
                      </w:r>
                    </w:p>
                  </w:txbxContent>
                </v:textbox>
                <w10:wrap type="square"/>
              </v:roundrect>
            </w:pict>
          </mc:Fallback>
        </mc:AlternateContent>
      </w:r>
      <w:r w:rsidR="00E425FF" w:rsidRPr="00A9366F">
        <w:rPr>
          <w:rFonts w:ascii="Calibri" w:hAnsi="Calibri" w:cs="Arial"/>
          <w:sz w:val="30"/>
          <w:szCs w:val="30"/>
          <w:lang w:val="en-US"/>
        </w:rPr>
        <w:t xml:space="preserve">The system is oriented at making retail payments of the bank clients for small amounts, in particular, payments of the </w:t>
      </w:r>
      <w:r w:rsidR="006C0E53" w:rsidRPr="00A9366F">
        <w:rPr>
          <w:rFonts w:ascii="Calibri" w:hAnsi="Calibri" w:cs="Arial"/>
          <w:sz w:val="30"/>
          <w:szCs w:val="30"/>
          <w:lang w:val="en-US"/>
        </w:rPr>
        <w:t>general public</w:t>
      </w:r>
      <w:r w:rsidR="00E425FF" w:rsidRPr="00A9366F">
        <w:rPr>
          <w:rFonts w:ascii="Calibri" w:hAnsi="Calibri" w:cs="Arial"/>
          <w:sz w:val="30"/>
          <w:szCs w:val="30"/>
          <w:lang w:val="en-US"/>
        </w:rPr>
        <w:t xml:space="preserve"> in the sector of </w:t>
      </w:r>
      <w:r w:rsidR="00DF43AB" w:rsidRPr="00A9366F">
        <w:rPr>
          <w:rFonts w:ascii="Calibri" w:hAnsi="Calibri" w:cs="Arial"/>
          <w:sz w:val="30"/>
          <w:szCs w:val="30"/>
          <w:lang w:val="en-US"/>
        </w:rPr>
        <w:t>C2B, C2G (</w:t>
      </w:r>
      <w:r w:rsidR="00E425FF" w:rsidRPr="00A9366F">
        <w:rPr>
          <w:rFonts w:ascii="Calibri" w:hAnsi="Calibri" w:cs="Arial"/>
          <w:sz w:val="30"/>
          <w:szCs w:val="30"/>
          <w:lang w:val="en-US"/>
        </w:rPr>
        <w:t>utilities, tax payments, payments for goods and services</w:t>
      </w:r>
      <w:r w:rsidR="00DF43AB" w:rsidRPr="00A9366F">
        <w:rPr>
          <w:rFonts w:ascii="Calibri" w:hAnsi="Calibri" w:cs="Arial"/>
          <w:sz w:val="30"/>
          <w:szCs w:val="30"/>
          <w:lang w:val="en-US"/>
        </w:rPr>
        <w:t>)</w:t>
      </w:r>
      <w:r w:rsidR="00C52217" w:rsidRPr="00A9366F">
        <w:rPr>
          <w:rFonts w:ascii="Calibri" w:hAnsi="Calibri" w:cs="Arial"/>
          <w:sz w:val="30"/>
          <w:szCs w:val="30"/>
          <w:lang w:val="en-US"/>
        </w:rPr>
        <w:t>,</w:t>
      </w:r>
      <w:r w:rsidR="00DF43AB" w:rsidRPr="00A9366F">
        <w:rPr>
          <w:rFonts w:ascii="Calibri" w:hAnsi="Calibri" w:cs="Arial"/>
          <w:sz w:val="30"/>
          <w:szCs w:val="30"/>
          <w:lang w:val="en-US"/>
        </w:rPr>
        <w:t xml:space="preserve"> </w:t>
      </w:r>
      <w:r w:rsidR="00E425FF" w:rsidRPr="00A9366F">
        <w:rPr>
          <w:rFonts w:ascii="Calibri" w:hAnsi="Calibri" w:cs="Arial"/>
          <w:sz w:val="30"/>
          <w:szCs w:val="30"/>
          <w:lang w:val="en-US"/>
        </w:rPr>
        <w:t>and ensures settlements of a major number of payments in the country. Maximum amount of one payment should not exceed KZT 5 million.</w:t>
      </w:r>
    </w:p>
    <w:p w:rsidR="00E425FF" w:rsidRPr="00A9366F" w:rsidRDefault="00E425FF"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The system is operating on </w:t>
      </w:r>
      <w:r w:rsidR="00D7614C" w:rsidRPr="00A9366F">
        <w:rPr>
          <w:rFonts w:ascii="Calibri" w:hAnsi="Calibri" w:cs="Arial"/>
          <w:sz w:val="30"/>
          <w:szCs w:val="30"/>
          <w:lang w:val="en-US"/>
        </w:rPr>
        <w:t xml:space="preserve">a </w:t>
      </w:r>
      <w:r w:rsidRPr="00A9366F">
        <w:rPr>
          <w:rFonts w:ascii="Calibri" w:hAnsi="Calibri" w:cs="Arial"/>
          <w:sz w:val="30"/>
          <w:szCs w:val="30"/>
          <w:lang w:val="en-US"/>
        </w:rPr>
        <w:t>7/24 basis. IC</w:t>
      </w:r>
      <w:r w:rsidR="00055BE7" w:rsidRPr="00A9366F">
        <w:rPr>
          <w:rFonts w:ascii="Calibri" w:hAnsi="Calibri" w:cs="Arial"/>
          <w:sz w:val="30"/>
          <w:szCs w:val="30"/>
          <w:lang w:val="en-US"/>
        </w:rPr>
        <w:t>S</w:t>
      </w:r>
      <w:r w:rsidRPr="00A9366F">
        <w:rPr>
          <w:rFonts w:ascii="Calibri" w:hAnsi="Calibri" w:cs="Arial"/>
          <w:sz w:val="30"/>
          <w:szCs w:val="30"/>
          <w:lang w:val="en-US"/>
        </w:rPr>
        <w:t xml:space="preserve"> specific feature is that the payment documents are not processed individually but are queued until settled.  At 3.00 pm the payment messages in a queue are cleared and net </w:t>
      </w:r>
      <w:r w:rsidRPr="002C72D1">
        <w:rPr>
          <w:rFonts w:ascii="Calibri" w:hAnsi="Calibri" w:cs="Arial"/>
          <w:sz w:val="30"/>
          <w:szCs w:val="30"/>
          <w:lang w:val="en-US"/>
        </w:rPr>
        <w:t xml:space="preserve">positions of the participants are </w:t>
      </w:r>
      <w:r w:rsidR="006131ED" w:rsidRPr="002C72D1">
        <w:rPr>
          <w:rFonts w:ascii="Calibri" w:hAnsi="Calibri" w:cs="Arial"/>
          <w:sz w:val="30"/>
          <w:szCs w:val="30"/>
          <w:lang w:val="en-US"/>
        </w:rPr>
        <w:t>settled</w:t>
      </w:r>
      <w:r w:rsidRPr="002C72D1">
        <w:rPr>
          <w:rFonts w:ascii="Calibri" w:hAnsi="Calibri" w:cs="Arial"/>
          <w:sz w:val="30"/>
          <w:szCs w:val="30"/>
          <w:lang w:val="en-US"/>
        </w:rPr>
        <w:t xml:space="preserve">. </w:t>
      </w:r>
      <w:r w:rsidR="00715162" w:rsidRPr="002C72D1">
        <w:rPr>
          <w:rFonts w:ascii="Calibri" w:hAnsi="Calibri" w:cs="Arial"/>
          <w:sz w:val="30"/>
          <w:szCs w:val="30"/>
          <w:lang w:val="en-US"/>
        </w:rPr>
        <w:t xml:space="preserve">Interbank clearing is made on a multilateral basis </w:t>
      </w:r>
      <w:r w:rsidR="006B4BEA" w:rsidRPr="002C72D1">
        <w:rPr>
          <w:rFonts w:ascii="Calibri" w:hAnsi="Calibri" w:cs="Arial"/>
          <w:sz w:val="30"/>
          <w:szCs w:val="30"/>
          <w:lang w:val="en-US"/>
        </w:rPr>
        <w:t xml:space="preserve">without </w:t>
      </w:r>
      <w:r w:rsidR="006131ED" w:rsidRPr="002C72D1">
        <w:rPr>
          <w:rFonts w:ascii="Calibri" w:hAnsi="Calibri" w:cs="Arial"/>
          <w:sz w:val="30"/>
          <w:szCs w:val="30"/>
          <w:lang w:val="en-US"/>
        </w:rPr>
        <w:t xml:space="preserve">money </w:t>
      </w:r>
      <w:r w:rsidR="006B4BEA" w:rsidRPr="002C72D1">
        <w:rPr>
          <w:rFonts w:ascii="Calibri" w:hAnsi="Calibri" w:cs="Arial"/>
          <w:sz w:val="30"/>
          <w:szCs w:val="30"/>
          <w:lang w:val="en-US"/>
        </w:rPr>
        <w:t xml:space="preserve">depositing on the </w:t>
      </w:r>
      <w:r w:rsidR="00D7614C" w:rsidRPr="002C72D1">
        <w:rPr>
          <w:rFonts w:ascii="Calibri" w:hAnsi="Calibri" w:cs="Arial"/>
          <w:sz w:val="30"/>
          <w:szCs w:val="30"/>
          <w:lang w:val="en-US"/>
        </w:rPr>
        <w:t xml:space="preserve">account of a </w:t>
      </w:r>
      <w:r w:rsidR="006B4BEA" w:rsidRPr="002C72D1">
        <w:rPr>
          <w:rFonts w:ascii="Calibri" w:hAnsi="Calibri" w:cs="Arial"/>
          <w:sz w:val="30"/>
          <w:szCs w:val="30"/>
          <w:lang w:val="en-US"/>
        </w:rPr>
        <w:t xml:space="preserve">payment </w:t>
      </w:r>
      <w:r w:rsidR="006B4BEA" w:rsidRPr="00A9366F">
        <w:rPr>
          <w:rFonts w:ascii="Calibri" w:hAnsi="Calibri" w:cs="Arial"/>
          <w:sz w:val="30"/>
          <w:szCs w:val="30"/>
          <w:lang w:val="en-US"/>
        </w:rPr>
        <w:t xml:space="preserve">system participant. After the net positions are </w:t>
      </w:r>
      <w:r w:rsidR="00D7614C" w:rsidRPr="00A9366F">
        <w:rPr>
          <w:rFonts w:ascii="Calibri" w:hAnsi="Calibri" w:cs="Arial"/>
          <w:sz w:val="30"/>
          <w:szCs w:val="30"/>
          <w:lang w:val="en-US"/>
        </w:rPr>
        <w:t>settled,</w:t>
      </w:r>
      <w:r w:rsidR="006B4BEA" w:rsidRPr="00A9366F">
        <w:rPr>
          <w:rFonts w:ascii="Calibri" w:hAnsi="Calibri" w:cs="Arial"/>
          <w:sz w:val="30"/>
          <w:szCs w:val="30"/>
          <w:lang w:val="en-US"/>
        </w:rPr>
        <w:t xml:space="preserve"> a new operating day of the system opens. </w:t>
      </w:r>
    </w:p>
    <w:p w:rsidR="006B4BEA" w:rsidRPr="00A9366F" w:rsidRDefault="006B4BEA"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It is possible to use a value date in said payment system, i.e. to send the payment documents to the system with a future payment date up to three days, which enables the participants to plan their liquidity in advance.  Each system participant has access to the information about all its payments available in the system. </w:t>
      </w:r>
    </w:p>
    <w:p w:rsidR="006B4BEA" w:rsidRPr="00A9366F" w:rsidRDefault="006B4BEA" w:rsidP="00610467">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Taking into account the significance of these payment systems for the economy of Kazakhstan, the main focus in the system operation is made on a high level of security and accessibility (continu</w:t>
      </w:r>
      <w:r w:rsidR="00D7614C" w:rsidRPr="00A9366F">
        <w:rPr>
          <w:rFonts w:ascii="Calibri" w:hAnsi="Calibri" w:cs="Arial"/>
          <w:sz w:val="30"/>
          <w:szCs w:val="30"/>
          <w:lang w:val="en-US"/>
        </w:rPr>
        <w:t>ity</w:t>
      </w:r>
      <w:r w:rsidRPr="00A9366F">
        <w:rPr>
          <w:rFonts w:ascii="Calibri" w:hAnsi="Calibri" w:cs="Arial"/>
          <w:sz w:val="30"/>
          <w:szCs w:val="30"/>
          <w:lang w:val="en-US"/>
        </w:rPr>
        <w:t xml:space="preserve">) of the system operation.  Said objectives are </w:t>
      </w:r>
      <w:r w:rsidR="002C0782" w:rsidRPr="00A9366F">
        <w:rPr>
          <w:rFonts w:ascii="Calibri" w:hAnsi="Calibri" w:cs="Arial"/>
          <w:sz w:val="30"/>
          <w:szCs w:val="30"/>
          <w:lang w:val="en-US"/>
        </w:rPr>
        <w:t>f</w:t>
      </w:r>
      <w:r w:rsidRPr="00A9366F">
        <w:rPr>
          <w:rFonts w:ascii="Calibri" w:hAnsi="Calibri" w:cs="Arial"/>
          <w:sz w:val="30"/>
          <w:szCs w:val="30"/>
          <w:lang w:val="en-US"/>
        </w:rPr>
        <w:t>ully achieved</w:t>
      </w:r>
      <w:r w:rsidR="002C0782" w:rsidRPr="00A9366F">
        <w:rPr>
          <w:rFonts w:ascii="Calibri" w:hAnsi="Calibri" w:cs="Arial"/>
          <w:sz w:val="30"/>
          <w:szCs w:val="30"/>
          <w:lang w:val="en-US"/>
        </w:rPr>
        <w:t xml:space="preserve"> </w:t>
      </w:r>
      <w:r w:rsidR="004B16FD" w:rsidRPr="00A9366F">
        <w:rPr>
          <w:rFonts w:ascii="Calibri" w:hAnsi="Calibri" w:cs="Arial"/>
          <w:sz w:val="30"/>
          <w:szCs w:val="30"/>
          <w:lang w:val="en-US"/>
        </w:rPr>
        <w:t>by means of the operating risks management methods</w:t>
      </w:r>
      <w:r w:rsidRPr="00A9366F">
        <w:rPr>
          <w:rFonts w:ascii="Calibri" w:hAnsi="Calibri" w:cs="Arial"/>
          <w:sz w:val="30"/>
          <w:szCs w:val="30"/>
          <w:lang w:val="en-US"/>
        </w:rPr>
        <w:t xml:space="preserve"> </w:t>
      </w:r>
      <w:r w:rsidR="004B16FD" w:rsidRPr="00A9366F">
        <w:rPr>
          <w:rFonts w:ascii="Calibri" w:hAnsi="Calibri" w:cs="Arial"/>
          <w:sz w:val="30"/>
          <w:szCs w:val="30"/>
          <w:lang w:val="en-US"/>
        </w:rPr>
        <w:t xml:space="preserve">used, including ongoing monitoring and analysis of the payment systems operation. </w:t>
      </w:r>
    </w:p>
    <w:p w:rsidR="00F224A0" w:rsidRPr="00A9366F" w:rsidRDefault="004B16FD" w:rsidP="007B3B0C">
      <w:pPr>
        <w:autoSpaceDE w:val="0"/>
        <w:autoSpaceDN w:val="0"/>
        <w:adjustRightInd w:val="0"/>
        <w:ind w:firstLine="709"/>
        <w:jc w:val="both"/>
        <w:rPr>
          <w:rFonts w:ascii="Calibri" w:hAnsi="Calibri" w:cs="Arial"/>
          <w:spacing w:val="-4"/>
          <w:sz w:val="30"/>
          <w:szCs w:val="30"/>
          <w:lang w:val="en-US"/>
        </w:rPr>
      </w:pPr>
      <w:r w:rsidRPr="00A9366F">
        <w:rPr>
          <w:rFonts w:ascii="Calibri" w:hAnsi="Calibri" w:cs="Arial"/>
          <w:spacing w:val="-4"/>
          <w:sz w:val="30"/>
          <w:szCs w:val="30"/>
          <w:lang w:val="en-US"/>
        </w:rPr>
        <w:t>Payment systems of the National Bank of Kazakhstan complies with the international standards, including Principles for the Financial Market Infrastructure</w:t>
      </w:r>
      <w:r w:rsidR="007B3B0C" w:rsidRPr="00A9366F">
        <w:rPr>
          <w:rFonts w:ascii="Calibri" w:hAnsi="Calibri" w:cs="Arial"/>
          <w:spacing w:val="-4"/>
          <w:sz w:val="30"/>
          <w:szCs w:val="30"/>
          <w:lang w:val="en-US"/>
        </w:rPr>
        <w:t>s</w:t>
      </w:r>
      <w:r w:rsidRPr="00A9366F">
        <w:rPr>
          <w:rFonts w:ascii="Calibri" w:hAnsi="Calibri" w:cs="Arial"/>
          <w:spacing w:val="-4"/>
          <w:sz w:val="30"/>
          <w:szCs w:val="30"/>
          <w:lang w:val="en-US"/>
        </w:rPr>
        <w:t xml:space="preserve"> </w:t>
      </w:r>
      <w:r w:rsidR="007B3B0C" w:rsidRPr="00A9366F">
        <w:rPr>
          <w:rFonts w:ascii="Calibri" w:hAnsi="Calibri" w:cs="Arial"/>
          <w:spacing w:val="-4"/>
          <w:sz w:val="30"/>
          <w:szCs w:val="30"/>
          <w:lang w:val="en-US"/>
        </w:rPr>
        <w:t xml:space="preserve">developed by the </w:t>
      </w:r>
      <w:r w:rsidR="007B3B0C" w:rsidRPr="00A9366F">
        <w:rPr>
          <w:rFonts w:ascii="Calibri" w:hAnsi="Calibri" w:cs="Arial"/>
          <w:iCs/>
          <w:spacing w:val="-4"/>
          <w:sz w:val="30"/>
          <w:szCs w:val="30"/>
          <w:lang w:val="en-US"/>
        </w:rPr>
        <w:t>Committee</w:t>
      </w:r>
      <w:r w:rsidR="007B3B0C" w:rsidRPr="00A9366F">
        <w:rPr>
          <w:rFonts w:ascii="Calibri" w:hAnsi="Calibri" w:cs="Arial"/>
          <w:spacing w:val="-4"/>
          <w:sz w:val="30"/>
          <w:szCs w:val="30"/>
          <w:lang w:val="en-US"/>
        </w:rPr>
        <w:t xml:space="preserve"> on </w:t>
      </w:r>
      <w:r w:rsidR="007B3B0C" w:rsidRPr="00A9366F">
        <w:rPr>
          <w:rFonts w:ascii="Calibri" w:hAnsi="Calibri" w:cs="Arial"/>
          <w:iCs/>
          <w:spacing w:val="-4"/>
          <w:sz w:val="30"/>
          <w:szCs w:val="30"/>
          <w:lang w:val="en-US"/>
        </w:rPr>
        <w:t>Payments</w:t>
      </w:r>
      <w:r w:rsidR="007B3B0C" w:rsidRPr="00A9366F">
        <w:rPr>
          <w:rFonts w:ascii="Calibri" w:hAnsi="Calibri" w:cs="Arial"/>
          <w:spacing w:val="-4"/>
          <w:sz w:val="30"/>
          <w:szCs w:val="30"/>
          <w:lang w:val="en-US"/>
        </w:rPr>
        <w:t xml:space="preserve"> and </w:t>
      </w:r>
      <w:r w:rsidR="007B3B0C" w:rsidRPr="00A9366F">
        <w:rPr>
          <w:rFonts w:ascii="Calibri" w:hAnsi="Calibri" w:cs="Arial"/>
          <w:iCs/>
          <w:spacing w:val="-4"/>
          <w:sz w:val="30"/>
          <w:szCs w:val="30"/>
          <w:lang w:val="en-US"/>
        </w:rPr>
        <w:t xml:space="preserve">Market </w:t>
      </w:r>
      <w:r w:rsidR="007B3B0C" w:rsidRPr="002C72D1">
        <w:rPr>
          <w:rFonts w:ascii="Calibri" w:hAnsi="Calibri" w:cs="Arial"/>
          <w:iCs/>
          <w:spacing w:val="-4"/>
          <w:sz w:val="30"/>
          <w:szCs w:val="30"/>
          <w:lang w:val="en-US"/>
        </w:rPr>
        <w:t>Infrastructures</w:t>
      </w:r>
      <w:r w:rsidR="007B3B0C" w:rsidRPr="002C72D1">
        <w:rPr>
          <w:rFonts w:ascii="Calibri" w:hAnsi="Calibri" w:cs="Arial"/>
          <w:spacing w:val="-4"/>
          <w:sz w:val="30"/>
          <w:szCs w:val="30"/>
          <w:lang w:val="en-US"/>
        </w:rPr>
        <w:t xml:space="preserve"> (CPMI) of the Bank </w:t>
      </w:r>
      <w:r w:rsidR="00A93427" w:rsidRPr="002C72D1">
        <w:rPr>
          <w:rFonts w:ascii="Calibri" w:hAnsi="Calibri" w:cs="Arial"/>
          <w:spacing w:val="-4"/>
          <w:sz w:val="30"/>
          <w:szCs w:val="30"/>
          <w:lang w:val="en-US"/>
        </w:rPr>
        <w:t xml:space="preserve">for </w:t>
      </w:r>
      <w:r w:rsidR="007B3B0C" w:rsidRPr="002C72D1">
        <w:rPr>
          <w:rFonts w:ascii="Calibri" w:hAnsi="Calibri" w:cs="Arial"/>
          <w:spacing w:val="-4"/>
          <w:sz w:val="30"/>
          <w:szCs w:val="30"/>
          <w:lang w:val="en-US"/>
        </w:rPr>
        <w:t xml:space="preserve">International Settlements and </w:t>
      </w:r>
      <w:r w:rsidR="007B3B0C" w:rsidRPr="002C72D1">
        <w:rPr>
          <w:rFonts w:ascii="Calibri" w:hAnsi="Calibri" w:cs="Arial"/>
          <w:iCs/>
          <w:spacing w:val="-4"/>
          <w:sz w:val="30"/>
          <w:szCs w:val="30"/>
          <w:lang w:val="en-US"/>
        </w:rPr>
        <w:t xml:space="preserve">Technical </w:t>
      </w:r>
      <w:r w:rsidR="007B3B0C" w:rsidRPr="00A9366F">
        <w:rPr>
          <w:rFonts w:ascii="Calibri" w:hAnsi="Calibri" w:cs="Arial"/>
          <w:iCs/>
          <w:spacing w:val="-4"/>
          <w:sz w:val="30"/>
          <w:szCs w:val="30"/>
          <w:lang w:val="en-US"/>
        </w:rPr>
        <w:t>Committee</w:t>
      </w:r>
      <w:r w:rsidR="007B3B0C" w:rsidRPr="00A9366F">
        <w:rPr>
          <w:rFonts w:ascii="Calibri" w:hAnsi="Calibri" w:cs="Arial"/>
          <w:spacing w:val="-4"/>
          <w:sz w:val="30"/>
          <w:szCs w:val="30"/>
          <w:lang w:val="en-US"/>
        </w:rPr>
        <w:t xml:space="preserve"> of the </w:t>
      </w:r>
      <w:r w:rsidR="007B3B0C" w:rsidRPr="00A9366F">
        <w:rPr>
          <w:rFonts w:ascii="Calibri" w:hAnsi="Calibri" w:cs="Arial"/>
          <w:iCs/>
          <w:spacing w:val="-4"/>
          <w:sz w:val="30"/>
          <w:szCs w:val="30"/>
          <w:lang w:val="en-US"/>
        </w:rPr>
        <w:t>International Organization</w:t>
      </w:r>
      <w:r w:rsidR="007B3B0C" w:rsidRPr="00A9366F">
        <w:rPr>
          <w:rFonts w:ascii="Calibri" w:hAnsi="Calibri" w:cs="Arial"/>
          <w:spacing w:val="-4"/>
          <w:sz w:val="30"/>
          <w:szCs w:val="30"/>
          <w:lang w:val="en-US"/>
        </w:rPr>
        <w:t xml:space="preserve"> of </w:t>
      </w:r>
      <w:r w:rsidR="007B3B0C" w:rsidRPr="00A9366F">
        <w:rPr>
          <w:rFonts w:ascii="Calibri" w:hAnsi="Calibri" w:cs="Arial"/>
          <w:iCs/>
          <w:spacing w:val="-4"/>
          <w:sz w:val="30"/>
          <w:szCs w:val="30"/>
          <w:lang w:val="en-US"/>
        </w:rPr>
        <w:t>Securities Commissions</w:t>
      </w:r>
      <w:r w:rsidR="007B3B0C" w:rsidRPr="00A9366F">
        <w:rPr>
          <w:rFonts w:ascii="Calibri" w:hAnsi="Calibri" w:cs="Arial"/>
          <w:spacing w:val="-4"/>
          <w:sz w:val="30"/>
          <w:szCs w:val="30"/>
          <w:lang w:val="en-US"/>
        </w:rPr>
        <w:t xml:space="preserve"> (Principles</w:t>
      </w:r>
      <w:r w:rsidR="00811ACF" w:rsidRPr="00A9366F">
        <w:rPr>
          <w:rFonts w:ascii="Calibri" w:hAnsi="Calibri" w:cs="Arial"/>
          <w:spacing w:val="-4"/>
          <w:sz w:val="30"/>
          <w:szCs w:val="30"/>
          <w:lang w:val="en-US"/>
        </w:rPr>
        <w:t xml:space="preserve"> for FMI</w:t>
      </w:r>
      <w:r w:rsidR="007B3B0C" w:rsidRPr="00A9366F">
        <w:rPr>
          <w:rFonts w:ascii="Calibri" w:hAnsi="Calibri" w:cs="Arial"/>
          <w:spacing w:val="-4"/>
          <w:sz w:val="30"/>
          <w:szCs w:val="30"/>
          <w:lang w:val="en-US"/>
        </w:rPr>
        <w:t>)</w:t>
      </w:r>
      <w:r w:rsidR="00F224A0" w:rsidRPr="00A9366F">
        <w:rPr>
          <w:rFonts w:ascii="Calibri" w:hAnsi="Calibri" w:cs="Arial"/>
          <w:spacing w:val="-4"/>
          <w:sz w:val="30"/>
          <w:szCs w:val="30"/>
          <w:lang w:val="en-US"/>
        </w:rPr>
        <w:t>.</w:t>
      </w:r>
    </w:p>
    <w:p w:rsidR="003429D7" w:rsidRPr="00A9366F" w:rsidRDefault="003429D7" w:rsidP="00610467">
      <w:pPr>
        <w:autoSpaceDE w:val="0"/>
        <w:autoSpaceDN w:val="0"/>
        <w:adjustRightInd w:val="0"/>
        <w:ind w:firstLine="709"/>
        <w:jc w:val="both"/>
        <w:rPr>
          <w:rFonts w:ascii="Calibri" w:hAnsi="Calibri" w:cs="Arial"/>
          <w:sz w:val="30"/>
          <w:szCs w:val="30"/>
          <w:lang w:val="en-US"/>
        </w:rPr>
      </w:pPr>
    </w:p>
    <w:p w:rsidR="003429D7" w:rsidRPr="00A9366F" w:rsidRDefault="00A30B7D" w:rsidP="00610467">
      <w:pPr>
        <w:pStyle w:val="1"/>
        <w:widowControl w:val="0"/>
        <w:pBdr>
          <w:bottom w:val="single" w:sz="12" w:space="1" w:color="auto"/>
        </w:pBdr>
        <w:tabs>
          <w:tab w:val="left" w:pos="561"/>
        </w:tabs>
        <w:spacing w:before="0" w:after="0"/>
        <w:jc w:val="both"/>
        <w:rPr>
          <w:rFonts w:ascii="Calibri" w:hAnsi="Calibri"/>
          <w:bCs w:val="0"/>
          <w:snapToGrid w:val="0"/>
          <w:color w:val="0E4C28"/>
          <w:spacing w:val="-2"/>
          <w:kern w:val="0"/>
          <w:lang w:val="en-US"/>
        </w:rPr>
      </w:pPr>
      <w:bookmarkStart w:id="12" w:name="_Toc485626995"/>
      <w:r w:rsidRPr="00A9366F">
        <w:rPr>
          <w:rFonts w:ascii="Calibri" w:hAnsi="Calibri"/>
          <w:bCs w:val="0"/>
          <w:snapToGrid w:val="0"/>
          <w:color w:val="0E4C28"/>
          <w:spacing w:val="-2"/>
          <w:kern w:val="0"/>
          <w:lang w:val="en-US"/>
        </w:rPr>
        <w:t>1</w:t>
      </w:r>
      <w:r w:rsidR="003429D7" w:rsidRPr="00A9366F">
        <w:rPr>
          <w:rFonts w:ascii="Calibri" w:hAnsi="Calibri"/>
          <w:bCs w:val="0"/>
          <w:snapToGrid w:val="0"/>
          <w:color w:val="0E4C28"/>
          <w:spacing w:val="-2"/>
          <w:kern w:val="0"/>
          <w:lang w:val="en-US"/>
        </w:rPr>
        <w:t>.</w:t>
      </w:r>
      <w:r w:rsidR="005528B2" w:rsidRPr="00A9366F">
        <w:rPr>
          <w:rFonts w:ascii="Calibri" w:hAnsi="Calibri"/>
          <w:bCs w:val="0"/>
          <w:snapToGrid w:val="0"/>
          <w:color w:val="0E4C28"/>
          <w:spacing w:val="-2"/>
          <w:kern w:val="0"/>
          <w:lang w:val="en-US"/>
        </w:rPr>
        <w:t>2</w:t>
      </w:r>
      <w:r w:rsidR="003429D7" w:rsidRPr="00A9366F">
        <w:rPr>
          <w:rFonts w:ascii="Calibri" w:hAnsi="Calibri"/>
          <w:bCs w:val="0"/>
          <w:snapToGrid w:val="0"/>
          <w:color w:val="0E4C28"/>
          <w:spacing w:val="-2"/>
          <w:kern w:val="0"/>
          <w:lang w:val="en-US"/>
        </w:rPr>
        <w:t xml:space="preserve">. </w:t>
      </w:r>
      <w:r w:rsidR="00811ACF" w:rsidRPr="00A9366F">
        <w:rPr>
          <w:rFonts w:ascii="Calibri" w:hAnsi="Calibri"/>
          <w:bCs w:val="0"/>
          <w:snapToGrid w:val="0"/>
          <w:color w:val="0E4C28"/>
          <w:spacing w:val="-2"/>
          <w:kern w:val="0"/>
          <w:lang w:val="en-US"/>
        </w:rPr>
        <w:t>Payment systems compliance with Principles for FMI</w:t>
      </w:r>
      <w:bookmarkEnd w:id="12"/>
      <w:r w:rsidR="00811ACF" w:rsidRPr="00A9366F">
        <w:rPr>
          <w:rFonts w:ascii="Calibri" w:hAnsi="Calibri"/>
          <w:bCs w:val="0"/>
          <w:snapToGrid w:val="0"/>
          <w:color w:val="0E4C28"/>
          <w:spacing w:val="-2"/>
          <w:kern w:val="0"/>
          <w:lang w:val="en-US"/>
        </w:rPr>
        <w:t xml:space="preserve"> </w:t>
      </w:r>
    </w:p>
    <w:p w:rsidR="00811ACF" w:rsidRPr="00A9366F" w:rsidRDefault="00811ACF" w:rsidP="00610467">
      <w:pPr>
        <w:widowControl w:val="0"/>
        <w:ind w:firstLine="720"/>
        <w:jc w:val="both"/>
        <w:rPr>
          <w:rFonts w:ascii="Calibri" w:hAnsi="Calibri" w:cs="Arial"/>
          <w:sz w:val="30"/>
          <w:szCs w:val="30"/>
          <w:lang w:val="en-US"/>
        </w:rPr>
      </w:pPr>
      <w:r w:rsidRPr="00A9366F">
        <w:rPr>
          <w:rFonts w:ascii="Calibri" w:hAnsi="Calibri" w:cs="Arial"/>
          <w:sz w:val="30"/>
          <w:szCs w:val="30"/>
          <w:lang w:val="en-US"/>
        </w:rPr>
        <w:t xml:space="preserve">When </w:t>
      </w:r>
      <w:r w:rsidR="00205482" w:rsidRPr="00A9366F">
        <w:rPr>
          <w:rFonts w:ascii="Calibri" w:hAnsi="Calibri" w:cs="Arial"/>
          <w:sz w:val="30"/>
          <w:szCs w:val="30"/>
          <w:lang w:val="en-US"/>
        </w:rPr>
        <w:t xml:space="preserve">exercising oversight </w:t>
      </w:r>
      <w:r w:rsidR="0030723A" w:rsidRPr="00A9366F">
        <w:rPr>
          <w:rFonts w:ascii="Calibri" w:hAnsi="Calibri" w:cs="Arial"/>
          <w:sz w:val="30"/>
          <w:szCs w:val="30"/>
          <w:lang w:val="en-US"/>
        </w:rPr>
        <w:t xml:space="preserve">of payment systems the central (national) banks </w:t>
      </w:r>
      <w:r w:rsidR="00447CDB" w:rsidRPr="00A9366F">
        <w:rPr>
          <w:rFonts w:ascii="Calibri" w:hAnsi="Calibri" w:cs="Arial"/>
          <w:sz w:val="30"/>
          <w:szCs w:val="30"/>
          <w:lang w:val="en-US"/>
        </w:rPr>
        <w:t>attach</w:t>
      </w:r>
      <w:r w:rsidR="0030723A" w:rsidRPr="00A9366F">
        <w:rPr>
          <w:rFonts w:ascii="Calibri" w:hAnsi="Calibri" w:cs="Arial"/>
          <w:sz w:val="30"/>
          <w:szCs w:val="30"/>
          <w:lang w:val="en-US"/>
        </w:rPr>
        <w:t xml:space="preserve"> special attention to assessment of compliance of the payment systems with the international standards, in particular, Principles of FMI.</w:t>
      </w:r>
    </w:p>
    <w:p w:rsidR="0070676B" w:rsidRPr="00A9366F" w:rsidRDefault="0030723A" w:rsidP="00610467">
      <w:pPr>
        <w:widowControl w:val="0"/>
        <w:ind w:firstLine="720"/>
        <w:jc w:val="both"/>
        <w:rPr>
          <w:rFonts w:ascii="Calibri" w:hAnsi="Calibri" w:cs="Arial"/>
          <w:sz w:val="30"/>
          <w:szCs w:val="30"/>
          <w:lang w:val="en-US"/>
        </w:rPr>
      </w:pPr>
      <w:r w:rsidRPr="00A9366F">
        <w:rPr>
          <w:rFonts w:ascii="Calibri" w:hAnsi="Calibri" w:cs="Arial"/>
          <w:sz w:val="30"/>
          <w:szCs w:val="30"/>
          <w:lang w:val="en-US"/>
        </w:rPr>
        <w:t xml:space="preserve">To ensure compliance of the payment systems with the Principles for FMI, the National Bank of Kazakhstan in 2013 proceeded to works on implementation of said Principles.  In January – February 2014, during the joint mission </w:t>
      </w:r>
      <w:r w:rsidR="0070676B" w:rsidRPr="00A9366F">
        <w:rPr>
          <w:rFonts w:ascii="Calibri" w:hAnsi="Calibri" w:cs="Arial"/>
          <w:sz w:val="30"/>
          <w:szCs w:val="30"/>
          <w:lang w:val="en-US"/>
        </w:rPr>
        <w:t>of IMF and World Bank, the experts made a technical assessment of the payment systems for compliance with Principles of FMI.</w:t>
      </w:r>
      <w:r w:rsidR="009903CA" w:rsidRPr="00A9366F">
        <w:rPr>
          <w:rFonts w:ascii="Calibri" w:hAnsi="Calibri" w:cs="Arial"/>
          <w:sz w:val="30"/>
          <w:szCs w:val="30"/>
          <w:lang w:val="en-US"/>
        </w:rPr>
        <w:t xml:space="preserve"> Based on results of technical assessment a number of recommendations was given to bring the payment systems and legal framework governing the matters of functioning of the payment systems in compliance with the Principles for FMI. In 2014 the National Bank completed the self-assessment</w:t>
      </w:r>
      <w:r w:rsidR="00EF05B6" w:rsidRPr="00A9366F">
        <w:rPr>
          <w:rFonts w:ascii="Calibri" w:hAnsi="Calibri" w:cs="Arial"/>
          <w:sz w:val="30"/>
          <w:szCs w:val="30"/>
          <w:lang w:val="en-US"/>
        </w:rPr>
        <w:t xml:space="preserve"> of the payment systems. Results of the self-assessment of “Payment System” component were placed on the official site of the National Bank of Kazakhstan in section “Publications and </w:t>
      </w:r>
      <w:r w:rsidR="00660297" w:rsidRPr="00A9366F">
        <w:rPr>
          <w:rFonts w:ascii="Calibri" w:hAnsi="Calibri" w:cs="Arial"/>
          <w:sz w:val="30"/>
          <w:szCs w:val="30"/>
          <w:lang w:val="en-US"/>
        </w:rPr>
        <w:t>R</w:t>
      </w:r>
      <w:r w:rsidR="00EF05B6" w:rsidRPr="00A9366F">
        <w:rPr>
          <w:rFonts w:ascii="Calibri" w:hAnsi="Calibri" w:cs="Arial"/>
          <w:sz w:val="30"/>
          <w:szCs w:val="30"/>
          <w:lang w:val="en-US"/>
        </w:rPr>
        <w:t xml:space="preserve">eports”. </w:t>
      </w:r>
    </w:p>
    <w:p w:rsidR="00EF05B6" w:rsidRPr="00A9366F" w:rsidRDefault="00EF05B6" w:rsidP="00EF05B6">
      <w:pPr>
        <w:widowControl w:val="0"/>
        <w:ind w:firstLine="720"/>
        <w:jc w:val="both"/>
        <w:rPr>
          <w:rFonts w:ascii="Calibri" w:hAnsi="Calibri" w:cs="Arial"/>
          <w:sz w:val="30"/>
          <w:szCs w:val="30"/>
          <w:lang w:val="en-US"/>
        </w:rPr>
      </w:pPr>
      <w:r w:rsidRPr="00A9366F">
        <w:rPr>
          <w:rFonts w:ascii="Calibri" w:hAnsi="Calibri" w:cs="Arial"/>
          <w:sz w:val="30"/>
          <w:szCs w:val="30"/>
          <w:lang w:val="en-US"/>
        </w:rPr>
        <w:t>During 2015-2016 the works were performed to improve the legal framework governing the payments and payment systems</w:t>
      </w:r>
      <w:r w:rsidR="00660297" w:rsidRPr="00A9366F">
        <w:rPr>
          <w:rFonts w:ascii="Calibri" w:hAnsi="Calibri" w:cs="Arial"/>
          <w:sz w:val="30"/>
          <w:szCs w:val="30"/>
          <w:lang w:val="en-US"/>
        </w:rPr>
        <w:t>,</w:t>
      </w:r>
      <w:r w:rsidRPr="00A9366F">
        <w:rPr>
          <w:rFonts w:ascii="Calibri" w:hAnsi="Calibri" w:cs="Arial"/>
          <w:sz w:val="30"/>
          <w:szCs w:val="30"/>
          <w:lang w:val="en-US"/>
        </w:rPr>
        <w:t xml:space="preserve"> and other measures were taken </w:t>
      </w:r>
      <w:r w:rsidR="006A2C30" w:rsidRPr="00A9366F">
        <w:rPr>
          <w:rFonts w:ascii="Calibri" w:hAnsi="Calibri" w:cs="Arial"/>
          <w:sz w:val="30"/>
          <w:szCs w:val="30"/>
          <w:lang w:val="en-US"/>
        </w:rPr>
        <w:t>to ensure compliance of the payment systems with Principles for FM</w:t>
      </w:r>
      <w:r w:rsidR="00EE2B73" w:rsidRPr="00A9366F">
        <w:rPr>
          <w:rFonts w:ascii="Calibri" w:hAnsi="Calibri" w:cs="Arial"/>
          <w:sz w:val="30"/>
          <w:szCs w:val="30"/>
          <w:lang w:val="en-US"/>
        </w:rPr>
        <w:t>I</w:t>
      </w:r>
      <w:r w:rsidR="006A2C30" w:rsidRPr="00A9366F">
        <w:rPr>
          <w:rFonts w:ascii="Calibri" w:hAnsi="Calibri" w:cs="Arial"/>
          <w:sz w:val="30"/>
          <w:szCs w:val="30"/>
          <w:lang w:val="en-US"/>
        </w:rPr>
        <w:t xml:space="preserve">.  In particular, </w:t>
      </w:r>
      <w:r w:rsidR="00660297" w:rsidRPr="00A9366F">
        <w:rPr>
          <w:rFonts w:ascii="Calibri" w:hAnsi="Calibri" w:cs="Arial"/>
          <w:sz w:val="30"/>
          <w:szCs w:val="30"/>
          <w:lang w:val="en-US"/>
        </w:rPr>
        <w:t>within the frameworks</w:t>
      </w:r>
      <w:r w:rsidR="006A2C30" w:rsidRPr="00A9366F">
        <w:rPr>
          <w:rFonts w:ascii="Calibri" w:hAnsi="Calibri" w:cs="Arial"/>
          <w:sz w:val="30"/>
          <w:szCs w:val="30"/>
          <w:lang w:val="en-US"/>
        </w:rPr>
        <w:t xml:space="preserve"> of the Law of the Republic of Kazakhstan “On Payments and Payment Systems” there were determined the classification of the payment systems and requirements </w:t>
      </w:r>
      <w:r w:rsidR="00D4325A" w:rsidRPr="00A9366F">
        <w:rPr>
          <w:rFonts w:ascii="Calibri" w:hAnsi="Calibri" w:cs="Arial"/>
          <w:sz w:val="30"/>
          <w:szCs w:val="30"/>
          <w:lang w:val="en-US"/>
        </w:rPr>
        <w:t>for</w:t>
      </w:r>
      <w:r w:rsidR="006A2C30" w:rsidRPr="00A9366F">
        <w:rPr>
          <w:rFonts w:ascii="Calibri" w:hAnsi="Calibri" w:cs="Arial"/>
          <w:sz w:val="30"/>
          <w:szCs w:val="30"/>
          <w:lang w:val="en-US"/>
        </w:rPr>
        <w:t xml:space="preserve"> assessment of </w:t>
      </w:r>
      <w:r w:rsidR="00EE2B73" w:rsidRPr="00A9366F">
        <w:rPr>
          <w:rFonts w:ascii="Calibri" w:hAnsi="Calibri" w:cs="Arial"/>
          <w:sz w:val="30"/>
          <w:szCs w:val="30"/>
          <w:lang w:val="en-US"/>
        </w:rPr>
        <w:t xml:space="preserve">compliance with Principles for </w:t>
      </w:r>
      <w:r w:rsidR="006A2C30" w:rsidRPr="00A9366F">
        <w:rPr>
          <w:rFonts w:ascii="Calibri" w:hAnsi="Calibri" w:cs="Arial"/>
          <w:sz w:val="30"/>
          <w:szCs w:val="30"/>
          <w:lang w:val="en-US"/>
        </w:rPr>
        <w:t>FM</w:t>
      </w:r>
      <w:r w:rsidR="00EE2B73" w:rsidRPr="00A9366F">
        <w:rPr>
          <w:rFonts w:ascii="Calibri" w:hAnsi="Calibri" w:cs="Arial"/>
          <w:sz w:val="30"/>
          <w:szCs w:val="30"/>
          <w:lang w:val="en-US"/>
        </w:rPr>
        <w:t>I</w:t>
      </w:r>
      <w:r w:rsidR="006A2C30" w:rsidRPr="00A9366F">
        <w:rPr>
          <w:rFonts w:ascii="Calibri" w:hAnsi="Calibri" w:cs="Arial"/>
          <w:sz w:val="30"/>
          <w:szCs w:val="30"/>
          <w:lang w:val="en-US"/>
        </w:rPr>
        <w:t xml:space="preserve"> </w:t>
      </w:r>
      <w:r w:rsidR="00C8193B" w:rsidRPr="00A9366F">
        <w:rPr>
          <w:rFonts w:ascii="Calibri" w:hAnsi="Calibri" w:cs="Arial"/>
          <w:sz w:val="30"/>
          <w:szCs w:val="30"/>
          <w:lang w:val="en-US"/>
        </w:rPr>
        <w:t xml:space="preserve">imposed on the operators of the systemically important and </w:t>
      </w:r>
      <w:r w:rsidR="00341D47" w:rsidRPr="00A9366F">
        <w:rPr>
          <w:rFonts w:ascii="Calibri" w:hAnsi="Calibri" w:cs="Arial"/>
          <w:sz w:val="30"/>
          <w:szCs w:val="30"/>
          <w:lang w:val="en-US"/>
        </w:rPr>
        <w:t>important</w:t>
      </w:r>
      <w:r w:rsidR="00C8193B" w:rsidRPr="00A9366F">
        <w:rPr>
          <w:rFonts w:ascii="Calibri" w:hAnsi="Calibri" w:cs="Arial"/>
          <w:sz w:val="30"/>
          <w:szCs w:val="30"/>
          <w:lang w:val="en-US"/>
        </w:rPr>
        <w:t xml:space="preserve"> </w:t>
      </w:r>
      <w:r w:rsidR="00D4325A" w:rsidRPr="00A9366F">
        <w:rPr>
          <w:rFonts w:ascii="Calibri" w:hAnsi="Calibri" w:cs="Arial"/>
          <w:sz w:val="30"/>
          <w:szCs w:val="30"/>
          <w:lang w:val="en-US"/>
        </w:rPr>
        <w:t xml:space="preserve">payment systems as well as requirements to execution of the risk management documentation. </w:t>
      </w:r>
    </w:p>
    <w:p w:rsidR="00610467" w:rsidRPr="00A9366F" w:rsidRDefault="00D4325A" w:rsidP="0045471B">
      <w:pPr>
        <w:widowControl w:val="0"/>
        <w:ind w:firstLine="720"/>
        <w:jc w:val="both"/>
        <w:rPr>
          <w:rFonts w:ascii="Calibri" w:hAnsi="Calibri" w:cs="Arial"/>
          <w:sz w:val="30"/>
          <w:szCs w:val="30"/>
          <w:lang w:val="en-US"/>
        </w:rPr>
      </w:pPr>
      <w:r w:rsidRPr="00A9366F">
        <w:rPr>
          <w:rFonts w:ascii="Calibri" w:hAnsi="Calibri" w:cs="Arial"/>
          <w:sz w:val="30"/>
          <w:szCs w:val="30"/>
          <w:lang w:val="en-US"/>
        </w:rPr>
        <w:t xml:space="preserve">There were </w:t>
      </w:r>
      <w:r w:rsidR="00674B93" w:rsidRPr="00A9366F">
        <w:rPr>
          <w:rFonts w:ascii="Calibri" w:hAnsi="Calibri" w:cs="Arial"/>
          <w:sz w:val="30"/>
          <w:szCs w:val="30"/>
          <w:lang w:val="en-US"/>
        </w:rPr>
        <w:t xml:space="preserve">also </w:t>
      </w:r>
      <w:r w:rsidRPr="00A9366F">
        <w:rPr>
          <w:rFonts w:ascii="Calibri" w:hAnsi="Calibri" w:cs="Arial"/>
          <w:sz w:val="30"/>
          <w:szCs w:val="30"/>
          <w:lang w:val="en-US"/>
        </w:rPr>
        <w:t xml:space="preserve">determined the norms </w:t>
      </w:r>
      <w:r w:rsidRPr="002C72D1">
        <w:rPr>
          <w:rFonts w:ascii="Calibri" w:hAnsi="Calibri" w:cs="Arial"/>
          <w:sz w:val="30"/>
          <w:szCs w:val="30"/>
          <w:lang w:val="en-US"/>
        </w:rPr>
        <w:t xml:space="preserve">for </w:t>
      </w:r>
      <w:r w:rsidR="00525291" w:rsidRPr="002C72D1">
        <w:rPr>
          <w:rFonts w:ascii="Calibri" w:hAnsi="Calibri" w:cs="Arial"/>
          <w:sz w:val="30"/>
          <w:szCs w:val="30"/>
          <w:lang w:val="en-US"/>
        </w:rPr>
        <w:t xml:space="preserve">irrevocability </w:t>
      </w:r>
      <w:r w:rsidRPr="002C72D1">
        <w:rPr>
          <w:rFonts w:ascii="Calibri" w:hAnsi="Calibri" w:cs="Arial"/>
          <w:sz w:val="30"/>
          <w:szCs w:val="30"/>
          <w:lang w:val="en-US"/>
        </w:rPr>
        <w:t>(finality</w:t>
      </w:r>
      <w:r w:rsidRPr="00A9366F">
        <w:rPr>
          <w:rFonts w:ascii="Calibri" w:hAnsi="Calibri" w:cs="Arial"/>
          <w:sz w:val="30"/>
          <w:szCs w:val="30"/>
          <w:lang w:val="en-US"/>
        </w:rPr>
        <w:t>) of payment</w:t>
      </w:r>
      <w:r w:rsidR="00625E73" w:rsidRPr="00A9366F">
        <w:rPr>
          <w:rFonts w:ascii="Calibri" w:hAnsi="Calibri" w:cs="Arial"/>
          <w:sz w:val="30"/>
          <w:szCs w:val="30"/>
          <w:lang w:val="en-US"/>
        </w:rPr>
        <w:t xml:space="preserve">s, including those that address a matter of completeness of payments in case when a client is subject to the streamlined rehabilitation procedure, procedure of the debtor insolvency settlement, rehabilitation procedure and procedure of the client’s declaring bankrupt. </w:t>
      </w:r>
      <w:r w:rsidR="0045471B" w:rsidRPr="00A9366F">
        <w:rPr>
          <w:rFonts w:ascii="Calibri" w:hAnsi="Calibri" w:cs="Arial"/>
          <w:sz w:val="30"/>
          <w:szCs w:val="30"/>
          <w:lang w:val="en-US"/>
        </w:rPr>
        <w:t>Glossary of T</w:t>
      </w:r>
      <w:r w:rsidR="00625E73" w:rsidRPr="00A9366F">
        <w:rPr>
          <w:rFonts w:ascii="Calibri" w:hAnsi="Calibri" w:cs="Arial"/>
          <w:sz w:val="30"/>
          <w:szCs w:val="30"/>
          <w:lang w:val="en-US"/>
        </w:rPr>
        <w:t>erms used in the Law of the Republic of Kazakhstan “On Payments and Payment Systems” has been brought in compliance with the</w:t>
      </w:r>
      <w:r w:rsidR="0045471B" w:rsidRPr="00A9366F">
        <w:rPr>
          <w:lang w:val="en-US"/>
        </w:rPr>
        <w:t xml:space="preserve"> </w:t>
      </w:r>
      <w:r w:rsidR="0045471B" w:rsidRPr="00A9366F">
        <w:rPr>
          <w:rFonts w:ascii="Calibri" w:hAnsi="Calibri" w:cs="Arial"/>
          <w:sz w:val="30"/>
          <w:szCs w:val="30"/>
          <w:lang w:val="en-US"/>
        </w:rPr>
        <w:t>CPMI</w:t>
      </w:r>
      <w:r w:rsidR="00625E73" w:rsidRPr="00A9366F">
        <w:rPr>
          <w:rFonts w:ascii="Calibri" w:hAnsi="Calibri" w:cs="Arial"/>
          <w:sz w:val="30"/>
          <w:szCs w:val="30"/>
          <w:lang w:val="en-US"/>
        </w:rPr>
        <w:t xml:space="preserve"> Glossary of Terms</w:t>
      </w:r>
      <w:r w:rsidR="005B5481" w:rsidRPr="00A9366F">
        <w:rPr>
          <w:rFonts w:ascii="Calibri" w:hAnsi="Calibri" w:cs="Arial"/>
          <w:sz w:val="30"/>
          <w:szCs w:val="30"/>
          <w:lang w:val="en-US"/>
        </w:rPr>
        <w:t xml:space="preserve">. </w:t>
      </w:r>
    </w:p>
    <w:p w:rsidR="00FB4CF4" w:rsidRPr="00A9366F" w:rsidRDefault="0045471B" w:rsidP="00610467">
      <w:pPr>
        <w:widowControl w:val="0"/>
        <w:autoSpaceDE w:val="0"/>
        <w:autoSpaceDN w:val="0"/>
        <w:adjustRightInd w:val="0"/>
        <w:ind w:firstLine="720"/>
        <w:jc w:val="both"/>
        <w:rPr>
          <w:rFonts w:ascii="Calibri" w:hAnsi="Calibri" w:cs="Arial"/>
          <w:sz w:val="30"/>
          <w:szCs w:val="30"/>
          <w:lang w:val="en-US"/>
        </w:rPr>
      </w:pPr>
      <w:r w:rsidRPr="00A9366F">
        <w:rPr>
          <w:rFonts w:ascii="Calibri" w:hAnsi="Calibri" w:cs="Arial"/>
          <w:sz w:val="30"/>
          <w:szCs w:val="30"/>
          <w:lang w:val="en-US"/>
        </w:rPr>
        <w:t xml:space="preserve">To improve further the methods of management of liquidity risk, credit risk and systemic risk, a mechanism has been built into </w:t>
      </w:r>
      <w:r w:rsidR="00EE2B73" w:rsidRPr="00A9366F">
        <w:rPr>
          <w:rFonts w:ascii="Calibri" w:hAnsi="Calibri" w:cs="Arial"/>
          <w:sz w:val="30"/>
          <w:szCs w:val="30"/>
          <w:lang w:val="en-US"/>
        </w:rPr>
        <w:t>ISMT</w:t>
      </w:r>
      <w:r w:rsidRPr="00A9366F">
        <w:rPr>
          <w:rFonts w:ascii="Calibri" w:hAnsi="Calibri" w:cs="Arial"/>
          <w:sz w:val="30"/>
          <w:szCs w:val="30"/>
          <w:lang w:val="en-US"/>
        </w:rPr>
        <w:t xml:space="preserve"> to provide the system participants with the additional daily liquidity (overdraft) against securities pledged as collateral. </w:t>
      </w:r>
    </w:p>
    <w:p w:rsidR="00610467" w:rsidRPr="00A9366F" w:rsidRDefault="00610467" w:rsidP="00610467">
      <w:pPr>
        <w:widowControl w:val="0"/>
        <w:autoSpaceDE w:val="0"/>
        <w:autoSpaceDN w:val="0"/>
        <w:adjustRightInd w:val="0"/>
        <w:ind w:firstLine="720"/>
        <w:jc w:val="both"/>
        <w:rPr>
          <w:rFonts w:ascii="Calibri" w:hAnsi="Calibri" w:cs="Arial"/>
          <w:sz w:val="16"/>
          <w:szCs w:val="28"/>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1364"/>
        <w:gridCol w:w="8280"/>
      </w:tblGrid>
      <w:tr w:rsidR="006F65CE" w:rsidRPr="00EA720F" w:rsidTr="00610467">
        <w:tc>
          <w:tcPr>
            <w:tcW w:w="1364" w:type="dxa"/>
            <w:shd w:val="clear" w:color="auto" w:fill="F3F3F3"/>
          </w:tcPr>
          <w:p w:rsidR="006F65CE" w:rsidRPr="00A9366F" w:rsidRDefault="006F65CE" w:rsidP="00610467">
            <w:pPr>
              <w:rPr>
                <w:rFonts w:ascii="Calibri" w:hAnsi="Calibri"/>
                <w:lang w:val="en-US"/>
              </w:rPr>
            </w:pPr>
          </w:p>
        </w:tc>
        <w:tc>
          <w:tcPr>
            <w:tcW w:w="8280" w:type="dxa"/>
            <w:shd w:val="clear" w:color="auto" w:fill="F3F3F3"/>
          </w:tcPr>
          <w:p w:rsidR="006F65CE" w:rsidRPr="00A9366F" w:rsidRDefault="007E22AB" w:rsidP="00CE3C8C">
            <w:pPr>
              <w:jc w:val="center"/>
              <w:rPr>
                <w:rFonts w:ascii="Calibri" w:hAnsi="Calibri"/>
                <w:b/>
                <w:sz w:val="14"/>
                <w:lang w:val="en-US"/>
              </w:rPr>
            </w:pPr>
            <w:r w:rsidRPr="00A9366F">
              <w:rPr>
                <w:rFonts w:ascii="Calibri" w:hAnsi="Calibri"/>
                <w:b/>
                <w:lang w:val="en-US"/>
              </w:rPr>
              <w:t>Box</w:t>
            </w:r>
            <w:r w:rsidR="0045471B" w:rsidRPr="00A9366F">
              <w:rPr>
                <w:rFonts w:ascii="Calibri" w:hAnsi="Calibri"/>
                <w:b/>
                <w:lang w:val="en-US"/>
              </w:rPr>
              <w:t xml:space="preserve"> </w:t>
            </w:r>
            <w:r w:rsidR="003E1657" w:rsidRPr="00A9366F">
              <w:rPr>
                <w:rFonts w:ascii="Calibri" w:hAnsi="Calibri"/>
                <w:b/>
                <w:lang w:val="en-US"/>
              </w:rPr>
              <w:t>2</w:t>
            </w:r>
            <w:r w:rsidR="00687214" w:rsidRPr="00A9366F">
              <w:rPr>
                <w:rFonts w:ascii="Calibri" w:hAnsi="Calibri"/>
                <w:b/>
                <w:lang w:val="en-US"/>
              </w:rPr>
              <w:t xml:space="preserve"> </w:t>
            </w:r>
            <w:r w:rsidR="006F65CE" w:rsidRPr="00A9366F">
              <w:rPr>
                <w:rFonts w:ascii="Calibri" w:hAnsi="Calibri"/>
                <w:b/>
                <w:lang w:val="en-US"/>
              </w:rPr>
              <w:t xml:space="preserve">– </w:t>
            </w:r>
            <w:r w:rsidR="00CE3C8C" w:rsidRPr="00A9366F">
              <w:rPr>
                <w:rFonts w:ascii="Calibri" w:hAnsi="Calibri"/>
                <w:b/>
                <w:lang w:val="en-US"/>
              </w:rPr>
              <w:t>Summary of</w:t>
            </w:r>
            <w:r w:rsidR="00EE2B73" w:rsidRPr="00A9366F">
              <w:rPr>
                <w:rFonts w:ascii="Calibri" w:hAnsi="Calibri"/>
                <w:b/>
                <w:lang w:val="en-US"/>
              </w:rPr>
              <w:t xml:space="preserve"> compliance of the payment systems of the National Bank of Kazakhstan with Principles for FMI</w:t>
            </w:r>
          </w:p>
        </w:tc>
      </w:tr>
      <w:tr w:rsidR="006F65CE" w:rsidRPr="00EA720F" w:rsidTr="00610467">
        <w:trPr>
          <w:trHeight w:val="530"/>
        </w:trPr>
        <w:tc>
          <w:tcPr>
            <w:tcW w:w="9644" w:type="dxa"/>
            <w:gridSpan w:val="2"/>
            <w:shd w:val="clear" w:color="auto" w:fill="F3F3F3"/>
          </w:tcPr>
          <w:p w:rsidR="00674B93" w:rsidRPr="00A9366F" w:rsidRDefault="00674B93" w:rsidP="00674B93">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1: Legal basis </w:t>
            </w:r>
          </w:p>
          <w:p w:rsidR="006F65CE" w:rsidRPr="00A9366F" w:rsidRDefault="00674B93" w:rsidP="00EE2B73">
            <w:pPr>
              <w:jc w:val="both"/>
              <w:rPr>
                <w:rFonts w:ascii="Calibri" w:eastAsia="ArialMT" w:hAnsi="Calibri"/>
                <w:i/>
                <w:lang w:val="en-US"/>
              </w:rPr>
            </w:pPr>
            <w:r w:rsidRPr="00A9366F">
              <w:rPr>
                <w:rFonts w:ascii="Calibri" w:eastAsia="ArialMT" w:hAnsi="Calibri"/>
                <w:i/>
                <w:lang w:val="en-US"/>
              </w:rPr>
              <w:t xml:space="preserve">An FMI should have a well-founded, clear, transparent, and enforceable legal basis for each material aspect of its activities in all relevant jurisdictions. </w:t>
            </w:r>
          </w:p>
          <w:p w:rsidR="00674B93" w:rsidRPr="00A9366F" w:rsidRDefault="00674B93" w:rsidP="00674B93">
            <w:pPr>
              <w:rPr>
                <w:rFonts w:ascii="Calibri" w:eastAsia="ArialMT" w:hAnsi="Calibri"/>
                <w:i/>
                <w:lang w:val="en-US"/>
              </w:rPr>
            </w:pPr>
          </w:p>
        </w:tc>
      </w:tr>
      <w:tr w:rsidR="006F65CE" w:rsidRPr="00EA720F" w:rsidTr="00610467">
        <w:tc>
          <w:tcPr>
            <w:tcW w:w="1364" w:type="dxa"/>
            <w:shd w:val="clear" w:color="auto" w:fill="F3F3F3"/>
          </w:tcPr>
          <w:p w:rsidR="006F65CE" w:rsidRPr="00A9366F" w:rsidRDefault="00EE2B73"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EE2B73" w:rsidRPr="00A9366F" w:rsidRDefault="00EE2B73" w:rsidP="00610467">
            <w:pPr>
              <w:jc w:val="both"/>
              <w:rPr>
                <w:rFonts w:ascii="Calibri" w:eastAsia="ArialMT" w:hAnsi="Calibri"/>
                <w:lang w:val="en-US"/>
              </w:rPr>
            </w:pPr>
            <w:r w:rsidRPr="00A9366F">
              <w:rPr>
                <w:rFonts w:ascii="Calibri" w:eastAsia="ArialMT" w:hAnsi="Calibri"/>
                <w:lang w:val="en-US"/>
              </w:rPr>
              <w:t>The regulatory legal acts of the Republic of Kazakhstan and KISC documents have set a sufficient, well-founded, clear, transparent, and enforceable legal basis for each material aspect of activities in ISMT and ICS. The major law, which governs the regulatory norms in the area of payment systems</w:t>
            </w:r>
            <w:r w:rsidR="005B4CB5" w:rsidRPr="00A9366F">
              <w:rPr>
                <w:rFonts w:ascii="Calibri" w:eastAsia="ArialMT" w:hAnsi="Calibri"/>
                <w:lang w:val="en-US"/>
              </w:rPr>
              <w:t xml:space="preserve"> functioning</w:t>
            </w:r>
            <w:r w:rsidRPr="00A9366F">
              <w:rPr>
                <w:rFonts w:ascii="Calibri" w:eastAsia="ArialMT" w:hAnsi="Calibri"/>
                <w:lang w:val="en-US"/>
              </w:rPr>
              <w:t xml:space="preserve">, is the Law of the Republic of Kazakhstan “On Payments and Payment Systems”.  </w:t>
            </w:r>
          </w:p>
          <w:p w:rsidR="00EE2B73" w:rsidRPr="00A9366F" w:rsidRDefault="00EE2B73" w:rsidP="00610467">
            <w:pPr>
              <w:jc w:val="both"/>
              <w:rPr>
                <w:rFonts w:ascii="Calibri" w:eastAsia="ArialMT" w:hAnsi="Calibri"/>
                <w:lang w:val="en-US"/>
              </w:rPr>
            </w:pPr>
            <w:r w:rsidRPr="00A9366F">
              <w:rPr>
                <w:rFonts w:ascii="Calibri" w:eastAsia="ArialMT" w:hAnsi="Calibri"/>
                <w:lang w:val="en-US"/>
              </w:rPr>
              <w:t>All aspects of ISMT and ICS activities have been determined in details in the respective regulatory legal acts: Rules of ISMT Functioning and Rules of ICS Functioning.  R</w:t>
            </w:r>
            <w:r w:rsidR="00CB5E96" w:rsidRPr="00A9366F">
              <w:rPr>
                <w:rFonts w:ascii="Calibri" w:eastAsia="ArialMT" w:hAnsi="Calibri"/>
                <w:lang w:val="en-US"/>
              </w:rPr>
              <w:t xml:space="preserve">egulatory legal act, including the laws of the Republic of Kazakhstan, are binding on all legal entities and individuals in the Republic of Kazakhstan; therefore, they cannot be suspended or invalidated without adoption of an appropriate legal act. KISC documents approved by KISC General Director are binding on all participants of the payment systems.  </w:t>
            </w:r>
          </w:p>
          <w:p w:rsidR="00CB5E96" w:rsidRPr="00A9366F" w:rsidRDefault="00CB5E96" w:rsidP="00CB5E96">
            <w:pPr>
              <w:jc w:val="both"/>
              <w:rPr>
                <w:rFonts w:ascii="Calibri" w:eastAsia="ArialMT" w:hAnsi="Calibri"/>
                <w:lang w:val="en-US"/>
              </w:rPr>
            </w:pPr>
          </w:p>
          <w:p w:rsidR="00CB5E96" w:rsidRPr="00A9366F" w:rsidRDefault="00CB5E96" w:rsidP="00CB5E96">
            <w:pPr>
              <w:jc w:val="both"/>
              <w:rPr>
                <w:rFonts w:ascii="Calibri" w:eastAsia="ArialMT" w:hAnsi="Calibri"/>
                <w:lang w:val="en-US"/>
              </w:rPr>
            </w:pPr>
            <w:r w:rsidRPr="00A9366F">
              <w:rPr>
                <w:rFonts w:ascii="Calibri" w:eastAsia="ArialMT" w:hAnsi="Calibri"/>
                <w:lang w:val="en-US"/>
              </w:rPr>
              <w:t xml:space="preserve">Regulatory legal acts governing the matters of functioning </w:t>
            </w:r>
            <w:r w:rsidR="002767FC" w:rsidRPr="00A9366F">
              <w:rPr>
                <w:rFonts w:ascii="Calibri" w:eastAsia="ArialMT" w:hAnsi="Calibri"/>
                <w:lang w:val="en-US"/>
              </w:rPr>
              <w:t xml:space="preserve">of the payment systems should be agreed with the participants of the payment systems and interested state authorities.  Resolutions of the Management Board of the National Bank of Kazakhstan are subject to mandatory agreement with the Association of Financiers of Kazakhstan, the members of which are the second-tier banks of the Republic of Kazakhstan, and with the National Chamber of Entrepreneurs. After approval the resolutions of the Management Board of the National Bank are subject to mandatory registration with the Ministry of Justice of the Republic of Kazakhstan </w:t>
            </w:r>
            <w:r w:rsidR="00E92AD8" w:rsidRPr="00A9366F">
              <w:rPr>
                <w:rFonts w:ascii="Calibri" w:eastAsia="ArialMT" w:hAnsi="Calibri"/>
                <w:lang w:val="en-US"/>
              </w:rPr>
              <w:t xml:space="preserve">to ensure full compliance thereof with the legal requirements of the Republic of Kazakhstan.  In addition, an ongoing monitoring of the current regulatory legal acts is exercised for their relevance, compliance with the legislation of the Republic of Kazakhstan and absence of corruption </w:t>
            </w:r>
            <w:r w:rsidR="00214E08" w:rsidRPr="00A9366F">
              <w:rPr>
                <w:rFonts w:ascii="Calibri" w:eastAsia="ArialMT" w:hAnsi="Calibri"/>
                <w:lang w:val="en-US"/>
              </w:rPr>
              <w:t xml:space="preserve">and other unacceptable norms.  </w:t>
            </w:r>
          </w:p>
          <w:p w:rsidR="006F65CE" w:rsidRPr="00A9366F" w:rsidRDefault="006F65CE" w:rsidP="00CB5E96">
            <w:pPr>
              <w:jc w:val="both"/>
              <w:rPr>
                <w:rFonts w:ascii="Calibri" w:eastAsia="ArialMT" w:hAnsi="Calibri"/>
                <w:lang w:val="en-US"/>
              </w:rPr>
            </w:pPr>
          </w:p>
        </w:tc>
      </w:tr>
      <w:tr w:rsidR="006F65CE" w:rsidRPr="00017666" w:rsidTr="00610467">
        <w:trPr>
          <w:trHeight w:val="530"/>
        </w:trPr>
        <w:tc>
          <w:tcPr>
            <w:tcW w:w="9644" w:type="dxa"/>
            <w:gridSpan w:val="2"/>
            <w:shd w:val="clear" w:color="auto" w:fill="F3F3F3"/>
          </w:tcPr>
          <w:p w:rsidR="007F69B6" w:rsidRPr="00A9366F" w:rsidRDefault="007F69B6" w:rsidP="007F69B6">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2: Governance </w:t>
            </w:r>
          </w:p>
          <w:p w:rsidR="007F69B6" w:rsidRPr="00A9366F" w:rsidRDefault="007F69B6" w:rsidP="007F69B6">
            <w:pPr>
              <w:rPr>
                <w:rFonts w:ascii="Calibri" w:hAnsi="Calibri"/>
                <w:i/>
                <w:lang w:val="en-US"/>
              </w:rPr>
            </w:pPr>
            <w:r w:rsidRPr="00A9366F">
              <w:rPr>
                <w:rFonts w:ascii="Calibri" w:hAnsi="Calibri"/>
                <w:i/>
                <w:lang w:val="en-US"/>
              </w:rPr>
              <w:t xml:space="preserve">An FMI should have governance arrangements that are clear and transparent, promote the </w:t>
            </w:r>
          </w:p>
          <w:p w:rsidR="007F69B6" w:rsidRPr="00A9366F" w:rsidRDefault="007F69B6" w:rsidP="007F69B6">
            <w:pPr>
              <w:rPr>
                <w:rFonts w:ascii="Calibri" w:hAnsi="Calibri"/>
                <w:i/>
                <w:lang w:val="en-US"/>
              </w:rPr>
            </w:pPr>
            <w:r w:rsidRPr="00A9366F">
              <w:rPr>
                <w:rFonts w:ascii="Calibri" w:hAnsi="Calibri"/>
                <w:i/>
                <w:lang w:val="en-US"/>
              </w:rPr>
              <w:t xml:space="preserve">safety and efficiency of the FMI, and support the stability of the broader financial system, </w:t>
            </w:r>
          </w:p>
          <w:p w:rsidR="006F65CE" w:rsidRPr="00A9366F" w:rsidRDefault="007F69B6" w:rsidP="007F69B6">
            <w:pPr>
              <w:rPr>
                <w:rFonts w:ascii="Calibri" w:hAnsi="Calibri"/>
                <w:i/>
                <w:lang w:val="en-US"/>
              </w:rPr>
            </w:pPr>
            <w:proofErr w:type="gramStart"/>
            <w:r w:rsidRPr="00A9366F">
              <w:rPr>
                <w:rFonts w:ascii="Calibri" w:hAnsi="Calibri"/>
                <w:i/>
                <w:lang w:val="en-US"/>
              </w:rPr>
              <w:t>other</w:t>
            </w:r>
            <w:proofErr w:type="gramEnd"/>
            <w:r w:rsidRPr="00A9366F">
              <w:rPr>
                <w:rFonts w:ascii="Calibri" w:hAnsi="Calibri"/>
                <w:i/>
                <w:lang w:val="en-US"/>
              </w:rPr>
              <w:t xml:space="preserve"> relevant public interest </w:t>
            </w:r>
            <w:r w:rsidR="00550E0F" w:rsidRPr="00A9366F">
              <w:rPr>
                <w:rFonts w:ascii="Calibri" w:hAnsi="Calibri"/>
                <w:i/>
                <w:lang w:val="en-US"/>
              </w:rPr>
              <w:t>considerations</w:t>
            </w:r>
            <w:r w:rsidRPr="00A9366F">
              <w:rPr>
                <w:rFonts w:ascii="Calibri" w:hAnsi="Calibri"/>
                <w:i/>
                <w:lang w:val="en-US"/>
              </w:rPr>
              <w:t xml:space="preserve"> and the objectives of relevant stakeholders. </w:t>
            </w:r>
          </w:p>
          <w:p w:rsidR="00214E08" w:rsidRPr="00A9366F" w:rsidRDefault="00214E08" w:rsidP="007F69B6">
            <w:pPr>
              <w:rPr>
                <w:rFonts w:ascii="Calibri" w:hAnsi="Calibri"/>
                <w:i/>
                <w:lang w:val="en-US"/>
              </w:rPr>
            </w:pPr>
          </w:p>
        </w:tc>
      </w:tr>
      <w:tr w:rsidR="006F65CE" w:rsidRPr="00EA720F" w:rsidTr="00610467">
        <w:tc>
          <w:tcPr>
            <w:tcW w:w="1364" w:type="dxa"/>
            <w:shd w:val="clear" w:color="auto" w:fill="F3F3F3"/>
          </w:tcPr>
          <w:p w:rsidR="006F65CE" w:rsidRPr="00A9366F" w:rsidRDefault="00214E08"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214E08" w:rsidRPr="00A9366F" w:rsidRDefault="00214E08" w:rsidP="00610467">
            <w:pPr>
              <w:jc w:val="both"/>
              <w:rPr>
                <w:rFonts w:ascii="Calibri" w:hAnsi="Calibri"/>
                <w:lang w:val="en-US"/>
              </w:rPr>
            </w:pPr>
            <w:r w:rsidRPr="00A9366F">
              <w:rPr>
                <w:rFonts w:ascii="Calibri" w:hAnsi="Calibri"/>
                <w:lang w:val="en-US"/>
              </w:rPr>
              <w:t>A control mechanism, on the basis of which the management bodies of the National Bank of Kazakhstan (a payment system operator) are operating is determined by the Law of the Republic of Kazakhstan “On the National Bank of the Republic of Kazakhstan” and Statute of the National Bank of Kazakhstan.</w:t>
            </w:r>
          </w:p>
          <w:p w:rsidR="00214E08" w:rsidRPr="00A9366F" w:rsidRDefault="00214E08" w:rsidP="00610467">
            <w:pPr>
              <w:jc w:val="both"/>
              <w:rPr>
                <w:rFonts w:ascii="Calibri" w:hAnsi="Calibri"/>
                <w:lang w:val="en-US"/>
              </w:rPr>
            </w:pPr>
          </w:p>
          <w:p w:rsidR="006F65CE" w:rsidRPr="00A9366F" w:rsidRDefault="00214E08" w:rsidP="00214E08">
            <w:pPr>
              <w:jc w:val="both"/>
              <w:rPr>
                <w:rFonts w:ascii="Calibri" w:hAnsi="Calibri"/>
                <w:lang w:val="en-US"/>
              </w:rPr>
            </w:pPr>
            <w:r w:rsidRPr="00A9366F">
              <w:rPr>
                <w:rFonts w:ascii="Calibri" w:hAnsi="Calibri"/>
                <w:lang w:val="en-US"/>
              </w:rPr>
              <w:t>The management bodies of the National Bank of Kazakhstan are the Management Board and Board of Directors.  Functions of the Management Board and Board of Directors are specified in the Law of the RK “On the National Bank of the Republic of Kazakhstan” and Statute of the National Bank of Kazakhstan.</w:t>
            </w:r>
          </w:p>
        </w:tc>
      </w:tr>
      <w:tr w:rsidR="006F65CE" w:rsidRPr="00EA720F" w:rsidTr="00610467">
        <w:trPr>
          <w:trHeight w:val="530"/>
        </w:trPr>
        <w:tc>
          <w:tcPr>
            <w:tcW w:w="9644" w:type="dxa"/>
            <w:gridSpan w:val="2"/>
            <w:shd w:val="clear" w:color="auto" w:fill="F3F3F3"/>
          </w:tcPr>
          <w:p w:rsidR="007F69B6" w:rsidRPr="00A9366F" w:rsidRDefault="007F69B6" w:rsidP="007F69B6">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3: Framework for the comprehensive management of risks </w:t>
            </w:r>
          </w:p>
          <w:p w:rsidR="007F69B6" w:rsidRPr="00A9366F" w:rsidRDefault="007F69B6" w:rsidP="00214E08">
            <w:pPr>
              <w:jc w:val="both"/>
              <w:rPr>
                <w:rFonts w:ascii="Calibri" w:eastAsia="ArialMT" w:hAnsi="Calibri"/>
                <w:i/>
                <w:lang w:val="en-US"/>
              </w:rPr>
            </w:pPr>
            <w:r w:rsidRPr="00A9366F">
              <w:rPr>
                <w:rFonts w:ascii="Calibri" w:eastAsia="ArialMT" w:hAnsi="Calibri"/>
                <w:i/>
                <w:lang w:val="en-US"/>
              </w:rPr>
              <w:t xml:space="preserve">An FMI should have a sound risk-management framework for comprehensively managing legal, credit, liquidity, operational, and other risks. </w:t>
            </w:r>
          </w:p>
          <w:p w:rsidR="006F65CE" w:rsidRPr="00A9366F" w:rsidRDefault="006F65CE" w:rsidP="007F69B6">
            <w:pPr>
              <w:jc w:val="both"/>
              <w:rPr>
                <w:rFonts w:ascii="Calibri" w:eastAsia="ArialMT" w:hAnsi="Calibri"/>
                <w:i/>
                <w:lang w:val="en-US"/>
              </w:rPr>
            </w:pPr>
          </w:p>
        </w:tc>
      </w:tr>
      <w:tr w:rsidR="006F65CE" w:rsidRPr="00EA720F" w:rsidTr="00610467">
        <w:tc>
          <w:tcPr>
            <w:tcW w:w="1364" w:type="dxa"/>
            <w:shd w:val="clear" w:color="auto" w:fill="F3F3F3"/>
          </w:tcPr>
          <w:p w:rsidR="006F65CE" w:rsidRPr="00A9366F" w:rsidRDefault="00214E08" w:rsidP="007D0CC8">
            <w:pPr>
              <w:spacing w:line="235" w:lineRule="auto"/>
              <w:rPr>
                <w:rFonts w:ascii="Calibri" w:hAnsi="Calibri"/>
                <w:i/>
                <w:lang w:val="en-US"/>
              </w:rPr>
            </w:pPr>
            <w:r w:rsidRPr="00A9366F">
              <w:rPr>
                <w:rFonts w:ascii="Calibri" w:hAnsi="Calibri"/>
                <w:i/>
                <w:lang w:val="en-US"/>
              </w:rPr>
              <w:t>Summary</w:t>
            </w:r>
          </w:p>
        </w:tc>
        <w:tc>
          <w:tcPr>
            <w:tcW w:w="8280" w:type="dxa"/>
            <w:shd w:val="clear" w:color="auto" w:fill="F3F3F3"/>
          </w:tcPr>
          <w:p w:rsidR="00214E08" w:rsidRPr="00A9366F" w:rsidRDefault="00214E08" w:rsidP="007D0CC8">
            <w:pPr>
              <w:autoSpaceDE w:val="0"/>
              <w:autoSpaceDN w:val="0"/>
              <w:adjustRightInd w:val="0"/>
              <w:spacing w:line="235" w:lineRule="auto"/>
              <w:jc w:val="both"/>
              <w:rPr>
                <w:rFonts w:ascii="Calibri" w:eastAsia="ArialMT" w:hAnsi="Calibri"/>
                <w:lang w:val="en-US"/>
              </w:rPr>
            </w:pPr>
            <w:r w:rsidRPr="00A9366F">
              <w:rPr>
                <w:rFonts w:ascii="Calibri" w:eastAsia="ArialMT" w:hAnsi="Calibri"/>
                <w:lang w:val="en-US"/>
              </w:rPr>
              <w:t xml:space="preserve">Framework for the risk management in the payment systems is aimed to ensure their effective, safe and uninterrupted </w:t>
            </w:r>
            <w:r w:rsidR="005B4CB5" w:rsidRPr="00A9366F">
              <w:rPr>
                <w:rFonts w:ascii="Calibri" w:eastAsia="ArialMT" w:hAnsi="Calibri"/>
                <w:lang w:val="en-US"/>
              </w:rPr>
              <w:t>functioning</w:t>
            </w:r>
            <w:r w:rsidRPr="00A9366F">
              <w:rPr>
                <w:rFonts w:ascii="Calibri" w:eastAsia="ArialMT" w:hAnsi="Calibri"/>
                <w:lang w:val="en-US"/>
              </w:rPr>
              <w:t xml:space="preserve">.  Assessment of risks inherent in the payment systems is carried out by the National Bank of Kazakhstan as a part of analysis of the business </w:t>
            </w:r>
            <w:r w:rsidR="00EC1801" w:rsidRPr="00A9366F">
              <w:rPr>
                <w:rFonts w:ascii="Calibri" w:eastAsia="ArialMT" w:hAnsi="Calibri"/>
                <w:lang w:val="en-US"/>
              </w:rPr>
              <w:t xml:space="preserve">process “Ensuring functioning of the payment systems” and oversight of the payment systems. </w:t>
            </w:r>
          </w:p>
          <w:p w:rsidR="00214E08" w:rsidRPr="00A9366F" w:rsidRDefault="00214E08" w:rsidP="007D0CC8">
            <w:pPr>
              <w:autoSpaceDE w:val="0"/>
              <w:autoSpaceDN w:val="0"/>
              <w:adjustRightInd w:val="0"/>
              <w:spacing w:line="235" w:lineRule="auto"/>
              <w:jc w:val="both"/>
              <w:rPr>
                <w:rFonts w:ascii="Calibri" w:eastAsia="ArialMT" w:hAnsi="Calibri"/>
                <w:lang w:val="en-US"/>
              </w:rPr>
            </w:pPr>
          </w:p>
          <w:p w:rsidR="00FD6682" w:rsidRPr="00A9366F" w:rsidRDefault="00EC1801" w:rsidP="007D0CC8">
            <w:pPr>
              <w:suppressAutoHyphens/>
              <w:autoSpaceDE w:val="0"/>
              <w:autoSpaceDN w:val="0"/>
              <w:adjustRightInd w:val="0"/>
              <w:spacing w:line="235" w:lineRule="auto"/>
              <w:jc w:val="both"/>
              <w:rPr>
                <w:rFonts w:ascii="Calibri" w:eastAsia="ArialMT" w:hAnsi="Calibri"/>
                <w:lang w:val="en-US"/>
              </w:rPr>
            </w:pPr>
            <w:r w:rsidRPr="00A9366F">
              <w:rPr>
                <w:rFonts w:ascii="Calibri" w:eastAsia="ArialMT" w:hAnsi="Calibri"/>
                <w:lang w:val="en-US"/>
              </w:rPr>
              <w:t>Risk management and risk minimization methods are provided for each type</w:t>
            </w:r>
            <w:r w:rsidR="00FD6682" w:rsidRPr="00A9366F">
              <w:rPr>
                <w:rFonts w:ascii="Calibri" w:eastAsia="ArialMT" w:hAnsi="Calibri"/>
                <w:lang w:val="en-US"/>
              </w:rPr>
              <w:t xml:space="preserve"> of </w:t>
            </w:r>
            <w:r w:rsidRPr="00A9366F">
              <w:rPr>
                <w:rFonts w:ascii="Calibri" w:eastAsia="ArialMT" w:hAnsi="Calibri"/>
                <w:lang w:val="en-US"/>
              </w:rPr>
              <w:t>r</w:t>
            </w:r>
            <w:r w:rsidR="00FD6682" w:rsidRPr="00A9366F">
              <w:rPr>
                <w:rFonts w:ascii="Calibri" w:eastAsia="ArialMT" w:hAnsi="Calibri"/>
                <w:lang w:val="en-US"/>
              </w:rPr>
              <w:t>isk (see Principle 4 Credit Risk, Principle 7 Liquidity Risk and Principle 17 Operating Risk)</w:t>
            </w:r>
            <w:r w:rsidR="00541D5F">
              <w:rPr>
                <w:rFonts w:ascii="Calibri" w:eastAsia="ArialMT" w:hAnsi="Calibri"/>
                <w:lang w:val="en-US"/>
              </w:rPr>
              <w:t>.</w:t>
            </w:r>
          </w:p>
          <w:p w:rsidR="006F65CE" w:rsidRPr="00A9366F" w:rsidRDefault="00FD6682" w:rsidP="00FD6682">
            <w:pPr>
              <w:suppressAutoHyphens/>
              <w:spacing w:line="235" w:lineRule="auto"/>
              <w:jc w:val="both"/>
              <w:rPr>
                <w:rFonts w:ascii="Calibri" w:eastAsia="ArialMT" w:hAnsi="Calibri"/>
                <w:lang w:val="en-US"/>
              </w:rPr>
            </w:pPr>
            <w:r w:rsidRPr="00A9366F">
              <w:rPr>
                <w:rFonts w:ascii="Calibri" w:eastAsia="ArialMT" w:hAnsi="Calibri"/>
                <w:lang w:val="en-US"/>
              </w:rPr>
              <w:t xml:space="preserve">Information on risks inherent in the payment systems and methods of management thereof is provided in the respective regulatory legal acts. </w:t>
            </w:r>
          </w:p>
          <w:p w:rsidR="00FD6682" w:rsidRPr="00A9366F" w:rsidRDefault="00FD6682" w:rsidP="00FD6682">
            <w:pPr>
              <w:suppressAutoHyphens/>
              <w:spacing w:line="235" w:lineRule="auto"/>
              <w:jc w:val="both"/>
              <w:rPr>
                <w:rFonts w:ascii="Calibri" w:hAnsi="Calibri"/>
                <w:lang w:val="en-US"/>
              </w:rPr>
            </w:pPr>
          </w:p>
        </w:tc>
      </w:tr>
      <w:tr w:rsidR="007D0CC8" w:rsidRPr="00EA720F" w:rsidTr="0035580C">
        <w:tc>
          <w:tcPr>
            <w:tcW w:w="9644" w:type="dxa"/>
            <w:gridSpan w:val="2"/>
            <w:shd w:val="clear" w:color="auto" w:fill="F3F3F3"/>
          </w:tcPr>
          <w:p w:rsidR="007D0CC8" w:rsidRPr="00A9366F" w:rsidRDefault="007F69B6" w:rsidP="005C7913">
            <w:pPr>
              <w:rPr>
                <w:rFonts w:ascii="Calibri" w:hAnsi="Calibri"/>
                <w:b/>
                <w:bCs/>
                <w:i/>
                <w:color w:val="548DD4" w:themeColor="text2" w:themeTint="99"/>
                <w:lang w:val="en-US"/>
              </w:rPr>
            </w:pPr>
            <w:bookmarkStart w:id="13" w:name="_Toc407204668"/>
            <w:bookmarkStart w:id="14" w:name="_Toc480772946"/>
            <w:bookmarkStart w:id="15" w:name="_Toc480825635"/>
            <w:bookmarkStart w:id="16" w:name="_Toc481139476"/>
            <w:r w:rsidRPr="00A9366F">
              <w:rPr>
                <w:rFonts w:ascii="Calibri" w:hAnsi="Calibri"/>
                <w:b/>
                <w:bCs/>
                <w:i/>
                <w:color w:val="548DD4" w:themeColor="text2" w:themeTint="99"/>
                <w:lang w:val="en-US"/>
              </w:rPr>
              <w:t xml:space="preserve">Principle </w:t>
            </w:r>
            <w:r w:rsidR="007D0CC8" w:rsidRPr="00A9366F">
              <w:rPr>
                <w:rFonts w:ascii="Calibri" w:hAnsi="Calibri"/>
                <w:b/>
                <w:bCs/>
                <w:i/>
                <w:color w:val="548DD4" w:themeColor="text2" w:themeTint="99"/>
                <w:lang w:val="en-US"/>
              </w:rPr>
              <w:t xml:space="preserve">4. </w:t>
            </w:r>
            <w:bookmarkEnd w:id="13"/>
            <w:bookmarkEnd w:id="14"/>
            <w:bookmarkEnd w:id="15"/>
            <w:bookmarkEnd w:id="16"/>
            <w:r w:rsidRPr="00A9366F">
              <w:rPr>
                <w:rFonts w:ascii="Calibri" w:hAnsi="Calibri"/>
                <w:b/>
                <w:bCs/>
                <w:i/>
                <w:color w:val="548DD4" w:themeColor="text2" w:themeTint="99"/>
                <w:lang w:val="en-US"/>
              </w:rPr>
              <w:t>Credit risk</w:t>
            </w:r>
          </w:p>
          <w:p w:rsidR="007F69B6" w:rsidRPr="00A9366F" w:rsidRDefault="007F69B6" w:rsidP="007F69B6">
            <w:pPr>
              <w:jc w:val="both"/>
              <w:rPr>
                <w:rFonts w:ascii="Calibri" w:hAnsi="Calibri"/>
                <w:bCs/>
                <w:i/>
                <w:spacing w:val="-4"/>
                <w:lang w:val="en-US"/>
              </w:rPr>
            </w:pPr>
            <w:r w:rsidRPr="00A9366F">
              <w:rPr>
                <w:rFonts w:ascii="Calibri" w:hAnsi="Calibri"/>
                <w:bCs/>
                <w:i/>
                <w:spacing w:val="-4"/>
                <w:lang w:val="en-US"/>
              </w:rPr>
              <w:t xml:space="preserve">An FMI should effectively measure, monitor, and manage its credit exposures to participants and those arising from its payment, clearing, and settlement processes. An FMI should maintain sufficient financial resources to cover its credit exposure to each participant fully with a high degree of confidence. In addition, a CCP that is involved in activities with a more- complex risk profile or that is systemically important in multiple jurisdictions should maintain additional financial resources sufficient to cover a wide range of potential stress scenarios that should include, but not be limited to, the default of the two participants and their affiliates that would potentially cause the largest aggregate credit exposure to the CCP in extreme but plausible market conditions. All other CCPs should maintain additional financial resources sufficient to cover a wide range of potential stress scenarios that should include, but not be limited to, the default of the participant and its affiliates that would potentially cause the largest aggregate credit exposure to the CCP in extreme but plausible market conditions. </w:t>
            </w:r>
          </w:p>
          <w:p w:rsidR="007D0CC8" w:rsidRPr="00A9366F" w:rsidRDefault="007D0CC8" w:rsidP="007F69B6">
            <w:pPr>
              <w:autoSpaceDE w:val="0"/>
              <w:autoSpaceDN w:val="0"/>
              <w:adjustRightInd w:val="0"/>
              <w:spacing w:line="235" w:lineRule="auto"/>
              <w:jc w:val="both"/>
              <w:rPr>
                <w:rFonts w:ascii="Calibri" w:eastAsia="ArialMT" w:hAnsi="Calibri"/>
                <w:lang w:val="en-US"/>
              </w:rPr>
            </w:pPr>
          </w:p>
        </w:tc>
      </w:tr>
      <w:tr w:rsidR="006F65CE" w:rsidRPr="00EA720F" w:rsidTr="00610467">
        <w:tc>
          <w:tcPr>
            <w:tcW w:w="1364" w:type="dxa"/>
            <w:shd w:val="clear" w:color="auto" w:fill="F3F3F3"/>
          </w:tcPr>
          <w:p w:rsidR="006F65CE" w:rsidRPr="00A9366F" w:rsidRDefault="00FD6682"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FD6682" w:rsidRPr="002C72D1" w:rsidRDefault="00FD6682" w:rsidP="00610467">
            <w:pPr>
              <w:suppressAutoHyphens/>
              <w:jc w:val="both"/>
              <w:rPr>
                <w:rFonts w:ascii="Calibri" w:eastAsia="ArialMT" w:hAnsi="Calibri"/>
                <w:lang w:val="en-US"/>
              </w:rPr>
            </w:pPr>
            <w:r w:rsidRPr="002C72D1">
              <w:rPr>
                <w:rFonts w:ascii="Calibri" w:eastAsia="ArialMT" w:hAnsi="Calibri"/>
                <w:lang w:val="en-US"/>
              </w:rPr>
              <w:t xml:space="preserve">ISMT is a system of </w:t>
            </w:r>
            <w:r w:rsidR="00F26958" w:rsidRPr="002C72D1">
              <w:rPr>
                <w:rFonts w:ascii="Calibri" w:eastAsia="ArialMT" w:hAnsi="Calibri"/>
                <w:lang w:val="en-US"/>
              </w:rPr>
              <w:t xml:space="preserve">real time </w:t>
            </w:r>
            <w:r w:rsidRPr="002C72D1">
              <w:rPr>
                <w:rFonts w:ascii="Calibri" w:eastAsia="ArialMT" w:hAnsi="Calibri"/>
                <w:lang w:val="en-US"/>
              </w:rPr>
              <w:t xml:space="preserve">gross settlements, which guarantees that settlements are </w:t>
            </w:r>
            <w:r w:rsidR="00F66BA7" w:rsidRPr="002C72D1">
              <w:rPr>
                <w:rFonts w:ascii="Calibri" w:eastAsia="ArialMT" w:hAnsi="Calibri"/>
                <w:lang w:val="en-US"/>
              </w:rPr>
              <w:t>m</w:t>
            </w:r>
            <w:r w:rsidRPr="002C72D1">
              <w:rPr>
                <w:rFonts w:ascii="Calibri" w:eastAsia="ArialMT" w:hAnsi="Calibri"/>
                <w:lang w:val="en-US"/>
              </w:rPr>
              <w:t xml:space="preserve">ade within one operating day. There is no preliminary deposit of cash in ICS and settlements are made by means of clearing of the payment messages. Methods of management of liquidity risk and systemic risk are provided in the description of Principle 7 Liquidity Risk. </w:t>
            </w:r>
          </w:p>
          <w:p w:rsidR="00A323A6" w:rsidRPr="002C72D1" w:rsidRDefault="00A323A6" w:rsidP="00610467">
            <w:pPr>
              <w:suppressAutoHyphens/>
              <w:jc w:val="both"/>
              <w:rPr>
                <w:rFonts w:ascii="Calibri" w:eastAsia="ArialMT" w:hAnsi="Calibri"/>
                <w:lang w:val="en-US"/>
              </w:rPr>
            </w:pPr>
            <w:r w:rsidRPr="002C72D1">
              <w:rPr>
                <w:rFonts w:ascii="Calibri" w:eastAsia="ArialMT" w:hAnsi="Calibri"/>
                <w:lang w:val="en-US"/>
              </w:rPr>
              <w:t>To manage credit risk ISMT comprises a mechanism</w:t>
            </w:r>
            <w:r w:rsidR="00504F22" w:rsidRPr="002C72D1">
              <w:rPr>
                <w:rFonts w:ascii="Calibri" w:eastAsia="ArialMT" w:hAnsi="Calibri"/>
                <w:lang w:val="en-US"/>
              </w:rPr>
              <w:t>,</w:t>
            </w:r>
            <w:r w:rsidRPr="002C72D1">
              <w:rPr>
                <w:rFonts w:ascii="Calibri" w:eastAsia="ArialMT" w:hAnsi="Calibri"/>
                <w:lang w:val="en-US"/>
              </w:rPr>
              <w:t xml:space="preserve"> by which the National Bank of Kazakhstan </w:t>
            </w:r>
            <w:r w:rsidR="00521C00" w:rsidRPr="002C72D1">
              <w:rPr>
                <w:rFonts w:ascii="Calibri" w:eastAsia="ArialMT" w:hAnsi="Calibri"/>
                <w:lang w:val="en-US"/>
              </w:rPr>
              <w:t xml:space="preserve">provides intraday liquidity to a payment system participant, if the latter has a problem with liquidity to complete a payment.  Mechanism of entering into “overdraft” transaction is fully automated and implies provision of liquidity within a few minutes.  </w:t>
            </w:r>
          </w:p>
          <w:p w:rsidR="00A323A6" w:rsidRPr="002C72D1" w:rsidRDefault="00521C00" w:rsidP="00610467">
            <w:pPr>
              <w:suppressAutoHyphens/>
              <w:jc w:val="both"/>
              <w:rPr>
                <w:rFonts w:ascii="Calibri" w:eastAsia="ArialMT" w:hAnsi="Calibri"/>
                <w:lang w:val="en-US"/>
              </w:rPr>
            </w:pPr>
            <w:r w:rsidRPr="002C72D1">
              <w:rPr>
                <w:rFonts w:ascii="Calibri" w:eastAsia="ArialMT" w:hAnsi="Calibri"/>
                <w:lang w:val="en-US"/>
              </w:rPr>
              <w:t xml:space="preserve">In addition, the procedures are stipulated, which are aimed at replenishment of liquidity of the payment system participants in certain stress situations.  </w:t>
            </w:r>
          </w:p>
          <w:p w:rsidR="002D2649" w:rsidRPr="002C72D1" w:rsidRDefault="002D2649" w:rsidP="00610467">
            <w:pPr>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7F69B6" w:rsidRPr="00A9366F" w:rsidRDefault="007F69B6" w:rsidP="007F69B6">
            <w:pPr>
              <w:jc w:val="both"/>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5: Collateral </w:t>
            </w:r>
          </w:p>
          <w:p w:rsidR="007F69B6" w:rsidRPr="00A9366F" w:rsidRDefault="007F69B6" w:rsidP="007F69B6">
            <w:pPr>
              <w:jc w:val="both"/>
              <w:rPr>
                <w:rFonts w:ascii="Calibri" w:eastAsia="ArialMT" w:hAnsi="Calibri"/>
                <w:bCs/>
                <w:i/>
                <w:lang w:val="en-US"/>
              </w:rPr>
            </w:pPr>
            <w:r w:rsidRPr="00A9366F">
              <w:rPr>
                <w:rFonts w:ascii="Calibri" w:eastAsia="ArialMT" w:hAnsi="Calibri"/>
                <w:bCs/>
                <w:i/>
                <w:lang w:val="en-US"/>
              </w:rPr>
              <w:t xml:space="preserve">An FMI that requires collateral to manage its or its participants’ credit exposure should accept collateral with low credit, liquidity, and market risks. An FMI should also set and enforce appropriately conservative haircuts and concentration limits. </w:t>
            </w:r>
          </w:p>
          <w:p w:rsidR="006F65CE" w:rsidRPr="00A9366F" w:rsidRDefault="006F65CE" w:rsidP="007F69B6">
            <w:pPr>
              <w:jc w:val="both"/>
              <w:rPr>
                <w:rFonts w:ascii="Calibri" w:hAnsi="Calibri"/>
                <w:i/>
                <w:lang w:val="en-US"/>
              </w:rPr>
            </w:pPr>
          </w:p>
        </w:tc>
      </w:tr>
      <w:tr w:rsidR="006F65CE" w:rsidRPr="00EA720F" w:rsidTr="00610467">
        <w:tc>
          <w:tcPr>
            <w:tcW w:w="1364" w:type="dxa"/>
            <w:shd w:val="clear" w:color="auto" w:fill="F3F3F3"/>
          </w:tcPr>
          <w:p w:rsidR="006F65CE" w:rsidRPr="00A9366F" w:rsidRDefault="00521C0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A04AAC" w:rsidRPr="002C72D1" w:rsidRDefault="00A04AAC" w:rsidP="00610467">
            <w:pPr>
              <w:jc w:val="both"/>
              <w:rPr>
                <w:rFonts w:ascii="Calibri" w:eastAsia="ArialMT" w:hAnsi="Calibri"/>
                <w:bCs/>
                <w:lang w:val="en-US"/>
              </w:rPr>
            </w:pPr>
            <w:r w:rsidRPr="002C72D1">
              <w:rPr>
                <w:rFonts w:ascii="Calibri" w:eastAsia="ArialMT" w:hAnsi="Calibri"/>
                <w:bCs/>
                <w:lang w:val="en-US"/>
              </w:rPr>
              <w:t xml:space="preserve">In ISMT the National Bank of Kazakhstan provides “overdraft” liquidity to the participants against the pledge of government equity securities issued by the Ministry of Finance of the Republic of Kazakhstan on behalf of the Government of the Republic of Kazakhstan (government treasury bonds), except for the long-term government saving treasury bonds linked to the inflation index.  </w:t>
            </w:r>
          </w:p>
          <w:p w:rsidR="00A04AAC" w:rsidRPr="002C72D1" w:rsidRDefault="00A04AAC" w:rsidP="00610467">
            <w:pPr>
              <w:jc w:val="both"/>
              <w:rPr>
                <w:rFonts w:ascii="Calibri" w:eastAsia="ArialMT" w:hAnsi="Calibri"/>
                <w:bCs/>
                <w:lang w:val="en-US"/>
              </w:rPr>
            </w:pPr>
          </w:p>
          <w:p w:rsidR="00A04AAC" w:rsidRPr="002C72D1" w:rsidRDefault="00A04AAC" w:rsidP="0032750B">
            <w:pPr>
              <w:jc w:val="both"/>
              <w:rPr>
                <w:rFonts w:ascii="Calibri" w:eastAsia="ArialMT" w:hAnsi="Calibri"/>
                <w:bCs/>
                <w:lang w:val="en-US"/>
              </w:rPr>
            </w:pPr>
            <w:r w:rsidRPr="002C72D1">
              <w:rPr>
                <w:rFonts w:ascii="Calibri" w:eastAsia="ArialMT" w:hAnsi="Calibri"/>
                <w:bCs/>
                <w:lang w:val="en-US"/>
              </w:rPr>
              <w:t xml:space="preserve">Liquidity (overdraft) is provided </w:t>
            </w:r>
            <w:r w:rsidR="00F26958" w:rsidRPr="002C72D1">
              <w:rPr>
                <w:rFonts w:ascii="Calibri" w:eastAsia="ArialMT" w:hAnsi="Calibri"/>
                <w:bCs/>
                <w:lang w:val="en-US"/>
              </w:rPr>
              <w:t xml:space="preserve">within </w:t>
            </w:r>
            <w:r w:rsidRPr="002C72D1">
              <w:rPr>
                <w:rFonts w:ascii="Calibri" w:eastAsia="ArialMT" w:hAnsi="Calibri"/>
                <w:bCs/>
                <w:lang w:val="en-US"/>
              </w:rPr>
              <w:t xml:space="preserve">the daily limit, which is set on a monthly basis (limit for a payment system participant to be used during one operating day of ISMT is calculated as a percentage ratio </w:t>
            </w:r>
            <w:r w:rsidR="00E11097" w:rsidRPr="002C72D1">
              <w:rPr>
                <w:rFonts w:ascii="Calibri" w:eastAsia="ArialMT" w:hAnsi="Calibri"/>
                <w:bCs/>
                <w:lang w:val="en-US"/>
              </w:rPr>
              <w:t xml:space="preserve">set by the National Bank of Kazakhstan </w:t>
            </w:r>
            <w:r w:rsidRPr="002C72D1">
              <w:rPr>
                <w:rFonts w:ascii="Calibri" w:eastAsia="ArialMT" w:hAnsi="Calibri"/>
                <w:bCs/>
                <w:lang w:val="en-US"/>
              </w:rPr>
              <w:t xml:space="preserve">of the median value of the amount of outgoing </w:t>
            </w:r>
            <w:r w:rsidR="00C1621F" w:rsidRPr="002C72D1">
              <w:rPr>
                <w:rFonts w:ascii="Calibri" w:eastAsia="ArialMT" w:hAnsi="Calibri"/>
                <w:bCs/>
                <w:lang w:val="en-US"/>
              </w:rPr>
              <w:t>cashless</w:t>
            </w:r>
            <w:r w:rsidRPr="002C72D1">
              <w:rPr>
                <w:rFonts w:ascii="Calibri" w:eastAsia="ArialMT" w:hAnsi="Calibri"/>
                <w:bCs/>
                <w:lang w:val="en-US"/>
              </w:rPr>
              <w:t xml:space="preserve"> payments of said use</w:t>
            </w:r>
            <w:r w:rsidR="00E24071" w:rsidRPr="002C72D1">
              <w:rPr>
                <w:rFonts w:ascii="Calibri" w:eastAsia="ArialMT" w:hAnsi="Calibri"/>
                <w:bCs/>
                <w:lang w:val="en-US"/>
              </w:rPr>
              <w:t>r</w:t>
            </w:r>
            <w:r w:rsidRPr="002C72D1">
              <w:rPr>
                <w:rFonts w:ascii="Calibri" w:eastAsia="ArialMT" w:hAnsi="Calibri"/>
                <w:bCs/>
                <w:lang w:val="en-US"/>
              </w:rPr>
              <w:t xml:space="preserve"> made through ISMT </w:t>
            </w:r>
            <w:r w:rsidR="00E24071" w:rsidRPr="002C72D1">
              <w:rPr>
                <w:rFonts w:ascii="Calibri" w:eastAsia="ArialMT" w:hAnsi="Calibri"/>
                <w:bCs/>
                <w:lang w:val="en-US"/>
              </w:rPr>
              <w:t xml:space="preserve">during </w:t>
            </w:r>
            <w:r w:rsidR="00E11097" w:rsidRPr="002C72D1">
              <w:rPr>
                <w:rFonts w:ascii="Calibri" w:eastAsia="ArialMT" w:hAnsi="Calibri"/>
                <w:bCs/>
                <w:lang w:val="en-US"/>
              </w:rPr>
              <w:t>previous six months</w:t>
            </w:r>
            <w:r w:rsidR="00E24071" w:rsidRPr="002C72D1">
              <w:rPr>
                <w:rFonts w:ascii="Calibri" w:eastAsia="ArialMT" w:hAnsi="Calibri"/>
                <w:bCs/>
                <w:lang w:val="en-US"/>
              </w:rPr>
              <w:t xml:space="preserve">). The liquidity received is used to complete payments of the clients of the payment system participants and may not be used to make payments in the internal and external currency, money and stock markets, including payments according to the clients’ instruction. </w:t>
            </w:r>
          </w:p>
          <w:p w:rsidR="002D2649" w:rsidRPr="002C72D1" w:rsidRDefault="002D2649" w:rsidP="0032750B">
            <w:pPr>
              <w:jc w:val="both"/>
              <w:rPr>
                <w:rFonts w:ascii="Calibri" w:hAnsi="Calibri"/>
                <w:lang w:val="en-US"/>
              </w:rPr>
            </w:pPr>
          </w:p>
        </w:tc>
      </w:tr>
      <w:tr w:rsidR="006F65CE" w:rsidRPr="00EA720F" w:rsidTr="00610467">
        <w:trPr>
          <w:trHeight w:val="530"/>
        </w:trPr>
        <w:tc>
          <w:tcPr>
            <w:tcW w:w="9644" w:type="dxa"/>
            <w:gridSpan w:val="2"/>
            <w:shd w:val="clear" w:color="auto" w:fill="F3F3F3"/>
          </w:tcPr>
          <w:p w:rsidR="007F69B6" w:rsidRPr="00A9366F" w:rsidRDefault="007F69B6" w:rsidP="007F69B6">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6: Margin </w:t>
            </w:r>
          </w:p>
          <w:p w:rsidR="007F69B6" w:rsidRPr="00A9366F" w:rsidRDefault="007F69B6" w:rsidP="007F69B6">
            <w:pPr>
              <w:rPr>
                <w:rFonts w:ascii="Calibri" w:eastAsia="ArialMT" w:hAnsi="Calibri"/>
                <w:bCs/>
                <w:i/>
                <w:lang w:val="en-US"/>
              </w:rPr>
            </w:pPr>
            <w:r w:rsidRPr="00A9366F">
              <w:rPr>
                <w:rFonts w:ascii="Calibri" w:eastAsia="ArialMT" w:hAnsi="Calibri"/>
                <w:bCs/>
                <w:i/>
                <w:lang w:val="en-US"/>
              </w:rPr>
              <w:t xml:space="preserve">A CCP should cover its credit exposures to its participants for all products through an effective margin system that is risk-based and regularly reviewed. </w:t>
            </w:r>
          </w:p>
          <w:p w:rsidR="006F65CE" w:rsidRPr="00A9366F" w:rsidRDefault="006F65CE" w:rsidP="007F69B6">
            <w:pPr>
              <w:jc w:val="both"/>
              <w:rPr>
                <w:rFonts w:ascii="Calibri" w:hAnsi="Calibri"/>
                <w:i/>
                <w:lang w:val="en-US"/>
              </w:rPr>
            </w:pPr>
          </w:p>
        </w:tc>
      </w:tr>
      <w:tr w:rsidR="006F65CE" w:rsidRPr="00EA720F" w:rsidTr="00610467">
        <w:tc>
          <w:tcPr>
            <w:tcW w:w="1364" w:type="dxa"/>
            <w:shd w:val="clear" w:color="auto" w:fill="F3F3F3"/>
          </w:tcPr>
          <w:p w:rsidR="006F65CE" w:rsidRPr="00A9366F" w:rsidRDefault="00E24071" w:rsidP="00610467">
            <w:pPr>
              <w:rPr>
                <w:rFonts w:ascii="Calibri" w:hAnsi="Calibri"/>
                <w:i/>
                <w:lang w:val="en-US"/>
              </w:rPr>
            </w:pPr>
            <w:r w:rsidRPr="00A9366F">
              <w:rPr>
                <w:rFonts w:ascii="Calibri" w:hAnsi="Calibri"/>
                <w:i/>
                <w:lang w:val="en-US"/>
              </w:rPr>
              <w:t xml:space="preserve">Summary </w:t>
            </w:r>
          </w:p>
        </w:tc>
        <w:tc>
          <w:tcPr>
            <w:tcW w:w="8280" w:type="dxa"/>
            <w:shd w:val="clear" w:color="auto" w:fill="F3F3F3"/>
          </w:tcPr>
          <w:p w:rsidR="006F65CE" w:rsidRPr="00A9366F" w:rsidRDefault="00E24071" w:rsidP="00E24071">
            <w:pPr>
              <w:suppressAutoHyphens/>
              <w:jc w:val="both"/>
              <w:rPr>
                <w:rFonts w:ascii="Calibri" w:eastAsia="ArialMT" w:hAnsi="Calibri"/>
                <w:lang w:val="en-US"/>
              </w:rPr>
            </w:pPr>
            <w:r w:rsidRPr="00A9366F">
              <w:rPr>
                <w:rFonts w:ascii="Calibri" w:eastAsia="ArialMT" w:hAnsi="Calibri"/>
                <w:lang w:val="en-US"/>
              </w:rPr>
              <w:t>Provisions of this Principle are not applicable to ISMT and ICS</w:t>
            </w:r>
            <w:r w:rsidR="006F65CE" w:rsidRPr="00A9366F">
              <w:rPr>
                <w:rFonts w:ascii="Calibri" w:eastAsia="ArialMT" w:hAnsi="Calibri"/>
                <w:lang w:val="en-US"/>
              </w:rPr>
              <w:t>.</w:t>
            </w:r>
          </w:p>
          <w:p w:rsidR="00E24071" w:rsidRPr="00A9366F" w:rsidRDefault="00E24071" w:rsidP="00E24071">
            <w:pPr>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7F69B6" w:rsidRPr="00A9366F" w:rsidRDefault="007F69B6" w:rsidP="007F69B6">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7: Liquidity risk </w:t>
            </w:r>
          </w:p>
          <w:p w:rsidR="007F69B6" w:rsidRPr="00A9366F" w:rsidRDefault="007F69B6" w:rsidP="007F69B6">
            <w:pPr>
              <w:jc w:val="both"/>
              <w:rPr>
                <w:rFonts w:ascii="Calibri" w:eastAsia="ArialMT" w:hAnsi="Calibri"/>
                <w:bCs/>
                <w:i/>
                <w:lang w:val="en-US"/>
              </w:rPr>
            </w:pPr>
            <w:r w:rsidRPr="00A9366F">
              <w:rPr>
                <w:rFonts w:ascii="Calibri" w:eastAsia="ArialMT" w:hAnsi="Calibri"/>
                <w:bCs/>
                <w:i/>
                <w:lang w:val="en-US"/>
              </w:rPr>
              <w:t xml:space="preserve">An FMI should effectively measure, monitor, and manage its liquidity risk. An FMI should maintain sufficient liquid resources in all relevant currencies to effect same-day and, where appropriate, intraday and multiday settlement of payment obligations with a high degree of confidence under a wide range of potential stress scenarios that should include, but not be limited to, the default of the participant and its affiliates that would generate the largest aggregate liquidity obligation for the FMI in extreme but plausible market conditions. </w:t>
            </w:r>
          </w:p>
          <w:p w:rsidR="006F65CE" w:rsidRPr="00A9366F" w:rsidRDefault="006F65CE" w:rsidP="007F69B6">
            <w:pPr>
              <w:jc w:val="both"/>
              <w:rPr>
                <w:rFonts w:ascii="Calibri"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2C72D1" w:rsidRDefault="00E24071" w:rsidP="00610467">
            <w:pPr>
              <w:suppressAutoHyphens/>
              <w:jc w:val="both"/>
              <w:rPr>
                <w:rFonts w:ascii="Calibri" w:eastAsia="ArialMT" w:hAnsi="Calibri"/>
                <w:lang w:val="en-US"/>
              </w:rPr>
            </w:pPr>
            <w:r w:rsidRPr="002C72D1">
              <w:rPr>
                <w:rFonts w:ascii="Calibri" w:eastAsia="ArialMT" w:hAnsi="Calibri"/>
                <w:lang w:val="en-US"/>
              </w:rPr>
              <w:t>To manage liquidity risk the following mechanisms are used in ISMT</w:t>
            </w:r>
            <w:r w:rsidR="006F65CE" w:rsidRPr="002C72D1">
              <w:rPr>
                <w:rFonts w:ascii="Calibri" w:eastAsia="ArialMT" w:hAnsi="Calibri"/>
                <w:lang w:val="en-US"/>
              </w:rPr>
              <w:t>:</w:t>
            </w:r>
          </w:p>
          <w:p w:rsidR="006F65CE" w:rsidRPr="002C72D1" w:rsidRDefault="006F65CE" w:rsidP="00610467">
            <w:pPr>
              <w:suppressAutoHyphens/>
              <w:jc w:val="both"/>
              <w:rPr>
                <w:rFonts w:ascii="Calibri" w:eastAsia="ArialMT" w:hAnsi="Calibri"/>
                <w:lang w:val="en-US"/>
              </w:rPr>
            </w:pPr>
            <w:r w:rsidRPr="002C72D1">
              <w:rPr>
                <w:rFonts w:ascii="Calibri" w:eastAsia="ArialMT" w:hAnsi="Calibri"/>
                <w:lang w:val="en-US"/>
              </w:rPr>
              <w:t>1)</w:t>
            </w:r>
            <w:r w:rsidR="00E24071" w:rsidRPr="002C72D1">
              <w:rPr>
                <w:rFonts w:ascii="Calibri" w:eastAsia="ArialMT" w:hAnsi="Calibri"/>
                <w:lang w:val="en-US"/>
              </w:rPr>
              <w:t xml:space="preserve"> a queue management mechanism</w:t>
            </w:r>
            <w:r w:rsidRPr="002C72D1">
              <w:rPr>
                <w:rFonts w:ascii="Calibri" w:eastAsia="ArialMT" w:hAnsi="Calibri"/>
                <w:lang w:val="en-US"/>
              </w:rPr>
              <w:t>;</w:t>
            </w:r>
          </w:p>
          <w:p w:rsidR="006F65CE" w:rsidRPr="002C72D1" w:rsidRDefault="006F65CE" w:rsidP="00610467">
            <w:pPr>
              <w:suppressAutoHyphens/>
              <w:jc w:val="both"/>
              <w:rPr>
                <w:rFonts w:ascii="Calibri" w:eastAsia="ArialMT" w:hAnsi="Calibri"/>
                <w:lang w:val="en-US"/>
              </w:rPr>
            </w:pPr>
            <w:r w:rsidRPr="002C72D1">
              <w:rPr>
                <w:rFonts w:ascii="Calibri" w:eastAsia="ArialMT" w:hAnsi="Calibri"/>
                <w:lang w:val="en-US"/>
              </w:rPr>
              <w:t xml:space="preserve">2) </w:t>
            </w:r>
            <w:r w:rsidR="00E24071" w:rsidRPr="002C72D1">
              <w:rPr>
                <w:rFonts w:ascii="Calibri" w:eastAsia="ArialMT" w:hAnsi="Calibri"/>
                <w:lang w:val="en-US"/>
              </w:rPr>
              <w:t>additional money transfers from a correspondent account of a payment system participant opened with the National Bank of Kazakhstan to its position in ISMT</w:t>
            </w:r>
            <w:r w:rsidRPr="002C72D1">
              <w:rPr>
                <w:rFonts w:ascii="Calibri" w:eastAsia="ArialMT" w:hAnsi="Calibri"/>
                <w:lang w:val="en-US"/>
              </w:rPr>
              <w:t>:</w:t>
            </w:r>
          </w:p>
          <w:p w:rsidR="006F65CE" w:rsidRPr="002C72D1" w:rsidRDefault="006F65CE" w:rsidP="00610467">
            <w:pPr>
              <w:suppressAutoHyphens/>
              <w:jc w:val="both"/>
              <w:rPr>
                <w:rFonts w:ascii="Calibri" w:eastAsia="ArialMT" w:hAnsi="Calibri"/>
                <w:lang w:val="en-US"/>
              </w:rPr>
            </w:pPr>
            <w:r w:rsidRPr="002C72D1">
              <w:rPr>
                <w:rFonts w:ascii="Calibri" w:eastAsia="ArialMT" w:hAnsi="Calibri"/>
                <w:lang w:val="en-US"/>
              </w:rPr>
              <w:t xml:space="preserve">- </w:t>
            </w:r>
            <w:r w:rsidR="002D1528" w:rsidRPr="002C72D1">
              <w:rPr>
                <w:rFonts w:ascii="Calibri" w:eastAsia="ArialMT" w:hAnsi="Calibri"/>
                <w:lang w:val="en-US"/>
              </w:rPr>
              <w:t>if there is not sufficient liquidity to settle the net position in ISMT based on the clearing results</w:t>
            </w:r>
            <w:r w:rsidRPr="002C72D1">
              <w:rPr>
                <w:rFonts w:ascii="Calibri" w:eastAsia="ArialMT" w:hAnsi="Calibri"/>
                <w:lang w:val="en-US"/>
              </w:rPr>
              <w:t xml:space="preserve">; </w:t>
            </w:r>
          </w:p>
          <w:p w:rsidR="002D1528" w:rsidRPr="002C72D1" w:rsidRDefault="006F65CE" w:rsidP="00610467">
            <w:pPr>
              <w:suppressAutoHyphens/>
              <w:jc w:val="both"/>
              <w:rPr>
                <w:rFonts w:ascii="Calibri" w:eastAsia="ArialMT" w:hAnsi="Calibri"/>
                <w:lang w:val="en-US"/>
              </w:rPr>
            </w:pPr>
            <w:r w:rsidRPr="002C72D1">
              <w:rPr>
                <w:rFonts w:ascii="Calibri" w:eastAsia="ArialMT" w:hAnsi="Calibri"/>
                <w:lang w:val="en-US"/>
              </w:rPr>
              <w:t xml:space="preserve">- </w:t>
            </w:r>
            <w:proofErr w:type="gramStart"/>
            <w:r w:rsidR="002D1528" w:rsidRPr="002C72D1">
              <w:rPr>
                <w:rFonts w:ascii="Calibri" w:eastAsia="ArialMT" w:hAnsi="Calibri"/>
                <w:lang w:val="en-US"/>
              </w:rPr>
              <w:t>if</w:t>
            </w:r>
            <w:proofErr w:type="gramEnd"/>
            <w:r w:rsidR="002D1528" w:rsidRPr="002C72D1">
              <w:rPr>
                <w:rFonts w:ascii="Calibri" w:eastAsia="ArialMT" w:hAnsi="Calibri"/>
                <w:lang w:val="en-US"/>
              </w:rPr>
              <w:t xml:space="preserve"> a participant has a queue of payment documents at the end of the operating day (within thirty minutes before the operating day closing).  If there is no sufficient </w:t>
            </w:r>
            <w:r w:rsidR="00F26958" w:rsidRPr="002C72D1">
              <w:rPr>
                <w:rFonts w:ascii="Calibri" w:eastAsia="ArialMT" w:hAnsi="Calibri"/>
                <w:lang w:val="en-US"/>
              </w:rPr>
              <w:t xml:space="preserve">money </w:t>
            </w:r>
            <w:r w:rsidR="002D1528" w:rsidRPr="002C72D1">
              <w:rPr>
                <w:rFonts w:ascii="Calibri" w:eastAsia="ArialMT" w:hAnsi="Calibri"/>
                <w:lang w:val="en-US"/>
              </w:rPr>
              <w:t xml:space="preserve">on the correspondent account of a payment system participant with the National Bank of Kazakhstan, a responsible officer of the National Bank of Kazakhstan, jointly with the participant, considers methods to settle this queue; </w:t>
            </w:r>
          </w:p>
          <w:p w:rsidR="002D1528" w:rsidRPr="002C72D1" w:rsidRDefault="005528B2" w:rsidP="00610467">
            <w:pPr>
              <w:suppressAutoHyphens/>
              <w:jc w:val="both"/>
              <w:rPr>
                <w:rFonts w:ascii="Calibri" w:eastAsia="ArialMT" w:hAnsi="Calibri"/>
                <w:lang w:val="en-US"/>
              </w:rPr>
            </w:pPr>
            <w:r w:rsidRPr="002C72D1">
              <w:rPr>
                <w:rFonts w:ascii="Calibri" w:eastAsia="ArialMT" w:hAnsi="Calibri"/>
                <w:lang w:val="en-US"/>
              </w:rPr>
              <w:t xml:space="preserve">3) </w:t>
            </w:r>
            <w:r w:rsidR="002D1528" w:rsidRPr="002C72D1">
              <w:rPr>
                <w:rFonts w:ascii="Calibri" w:eastAsia="ArialMT" w:hAnsi="Calibri"/>
                <w:lang w:val="en-US"/>
              </w:rPr>
              <w:t xml:space="preserve">the National Bank of Kazakhstan provides liquidity to a payment system participant against pledge of securities (“overdraft” transaction); </w:t>
            </w:r>
          </w:p>
          <w:p w:rsidR="002D1528" w:rsidRPr="002C72D1" w:rsidRDefault="005528B2" w:rsidP="00610467">
            <w:pPr>
              <w:suppressAutoHyphens/>
              <w:jc w:val="both"/>
              <w:rPr>
                <w:rFonts w:ascii="Calibri" w:eastAsia="ArialMT" w:hAnsi="Calibri"/>
                <w:lang w:val="en-US"/>
              </w:rPr>
            </w:pPr>
            <w:r w:rsidRPr="002C72D1">
              <w:rPr>
                <w:rFonts w:ascii="Calibri" w:eastAsia="ArialMT" w:hAnsi="Calibri"/>
                <w:lang w:val="en-US"/>
              </w:rPr>
              <w:t xml:space="preserve">4) </w:t>
            </w:r>
            <w:r w:rsidR="002D1528" w:rsidRPr="002C72D1">
              <w:rPr>
                <w:rFonts w:ascii="Calibri" w:eastAsia="ArialMT" w:hAnsi="Calibri"/>
                <w:lang w:val="en-US"/>
              </w:rPr>
              <w:t xml:space="preserve">if at the end of the ISMT operating day two or more participants have the unsettled queues of payment documents, KISC offsets the payment document in the queue with due account of the balance of cash of the participants in the system. </w:t>
            </w:r>
          </w:p>
          <w:p w:rsidR="002D1528" w:rsidRPr="002C72D1" w:rsidRDefault="002D1528" w:rsidP="00610467">
            <w:pPr>
              <w:suppressAutoHyphens/>
              <w:jc w:val="both"/>
              <w:rPr>
                <w:rFonts w:ascii="Calibri" w:eastAsia="ArialMT" w:hAnsi="Calibri"/>
                <w:lang w:val="en-US"/>
              </w:rPr>
            </w:pPr>
          </w:p>
          <w:p w:rsidR="00A44398" w:rsidRPr="002C72D1" w:rsidRDefault="00A44398" w:rsidP="00610467">
            <w:pPr>
              <w:suppressAutoHyphens/>
              <w:jc w:val="both"/>
              <w:rPr>
                <w:rFonts w:ascii="Calibri" w:eastAsia="ArialMT" w:hAnsi="Calibri"/>
                <w:lang w:val="en-US"/>
              </w:rPr>
            </w:pPr>
            <w:r w:rsidRPr="002C72D1">
              <w:rPr>
                <w:rFonts w:ascii="Calibri" w:eastAsia="ArialMT" w:hAnsi="Calibri"/>
                <w:lang w:val="en-US"/>
              </w:rPr>
              <w:t>To manage liquidity risk IC</w:t>
            </w:r>
            <w:r w:rsidR="00055BE7" w:rsidRPr="002C72D1">
              <w:rPr>
                <w:rFonts w:ascii="Calibri" w:eastAsia="ArialMT" w:hAnsi="Calibri"/>
                <w:lang w:val="en-US"/>
              </w:rPr>
              <w:t>S</w:t>
            </w:r>
            <w:r w:rsidRPr="002C72D1">
              <w:rPr>
                <w:rFonts w:ascii="Calibri" w:eastAsia="ArialMT" w:hAnsi="Calibri"/>
                <w:lang w:val="en-US"/>
              </w:rPr>
              <w:t xml:space="preserve"> uses mechanism of </w:t>
            </w:r>
            <w:r w:rsidR="00C53867" w:rsidRPr="002C72D1">
              <w:rPr>
                <w:rFonts w:ascii="Calibri" w:eastAsia="ArialMT" w:hAnsi="Calibri"/>
                <w:lang w:val="en-US"/>
              </w:rPr>
              <w:t>«</w:t>
            </w:r>
            <w:r w:rsidRPr="002C72D1">
              <w:rPr>
                <w:rFonts w:ascii="Calibri" w:eastAsia="ArialMT" w:hAnsi="Calibri"/>
                <w:lang w:val="en-US"/>
              </w:rPr>
              <w:t xml:space="preserve">queue </w:t>
            </w:r>
            <w:r w:rsidR="00C53867" w:rsidRPr="002C72D1">
              <w:rPr>
                <w:rFonts w:ascii="Calibri" w:eastAsia="ArialMT" w:hAnsi="Calibri"/>
                <w:lang w:val="en-US"/>
              </w:rPr>
              <w:t xml:space="preserve">unwinding» </w:t>
            </w:r>
            <w:r w:rsidRPr="002C72D1">
              <w:rPr>
                <w:rFonts w:ascii="Calibri" w:eastAsia="ArialMT" w:hAnsi="Calibri"/>
                <w:lang w:val="en-US"/>
              </w:rPr>
              <w:t xml:space="preserve">of payment documents and recalculation of new positions of the payment system participants. </w:t>
            </w:r>
          </w:p>
          <w:p w:rsidR="00A44398" w:rsidRPr="002C72D1" w:rsidRDefault="00A44398" w:rsidP="00610467">
            <w:pPr>
              <w:suppressAutoHyphens/>
              <w:jc w:val="both"/>
              <w:rPr>
                <w:rFonts w:ascii="Calibri" w:eastAsia="ArialMT" w:hAnsi="Calibri"/>
                <w:lang w:val="en-US"/>
              </w:rPr>
            </w:pPr>
          </w:p>
          <w:p w:rsidR="000F616A" w:rsidRPr="002C72D1" w:rsidRDefault="000F616A" w:rsidP="00AB2BFD">
            <w:pPr>
              <w:tabs>
                <w:tab w:val="left" w:pos="1234"/>
              </w:tabs>
              <w:suppressAutoHyphens/>
              <w:jc w:val="both"/>
              <w:rPr>
                <w:rFonts w:ascii="Calibri" w:eastAsia="ArialMT" w:hAnsi="Calibri"/>
                <w:lang w:val="en-US"/>
              </w:rPr>
            </w:pPr>
            <w:r w:rsidRPr="002C72D1">
              <w:rPr>
                <w:rFonts w:ascii="Calibri" w:eastAsia="ArialMT" w:hAnsi="Calibri"/>
                <w:lang w:val="en-US"/>
              </w:rPr>
              <w:t xml:space="preserve">In this regard the National Bank of Kazakhstan exercises the continuous monitoring of positions of the payment system participants in real time and make analysis of information on the unused (recalled) payments in ISMT, queue of the payment documents for the preceding day, annulled payment documents in ICS, on a daily basis as a part of oversight of the payment systems. </w:t>
            </w:r>
          </w:p>
          <w:p w:rsidR="006F65CE" w:rsidRPr="002C72D1" w:rsidRDefault="006F65CE" w:rsidP="00AB2BFD">
            <w:pPr>
              <w:tabs>
                <w:tab w:val="left" w:pos="1234"/>
              </w:tabs>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277811" w:rsidRPr="00A9366F" w:rsidRDefault="00277811" w:rsidP="00277811">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8: Settlement finality </w:t>
            </w:r>
          </w:p>
          <w:p w:rsidR="006F65CE" w:rsidRPr="00A9366F" w:rsidRDefault="00277811" w:rsidP="00277811">
            <w:pPr>
              <w:jc w:val="both"/>
              <w:rPr>
                <w:rFonts w:ascii="Calibri" w:eastAsia="ArialMT" w:hAnsi="Calibri"/>
                <w:bCs/>
                <w:i/>
                <w:lang w:val="en-US"/>
              </w:rPr>
            </w:pPr>
            <w:r w:rsidRPr="00A9366F">
              <w:rPr>
                <w:rFonts w:ascii="Calibri" w:eastAsia="ArialMT" w:hAnsi="Calibri"/>
                <w:bCs/>
                <w:i/>
                <w:lang w:val="en-US"/>
              </w:rPr>
              <w:t xml:space="preserve">An FMI should provide clear and certain final settlement, at a minimum by the end of the value date. Where necessary or preferable, an FMI should provide final settlement intraday or in real time. </w:t>
            </w:r>
          </w:p>
          <w:p w:rsidR="00277811" w:rsidRPr="00A9366F" w:rsidRDefault="00277811" w:rsidP="00277811">
            <w:pPr>
              <w:jc w:val="both"/>
              <w:rPr>
                <w:rFonts w:ascii="Calibri" w:eastAsia="ArialMT" w:hAnsi="Calibri"/>
                <w:bCs/>
                <w:i/>
                <w:lang w:val="en-US"/>
              </w:rPr>
            </w:pPr>
          </w:p>
        </w:tc>
      </w:tr>
      <w:tr w:rsidR="006F65CE" w:rsidRPr="00A9366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974520" w:rsidRPr="00A9366F" w:rsidRDefault="00974520" w:rsidP="00610467">
            <w:pPr>
              <w:suppressAutoHyphens/>
              <w:jc w:val="both"/>
              <w:rPr>
                <w:rFonts w:ascii="Calibri" w:eastAsia="ArialMT" w:hAnsi="Calibri"/>
                <w:lang w:val="en-US"/>
              </w:rPr>
            </w:pPr>
            <w:r w:rsidRPr="00A9366F">
              <w:rPr>
                <w:rFonts w:ascii="Calibri" w:eastAsia="ArialMT" w:hAnsi="Calibri"/>
                <w:lang w:val="en-US"/>
              </w:rPr>
              <w:t>ISMT ensures a final settlement of each payment document individually, in real time. ICS ensures a final settlement within one operating day.</w:t>
            </w:r>
          </w:p>
          <w:p w:rsidR="006F65CE" w:rsidRPr="00A9366F" w:rsidRDefault="006F65CE" w:rsidP="00610467">
            <w:pPr>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85478C" w:rsidRPr="00A9366F" w:rsidRDefault="0085478C" w:rsidP="0085478C">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9: Money settlements </w:t>
            </w:r>
          </w:p>
          <w:p w:rsidR="006F65CE" w:rsidRPr="00A9366F" w:rsidRDefault="0085478C" w:rsidP="0085478C">
            <w:pPr>
              <w:jc w:val="both"/>
              <w:rPr>
                <w:rFonts w:ascii="Calibri" w:eastAsia="ArialMT" w:hAnsi="Calibri"/>
                <w:bCs/>
                <w:i/>
                <w:lang w:val="en-US"/>
              </w:rPr>
            </w:pPr>
            <w:r w:rsidRPr="00A9366F">
              <w:rPr>
                <w:rFonts w:ascii="Calibri" w:eastAsia="ArialMT" w:hAnsi="Calibri"/>
                <w:bCs/>
                <w:i/>
                <w:lang w:val="en-US"/>
              </w:rPr>
              <w:t xml:space="preserve">An FMI should conduct its money settlements in central bank money where practical and available. If central bank money is not used, an FMI should </w:t>
            </w:r>
            <w:r w:rsidR="00550E0F" w:rsidRPr="00A9366F">
              <w:rPr>
                <w:rFonts w:ascii="Calibri" w:eastAsia="ArialMT" w:hAnsi="Calibri"/>
                <w:bCs/>
                <w:i/>
                <w:lang w:val="en-US"/>
              </w:rPr>
              <w:t>minimize</w:t>
            </w:r>
            <w:r w:rsidRPr="00A9366F">
              <w:rPr>
                <w:rFonts w:ascii="Calibri" w:eastAsia="ArialMT" w:hAnsi="Calibri"/>
                <w:bCs/>
                <w:i/>
                <w:lang w:val="en-US"/>
              </w:rPr>
              <w:t xml:space="preserve"> and strictly control the credit and liquidity risk arising from the use of commercial bank money</w:t>
            </w: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244BF6" w:rsidRPr="002C72D1" w:rsidRDefault="00244BF6" w:rsidP="00610467">
            <w:pPr>
              <w:jc w:val="both"/>
              <w:rPr>
                <w:rFonts w:ascii="Calibri" w:hAnsi="Calibri"/>
                <w:lang w:val="en-US"/>
              </w:rPr>
            </w:pPr>
            <w:r w:rsidRPr="002C72D1">
              <w:rPr>
                <w:rFonts w:ascii="Calibri" w:hAnsi="Calibri"/>
                <w:lang w:val="en-US"/>
              </w:rPr>
              <w:t xml:space="preserve">Money is transferred to ISMT within the limits of amounts available on the correspondent accounts of the system participants with the National Bank of Kazakhstan. Settlements based on the clearing results in ICS are made in ISMT.  Money available on the accounts with the second tier banks (commercial banks) </w:t>
            </w:r>
            <w:r w:rsidR="003A522E" w:rsidRPr="002C72D1">
              <w:rPr>
                <w:rFonts w:ascii="Calibri" w:hAnsi="Calibri"/>
                <w:lang w:val="en-US"/>
              </w:rPr>
              <w:t xml:space="preserve">is not used. Therefore, the National Bank of Kazakhstan appears to be the only settlement bank </w:t>
            </w:r>
            <w:r w:rsidR="00C53867" w:rsidRPr="002C72D1">
              <w:rPr>
                <w:rFonts w:ascii="Calibri" w:hAnsi="Calibri"/>
                <w:lang w:val="en-US"/>
              </w:rPr>
              <w:t xml:space="preserve">and operator </w:t>
            </w:r>
            <w:r w:rsidR="003A522E" w:rsidRPr="002C72D1">
              <w:rPr>
                <w:rFonts w:ascii="Calibri" w:hAnsi="Calibri"/>
                <w:lang w:val="en-US"/>
              </w:rPr>
              <w:t xml:space="preserve">of ISMT. </w:t>
            </w:r>
          </w:p>
          <w:p w:rsidR="006F65CE" w:rsidRPr="002C72D1" w:rsidRDefault="006F65CE" w:rsidP="00AB2BFD">
            <w:pPr>
              <w:jc w:val="both"/>
              <w:rPr>
                <w:rFonts w:ascii="Calibri" w:hAnsi="Calibri"/>
                <w:lang w:val="en-US"/>
              </w:rPr>
            </w:pPr>
          </w:p>
        </w:tc>
      </w:tr>
      <w:tr w:rsidR="006F65CE" w:rsidRPr="00EA720F" w:rsidTr="00610467">
        <w:trPr>
          <w:trHeight w:val="762"/>
        </w:trPr>
        <w:tc>
          <w:tcPr>
            <w:tcW w:w="9644" w:type="dxa"/>
            <w:gridSpan w:val="2"/>
            <w:shd w:val="clear" w:color="auto" w:fill="F3F3F3"/>
          </w:tcPr>
          <w:p w:rsidR="0085478C" w:rsidRPr="00A9366F" w:rsidRDefault="0085478C" w:rsidP="0085478C">
            <w:pPr>
              <w:rPr>
                <w:rFonts w:ascii="Calibri" w:hAnsi="Calibri"/>
                <w:b/>
                <w:bCs/>
                <w:i/>
                <w:color w:val="548DD4" w:themeColor="text2" w:themeTint="99"/>
                <w:lang w:val="en-US"/>
              </w:rPr>
            </w:pPr>
            <w:bookmarkStart w:id="17" w:name="_Toc407204674"/>
            <w:bookmarkStart w:id="18" w:name="_Toc480772952"/>
            <w:bookmarkStart w:id="19" w:name="_Toc480825641"/>
            <w:bookmarkStart w:id="20" w:name="_Toc481139482"/>
            <w:r w:rsidRPr="00A9366F">
              <w:rPr>
                <w:rFonts w:ascii="Calibri" w:hAnsi="Calibri"/>
                <w:b/>
                <w:bCs/>
                <w:i/>
                <w:color w:val="548DD4" w:themeColor="text2" w:themeTint="99"/>
                <w:lang w:val="en-US"/>
              </w:rPr>
              <w:t xml:space="preserve">Principle 10: Physical deliveries </w:t>
            </w:r>
          </w:p>
          <w:p w:rsidR="006F65CE" w:rsidRPr="00A9366F" w:rsidRDefault="0085478C" w:rsidP="0085478C">
            <w:pPr>
              <w:jc w:val="both"/>
              <w:rPr>
                <w:rFonts w:ascii="Calibri" w:eastAsia="ArialMT" w:hAnsi="Calibri"/>
                <w:i/>
                <w:lang w:val="en-US"/>
              </w:rPr>
            </w:pPr>
            <w:r w:rsidRPr="00A9366F">
              <w:rPr>
                <w:rFonts w:ascii="Calibri" w:eastAsia="ArialMT" w:hAnsi="Calibri"/>
                <w:i/>
                <w:lang w:val="en-US"/>
              </w:rPr>
              <w:t xml:space="preserve">An FMI should clearly state its obligations with respect to the delivery of physical instruments or commodities and should identify, monitor, and manage the risks associated with such physical deliveries. </w:t>
            </w:r>
            <w:bookmarkEnd w:id="17"/>
            <w:bookmarkEnd w:id="18"/>
            <w:bookmarkEnd w:id="19"/>
            <w:bookmarkEnd w:id="20"/>
          </w:p>
          <w:p w:rsidR="0085478C" w:rsidRPr="00A9366F" w:rsidRDefault="0085478C" w:rsidP="0085478C">
            <w:pPr>
              <w:jc w:val="both"/>
              <w:rPr>
                <w:rFonts w:ascii="Calibri" w:eastAsia="ArialMT"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A9366F" w:rsidRDefault="000248DB" w:rsidP="00610467">
            <w:pPr>
              <w:jc w:val="both"/>
              <w:rPr>
                <w:rFonts w:ascii="Calibri" w:eastAsia="ArialMT" w:hAnsi="Calibri"/>
                <w:lang w:val="en-US"/>
              </w:rPr>
            </w:pPr>
            <w:r w:rsidRPr="00A9366F">
              <w:rPr>
                <w:rFonts w:ascii="Calibri" w:eastAsia="ArialMT" w:hAnsi="Calibri"/>
                <w:lang w:val="en-US"/>
              </w:rPr>
              <w:t>Provisions of this Principle are not applicable to ISMT and ICS.</w:t>
            </w:r>
          </w:p>
          <w:p w:rsidR="000248DB" w:rsidRPr="00A9366F" w:rsidRDefault="000248DB" w:rsidP="00610467">
            <w:pPr>
              <w:jc w:val="both"/>
              <w:rPr>
                <w:rFonts w:ascii="Calibri" w:hAnsi="Calibri"/>
                <w:lang w:val="en-US"/>
              </w:rPr>
            </w:pPr>
          </w:p>
        </w:tc>
      </w:tr>
      <w:tr w:rsidR="006F65CE" w:rsidRPr="00EA720F" w:rsidTr="00610467">
        <w:trPr>
          <w:trHeight w:val="530"/>
        </w:trPr>
        <w:tc>
          <w:tcPr>
            <w:tcW w:w="9644" w:type="dxa"/>
            <w:gridSpan w:val="2"/>
            <w:shd w:val="clear" w:color="auto" w:fill="F3F3F3"/>
          </w:tcPr>
          <w:p w:rsidR="001252F6" w:rsidRPr="00A9366F" w:rsidRDefault="001252F6" w:rsidP="001252F6">
            <w:pPr>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11: Central securities depositories </w:t>
            </w:r>
          </w:p>
          <w:p w:rsidR="006F65CE" w:rsidRPr="00A9366F" w:rsidRDefault="001252F6" w:rsidP="00361A78">
            <w:pPr>
              <w:jc w:val="both"/>
              <w:rPr>
                <w:rFonts w:ascii="Calibri" w:eastAsia="ArialMT" w:hAnsi="Calibri"/>
                <w:i/>
                <w:lang w:val="en-US"/>
              </w:rPr>
            </w:pPr>
            <w:r w:rsidRPr="00A9366F">
              <w:rPr>
                <w:rFonts w:ascii="Calibri" w:eastAsia="ArialMT" w:hAnsi="Calibri"/>
                <w:i/>
                <w:lang w:val="en-US"/>
              </w:rPr>
              <w:t xml:space="preserve">A CSD should have appropriate rules and procedures to help ensure the integrity of securities issues and </w:t>
            </w:r>
            <w:r w:rsidR="00550E0F" w:rsidRPr="00A9366F">
              <w:rPr>
                <w:rFonts w:ascii="Calibri" w:eastAsia="ArialMT" w:hAnsi="Calibri"/>
                <w:i/>
                <w:lang w:val="en-US"/>
              </w:rPr>
              <w:t>minimize</w:t>
            </w:r>
            <w:r w:rsidRPr="00A9366F">
              <w:rPr>
                <w:rFonts w:ascii="Calibri" w:eastAsia="ArialMT" w:hAnsi="Calibri"/>
                <w:i/>
                <w:lang w:val="en-US"/>
              </w:rPr>
              <w:t xml:space="preserve"> and manage the risks associated with the safekeeping and transfer of securities. A CSD should maintain securities in an </w:t>
            </w:r>
            <w:r w:rsidR="00550E0F" w:rsidRPr="00A9366F">
              <w:rPr>
                <w:rFonts w:ascii="Calibri" w:eastAsia="ArialMT" w:hAnsi="Calibri"/>
                <w:i/>
                <w:lang w:val="en-US"/>
              </w:rPr>
              <w:t>immobilized</w:t>
            </w:r>
            <w:r w:rsidRPr="00A9366F">
              <w:rPr>
                <w:rFonts w:ascii="Calibri" w:eastAsia="ArialMT" w:hAnsi="Calibri"/>
                <w:i/>
                <w:lang w:val="en-US"/>
              </w:rPr>
              <w:t xml:space="preserve"> or </w:t>
            </w:r>
            <w:r w:rsidR="00550E0F" w:rsidRPr="00A9366F">
              <w:rPr>
                <w:rFonts w:ascii="Calibri" w:eastAsia="ArialMT" w:hAnsi="Calibri"/>
                <w:i/>
                <w:lang w:val="en-US"/>
              </w:rPr>
              <w:t>dematerialized</w:t>
            </w:r>
            <w:r w:rsidRPr="00A9366F">
              <w:rPr>
                <w:rFonts w:ascii="Calibri" w:eastAsia="ArialMT" w:hAnsi="Calibri"/>
                <w:i/>
                <w:lang w:val="en-US"/>
              </w:rPr>
              <w:t xml:space="preserve"> form for their transfer by book entry. </w:t>
            </w:r>
          </w:p>
          <w:p w:rsidR="00361A78" w:rsidRPr="00A9366F" w:rsidRDefault="00361A78" w:rsidP="00361A78">
            <w:pPr>
              <w:jc w:val="both"/>
              <w:rPr>
                <w:rFonts w:ascii="Calibri" w:eastAsia="ArialMT"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A9366F" w:rsidRDefault="000248DB" w:rsidP="00610467">
            <w:pPr>
              <w:rPr>
                <w:rFonts w:ascii="Calibri" w:hAnsi="Calibri"/>
                <w:lang w:val="en-US"/>
              </w:rPr>
            </w:pPr>
            <w:r w:rsidRPr="00A9366F">
              <w:rPr>
                <w:rFonts w:ascii="Calibri" w:eastAsia="ArialMT" w:hAnsi="Calibri"/>
                <w:lang w:val="en-US"/>
              </w:rPr>
              <w:t>Provisions of this Principle are not applicable to ISMT and ICS.</w:t>
            </w:r>
          </w:p>
        </w:tc>
      </w:tr>
      <w:tr w:rsidR="006F65CE" w:rsidRPr="00EA720F" w:rsidTr="00610467">
        <w:trPr>
          <w:trHeight w:val="530"/>
        </w:trPr>
        <w:tc>
          <w:tcPr>
            <w:tcW w:w="9644" w:type="dxa"/>
            <w:gridSpan w:val="2"/>
            <w:shd w:val="clear" w:color="auto" w:fill="F3F3F3"/>
          </w:tcPr>
          <w:p w:rsidR="00361A78" w:rsidRPr="00A9366F" w:rsidRDefault="00361A78" w:rsidP="00361A78">
            <w:pPr>
              <w:rPr>
                <w:rFonts w:ascii="Calibri" w:hAnsi="Calibri"/>
                <w:b/>
                <w:bCs/>
                <w:i/>
                <w:color w:val="548DD4" w:themeColor="text2" w:themeTint="99"/>
                <w:lang w:val="en-US"/>
              </w:rPr>
            </w:pPr>
            <w:bookmarkStart w:id="21" w:name="_Toc407204676"/>
            <w:bookmarkStart w:id="22" w:name="_Toc480772954"/>
            <w:bookmarkStart w:id="23" w:name="_Toc480825643"/>
            <w:bookmarkStart w:id="24" w:name="_Toc481139484"/>
            <w:r w:rsidRPr="00A9366F">
              <w:rPr>
                <w:rFonts w:ascii="Calibri" w:hAnsi="Calibri"/>
                <w:b/>
                <w:bCs/>
                <w:i/>
                <w:color w:val="548DD4" w:themeColor="text2" w:themeTint="99"/>
                <w:lang w:val="en-US"/>
              </w:rPr>
              <w:t xml:space="preserve">Principle 12: Exchange-of-value settlement systems </w:t>
            </w:r>
          </w:p>
          <w:p w:rsidR="00361A78" w:rsidRPr="00A9366F" w:rsidRDefault="00361A78" w:rsidP="00361A78">
            <w:pPr>
              <w:jc w:val="both"/>
              <w:rPr>
                <w:rFonts w:ascii="Calibri" w:eastAsia="ArialMT" w:hAnsi="Calibri"/>
                <w:bCs/>
                <w:i/>
                <w:lang w:val="en-US"/>
              </w:rPr>
            </w:pPr>
            <w:r w:rsidRPr="00A9366F">
              <w:rPr>
                <w:rFonts w:ascii="Calibri" w:eastAsia="ArialMT" w:hAnsi="Calibri"/>
                <w:bCs/>
                <w:i/>
                <w:lang w:val="en-US"/>
              </w:rPr>
              <w:t xml:space="preserve">If an FMI settles transactions that involve the settlement of two linked obligations (for example, securities or foreign exchange transactions), it should eliminate principal risk by conditioning the final settlement of one obligation upon the final settlement of the other. </w:t>
            </w:r>
            <w:bookmarkEnd w:id="21"/>
            <w:bookmarkEnd w:id="22"/>
            <w:bookmarkEnd w:id="23"/>
            <w:bookmarkEnd w:id="24"/>
          </w:p>
          <w:p w:rsidR="006F65CE" w:rsidRPr="00A9366F" w:rsidRDefault="006F65CE" w:rsidP="00610467">
            <w:pPr>
              <w:jc w:val="both"/>
              <w:rPr>
                <w:rFonts w:ascii="Calibri"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2C72D1" w:rsidRDefault="0050190F" w:rsidP="0050190F">
            <w:pPr>
              <w:suppressAutoHyphens/>
              <w:autoSpaceDE w:val="0"/>
              <w:autoSpaceDN w:val="0"/>
              <w:adjustRightInd w:val="0"/>
              <w:jc w:val="both"/>
              <w:rPr>
                <w:rFonts w:ascii="Calibri" w:hAnsi="Calibri"/>
                <w:lang w:val="en-US"/>
              </w:rPr>
            </w:pPr>
            <w:r w:rsidRPr="002C72D1">
              <w:rPr>
                <w:rFonts w:ascii="Calibri" w:hAnsi="Calibri"/>
                <w:lang w:val="en-US"/>
              </w:rPr>
              <w:t>Only money settlements are made in ISMT and ICS.  In ISMT money settlements are made in relation to the securities transactions</w:t>
            </w:r>
            <w:r w:rsidR="00C53867" w:rsidRPr="002C72D1">
              <w:rPr>
                <w:rFonts w:ascii="Calibri" w:hAnsi="Calibri"/>
                <w:lang w:val="en-US"/>
              </w:rPr>
              <w:t xml:space="preserve"> as well</w:t>
            </w:r>
            <w:r w:rsidRPr="002C72D1">
              <w:rPr>
                <w:rFonts w:ascii="Calibri" w:hAnsi="Calibri"/>
                <w:lang w:val="en-US"/>
              </w:rPr>
              <w:t xml:space="preserve">. </w:t>
            </w:r>
            <w:r w:rsidR="00550E0F" w:rsidRPr="002C72D1">
              <w:rPr>
                <w:rFonts w:ascii="Calibri" w:hAnsi="Calibri"/>
                <w:lang w:val="en-US"/>
              </w:rPr>
              <w:t xml:space="preserve">When payments are made in relation to securities transactions, each transaction is performed individually, on a gross basis in real time: money settlements separately from settlements on securities. </w:t>
            </w:r>
            <w:r w:rsidRPr="002C72D1">
              <w:rPr>
                <w:rFonts w:ascii="Calibri" w:hAnsi="Calibri"/>
                <w:lang w:val="en-US"/>
              </w:rPr>
              <w:t>Settlements on securities transactions are made on the DVP basis – “delivery versus payment.”</w:t>
            </w:r>
          </w:p>
          <w:p w:rsidR="0050190F" w:rsidRPr="002C72D1" w:rsidRDefault="0050190F" w:rsidP="0050190F">
            <w:pPr>
              <w:suppressAutoHyphens/>
              <w:autoSpaceDE w:val="0"/>
              <w:autoSpaceDN w:val="0"/>
              <w:adjustRightInd w:val="0"/>
              <w:jc w:val="both"/>
              <w:rPr>
                <w:rFonts w:ascii="Calibri" w:hAnsi="Calibri"/>
                <w:lang w:val="en-US"/>
              </w:rPr>
            </w:pPr>
          </w:p>
        </w:tc>
      </w:tr>
      <w:tr w:rsidR="006F65CE" w:rsidRPr="00EA720F" w:rsidTr="00610467">
        <w:trPr>
          <w:trHeight w:val="530"/>
        </w:trPr>
        <w:tc>
          <w:tcPr>
            <w:tcW w:w="9644" w:type="dxa"/>
            <w:gridSpan w:val="2"/>
            <w:shd w:val="clear" w:color="auto" w:fill="F3F3F3"/>
          </w:tcPr>
          <w:p w:rsidR="003F6B5B" w:rsidRPr="00A9366F" w:rsidRDefault="003F6B5B" w:rsidP="003F6B5B">
            <w:pPr>
              <w:jc w:val="both"/>
              <w:rPr>
                <w:rFonts w:ascii="Calibri" w:hAnsi="Calibri"/>
                <w:b/>
                <w:bCs/>
                <w:i/>
                <w:color w:val="548DD4" w:themeColor="text2" w:themeTint="99"/>
                <w:lang w:val="en-US"/>
              </w:rPr>
            </w:pPr>
            <w:bookmarkStart w:id="25" w:name="_Toc407204677"/>
            <w:bookmarkStart w:id="26" w:name="_Toc480772955"/>
            <w:bookmarkStart w:id="27" w:name="_Toc480825644"/>
            <w:bookmarkStart w:id="28" w:name="_Toc481139485"/>
            <w:r w:rsidRPr="00A9366F">
              <w:rPr>
                <w:rFonts w:ascii="Calibri" w:hAnsi="Calibri"/>
                <w:b/>
                <w:bCs/>
                <w:i/>
                <w:color w:val="548DD4" w:themeColor="text2" w:themeTint="99"/>
                <w:lang w:val="en-US"/>
              </w:rPr>
              <w:t xml:space="preserve">Principle 13: Participant-default rules and procedures </w:t>
            </w:r>
          </w:p>
          <w:p w:rsidR="006F65CE" w:rsidRPr="00A9366F" w:rsidRDefault="003F6B5B" w:rsidP="00610467">
            <w:pPr>
              <w:jc w:val="both"/>
              <w:rPr>
                <w:rFonts w:ascii="Calibri" w:eastAsia="ArialMT" w:hAnsi="Calibri"/>
                <w:bCs/>
                <w:i/>
                <w:lang w:val="en-US"/>
              </w:rPr>
            </w:pPr>
            <w:r w:rsidRPr="00A9366F">
              <w:rPr>
                <w:rFonts w:ascii="Calibri" w:eastAsia="ArialMT" w:hAnsi="Calibri"/>
                <w:bCs/>
                <w:i/>
                <w:lang w:val="en-US"/>
              </w:rPr>
              <w:t xml:space="preserve">An FMI should have effective and clearly defined rules and procedures to manage a participant default. These rules and procedures should be designed to ensure that the FMI can take timely action to contain losses and liquidity pressures and continue to meet its obligations. </w:t>
            </w:r>
            <w:bookmarkEnd w:id="25"/>
            <w:bookmarkEnd w:id="26"/>
            <w:bookmarkEnd w:id="27"/>
            <w:bookmarkEnd w:id="28"/>
          </w:p>
          <w:p w:rsidR="003F6B5B" w:rsidRPr="00A9366F" w:rsidRDefault="003F6B5B" w:rsidP="00610467">
            <w:pPr>
              <w:jc w:val="both"/>
              <w:rPr>
                <w:rFonts w:ascii="Calibri" w:eastAsia="ArialMT" w:hAnsi="Calibri"/>
                <w:bCs/>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3A522E" w:rsidRPr="00A9366F" w:rsidRDefault="003A522E" w:rsidP="00610467">
            <w:pPr>
              <w:suppressAutoHyphens/>
              <w:autoSpaceDE w:val="0"/>
              <w:autoSpaceDN w:val="0"/>
              <w:adjustRightInd w:val="0"/>
              <w:jc w:val="both"/>
              <w:rPr>
                <w:rFonts w:ascii="Calibri" w:hAnsi="Calibri"/>
                <w:lang w:val="en-US"/>
              </w:rPr>
            </w:pPr>
            <w:r w:rsidRPr="00A9366F">
              <w:rPr>
                <w:rFonts w:ascii="Calibri" w:hAnsi="Calibri"/>
                <w:lang w:val="en-US"/>
              </w:rPr>
              <w:t xml:space="preserve">The National Bank of Kazakhstan may send to KISC a notice about termination of the expense transactions of a payment system participant in accordance with the terms of the correspondent account agreement signed by the participant with the National Bank of Kazakhstan. Once KISC receives a letter from the National Bank of Kazakhstan about temporary suspension of certain provisions of the participation contract signed with a system participant, KISC suspends transactions on the position of this participant, except for the transactions for money acceptance (crediting) in favor of the participant.  </w:t>
            </w:r>
          </w:p>
          <w:p w:rsidR="003A522E" w:rsidRPr="00A9366F" w:rsidRDefault="003A522E" w:rsidP="0032750B">
            <w:pPr>
              <w:suppressAutoHyphens/>
              <w:autoSpaceDE w:val="0"/>
              <w:autoSpaceDN w:val="0"/>
              <w:adjustRightInd w:val="0"/>
              <w:jc w:val="both"/>
              <w:rPr>
                <w:rFonts w:ascii="Calibri" w:hAnsi="Calibri"/>
                <w:lang w:val="en-US"/>
              </w:rPr>
            </w:pPr>
            <w:r w:rsidRPr="00A9366F">
              <w:rPr>
                <w:rFonts w:ascii="Calibri" w:hAnsi="Calibri"/>
                <w:lang w:val="en-US"/>
              </w:rPr>
              <w:t>To manage liquidity risk and systemic risk (risk of default of one or several users on one or a few money transfers caused by default of one or severa</w:t>
            </w:r>
            <w:r w:rsidR="00C53867">
              <w:rPr>
                <w:rFonts w:ascii="Calibri" w:hAnsi="Calibri"/>
                <w:lang w:val="en-US"/>
              </w:rPr>
              <w:t xml:space="preserve">l users) </w:t>
            </w:r>
            <w:r w:rsidR="00C53867" w:rsidRPr="002C72D1">
              <w:rPr>
                <w:rFonts w:ascii="Calibri" w:hAnsi="Calibri"/>
                <w:lang w:val="en-US"/>
              </w:rPr>
              <w:t>t</w:t>
            </w:r>
            <w:r w:rsidRPr="002C72D1">
              <w:rPr>
                <w:rFonts w:ascii="Calibri" w:hAnsi="Calibri"/>
                <w:lang w:val="en-US"/>
              </w:rPr>
              <w:t>he</w:t>
            </w:r>
            <w:r w:rsidRPr="00A9366F">
              <w:rPr>
                <w:rFonts w:ascii="Calibri" w:hAnsi="Calibri"/>
                <w:lang w:val="en-US"/>
              </w:rPr>
              <w:t xml:space="preserve"> mechanism</w:t>
            </w:r>
            <w:r w:rsidR="001300AD" w:rsidRPr="00A9366F">
              <w:rPr>
                <w:rFonts w:ascii="Calibri" w:hAnsi="Calibri"/>
                <w:lang w:val="en-US"/>
              </w:rPr>
              <w:t>s</w:t>
            </w:r>
            <w:r w:rsidRPr="00A9366F">
              <w:rPr>
                <w:rFonts w:ascii="Calibri" w:hAnsi="Calibri"/>
                <w:lang w:val="en-US"/>
              </w:rPr>
              <w:t xml:space="preserve"> specified under heading Principle 7 will </w:t>
            </w:r>
            <w:r w:rsidR="001300AD" w:rsidRPr="00A9366F">
              <w:rPr>
                <w:rFonts w:ascii="Calibri" w:hAnsi="Calibri"/>
                <w:lang w:val="en-US"/>
              </w:rPr>
              <w:t>apply</w:t>
            </w:r>
            <w:r w:rsidRPr="00A9366F">
              <w:rPr>
                <w:rFonts w:ascii="Calibri" w:hAnsi="Calibri"/>
                <w:lang w:val="en-US"/>
              </w:rPr>
              <w:t xml:space="preserve">. </w:t>
            </w:r>
          </w:p>
          <w:p w:rsidR="006F65CE" w:rsidRPr="00A9366F" w:rsidRDefault="006F65CE" w:rsidP="00DF3EE4">
            <w:pPr>
              <w:suppressAutoHyphens/>
              <w:autoSpaceDE w:val="0"/>
              <w:autoSpaceDN w:val="0"/>
              <w:adjustRightInd w:val="0"/>
              <w:jc w:val="both"/>
              <w:rPr>
                <w:rFonts w:ascii="Calibri" w:hAnsi="Calibri"/>
                <w:lang w:val="en-US"/>
              </w:rPr>
            </w:pPr>
          </w:p>
        </w:tc>
      </w:tr>
      <w:tr w:rsidR="006F65CE" w:rsidRPr="00EA720F" w:rsidTr="00610467">
        <w:trPr>
          <w:trHeight w:val="530"/>
        </w:trPr>
        <w:tc>
          <w:tcPr>
            <w:tcW w:w="9644" w:type="dxa"/>
            <w:gridSpan w:val="2"/>
            <w:shd w:val="clear" w:color="auto" w:fill="F3F3F3"/>
          </w:tcPr>
          <w:p w:rsidR="00E54AD4" w:rsidRPr="00A9366F" w:rsidRDefault="00E54AD4" w:rsidP="00E54AD4">
            <w:pPr>
              <w:rPr>
                <w:rFonts w:ascii="Calibri" w:hAnsi="Calibri"/>
                <w:b/>
                <w:bCs/>
                <w:i/>
                <w:color w:val="548DD4" w:themeColor="text2" w:themeTint="99"/>
                <w:lang w:val="en-US"/>
              </w:rPr>
            </w:pPr>
            <w:bookmarkStart w:id="29" w:name="_Toc407204678"/>
            <w:bookmarkStart w:id="30" w:name="_Toc480772956"/>
            <w:bookmarkStart w:id="31" w:name="_Toc480825645"/>
            <w:bookmarkStart w:id="32" w:name="_Toc481139486"/>
            <w:r w:rsidRPr="00A9366F">
              <w:rPr>
                <w:rFonts w:ascii="Calibri" w:hAnsi="Calibri"/>
                <w:b/>
                <w:bCs/>
                <w:i/>
                <w:color w:val="548DD4" w:themeColor="text2" w:themeTint="99"/>
                <w:lang w:val="en-US"/>
              </w:rPr>
              <w:t xml:space="preserve">Principle 14: Segregation and portability </w:t>
            </w:r>
          </w:p>
          <w:p w:rsidR="00E54AD4" w:rsidRPr="00A9366F" w:rsidRDefault="00E54AD4" w:rsidP="00E54AD4">
            <w:pPr>
              <w:jc w:val="both"/>
              <w:rPr>
                <w:rFonts w:ascii="Calibri" w:eastAsia="ArialMT" w:hAnsi="Calibri"/>
                <w:i/>
                <w:lang w:val="en-US"/>
              </w:rPr>
            </w:pPr>
            <w:r w:rsidRPr="00A9366F">
              <w:rPr>
                <w:rFonts w:ascii="Calibri" w:eastAsia="ArialMT" w:hAnsi="Calibri"/>
                <w:i/>
                <w:lang w:val="en-US"/>
              </w:rPr>
              <w:t xml:space="preserve">A CCP should have rules and procedures that enable the segregation and portability of positions of a participant’s customers and the collateral provided to the CCP with respect to those positions. </w:t>
            </w:r>
          </w:p>
          <w:bookmarkEnd w:id="29"/>
          <w:bookmarkEnd w:id="30"/>
          <w:bookmarkEnd w:id="31"/>
          <w:bookmarkEnd w:id="32"/>
          <w:p w:rsidR="006F65CE" w:rsidRPr="00A9366F" w:rsidRDefault="006F65CE" w:rsidP="00610467">
            <w:pPr>
              <w:jc w:val="both"/>
              <w:rPr>
                <w:rFonts w:ascii="Calibri"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A9366F" w:rsidRDefault="000248DB" w:rsidP="00610467">
            <w:pPr>
              <w:autoSpaceDE w:val="0"/>
              <w:autoSpaceDN w:val="0"/>
              <w:adjustRightInd w:val="0"/>
              <w:jc w:val="both"/>
              <w:rPr>
                <w:rFonts w:ascii="Calibri" w:eastAsia="ArialMT" w:hAnsi="Calibri"/>
                <w:lang w:val="en-US"/>
              </w:rPr>
            </w:pPr>
            <w:r w:rsidRPr="00A9366F">
              <w:rPr>
                <w:rFonts w:ascii="Calibri" w:eastAsia="ArialMT" w:hAnsi="Calibri"/>
                <w:lang w:val="en-US"/>
              </w:rPr>
              <w:t>Provisions of this Principle are not applicable to ISMT and ICS.</w:t>
            </w:r>
          </w:p>
          <w:p w:rsidR="000248DB" w:rsidRPr="00A9366F" w:rsidRDefault="000248DB" w:rsidP="00610467">
            <w:pPr>
              <w:autoSpaceDE w:val="0"/>
              <w:autoSpaceDN w:val="0"/>
              <w:adjustRightInd w:val="0"/>
              <w:jc w:val="both"/>
              <w:rPr>
                <w:rFonts w:ascii="Calibri" w:eastAsia="ArialMT" w:hAnsi="Calibri"/>
                <w:lang w:val="en-US"/>
              </w:rPr>
            </w:pPr>
          </w:p>
        </w:tc>
      </w:tr>
      <w:tr w:rsidR="006F65CE" w:rsidRPr="00EA720F" w:rsidTr="00610467">
        <w:trPr>
          <w:trHeight w:val="530"/>
        </w:trPr>
        <w:tc>
          <w:tcPr>
            <w:tcW w:w="9644" w:type="dxa"/>
            <w:gridSpan w:val="2"/>
            <w:shd w:val="clear" w:color="auto" w:fill="F3F3F3"/>
          </w:tcPr>
          <w:p w:rsidR="00B86C28" w:rsidRPr="00A9366F" w:rsidRDefault="00B86C28" w:rsidP="00B86C28">
            <w:pPr>
              <w:jc w:val="both"/>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15: General business risk </w:t>
            </w:r>
          </w:p>
          <w:p w:rsidR="006F65CE" w:rsidRPr="00A9366F" w:rsidRDefault="00B86C28" w:rsidP="00B86C28">
            <w:pPr>
              <w:jc w:val="both"/>
              <w:rPr>
                <w:rFonts w:ascii="Calibri" w:eastAsia="ArialMT" w:hAnsi="Calibri"/>
                <w:bCs/>
                <w:i/>
                <w:lang w:val="en-US"/>
              </w:rPr>
            </w:pPr>
            <w:r w:rsidRPr="00A9366F">
              <w:rPr>
                <w:rFonts w:ascii="Calibri" w:eastAsia="ArialMT" w:hAnsi="Calibri"/>
                <w:bCs/>
                <w:i/>
                <w:lang w:val="en-US"/>
              </w:rPr>
              <w:t xml:space="preserve">An FMI should identify, monitor, and manage its general business risk and hold sufficient liquid net assets funded by equity to cover potential general business losses so that it can continue operations and services as a going concern if those losses </w:t>
            </w:r>
            <w:r w:rsidR="00550E0F" w:rsidRPr="00A9366F">
              <w:rPr>
                <w:rFonts w:ascii="Calibri" w:eastAsia="ArialMT" w:hAnsi="Calibri"/>
                <w:bCs/>
                <w:i/>
                <w:lang w:val="en-US"/>
              </w:rPr>
              <w:t>materialize</w:t>
            </w:r>
            <w:r w:rsidRPr="00A9366F">
              <w:rPr>
                <w:rFonts w:ascii="Calibri" w:eastAsia="ArialMT" w:hAnsi="Calibri"/>
                <w:bCs/>
                <w:i/>
                <w:lang w:val="en-US"/>
              </w:rPr>
              <w:t xml:space="preserve">. Further, liquid net assets should at all times be sufficient to ensure a recovery or orderly wind-down of critical operations and services. </w:t>
            </w:r>
          </w:p>
          <w:p w:rsidR="00B86C28" w:rsidRPr="00A9366F" w:rsidRDefault="00B86C28" w:rsidP="00B86C28">
            <w:pPr>
              <w:jc w:val="both"/>
              <w:rPr>
                <w:rFonts w:ascii="Calibri" w:eastAsia="ArialMT" w:hAnsi="Calibri"/>
                <w:bCs/>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DF3EE4" w:rsidRPr="00A9366F" w:rsidRDefault="00DF3EE4" w:rsidP="00802CD3">
            <w:pPr>
              <w:suppressAutoHyphens/>
              <w:autoSpaceDE w:val="0"/>
              <w:autoSpaceDN w:val="0"/>
              <w:adjustRightInd w:val="0"/>
              <w:jc w:val="both"/>
              <w:rPr>
                <w:rFonts w:ascii="Calibri" w:eastAsia="ArialMT" w:hAnsi="Calibri"/>
                <w:lang w:val="en-US"/>
              </w:rPr>
            </w:pPr>
            <w:r w:rsidRPr="00A9366F">
              <w:rPr>
                <w:rFonts w:ascii="Calibri" w:eastAsia="ArialMT" w:hAnsi="Calibri"/>
                <w:lang w:val="en-US"/>
              </w:rPr>
              <w:t xml:space="preserve">The National Bank of Kazakhstan acts as an operator of the payment systems. The operating center (KISC) is a subsidiary of the National Bank of Kazakhstan established in the form of a state enterprise based on the right of economic management, and in its financial activity it is accountable to the National Bank of Kazakhstan (state enterprise).  As KISC is a national state enterprise on the right of economic management, the capital management is performed according to the legislation of the Republic of Kazakhstan and legal documents of </w:t>
            </w:r>
            <w:r w:rsidR="00541D5F">
              <w:rPr>
                <w:rFonts w:ascii="Calibri" w:eastAsia="ArialMT" w:hAnsi="Calibri"/>
                <w:lang w:val="en-US"/>
              </w:rPr>
              <w:t xml:space="preserve">the National Bank of Kazakhstan. </w:t>
            </w:r>
          </w:p>
          <w:p w:rsidR="006F65CE" w:rsidRPr="00A9366F" w:rsidRDefault="006F65CE" w:rsidP="00802CD3">
            <w:pPr>
              <w:suppressAutoHyphens/>
              <w:autoSpaceDE w:val="0"/>
              <w:autoSpaceDN w:val="0"/>
              <w:adjustRightInd w:val="0"/>
              <w:jc w:val="both"/>
              <w:rPr>
                <w:rFonts w:ascii="Calibri" w:eastAsia="ArialMT" w:hAnsi="Calibri"/>
                <w:lang w:val="en-US"/>
              </w:rPr>
            </w:pPr>
          </w:p>
        </w:tc>
      </w:tr>
      <w:tr w:rsidR="006F65CE" w:rsidRPr="00EA720F" w:rsidTr="00610467">
        <w:trPr>
          <w:trHeight w:val="530"/>
        </w:trPr>
        <w:tc>
          <w:tcPr>
            <w:tcW w:w="9644" w:type="dxa"/>
            <w:gridSpan w:val="2"/>
            <w:shd w:val="clear" w:color="auto" w:fill="F3F3F3"/>
          </w:tcPr>
          <w:p w:rsidR="00B86C28" w:rsidRPr="00A9366F" w:rsidRDefault="00B86C28" w:rsidP="00B86C28">
            <w:pPr>
              <w:jc w:val="both"/>
              <w:rPr>
                <w:rFonts w:ascii="Calibri" w:hAnsi="Calibri"/>
                <w:b/>
                <w:bCs/>
                <w:i/>
                <w:color w:val="548DD4" w:themeColor="text2" w:themeTint="99"/>
                <w:lang w:val="en-US"/>
              </w:rPr>
            </w:pPr>
            <w:bookmarkStart w:id="33" w:name="_Toc407204680"/>
            <w:bookmarkStart w:id="34" w:name="_Toc480772958"/>
            <w:bookmarkStart w:id="35" w:name="_Toc480825647"/>
            <w:bookmarkStart w:id="36" w:name="_Toc481139488"/>
            <w:r w:rsidRPr="00A9366F">
              <w:rPr>
                <w:rFonts w:ascii="Calibri" w:hAnsi="Calibri"/>
                <w:b/>
                <w:bCs/>
                <w:i/>
                <w:color w:val="548DD4" w:themeColor="text2" w:themeTint="99"/>
                <w:lang w:val="en-US"/>
              </w:rPr>
              <w:t xml:space="preserve">Principle 16: Custody and investment risks </w:t>
            </w:r>
          </w:p>
          <w:p w:rsidR="00B86C28" w:rsidRPr="00A9366F" w:rsidRDefault="00B86C28" w:rsidP="00B86C28">
            <w:pPr>
              <w:jc w:val="both"/>
              <w:rPr>
                <w:rFonts w:ascii="Calibri" w:eastAsia="ArialMT" w:hAnsi="Calibri"/>
                <w:bCs/>
                <w:i/>
                <w:lang w:val="en-US"/>
              </w:rPr>
            </w:pPr>
            <w:r w:rsidRPr="00A9366F">
              <w:rPr>
                <w:rFonts w:ascii="Calibri" w:eastAsia="ArialMT" w:hAnsi="Calibri"/>
                <w:bCs/>
                <w:i/>
                <w:lang w:val="en-US"/>
              </w:rPr>
              <w:t xml:space="preserve">An FMI should safeguard its own and its participants’ assets and </w:t>
            </w:r>
            <w:r w:rsidR="00550E0F" w:rsidRPr="00A9366F">
              <w:rPr>
                <w:rFonts w:ascii="Calibri" w:eastAsia="ArialMT" w:hAnsi="Calibri"/>
                <w:bCs/>
                <w:i/>
                <w:lang w:val="en-US"/>
              </w:rPr>
              <w:t>minimize</w:t>
            </w:r>
            <w:r w:rsidRPr="00A9366F">
              <w:rPr>
                <w:rFonts w:ascii="Calibri" w:eastAsia="ArialMT" w:hAnsi="Calibri"/>
                <w:bCs/>
                <w:i/>
                <w:lang w:val="en-US"/>
              </w:rPr>
              <w:t xml:space="preserve"> the risk of loss on and delay in access to these assets. An FMI’s investments should be in instruments with minimal credit, market, and liquidity risks. </w:t>
            </w:r>
          </w:p>
          <w:bookmarkEnd w:id="33"/>
          <w:bookmarkEnd w:id="34"/>
          <w:bookmarkEnd w:id="35"/>
          <w:bookmarkEnd w:id="36"/>
          <w:p w:rsidR="006F65CE" w:rsidRPr="00A9366F" w:rsidRDefault="006F65CE" w:rsidP="00610467">
            <w:pPr>
              <w:jc w:val="both"/>
              <w:rPr>
                <w:rFonts w:ascii="Calibri" w:hAnsi="Calibri"/>
                <w:b/>
                <w:bCs/>
                <w:i/>
                <w:color w:val="548DD4" w:themeColor="text2" w:themeTint="99"/>
                <w:lang w:val="en-US"/>
              </w:rPr>
            </w:pPr>
          </w:p>
        </w:tc>
      </w:tr>
      <w:tr w:rsidR="006F65CE" w:rsidRPr="00EA720F" w:rsidTr="00610467">
        <w:tc>
          <w:tcPr>
            <w:tcW w:w="1364" w:type="dxa"/>
            <w:shd w:val="clear" w:color="auto" w:fill="F3F3F3"/>
          </w:tcPr>
          <w:p w:rsidR="006F65CE" w:rsidRPr="00A9366F" w:rsidRDefault="00974520" w:rsidP="00610467">
            <w:pPr>
              <w:jc w:val="both"/>
              <w:rPr>
                <w:rFonts w:ascii="Calibri" w:hAnsi="Calibri"/>
                <w:i/>
                <w:lang w:val="en-US"/>
              </w:rPr>
            </w:pPr>
            <w:r w:rsidRPr="00A9366F">
              <w:rPr>
                <w:rFonts w:ascii="Calibri" w:hAnsi="Calibri"/>
                <w:i/>
                <w:lang w:val="en-US"/>
              </w:rPr>
              <w:t>Summary</w:t>
            </w:r>
          </w:p>
        </w:tc>
        <w:tc>
          <w:tcPr>
            <w:tcW w:w="8280" w:type="dxa"/>
            <w:shd w:val="clear" w:color="auto" w:fill="F3F3F3"/>
          </w:tcPr>
          <w:p w:rsidR="002D1528" w:rsidRPr="00A9366F" w:rsidRDefault="000248DB" w:rsidP="000248DB">
            <w:pPr>
              <w:autoSpaceDE w:val="0"/>
              <w:autoSpaceDN w:val="0"/>
              <w:adjustRightInd w:val="0"/>
              <w:jc w:val="both"/>
              <w:rPr>
                <w:rFonts w:ascii="Calibri" w:eastAsia="ArialMT" w:hAnsi="Calibri"/>
                <w:lang w:val="en-US"/>
              </w:rPr>
            </w:pPr>
            <w:r w:rsidRPr="00A9366F">
              <w:rPr>
                <w:rFonts w:ascii="Calibri" w:eastAsia="ArialMT" w:hAnsi="Calibri"/>
                <w:lang w:val="en-US"/>
              </w:rPr>
              <w:t xml:space="preserve">Provisions of this Principle are not applicable to ISMT and ICS. </w:t>
            </w:r>
            <w:r w:rsidR="00550E0F" w:rsidRPr="00A9366F">
              <w:rPr>
                <w:rFonts w:ascii="Calibri" w:eastAsia="ArialMT" w:hAnsi="Calibri"/>
                <w:lang w:val="en-US"/>
              </w:rPr>
              <w:t>Money of the participants is held on the correspondent accounts opened with the National Bank of Kazakhstan.</w:t>
            </w:r>
          </w:p>
          <w:p w:rsidR="006F65CE" w:rsidRPr="00A9366F" w:rsidRDefault="006F65CE" w:rsidP="000248DB">
            <w:pPr>
              <w:autoSpaceDE w:val="0"/>
              <w:autoSpaceDN w:val="0"/>
              <w:adjustRightInd w:val="0"/>
              <w:jc w:val="both"/>
              <w:rPr>
                <w:rFonts w:ascii="Calibri" w:eastAsia="ArialMT" w:hAnsi="Calibri"/>
                <w:lang w:val="en-US"/>
              </w:rPr>
            </w:pPr>
          </w:p>
        </w:tc>
      </w:tr>
      <w:tr w:rsidR="006F65CE" w:rsidRPr="00EA720F" w:rsidTr="00610467">
        <w:trPr>
          <w:trHeight w:val="530"/>
        </w:trPr>
        <w:tc>
          <w:tcPr>
            <w:tcW w:w="9644" w:type="dxa"/>
            <w:gridSpan w:val="2"/>
            <w:shd w:val="clear" w:color="auto" w:fill="F3F3F3"/>
          </w:tcPr>
          <w:p w:rsidR="00B86C28" w:rsidRPr="00A9366F" w:rsidRDefault="00B86C28" w:rsidP="00B86C28">
            <w:pPr>
              <w:jc w:val="both"/>
              <w:rPr>
                <w:rFonts w:ascii="Arial" w:hAnsi="Arial" w:cs="Arial"/>
                <w:sz w:val="27"/>
                <w:szCs w:val="27"/>
                <w:lang w:val="en-US"/>
              </w:rPr>
            </w:pPr>
            <w:r w:rsidRPr="00A9366F">
              <w:rPr>
                <w:rFonts w:ascii="Calibri" w:hAnsi="Calibri"/>
                <w:b/>
                <w:bCs/>
                <w:i/>
                <w:color w:val="548DD4" w:themeColor="text2" w:themeTint="99"/>
                <w:lang w:val="en-US"/>
              </w:rPr>
              <w:t>Principle 17: Operational risk</w:t>
            </w:r>
            <w:r w:rsidRPr="00A9366F">
              <w:rPr>
                <w:rFonts w:ascii="Arial" w:hAnsi="Arial" w:cs="Arial"/>
                <w:sz w:val="27"/>
                <w:szCs w:val="27"/>
                <w:lang w:val="en-US"/>
              </w:rPr>
              <w:t xml:space="preserve"> </w:t>
            </w:r>
          </w:p>
          <w:p w:rsidR="00B86C28" w:rsidRPr="00A9366F" w:rsidRDefault="00B86C28" w:rsidP="00B86C28">
            <w:pPr>
              <w:jc w:val="both"/>
              <w:rPr>
                <w:rFonts w:ascii="Calibri" w:eastAsia="ArialMT" w:hAnsi="Calibri"/>
                <w:bCs/>
                <w:i/>
                <w:lang w:val="en-US"/>
              </w:rPr>
            </w:pPr>
            <w:r w:rsidRPr="00A9366F">
              <w:rPr>
                <w:rFonts w:ascii="Calibri" w:eastAsia="ArialMT" w:hAnsi="Calibri"/>
                <w:bCs/>
                <w:i/>
                <w:lang w:val="en-US"/>
              </w:rPr>
              <w:t xml:space="preserve">An FMI should identify the plausible sources of operational risk, both internal and external, and mitigate their impact through the use of appropriate systems, policies, procedures, and controls. Systems should be designed to ensure a high degree of security and operational reliability and should have adequate, scalable capacity. Business continuity management should aim for timely recovery of operations and </w:t>
            </w:r>
            <w:r w:rsidR="00550E0F" w:rsidRPr="00A9366F">
              <w:rPr>
                <w:rFonts w:ascii="Calibri" w:eastAsia="ArialMT" w:hAnsi="Calibri"/>
                <w:bCs/>
                <w:i/>
                <w:lang w:val="en-US"/>
              </w:rPr>
              <w:t>fulfillment</w:t>
            </w:r>
            <w:r w:rsidRPr="00A9366F">
              <w:rPr>
                <w:rFonts w:ascii="Calibri" w:eastAsia="ArialMT" w:hAnsi="Calibri"/>
                <w:bCs/>
                <w:i/>
                <w:lang w:val="en-US"/>
              </w:rPr>
              <w:t xml:space="preserve"> of the FMI’s obligations, including in the event of a wide-scale or major disruption. </w:t>
            </w:r>
          </w:p>
          <w:p w:rsidR="006F65CE" w:rsidRPr="00A9366F" w:rsidRDefault="006F65CE" w:rsidP="00B86C28">
            <w:pPr>
              <w:jc w:val="both"/>
              <w:rPr>
                <w:rFonts w:ascii="Calibri"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50190F" w:rsidRPr="002C72D1" w:rsidRDefault="0050190F" w:rsidP="00610467">
            <w:pPr>
              <w:suppressAutoHyphens/>
              <w:jc w:val="both"/>
              <w:rPr>
                <w:rFonts w:ascii="Calibri" w:eastAsia="ArialMT" w:hAnsi="Calibri"/>
                <w:bCs/>
                <w:lang w:val="en-US"/>
              </w:rPr>
            </w:pPr>
            <w:r w:rsidRPr="002C72D1">
              <w:rPr>
                <w:rFonts w:ascii="Calibri" w:eastAsia="ArialMT" w:hAnsi="Calibri"/>
                <w:bCs/>
                <w:lang w:val="en-US"/>
              </w:rPr>
              <w:t xml:space="preserve">To manage the operating risk KISC uses the necessary methods of management of physical and information security, which are based on the international standards. </w:t>
            </w:r>
            <w:r w:rsidR="00237B34" w:rsidRPr="002C72D1">
              <w:rPr>
                <w:rFonts w:ascii="Calibri" w:eastAsia="ArialMT" w:hAnsi="Calibri"/>
                <w:bCs/>
                <w:lang w:val="en-US"/>
              </w:rPr>
              <w:t>In addition, for the purposes of the operating risk management a payment system recovery plan has been developed and is updated on the annual basis; information in backed up in real time in the standby center; data is archived; the underlying hardware is updated; a recovery team</w:t>
            </w:r>
            <w:r w:rsidR="007410E5" w:rsidRPr="002C72D1">
              <w:rPr>
                <w:rFonts w:ascii="Calibri" w:eastAsia="ArialMT" w:hAnsi="Calibri"/>
                <w:bCs/>
                <w:lang w:val="en-US"/>
              </w:rPr>
              <w:t xml:space="preserve"> is available</w:t>
            </w:r>
            <w:r w:rsidR="00237B34" w:rsidRPr="002C72D1">
              <w:rPr>
                <w:rFonts w:ascii="Calibri" w:eastAsia="ArialMT" w:hAnsi="Calibri"/>
                <w:bCs/>
                <w:lang w:val="en-US"/>
              </w:rPr>
              <w:t>; operation of the standby center is duly arranged; the management analy</w:t>
            </w:r>
            <w:r w:rsidR="007410E5" w:rsidRPr="002C72D1">
              <w:rPr>
                <w:rFonts w:ascii="Calibri" w:eastAsia="ArialMT" w:hAnsi="Calibri"/>
                <w:bCs/>
                <w:lang w:val="en-US"/>
              </w:rPr>
              <w:t>z</w:t>
            </w:r>
            <w:r w:rsidR="00237B34" w:rsidRPr="002C72D1">
              <w:rPr>
                <w:rFonts w:ascii="Calibri" w:eastAsia="ArialMT" w:hAnsi="Calibri"/>
                <w:bCs/>
                <w:lang w:val="en-US"/>
              </w:rPr>
              <w:t>es</w:t>
            </w:r>
            <w:r w:rsidR="007410E5" w:rsidRPr="002C72D1">
              <w:rPr>
                <w:rFonts w:ascii="Calibri" w:eastAsia="ArialMT" w:hAnsi="Calibri"/>
                <w:bCs/>
                <w:lang w:val="en-US"/>
              </w:rPr>
              <w:t xml:space="preserve"> fulfillment of </w:t>
            </w:r>
            <w:r w:rsidR="00237B34" w:rsidRPr="002C72D1">
              <w:rPr>
                <w:rFonts w:ascii="Calibri" w:eastAsia="ArialMT" w:hAnsi="Calibri"/>
                <w:bCs/>
                <w:lang w:val="en-US"/>
              </w:rPr>
              <w:t xml:space="preserve">measures </w:t>
            </w:r>
            <w:r w:rsidR="007410E5" w:rsidRPr="002C72D1">
              <w:rPr>
                <w:rFonts w:ascii="Calibri" w:eastAsia="ArialMT" w:hAnsi="Calibri"/>
                <w:bCs/>
                <w:lang w:val="en-US"/>
              </w:rPr>
              <w:t xml:space="preserve">of control to minimize the identified risk factors and application of the cryptographic protection facilities; and other measures of the operating risk management are applied. Special documents have been worked out, which determine actions required to manage this risk. </w:t>
            </w:r>
          </w:p>
          <w:p w:rsidR="007410E5" w:rsidRPr="002C72D1" w:rsidRDefault="007410E5" w:rsidP="00610467">
            <w:pPr>
              <w:suppressAutoHyphens/>
              <w:autoSpaceDE w:val="0"/>
              <w:autoSpaceDN w:val="0"/>
              <w:adjustRightInd w:val="0"/>
              <w:jc w:val="both"/>
              <w:rPr>
                <w:rFonts w:ascii="Calibri" w:eastAsia="ArialMT" w:hAnsi="Calibri"/>
                <w:lang w:val="en-US"/>
              </w:rPr>
            </w:pPr>
            <w:r w:rsidRPr="002C72D1">
              <w:rPr>
                <w:rFonts w:ascii="Calibri" w:eastAsia="ArialMT" w:hAnsi="Calibri"/>
                <w:lang w:val="en-US"/>
              </w:rPr>
              <w:t xml:space="preserve">To manage the operating risk as a part of the payment system oversight the National Bank of Kazakhstan checks the organization and functioning of the payment systems; makes analysis of the results of transfer of the payment system operation to </w:t>
            </w:r>
            <w:r w:rsidR="00BE010B" w:rsidRPr="002C72D1">
              <w:rPr>
                <w:rFonts w:ascii="Calibri" w:eastAsia="ArialMT" w:hAnsi="Calibri"/>
                <w:lang w:val="en-US"/>
              </w:rPr>
              <w:t>a</w:t>
            </w:r>
            <w:r w:rsidR="00A2362A" w:rsidRPr="002C72D1">
              <w:rPr>
                <w:rFonts w:ascii="Calibri" w:eastAsia="ArialMT" w:hAnsi="Calibri"/>
                <w:lang w:val="en-US"/>
              </w:rPr>
              <w:t xml:space="preserve"> software-hardware complex of a standby center </w:t>
            </w:r>
            <w:r w:rsidR="00BE010B" w:rsidRPr="002C72D1">
              <w:rPr>
                <w:rFonts w:ascii="Calibri" w:eastAsia="ArialMT" w:hAnsi="Calibri"/>
                <w:lang w:val="en-US"/>
              </w:rPr>
              <w:t xml:space="preserve">and takes, jointly with KISC, other risk management measures. </w:t>
            </w:r>
          </w:p>
          <w:p w:rsidR="007410E5" w:rsidRPr="002C72D1" w:rsidRDefault="007410E5" w:rsidP="00610467">
            <w:pPr>
              <w:suppressAutoHyphens/>
              <w:autoSpaceDE w:val="0"/>
              <w:autoSpaceDN w:val="0"/>
              <w:adjustRightInd w:val="0"/>
              <w:jc w:val="both"/>
              <w:rPr>
                <w:rFonts w:ascii="Calibri" w:eastAsia="ArialMT" w:hAnsi="Calibri"/>
                <w:lang w:val="en-US"/>
              </w:rPr>
            </w:pPr>
          </w:p>
          <w:p w:rsidR="00BE010B" w:rsidRPr="002C72D1" w:rsidRDefault="00550E0F" w:rsidP="00610467">
            <w:pPr>
              <w:suppressAutoHyphens/>
              <w:autoSpaceDE w:val="0"/>
              <w:autoSpaceDN w:val="0"/>
              <w:adjustRightInd w:val="0"/>
              <w:jc w:val="both"/>
              <w:rPr>
                <w:rFonts w:ascii="Calibri" w:eastAsia="ArialMT" w:hAnsi="Calibri"/>
                <w:bCs/>
                <w:lang w:val="en-US"/>
              </w:rPr>
            </w:pPr>
            <w:r w:rsidRPr="002C72D1">
              <w:rPr>
                <w:rFonts w:ascii="Calibri" w:eastAsia="ArialMT" w:hAnsi="Calibri"/>
                <w:bCs/>
                <w:lang w:val="en-US"/>
              </w:rPr>
              <w:t xml:space="preserve">The </w:t>
            </w:r>
            <w:proofErr w:type="spellStart"/>
            <w:r w:rsidR="00B911DA" w:rsidRPr="002C72D1">
              <w:rPr>
                <w:rFonts w:ascii="Calibri" w:eastAsia="ArialMT" w:hAnsi="Calibri"/>
                <w:bCs/>
                <w:lang w:val="en-US"/>
              </w:rPr>
              <w:t>back up</w:t>
            </w:r>
            <w:proofErr w:type="spellEnd"/>
            <w:r w:rsidR="00B911DA" w:rsidRPr="002C72D1">
              <w:rPr>
                <w:rFonts w:ascii="Calibri" w:eastAsia="ArialMT" w:hAnsi="Calibri"/>
                <w:bCs/>
                <w:lang w:val="en-US"/>
              </w:rPr>
              <w:t xml:space="preserve"> center </w:t>
            </w:r>
            <w:r w:rsidR="002C72D1" w:rsidRPr="002C72D1">
              <w:rPr>
                <w:rFonts w:ascii="Calibri" w:eastAsia="ArialMT" w:hAnsi="Calibri"/>
                <w:bCs/>
                <w:lang w:val="en-US"/>
              </w:rPr>
              <w:t>o</w:t>
            </w:r>
            <w:r w:rsidRPr="002C72D1">
              <w:rPr>
                <w:rFonts w:ascii="Calibri" w:eastAsia="ArialMT" w:hAnsi="Calibri"/>
                <w:bCs/>
                <w:lang w:val="en-US"/>
              </w:rPr>
              <w:t xml:space="preserve">f the payment systems has technical and communication parameters identical with the primary center. </w:t>
            </w:r>
            <w:r w:rsidR="00BE010B" w:rsidRPr="002C72D1">
              <w:rPr>
                <w:rFonts w:ascii="Calibri" w:eastAsia="ArialMT" w:hAnsi="Calibri"/>
                <w:bCs/>
                <w:lang w:val="en-US"/>
              </w:rPr>
              <w:t xml:space="preserve">Data between the primary center and </w:t>
            </w:r>
            <w:proofErr w:type="spellStart"/>
            <w:r w:rsidR="00B911DA" w:rsidRPr="002C72D1">
              <w:rPr>
                <w:rFonts w:ascii="Calibri" w:eastAsia="ArialMT" w:hAnsi="Calibri"/>
                <w:bCs/>
                <w:lang w:val="en-US"/>
              </w:rPr>
              <w:t>back up</w:t>
            </w:r>
            <w:proofErr w:type="spellEnd"/>
            <w:r w:rsidR="00B911DA" w:rsidRPr="002C72D1">
              <w:rPr>
                <w:rFonts w:ascii="Calibri" w:eastAsia="ArialMT" w:hAnsi="Calibri"/>
                <w:bCs/>
                <w:lang w:val="en-US"/>
              </w:rPr>
              <w:t xml:space="preserve"> </w:t>
            </w:r>
            <w:r w:rsidR="00BE010B" w:rsidRPr="002C72D1">
              <w:rPr>
                <w:rFonts w:ascii="Calibri" w:eastAsia="ArialMT" w:hAnsi="Calibri"/>
                <w:bCs/>
                <w:lang w:val="en-US"/>
              </w:rPr>
              <w:t xml:space="preserve">center is synchronized in real time; if an extraordinary situation takes place in the primary center, processing of the payment messages will continue in the </w:t>
            </w:r>
            <w:proofErr w:type="spellStart"/>
            <w:r w:rsidR="00B911DA" w:rsidRPr="002C72D1">
              <w:rPr>
                <w:rFonts w:ascii="Calibri" w:eastAsia="ArialMT" w:hAnsi="Calibri"/>
                <w:bCs/>
                <w:lang w:val="en-US"/>
              </w:rPr>
              <w:t>back up</w:t>
            </w:r>
            <w:proofErr w:type="spellEnd"/>
            <w:r w:rsidR="00B911DA" w:rsidRPr="002C72D1">
              <w:rPr>
                <w:rFonts w:ascii="Calibri" w:eastAsia="ArialMT" w:hAnsi="Calibri"/>
                <w:bCs/>
                <w:lang w:val="en-US"/>
              </w:rPr>
              <w:t xml:space="preserve"> </w:t>
            </w:r>
            <w:r w:rsidR="00BE010B" w:rsidRPr="002C72D1">
              <w:rPr>
                <w:rFonts w:ascii="Calibri" w:eastAsia="ArialMT" w:hAnsi="Calibri"/>
                <w:bCs/>
                <w:lang w:val="en-US"/>
              </w:rPr>
              <w:t xml:space="preserve">center.  </w:t>
            </w:r>
          </w:p>
          <w:p w:rsidR="003E02BE" w:rsidRPr="002C72D1" w:rsidRDefault="003E02BE" w:rsidP="00610467">
            <w:pPr>
              <w:suppressAutoHyphens/>
              <w:autoSpaceDE w:val="0"/>
              <w:autoSpaceDN w:val="0"/>
              <w:adjustRightInd w:val="0"/>
              <w:jc w:val="both"/>
              <w:rPr>
                <w:rFonts w:ascii="Calibri" w:eastAsia="ArialMT" w:hAnsi="Calibri"/>
                <w:bCs/>
                <w:lang w:val="en-US"/>
              </w:rPr>
            </w:pPr>
            <w:r w:rsidRPr="002C72D1">
              <w:rPr>
                <w:rFonts w:ascii="Calibri" w:eastAsia="ArialMT" w:hAnsi="Calibri"/>
                <w:bCs/>
                <w:lang w:val="en-US"/>
              </w:rPr>
              <w:t xml:space="preserve">Requirements to the payment system participants have been set </w:t>
            </w:r>
            <w:r w:rsidR="00176760" w:rsidRPr="002C72D1">
              <w:rPr>
                <w:rFonts w:ascii="Calibri" w:eastAsia="ArialMT" w:hAnsi="Calibri"/>
                <w:bCs/>
                <w:lang w:val="en-US"/>
              </w:rPr>
              <w:t xml:space="preserve">in terms of ensuring the workstation security, by which communication is maintained with the payments systems, including requirements to availability of the backup communication channels and </w:t>
            </w:r>
            <w:r w:rsidR="00887F44" w:rsidRPr="002C72D1">
              <w:rPr>
                <w:rFonts w:ascii="Calibri" w:eastAsia="ArialMT" w:hAnsi="Calibri"/>
                <w:bCs/>
                <w:lang w:val="en-US"/>
              </w:rPr>
              <w:t>backup work</w:t>
            </w:r>
            <w:r w:rsidR="00176760" w:rsidRPr="002C72D1">
              <w:rPr>
                <w:rFonts w:ascii="Calibri" w:eastAsia="ArialMT" w:hAnsi="Calibri"/>
                <w:bCs/>
                <w:lang w:val="en-US"/>
              </w:rPr>
              <w:t xml:space="preserve">stations, and requirements to the disaster recovery plan of a payment system participant. </w:t>
            </w:r>
          </w:p>
          <w:p w:rsidR="006F65CE" w:rsidRPr="002C72D1" w:rsidRDefault="006F65CE" w:rsidP="00610467">
            <w:pPr>
              <w:suppressAutoHyphens/>
              <w:autoSpaceDE w:val="0"/>
              <w:autoSpaceDN w:val="0"/>
              <w:adjustRightInd w:val="0"/>
              <w:jc w:val="both"/>
              <w:rPr>
                <w:rFonts w:ascii="Calibri" w:hAnsi="Calibri"/>
                <w:lang w:val="en-US"/>
              </w:rPr>
            </w:pPr>
          </w:p>
        </w:tc>
      </w:tr>
      <w:tr w:rsidR="006F65CE" w:rsidRPr="00EA720F" w:rsidTr="00610467">
        <w:trPr>
          <w:trHeight w:val="530"/>
        </w:trPr>
        <w:tc>
          <w:tcPr>
            <w:tcW w:w="9644" w:type="dxa"/>
            <w:gridSpan w:val="2"/>
            <w:shd w:val="clear" w:color="auto" w:fill="F3F3F3"/>
          </w:tcPr>
          <w:p w:rsidR="007B30F5" w:rsidRPr="00A9366F" w:rsidRDefault="007B30F5" w:rsidP="007B30F5">
            <w:pPr>
              <w:jc w:val="both"/>
              <w:rPr>
                <w:rFonts w:ascii="Calibri" w:hAnsi="Calibri"/>
                <w:b/>
                <w:bCs/>
                <w:i/>
                <w:color w:val="548DD4" w:themeColor="text2" w:themeTint="99"/>
                <w:lang w:val="en-US"/>
              </w:rPr>
            </w:pPr>
            <w:r w:rsidRPr="00A9366F">
              <w:rPr>
                <w:rFonts w:ascii="Calibri" w:hAnsi="Calibri"/>
                <w:b/>
                <w:bCs/>
                <w:i/>
                <w:color w:val="548DD4" w:themeColor="text2" w:themeTint="99"/>
                <w:lang w:val="en-US"/>
              </w:rPr>
              <w:t xml:space="preserve">Principle 18: Access and participation requirements </w:t>
            </w:r>
          </w:p>
          <w:p w:rsidR="006F65CE" w:rsidRPr="00A9366F" w:rsidRDefault="007B30F5" w:rsidP="007B30F5">
            <w:pPr>
              <w:jc w:val="both"/>
              <w:rPr>
                <w:rFonts w:ascii="Calibri" w:eastAsia="ArialMT" w:hAnsi="Calibri"/>
                <w:bCs/>
                <w:i/>
                <w:lang w:val="en-US"/>
              </w:rPr>
            </w:pPr>
            <w:r w:rsidRPr="00A9366F">
              <w:rPr>
                <w:rFonts w:ascii="Calibri" w:eastAsia="ArialMT" w:hAnsi="Calibri"/>
                <w:bCs/>
                <w:i/>
                <w:lang w:val="en-US"/>
              </w:rPr>
              <w:t xml:space="preserve">An FMI should have objective, risk-based, and publicly disclosed criteria for participation, which permit fair and open access. </w:t>
            </w: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974520" w:rsidRPr="00A9366F" w:rsidRDefault="00974520" w:rsidP="00B47A6D">
            <w:pPr>
              <w:autoSpaceDE w:val="0"/>
              <w:autoSpaceDN w:val="0"/>
              <w:adjustRightInd w:val="0"/>
              <w:jc w:val="both"/>
              <w:rPr>
                <w:rFonts w:ascii="Calibri" w:eastAsia="ArialMT" w:hAnsi="Calibri"/>
                <w:bCs/>
                <w:lang w:val="en-US"/>
              </w:rPr>
            </w:pPr>
            <w:r w:rsidRPr="00A9366F">
              <w:rPr>
                <w:rFonts w:ascii="Calibri" w:eastAsia="ArialMT" w:hAnsi="Calibri"/>
                <w:bCs/>
                <w:lang w:val="en-US"/>
              </w:rPr>
              <w:t xml:space="preserve">Criteria of access to ISMT and ICS are stated in details in the Rules of functioning of these payment systems, are uniform for all participants and accessible for the public and all entities.  </w:t>
            </w:r>
          </w:p>
          <w:p w:rsidR="006F65CE" w:rsidRPr="00A9366F" w:rsidRDefault="006F65CE" w:rsidP="00B47A6D">
            <w:pPr>
              <w:autoSpaceDE w:val="0"/>
              <w:autoSpaceDN w:val="0"/>
              <w:adjustRightInd w:val="0"/>
              <w:jc w:val="both"/>
              <w:rPr>
                <w:rFonts w:ascii="Calibri" w:eastAsia="ArialMT" w:hAnsi="Calibri"/>
                <w:bCs/>
                <w:lang w:val="en-US"/>
              </w:rPr>
            </w:pPr>
          </w:p>
        </w:tc>
      </w:tr>
      <w:tr w:rsidR="006F65CE" w:rsidRPr="00A9366F" w:rsidTr="00610467">
        <w:trPr>
          <w:trHeight w:val="530"/>
        </w:trPr>
        <w:tc>
          <w:tcPr>
            <w:tcW w:w="9644" w:type="dxa"/>
            <w:gridSpan w:val="2"/>
            <w:shd w:val="clear" w:color="auto" w:fill="F3F3F3"/>
          </w:tcPr>
          <w:p w:rsidR="00C17808" w:rsidRPr="00A9366F" w:rsidRDefault="00C17808" w:rsidP="00C17808">
            <w:pPr>
              <w:rPr>
                <w:rFonts w:ascii="Calibri" w:hAnsi="Calibri"/>
                <w:b/>
                <w:bCs/>
                <w:i/>
                <w:color w:val="548DD4" w:themeColor="text2" w:themeTint="99"/>
                <w:lang w:val="en-US"/>
              </w:rPr>
            </w:pPr>
            <w:bookmarkStart w:id="37" w:name="_Toc407204683"/>
            <w:bookmarkStart w:id="38" w:name="_Toc480772961"/>
            <w:bookmarkStart w:id="39" w:name="_Toc480825650"/>
            <w:bookmarkStart w:id="40" w:name="_Toc481139491"/>
            <w:r w:rsidRPr="00A9366F">
              <w:rPr>
                <w:rFonts w:ascii="Calibri" w:hAnsi="Calibri"/>
                <w:b/>
                <w:bCs/>
                <w:i/>
                <w:color w:val="548DD4" w:themeColor="text2" w:themeTint="99"/>
                <w:lang w:val="en-US"/>
              </w:rPr>
              <w:t xml:space="preserve">Principle 19: Tiered participation arrangements </w:t>
            </w:r>
          </w:p>
          <w:p w:rsidR="00C17808" w:rsidRPr="00A9366F" w:rsidRDefault="00C17808" w:rsidP="000C0445">
            <w:pPr>
              <w:rPr>
                <w:rFonts w:ascii="Calibri" w:eastAsia="ArialMT" w:hAnsi="Calibri"/>
                <w:bCs/>
                <w:i/>
                <w:lang w:val="en-US"/>
              </w:rPr>
            </w:pPr>
            <w:r w:rsidRPr="00A9366F">
              <w:rPr>
                <w:rFonts w:ascii="Calibri" w:eastAsia="ArialMT" w:hAnsi="Calibri"/>
                <w:bCs/>
                <w:i/>
                <w:lang w:val="en-US"/>
              </w:rPr>
              <w:t xml:space="preserve">An FMI should identify, monitor, and manage the material risks to the FMI arising from tiered </w:t>
            </w:r>
          </w:p>
          <w:p w:rsidR="000C0445" w:rsidRPr="00A9366F" w:rsidRDefault="00C17808" w:rsidP="000C0445">
            <w:pPr>
              <w:jc w:val="both"/>
              <w:rPr>
                <w:rFonts w:ascii="Calibri" w:eastAsia="ArialMT" w:hAnsi="Calibri"/>
                <w:bCs/>
                <w:i/>
                <w:lang w:val="en-US"/>
              </w:rPr>
            </w:pPr>
            <w:proofErr w:type="gramStart"/>
            <w:r w:rsidRPr="00A9366F">
              <w:rPr>
                <w:rFonts w:ascii="Calibri" w:eastAsia="ArialMT" w:hAnsi="Calibri"/>
                <w:bCs/>
                <w:i/>
                <w:lang w:val="en-US"/>
              </w:rPr>
              <w:t>participation</w:t>
            </w:r>
            <w:proofErr w:type="gramEnd"/>
            <w:r w:rsidRPr="00A9366F">
              <w:rPr>
                <w:rFonts w:ascii="Calibri" w:eastAsia="ArialMT" w:hAnsi="Calibri"/>
                <w:bCs/>
                <w:i/>
                <w:lang w:val="en-US"/>
              </w:rPr>
              <w:t xml:space="preserve"> arrangements. </w:t>
            </w:r>
            <w:bookmarkEnd w:id="37"/>
            <w:bookmarkEnd w:id="38"/>
            <w:bookmarkEnd w:id="39"/>
            <w:bookmarkEnd w:id="40"/>
          </w:p>
          <w:p w:rsidR="006F65CE" w:rsidRPr="00A9366F" w:rsidRDefault="006F65CE" w:rsidP="00610467">
            <w:pPr>
              <w:jc w:val="both"/>
              <w:rPr>
                <w:rFonts w:ascii="Calibri" w:hAnsi="Calibri"/>
                <w:i/>
                <w:lang w:val="en-US"/>
              </w:rPr>
            </w:pPr>
          </w:p>
        </w:tc>
      </w:tr>
      <w:tr w:rsidR="006F65CE" w:rsidRPr="00EA720F" w:rsidTr="00610467">
        <w:tc>
          <w:tcPr>
            <w:tcW w:w="1364" w:type="dxa"/>
            <w:shd w:val="clear" w:color="auto" w:fill="F3F3F3"/>
          </w:tcPr>
          <w:p w:rsidR="006F65CE" w:rsidRPr="00A9366F" w:rsidRDefault="00974520"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974520" w:rsidRPr="00A9366F" w:rsidRDefault="00974520" w:rsidP="00610467">
            <w:pPr>
              <w:suppressAutoHyphens/>
              <w:jc w:val="both"/>
              <w:rPr>
                <w:rFonts w:ascii="Calibri" w:eastAsia="ArialMT" w:hAnsi="Calibri"/>
                <w:bCs/>
                <w:lang w:val="en-US"/>
              </w:rPr>
            </w:pPr>
            <w:r w:rsidRPr="00A9366F">
              <w:rPr>
                <w:rFonts w:ascii="Calibri" w:eastAsia="ArialMT" w:hAnsi="Calibri"/>
                <w:bCs/>
                <w:lang w:val="en-US"/>
              </w:rPr>
              <w:t xml:space="preserve">There are no tiered participation arrangements in ISMT and ICS. </w:t>
            </w:r>
            <w:r w:rsidR="00055BE7" w:rsidRPr="00A9366F">
              <w:rPr>
                <w:rFonts w:ascii="Calibri" w:eastAsia="ArialMT" w:hAnsi="Calibri"/>
                <w:bCs/>
                <w:lang w:val="en-US"/>
              </w:rPr>
              <w:t xml:space="preserve"> The direct participants of IS</w:t>
            </w:r>
            <w:r w:rsidRPr="00A9366F">
              <w:rPr>
                <w:rFonts w:ascii="Calibri" w:eastAsia="ArialMT" w:hAnsi="Calibri"/>
                <w:bCs/>
                <w:lang w:val="en-US"/>
              </w:rPr>
              <w:t>M</w:t>
            </w:r>
            <w:r w:rsidR="00055BE7" w:rsidRPr="00A9366F">
              <w:rPr>
                <w:rFonts w:ascii="Calibri" w:eastAsia="ArialMT" w:hAnsi="Calibri"/>
                <w:bCs/>
                <w:lang w:val="en-US"/>
              </w:rPr>
              <w:t>T</w:t>
            </w:r>
            <w:r w:rsidRPr="00A9366F">
              <w:rPr>
                <w:rFonts w:ascii="Calibri" w:eastAsia="ArialMT" w:hAnsi="Calibri"/>
                <w:bCs/>
                <w:lang w:val="en-US"/>
              </w:rPr>
              <w:t xml:space="preserve"> and IC</w:t>
            </w:r>
            <w:r w:rsidR="00055BE7" w:rsidRPr="00A9366F">
              <w:rPr>
                <w:rFonts w:ascii="Calibri" w:eastAsia="ArialMT" w:hAnsi="Calibri"/>
                <w:bCs/>
                <w:lang w:val="en-US"/>
              </w:rPr>
              <w:t>S</w:t>
            </w:r>
            <w:r w:rsidRPr="00A9366F">
              <w:rPr>
                <w:rFonts w:ascii="Calibri" w:eastAsia="ArialMT" w:hAnsi="Calibri"/>
                <w:bCs/>
                <w:lang w:val="en-US"/>
              </w:rPr>
              <w:t xml:space="preserve"> are the banks and organizations carrying our certain types of banking operations, which have signed contracts with the National Bank of Kazakhstan for participation in the system and with KISC for having services in the system. </w:t>
            </w:r>
          </w:p>
          <w:p w:rsidR="00974520" w:rsidRPr="00A9366F" w:rsidRDefault="00974520" w:rsidP="00610467">
            <w:pPr>
              <w:suppressAutoHyphens/>
              <w:jc w:val="both"/>
              <w:rPr>
                <w:rFonts w:ascii="Calibri" w:eastAsia="ArialMT" w:hAnsi="Calibri"/>
                <w:bCs/>
                <w:lang w:val="en-US"/>
              </w:rPr>
            </w:pPr>
          </w:p>
          <w:p w:rsidR="000248DB" w:rsidRPr="00A9366F" w:rsidRDefault="00974520" w:rsidP="00610467">
            <w:pPr>
              <w:suppressAutoHyphens/>
              <w:jc w:val="both"/>
              <w:rPr>
                <w:rFonts w:ascii="Calibri" w:eastAsia="ArialMT" w:hAnsi="Calibri"/>
                <w:bCs/>
                <w:lang w:val="en-US"/>
              </w:rPr>
            </w:pPr>
            <w:r w:rsidRPr="00A9366F">
              <w:rPr>
                <w:rFonts w:ascii="Calibri" w:eastAsia="ArialMT" w:hAnsi="Calibri"/>
                <w:bCs/>
                <w:lang w:val="en-US"/>
              </w:rPr>
              <w:t xml:space="preserve">Indirect participants of ISMT and ICS are the clients (individuals and legal entities) </w:t>
            </w:r>
            <w:r w:rsidR="000248DB" w:rsidRPr="00A9366F">
              <w:rPr>
                <w:rFonts w:ascii="Calibri" w:eastAsia="ArialMT" w:hAnsi="Calibri"/>
                <w:bCs/>
                <w:lang w:val="en-US"/>
              </w:rPr>
              <w:t>of the direct participants whose payment instructions the direct participants send to the payment system for settlements and with whom the payment system participants have signed the bank service contracts (bank account, money transfer and bank deposit contracts).</w:t>
            </w:r>
          </w:p>
          <w:p w:rsidR="000248DB" w:rsidRPr="00A9366F" w:rsidRDefault="000248DB" w:rsidP="00610467">
            <w:pPr>
              <w:suppressAutoHyphens/>
              <w:jc w:val="both"/>
              <w:rPr>
                <w:rFonts w:ascii="Calibri" w:eastAsia="ArialMT" w:hAnsi="Calibri"/>
                <w:bCs/>
                <w:lang w:val="en-US"/>
              </w:rPr>
            </w:pPr>
            <w:r w:rsidRPr="00A9366F">
              <w:rPr>
                <w:rFonts w:ascii="Calibri" w:eastAsia="ArialMT" w:hAnsi="Calibri"/>
                <w:bCs/>
                <w:lang w:val="en-US"/>
              </w:rPr>
              <w:t xml:space="preserve">It is provided for that the operators of the systemically important and </w:t>
            </w:r>
            <w:r w:rsidR="00341D47" w:rsidRPr="00A9366F">
              <w:rPr>
                <w:rFonts w:ascii="Calibri" w:eastAsia="ArialMT" w:hAnsi="Calibri"/>
                <w:bCs/>
                <w:lang w:val="en-US"/>
              </w:rPr>
              <w:t>important</w:t>
            </w:r>
            <w:r w:rsidRPr="00A9366F">
              <w:rPr>
                <w:rFonts w:ascii="Calibri" w:eastAsia="ArialMT" w:hAnsi="Calibri"/>
                <w:bCs/>
                <w:lang w:val="en-US"/>
              </w:rPr>
              <w:t xml:space="preserve"> payment systems have to submit to the National Bank of Kazakhstan data on payments made by the </w:t>
            </w:r>
            <w:r w:rsidR="00341D47" w:rsidRPr="00A9366F">
              <w:rPr>
                <w:rFonts w:ascii="Calibri" w:eastAsia="ArialMT" w:hAnsi="Calibri"/>
                <w:bCs/>
                <w:lang w:val="en-US"/>
              </w:rPr>
              <w:t>important</w:t>
            </w:r>
            <w:r w:rsidRPr="00A9366F">
              <w:rPr>
                <w:rFonts w:ascii="Calibri" w:eastAsia="ArialMT" w:hAnsi="Calibri"/>
                <w:bCs/>
                <w:lang w:val="en-US"/>
              </w:rPr>
              <w:t xml:space="preserve"> clients of the payment system participants.  </w:t>
            </w:r>
          </w:p>
          <w:p w:rsidR="006F65CE" w:rsidRPr="00A9366F" w:rsidRDefault="006F65CE" w:rsidP="00AB2BFD">
            <w:pPr>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0C0445" w:rsidRPr="00A9366F" w:rsidRDefault="000C0445" w:rsidP="000C0445">
            <w:pPr>
              <w:jc w:val="both"/>
              <w:rPr>
                <w:rFonts w:ascii="Calibri" w:hAnsi="Calibri"/>
                <w:b/>
                <w:bCs/>
                <w:i/>
                <w:color w:val="548DD4" w:themeColor="text2" w:themeTint="99"/>
                <w:lang w:val="en-US"/>
              </w:rPr>
            </w:pPr>
            <w:bookmarkStart w:id="41" w:name="_Toc407204684"/>
            <w:bookmarkStart w:id="42" w:name="_Toc480772962"/>
            <w:bookmarkStart w:id="43" w:name="_Toc480825651"/>
            <w:bookmarkStart w:id="44" w:name="_Toc481139492"/>
            <w:r w:rsidRPr="00A9366F">
              <w:rPr>
                <w:rFonts w:ascii="Calibri" w:hAnsi="Calibri"/>
                <w:b/>
                <w:bCs/>
                <w:i/>
                <w:color w:val="548DD4" w:themeColor="text2" w:themeTint="99"/>
                <w:lang w:val="en-US"/>
              </w:rPr>
              <w:t xml:space="preserve">Principle 20: FMI links </w:t>
            </w:r>
          </w:p>
          <w:p w:rsidR="006F65CE" w:rsidRPr="00A9366F" w:rsidRDefault="000C0445" w:rsidP="00610467">
            <w:pPr>
              <w:jc w:val="both"/>
              <w:rPr>
                <w:rFonts w:ascii="Calibri" w:eastAsia="ArialMT" w:hAnsi="Calibri"/>
                <w:bCs/>
                <w:i/>
                <w:iCs/>
                <w:lang w:val="en-US"/>
              </w:rPr>
            </w:pPr>
            <w:r w:rsidRPr="00A9366F">
              <w:rPr>
                <w:rFonts w:ascii="Calibri" w:eastAsia="ArialMT" w:hAnsi="Calibri"/>
                <w:bCs/>
                <w:i/>
                <w:iCs/>
                <w:lang w:val="en-US"/>
              </w:rPr>
              <w:t>An FMI that establishes a link with one or more FMIs should identify, monitor, and manage link-related risks.</w:t>
            </w:r>
            <w:bookmarkEnd w:id="41"/>
            <w:bookmarkEnd w:id="42"/>
            <w:bookmarkEnd w:id="43"/>
            <w:bookmarkEnd w:id="44"/>
          </w:p>
          <w:p w:rsidR="000C0445" w:rsidRPr="00A9366F" w:rsidRDefault="000C0445" w:rsidP="00610467">
            <w:pPr>
              <w:jc w:val="both"/>
              <w:rPr>
                <w:rFonts w:ascii="Calibri" w:eastAsia="ArialMT" w:hAnsi="Calibri"/>
                <w:bCs/>
                <w:i/>
                <w:iCs/>
                <w:lang w:val="en-US"/>
              </w:rPr>
            </w:pPr>
          </w:p>
        </w:tc>
      </w:tr>
      <w:tr w:rsidR="006F65CE" w:rsidRPr="00EA720F" w:rsidTr="00610467">
        <w:tc>
          <w:tcPr>
            <w:tcW w:w="1364" w:type="dxa"/>
            <w:shd w:val="clear" w:color="auto" w:fill="F3F3F3"/>
          </w:tcPr>
          <w:p w:rsidR="006F65CE" w:rsidRPr="00A9366F" w:rsidRDefault="000248DB"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A9366F" w:rsidRDefault="002D1528" w:rsidP="00610467">
            <w:pPr>
              <w:suppressAutoHyphens/>
              <w:jc w:val="both"/>
              <w:rPr>
                <w:rFonts w:ascii="Calibri" w:eastAsia="ArialMT" w:hAnsi="Calibri"/>
                <w:bCs/>
                <w:lang w:val="en-US"/>
              </w:rPr>
            </w:pPr>
            <w:r w:rsidRPr="00A9366F">
              <w:rPr>
                <w:rFonts w:ascii="Calibri" w:eastAsia="ArialMT" w:hAnsi="Calibri"/>
                <w:lang w:val="en-US"/>
              </w:rPr>
              <w:t>Provisions of this Principle are not applicable to ISMT and ICS</w:t>
            </w:r>
            <w:r w:rsidR="003405AE" w:rsidRPr="00A9366F">
              <w:rPr>
                <w:rFonts w:ascii="Calibri" w:eastAsia="ArialMT" w:hAnsi="Calibri"/>
                <w:lang w:val="en-US"/>
              </w:rPr>
              <w:t>.</w:t>
            </w:r>
          </w:p>
          <w:p w:rsidR="006F65CE" w:rsidRPr="00A9366F" w:rsidRDefault="006F65CE" w:rsidP="00610467">
            <w:pPr>
              <w:suppressAutoHyphens/>
              <w:jc w:val="both"/>
              <w:rPr>
                <w:rFonts w:ascii="Calibri" w:eastAsia="ArialMT" w:hAnsi="Calibri"/>
                <w:bCs/>
                <w:lang w:val="en-US"/>
              </w:rPr>
            </w:pPr>
          </w:p>
        </w:tc>
      </w:tr>
      <w:tr w:rsidR="006F65CE" w:rsidRPr="00EA720F" w:rsidTr="00610467">
        <w:trPr>
          <w:trHeight w:val="530"/>
        </w:trPr>
        <w:tc>
          <w:tcPr>
            <w:tcW w:w="9644" w:type="dxa"/>
            <w:gridSpan w:val="2"/>
            <w:shd w:val="clear" w:color="auto" w:fill="F3F3F3"/>
          </w:tcPr>
          <w:p w:rsidR="000C0445" w:rsidRPr="00A9366F" w:rsidRDefault="000C0445" w:rsidP="000C0445">
            <w:pPr>
              <w:rPr>
                <w:rFonts w:ascii="Calibri" w:hAnsi="Calibri"/>
                <w:b/>
                <w:bCs/>
                <w:i/>
                <w:color w:val="548DD4" w:themeColor="text2" w:themeTint="99"/>
                <w:lang w:val="en-US"/>
              </w:rPr>
            </w:pPr>
            <w:bookmarkStart w:id="45" w:name="_Toc407204685"/>
            <w:bookmarkStart w:id="46" w:name="_Toc480772963"/>
            <w:bookmarkStart w:id="47" w:name="_Toc480825652"/>
            <w:bookmarkStart w:id="48" w:name="_Toc481139493"/>
            <w:r w:rsidRPr="00A9366F">
              <w:rPr>
                <w:rFonts w:ascii="Calibri" w:hAnsi="Calibri"/>
                <w:b/>
                <w:bCs/>
                <w:i/>
                <w:color w:val="548DD4" w:themeColor="text2" w:themeTint="99"/>
                <w:lang w:val="en-US"/>
              </w:rPr>
              <w:t xml:space="preserve">Principle 21: Efficiency and effectiveness </w:t>
            </w:r>
          </w:p>
          <w:p w:rsidR="000C0445" w:rsidRPr="00A9366F" w:rsidRDefault="000C0445" w:rsidP="000C0445">
            <w:pPr>
              <w:jc w:val="both"/>
              <w:rPr>
                <w:rFonts w:ascii="Calibri" w:eastAsia="ArialMT" w:hAnsi="Calibri"/>
                <w:i/>
                <w:lang w:val="en-US"/>
              </w:rPr>
            </w:pPr>
            <w:r w:rsidRPr="00A9366F">
              <w:rPr>
                <w:rFonts w:ascii="Calibri" w:eastAsia="ArialMT" w:hAnsi="Calibri"/>
                <w:i/>
                <w:lang w:val="en-US"/>
              </w:rPr>
              <w:t xml:space="preserve">An FMI should be efficient and effective in meeting the requirements of its participants and the markets it serves. </w:t>
            </w:r>
          </w:p>
          <w:bookmarkEnd w:id="45"/>
          <w:bookmarkEnd w:id="46"/>
          <w:bookmarkEnd w:id="47"/>
          <w:bookmarkEnd w:id="48"/>
          <w:p w:rsidR="006F65CE" w:rsidRPr="00A9366F" w:rsidRDefault="006F65CE" w:rsidP="00610467">
            <w:pPr>
              <w:jc w:val="both"/>
              <w:rPr>
                <w:rFonts w:ascii="Calibri" w:hAnsi="Calibri"/>
                <w:b/>
                <w:bCs/>
                <w:i/>
                <w:color w:val="548DD4" w:themeColor="text2" w:themeTint="99"/>
                <w:lang w:val="en-US"/>
              </w:rPr>
            </w:pPr>
          </w:p>
        </w:tc>
      </w:tr>
      <w:tr w:rsidR="006F65CE" w:rsidRPr="00EA720F" w:rsidTr="00610467">
        <w:tc>
          <w:tcPr>
            <w:tcW w:w="1364" w:type="dxa"/>
            <w:shd w:val="clear" w:color="auto" w:fill="F3F3F3"/>
          </w:tcPr>
          <w:p w:rsidR="006F65CE" w:rsidRPr="00A9366F" w:rsidRDefault="0041080D"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41080D" w:rsidRPr="00A9366F" w:rsidRDefault="0041080D" w:rsidP="00610467">
            <w:pPr>
              <w:suppressAutoHyphens/>
              <w:jc w:val="both"/>
              <w:rPr>
                <w:rFonts w:ascii="Calibri" w:eastAsia="ArialMT" w:hAnsi="Calibri"/>
                <w:bCs/>
                <w:lang w:val="en-US"/>
              </w:rPr>
            </w:pPr>
            <w:r w:rsidRPr="00A9366F">
              <w:rPr>
                <w:rFonts w:ascii="Calibri" w:eastAsia="ArialMT" w:hAnsi="Calibri"/>
                <w:bCs/>
                <w:lang w:val="en-US"/>
              </w:rPr>
              <w:t xml:space="preserve">The National Bank of Kazakhstan and KISC in their activities are governed by the principle of full service of the participants of ISMT and ICS. The major advantages of ISMT and ICS are the high security level, high-speed information transfer; in addition, ISMT is able to make payments in real time. </w:t>
            </w:r>
          </w:p>
          <w:p w:rsidR="0041080D" w:rsidRPr="00A9366F" w:rsidRDefault="0041080D" w:rsidP="00610467">
            <w:pPr>
              <w:suppressAutoHyphens/>
              <w:jc w:val="both"/>
              <w:rPr>
                <w:rFonts w:ascii="Calibri" w:eastAsia="ArialMT" w:hAnsi="Calibri"/>
                <w:bCs/>
                <w:lang w:val="en-US"/>
              </w:rPr>
            </w:pPr>
          </w:p>
          <w:p w:rsidR="0041080D" w:rsidRPr="00A9366F" w:rsidRDefault="0041080D" w:rsidP="00610467">
            <w:pPr>
              <w:suppressAutoHyphens/>
              <w:jc w:val="both"/>
              <w:rPr>
                <w:rFonts w:ascii="Calibri" w:eastAsia="ArialMT" w:hAnsi="Calibri"/>
                <w:bCs/>
                <w:lang w:val="en-US"/>
              </w:rPr>
            </w:pPr>
            <w:r w:rsidRPr="00A9366F">
              <w:rPr>
                <w:rFonts w:ascii="Calibri" w:eastAsia="ArialMT" w:hAnsi="Calibri"/>
                <w:bCs/>
                <w:lang w:val="en-US"/>
              </w:rPr>
              <w:t xml:space="preserve">ISMT has to continue to be the leader in provision of services of interbank </w:t>
            </w:r>
            <w:r w:rsidR="008822A6" w:rsidRPr="00A9366F">
              <w:rPr>
                <w:rFonts w:ascii="Calibri" w:eastAsia="ArialMT" w:hAnsi="Calibri"/>
                <w:bCs/>
                <w:lang w:val="en-US"/>
              </w:rPr>
              <w:t xml:space="preserve">money transfers and guarantee </w:t>
            </w:r>
            <w:r w:rsidRPr="00A9366F">
              <w:rPr>
                <w:rFonts w:ascii="Calibri" w:eastAsia="ArialMT" w:hAnsi="Calibri"/>
                <w:bCs/>
                <w:lang w:val="en-US"/>
              </w:rPr>
              <w:t xml:space="preserve">the </w:t>
            </w:r>
            <w:r w:rsidR="00596030" w:rsidRPr="00A9366F">
              <w:rPr>
                <w:rFonts w:ascii="Calibri" w:eastAsia="ArialMT" w:hAnsi="Calibri"/>
                <w:bCs/>
                <w:lang w:val="en-US"/>
              </w:rPr>
              <w:t>world-class</w:t>
            </w:r>
            <w:r w:rsidRPr="00A9366F">
              <w:rPr>
                <w:rFonts w:ascii="Calibri" w:eastAsia="ArialMT" w:hAnsi="Calibri"/>
                <w:bCs/>
                <w:lang w:val="en-US"/>
              </w:rPr>
              <w:t xml:space="preserve"> quality level and </w:t>
            </w:r>
            <w:r w:rsidR="008822A6" w:rsidRPr="00A9366F">
              <w:rPr>
                <w:rFonts w:ascii="Calibri" w:eastAsia="ArialMT" w:hAnsi="Calibri"/>
                <w:bCs/>
                <w:lang w:val="en-US"/>
              </w:rPr>
              <w:t xml:space="preserve">ensure compliance with the international standards (Principles for FMI).  </w:t>
            </w:r>
            <w:r w:rsidR="00306CC4" w:rsidRPr="00A9366F">
              <w:rPr>
                <w:rFonts w:ascii="Calibri" w:eastAsia="ArialMT" w:hAnsi="Calibri"/>
                <w:bCs/>
                <w:lang w:val="en-US"/>
              </w:rPr>
              <w:t>In this regard, KISC performs, in good faith and thoroughly, its undertakings with relation to the participants following the principle “Loyal and equal attitude to any participant”</w:t>
            </w:r>
            <w:r w:rsidR="00596030" w:rsidRPr="00A9366F">
              <w:rPr>
                <w:rFonts w:ascii="Calibri" w:eastAsia="ArialMT" w:hAnsi="Calibri"/>
                <w:bCs/>
                <w:lang w:val="en-US"/>
              </w:rPr>
              <w:t xml:space="preserve">. While working with the participants the principle “respectful and prompt performance of services </w:t>
            </w:r>
            <w:r w:rsidR="00C41480" w:rsidRPr="00A9366F">
              <w:rPr>
                <w:rFonts w:ascii="Calibri" w:eastAsia="ArialMT" w:hAnsi="Calibri"/>
                <w:bCs/>
                <w:lang w:val="en-US"/>
              </w:rPr>
              <w:t xml:space="preserve">on the user’s request” is in force. </w:t>
            </w:r>
          </w:p>
          <w:p w:rsidR="00C41480" w:rsidRPr="00A9366F" w:rsidRDefault="00C41480" w:rsidP="00610467">
            <w:pPr>
              <w:suppressAutoHyphens/>
              <w:jc w:val="both"/>
              <w:rPr>
                <w:rFonts w:ascii="Calibri" w:eastAsia="ArialMT" w:hAnsi="Calibri"/>
                <w:bCs/>
                <w:lang w:val="en-US"/>
              </w:rPr>
            </w:pPr>
            <w:r w:rsidRPr="00A9366F">
              <w:rPr>
                <w:rFonts w:ascii="Calibri" w:eastAsia="ArialMT" w:hAnsi="Calibri"/>
                <w:bCs/>
                <w:lang w:val="en-US"/>
              </w:rPr>
              <w:t xml:space="preserve">To determine whether ISMT complies with the requirements and meets the needs of the participants a questionnaire survey of the participants is performed, annual meetings (seminars) with the ISMT users are held in order to address the general issues, </w:t>
            </w:r>
            <w:r w:rsidR="00AF5816" w:rsidRPr="00A9366F">
              <w:rPr>
                <w:rFonts w:ascii="Calibri" w:eastAsia="ArialMT" w:hAnsi="Calibri"/>
                <w:bCs/>
                <w:lang w:val="en-US"/>
              </w:rPr>
              <w:t xml:space="preserve">inform about new projects and lines of business and discuss the latest trends.  </w:t>
            </w:r>
          </w:p>
          <w:p w:rsidR="00927CE5" w:rsidRPr="00A9366F" w:rsidRDefault="00AF5816" w:rsidP="00AB2BFD">
            <w:pPr>
              <w:tabs>
                <w:tab w:val="left" w:pos="167"/>
              </w:tabs>
              <w:suppressAutoHyphens/>
              <w:jc w:val="both"/>
              <w:rPr>
                <w:rFonts w:ascii="Calibri" w:eastAsia="ArialMT" w:hAnsi="Calibri"/>
                <w:bCs/>
                <w:lang w:val="en-US"/>
              </w:rPr>
            </w:pPr>
            <w:r w:rsidRPr="00A9366F">
              <w:rPr>
                <w:rFonts w:ascii="Calibri" w:eastAsia="ArialMT" w:hAnsi="Calibri"/>
                <w:bCs/>
                <w:lang w:val="en-US"/>
              </w:rPr>
              <w:t xml:space="preserve">The National Bank of Kazakhstan is carrying out, on </w:t>
            </w:r>
            <w:r w:rsidR="00927CE5" w:rsidRPr="00A9366F">
              <w:rPr>
                <w:rFonts w:ascii="Calibri" w:eastAsia="ArialMT" w:hAnsi="Calibri"/>
                <w:bCs/>
                <w:lang w:val="en-US"/>
              </w:rPr>
              <w:t xml:space="preserve">the </w:t>
            </w:r>
            <w:r w:rsidRPr="00A9366F">
              <w:rPr>
                <w:rFonts w:ascii="Calibri" w:eastAsia="ArialMT" w:hAnsi="Calibri"/>
                <w:bCs/>
                <w:lang w:val="en-US"/>
              </w:rPr>
              <w:t xml:space="preserve">ongoing basis, </w:t>
            </w:r>
            <w:r w:rsidR="00927CE5" w:rsidRPr="00A9366F">
              <w:rPr>
                <w:rFonts w:ascii="Calibri" w:eastAsia="ArialMT" w:hAnsi="Calibri"/>
                <w:bCs/>
                <w:lang w:val="en-US"/>
              </w:rPr>
              <w:t xml:space="preserve">the </w:t>
            </w:r>
            <w:r w:rsidRPr="00A9366F">
              <w:rPr>
                <w:rFonts w:ascii="Calibri" w:eastAsia="ArialMT" w:hAnsi="Calibri"/>
                <w:bCs/>
                <w:lang w:val="en-US"/>
              </w:rPr>
              <w:t xml:space="preserve">works related to monitoring and </w:t>
            </w:r>
            <w:r w:rsidR="007612B9" w:rsidRPr="00A9366F">
              <w:rPr>
                <w:rFonts w:ascii="Calibri" w:eastAsia="ArialMT" w:hAnsi="Calibri"/>
                <w:bCs/>
                <w:lang w:val="en-US"/>
              </w:rPr>
              <w:t>improvement</w:t>
            </w:r>
            <w:r w:rsidRPr="00A9366F">
              <w:rPr>
                <w:rFonts w:ascii="Calibri" w:eastAsia="ArialMT" w:hAnsi="Calibri"/>
                <w:bCs/>
                <w:lang w:val="en-US"/>
              </w:rPr>
              <w:t xml:space="preserve"> of the </w:t>
            </w:r>
            <w:r w:rsidR="00927CE5" w:rsidRPr="00A9366F">
              <w:rPr>
                <w:rFonts w:ascii="Calibri" w:eastAsia="ArialMT" w:hAnsi="Calibri"/>
                <w:bCs/>
                <w:lang w:val="en-US"/>
              </w:rPr>
              <w:t>regulatory legal acts that determine the terms and procedure of organization and functioning of ISMT and ICS</w:t>
            </w:r>
            <w:r w:rsidR="006F65CE" w:rsidRPr="00A9366F">
              <w:rPr>
                <w:rFonts w:ascii="Calibri" w:eastAsia="ArialMT" w:hAnsi="Calibri"/>
                <w:bCs/>
                <w:lang w:val="en-US"/>
              </w:rPr>
              <w:t>.</w:t>
            </w:r>
          </w:p>
          <w:p w:rsidR="006F65CE" w:rsidRPr="00A9366F" w:rsidRDefault="006F65CE" w:rsidP="00AB2BFD">
            <w:pPr>
              <w:tabs>
                <w:tab w:val="left" w:pos="167"/>
              </w:tabs>
              <w:suppressAutoHyphens/>
              <w:jc w:val="both"/>
              <w:rPr>
                <w:rFonts w:ascii="Calibri" w:eastAsia="ArialMT" w:hAnsi="Calibri"/>
                <w:bCs/>
                <w:lang w:val="en-US"/>
              </w:rPr>
            </w:pPr>
            <w:r w:rsidRPr="00A9366F">
              <w:rPr>
                <w:rFonts w:ascii="Calibri" w:eastAsia="ArialMT" w:hAnsi="Calibri"/>
                <w:bCs/>
                <w:lang w:val="en-US"/>
              </w:rPr>
              <w:t xml:space="preserve"> </w:t>
            </w:r>
          </w:p>
        </w:tc>
      </w:tr>
      <w:tr w:rsidR="006F65CE" w:rsidRPr="00EA720F" w:rsidTr="00610467">
        <w:trPr>
          <w:trHeight w:val="530"/>
        </w:trPr>
        <w:tc>
          <w:tcPr>
            <w:tcW w:w="9644" w:type="dxa"/>
            <w:gridSpan w:val="2"/>
            <w:shd w:val="clear" w:color="auto" w:fill="F3F3F3"/>
          </w:tcPr>
          <w:p w:rsidR="000C0445" w:rsidRPr="00A9366F" w:rsidRDefault="000C0445" w:rsidP="000C0445">
            <w:pPr>
              <w:rPr>
                <w:rFonts w:ascii="Calibri" w:hAnsi="Calibri"/>
                <w:b/>
                <w:bCs/>
                <w:i/>
                <w:color w:val="548DD4" w:themeColor="text2" w:themeTint="99"/>
                <w:lang w:val="en-US"/>
              </w:rPr>
            </w:pPr>
            <w:bookmarkStart w:id="49" w:name="_Toc407204686"/>
            <w:bookmarkStart w:id="50" w:name="_Toc480772964"/>
            <w:bookmarkStart w:id="51" w:name="_Toc480825653"/>
            <w:bookmarkStart w:id="52" w:name="_Toc481139494"/>
            <w:r w:rsidRPr="00A9366F">
              <w:rPr>
                <w:rFonts w:ascii="Calibri" w:hAnsi="Calibri"/>
                <w:b/>
                <w:bCs/>
                <w:i/>
                <w:color w:val="548DD4" w:themeColor="text2" w:themeTint="99"/>
                <w:lang w:val="en-US"/>
              </w:rPr>
              <w:t xml:space="preserve">Principle 22: Communication procedures and standards </w:t>
            </w:r>
          </w:p>
          <w:p w:rsidR="006F65CE" w:rsidRPr="00A9366F" w:rsidRDefault="000C0445" w:rsidP="00610467">
            <w:pPr>
              <w:jc w:val="both"/>
              <w:rPr>
                <w:rFonts w:ascii="Calibri" w:eastAsia="ArialMT" w:hAnsi="Calibri"/>
                <w:i/>
                <w:lang w:val="en-US"/>
              </w:rPr>
            </w:pPr>
            <w:r w:rsidRPr="00A9366F">
              <w:rPr>
                <w:rFonts w:ascii="Calibri" w:eastAsia="ArialMT" w:hAnsi="Calibri"/>
                <w:i/>
                <w:lang w:val="en-US"/>
              </w:rPr>
              <w:t xml:space="preserve">An FMI should use, or at a minimum accommodate, relevant internationally accepted communication procedures and standards in order to facilitate efficient payment, clearing, settlement, and recording. </w:t>
            </w:r>
            <w:bookmarkEnd w:id="49"/>
            <w:bookmarkEnd w:id="50"/>
            <w:bookmarkEnd w:id="51"/>
            <w:bookmarkEnd w:id="52"/>
          </w:p>
        </w:tc>
      </w:tr>
      <w:tr w:rsidR="006F65CE" w:rsidRPr="00EA720F" w:rsidTr="00610467">
        <w:tc>
          <w:tcPr>
            <w:tcW w:w="1364" w:type="dxa"/>
            <w:shd w:val="clear" w:color="auto" w:fill="F3F3F3"/>
          </w:tcPr>
          <w:p w:rsidR="006F65CE" w:rsidRPr="00A9366F" w:rsidRDefault="00927CE5"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927CE5" w:rsidRPr="00A9366F" w:rsidRDefault="00927CE5" w:rsidP="00610467">
            <w:pPr>
              <w:suppressAutoHyphens/>
              <w:jc w:val="both"/>
              <w:rPr>
                <w:rFonts w:ascii="Calibri" w:eastAsia="ArialMT" w:hAnsi="Calibri"/>
                <w:bCs/>
                <w:lang w:val="en-US"/>
              </w:rPr>
            </w:pPr>
            <w:r w:rsidRPr="00A9366F">
              <w:rPr>
                <w:rFonts w:ascii="Calibri" w:eastAsia="ArialMT" w:hAnsi="Calibri"/>
                <w:bCs/>
                <w:lang w:val="en-US"/>
              </w:rPr>
              <w:t xml:space="preserve">ISMT/ICS do not use the international formats of messages and use the internal SWIFT-like formats of messages. In this regard, to ensure the interoperability with the international formats of messages (for integration with the foreign payment systems in future), the international standards for the numbers of bank accounts and bank identification codes ISO 13616: IBAN (International Bank Account Number) and ISO 9362: BIC (Bank Identifier Codes) were implemented in Kazakhstan payment systems. </w:t>
            </w:r>
          </w:p>
          <w:p w:rsidR="00927CE5" w:rsidRPr="00A9366F" w:rsidRDefault="00927CE5" w:rsidP="00610467">
            <w:pPr>
              <w:suppressAutoHyphens/>
              <w:jc w:val="both"/>
              <w:rPr>
                <w:rFonts w:ascii="Calibri" w:eastAsia="ArialMT" w:hAnsi="Calibri"/>
                <w:bCs/>
                <w:lang w:val="en-US"/>
              </w:rPr>
            </w:pPr>
          </w:p>
          <w:p w:rsidR="00927CE5" w:rsidRPr="00A9366F" w:rsidRDefault="00550E0F" w:rsidP="00610467">
            <w:pPr>
              <w:suppressAutoHyphens/>
              <w:jc w:val="both"/>
              <w:rPr>
                <w:rFonts w:ascii="Calibri" w:eastAsia="ArialMT" w:hAnsi="Calibri"/>
                <w:bCs/>
                <w:lang w:val="en-US"/>
              </w:rPr>
            </w:pPr>
            <w:r w:rsidRPr="00A9366F">
              <w:rPr>
                <w:rFonts w:ascii="Calibri" w:eastAsia="ArialMT" w:hAnsi="Calibri"/>
                <w:bCs/>
                <w:lang w:val="en-US"/>
              </w:rPr>
              <w:t xml:space="preserve">It should be noted that the participants may use different types of communication (modem, dedicated channels, Internet) to communicate with KISC.  </w:t>
            </w:r>
            <w:r w:rsidR="00927CE5" w:rsidRPr="00A9366F">
              <w:rPr>
                <w:rFonts w:ascii="Calibri" w:eastAsia="ArialMT" w:hAnsi="Calibri"/>
                <w:bCs/>
                <w:lang w:val="en-US"/>
              </w:rPr>
              <w:t xml:space="preserve">KISC offers an opportunity to be connected to all KISC services using the Frame-Relay, MPLS IP VPN, Internet technologies and additional Dial-Up (dial-up access) for the payment systems and authorization center. </w:t>
            </w:r>
          </w:p>
          <w:p w:rsidR="006F65CE" w:rsidRPr="00A9366F" w:rsidRDefault="006F65CE" w:rsidP="00610467">
            <w:pPr>
              <w:suppressAutoHyphens/>
              <w:jc w:val="both"/>
              <w:rPr>
                <w:rFonts w:ascii="Calibri" w:hAnsi="Calibri"/>
                <w:lang w:val="en-US"/>
              </w:rPr>
            </w:pPr>
          </w:p>
        </w:tc>
      </w:tr>
      <w:tr w:rsidR="006F65CE" w:rsidRPr="00EA720F" w:rsidTr="00610467">
        <w:trPr>
          <w:trHeight w:val="530"/>
        </w:trPr>
        <w:tc>
          <w:tcPr>
            <w:tcW w:w="9644" w:type="dxa"/>
            <w:gridSpan w:val="2"/>
            <w:shd w:val="clear" w:color="auto" w:fill="F3F3F3"/>
          </w:tcPr>
          <w:p w:rsidR="000C0445" w:rsidRPr="00A9366F" w:rsidRDefault="000C0445" w:rsidP="000C0445">
            <w:pPr>
              <w:jc w:val="both"/>
              <w:rPr>
                <w:rFonts w:ascii="Calibri" w:hAnsi="Calibri"/>
                <w:b/>
                <w:bCs/>
                <w:i/>
                <w:color w:val="548DD4" w:themeColor="text2" w:themeTint="99"/>
                <w:lang w:val="en-US"/>
              </w:rPr>
            </w:pPr>
            <w:bookmarkStart w:id="53" w:name="_Toc407204687"/>
            <w:bookmarkStart w:id="54" w:name="_Toc480772965"/>
            <w:bookmarkStart w:id="55" w:name="_Toc480825654"/>
            <w:bookmarkStart w:id="56" w:name="_Toc481139495"/>
            <w:r w:rsidRPr="00A9366F">
              <w:rPr>
                <w:rFonts w:ascii="Calibri" w:hAnsi="Calibri"/>
                <w:b/>
                <w:bCs/>
                <w:i/>
                <w:color w:val="548DD4" w:themeColor="text2" w:themeTint="99"/>
                <w:lang w:val="en-US"/>
              </w:rPr>
              <w:t xml:space="preserve">Principle 23: Disclosure of rules, key procedures, and market data </w:t>
            </w:r>
          </w:p>
          <w:p w:rsidR="000C0445" w:rsidRPr="00A9366F" w:rsidRDefault="000C0445" w:rsidP="000C0445">
            <w:pPr>
              <w:jc w:val="both"/>
              <w:rPr>
                <w:rFonts w:ascii="Calibri" w:hAnsi="Calibri"/>
                <w:b/>
                <w:bCs/>
                <w:i/>
                <w:color w:val="548DD4" w:themeColor="text2" w:themeTint="99"/>
                <w:lang w:val="en-US"/>
              </w:rPr>
            </w:pPr>
            <w:r w:rsidRPr="00A9366F">
              <w:rPr>
                <w:rFonts w:ascii="Calibri" w:eastAsia="ArialMT" w:hAnsi="Calibri"/>
                <w:i/>
                <w:lang w:val="en-US"/>
              </w:rPr>
              <w:t xml:space="preserve">An FMI should have clear and comprehensive rules and procedures and should provide sufficient information to enable participants to have an accurate understanding of the risks, fees, and other material costs they incur by participating in the FMI. All relevant rules and key procedures should be publicly disclosed. </w:t>
            </w:r>
            <w:r w:rsidRPr="00A9366F">
              <w:rPr>
                <w:rFonts w:ascii="Calibri" w:hAnsi="Calibri"/>
                <w:b/>
                <w:bCs/>
                <w:i/>
                <w:color w:val="548DD4" w:themeColor="text2" w:themeTint="99"/>
                <w:lang w:val="en-US"/>
              </w:rPr>
              <w:t xml:space="preserve"> </w:t>
            </w:r>
          </w:p>
          <w:bookmarkEnd w:id="53"/>
          <w:bookmarkEnd w:id="54"/>
          <w:bookmarkEnd w:id="55"/>
          <w:bookmarkEnd w:id="56"/>
          <w:p w:rsidR="006F65CE" w:rsidRPr="00A9366F" w:rsidRDefault="006F65CE" w:rsidP="00610467">
            <w:pPr>
              <w:jc w:val="both"/>
              <w:rPr>
                <w:rFonts w:ascii="Calibri" w:hAnsi="Calibri"/>
                <w:i/>
                <w:lang w:val="en-US"/>
              </w:rPr>
            </w:pPr>
          </w:p>
        </w:tc>
      </w:tr>
      <w:tr w:rsidR="006F65CE" w:rsidRPr="00EA720F" w:rsidTr="00610467">
        <w:tc>
          <w:tcPr>
            <w:tcW w:w="1364" w:type="dxa"/>
            <w:shd w:val="clear" w:color="auto" w:fill="F3F3F3"/>
          </w:tcPr>
          <w:p w:rsidR="006F65CE" w:rsidRPr="00A9366F" w:rsidRDefault="002D1528"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927CE5" w:rsidRPr="00A9366F" w:rsidRDefault="00927CE5" w:rsidP="00610467">
            <w:pPr>
              <w:suppressAutoHyphens/>
              <w:autoSpaceDE w:val="0"/>
              <w:autoSpaceDN w:val="0"/>
              <w:adjustRightInd w:val="0"/>
              <w:jc w:val="both"/>
              <w:rPr>
                <w:rFonts w:ascii="Calibri" w:eastAsia="ArialMT" w:hAnsi="Calibri"/>
                <w:lang w:val="en-US"/>
              </w:rPr>
            </w:pPr>
            <w:r w:rsidRPr="00A9366F">
              <w:rPr>
                <w:rFonts w:ascii="Calibri" w:eastAsia="ArialMT" w:hAnsi="Calibri"/>
                <w:lang w:val="en-US"/>
              </w:rPr>
              <w:t xml:space="preserve">Rules and procedures of ISMT and ICS, including those which determine the actions of the participants and operator, operating center of the payment systems, risks and risk management methods, tariffs valid in the payment systems, formats of messages are disclosed in the Rules of </w:t>
            </w:r>
            <w:r w:rsidR="005B4CB5" w:rsidRPr="00A9366F">
              <w:rPr>
                <w:rFonts w:ascii="Calibri" w:eastAsia="ArialMT" w:hAnsi="Calibri"/>
                <w:lang w:val="en-US"/>
              </w:rPr>
              <w:t>Functioning</w:t>
            </w:r>
            <w:r w:rsidRPr="00A9366F">
              <w:rPr>
                <w:rFonts w:ascii="Calibri" w:eastAsia="ArialMT" w:hAnsi="Calibri"/>
                <w:lang w:val="en-US"/>
              </w:rPr>
              <w:t xml:space="preserve"> of said systems as well as other documents.  In this regard, said documents are placed on the Internet resource of the National Bank of Kazakhstan, KISC website (including KISC documents “System of Payments - Procedure of Exchange and Forms of Messages”, “Checks Applied in Review of Payment Messages”) and in “</w:t>
            </w:r>
            <w:proofErr w:type="spellStart"/>
            <w:r w:rsidRPr="00A9366F">
              <w:rPr>
                <w:rFonts w:ascii="Calibri" w:eastAsia="ArialMT" w:hAnsi="Calibri"/>
                <w:lang w:val="en-US"/>
              </w:rPr>
              <w:t>Yurist</w:t>
            </w:r>
            <w:proofErr w:type="spellEnd"/>
            <w:r w:rsidRPr="00A9366F">
              <w:rPr>
                <w:rFonts w:ascii="Calibri" w:eastAsia="ArialMT" w:hAnsi="Calibri"/>
                <w:lang w:val="en-US"/>
              </w:rPr>
              <w:t xml:space="preserve">” (“Lawyer”) information system. </w:t>
            </w:r>
          </w:p>
          <w:p w:rsidR="00927CE5" w:rsidRPr="00A9366F" w:rsidRDefault="00927CE5" w:rsidP="00610467">
            <w:pPr>
              <w:suppressAutoHyphens/>
              <w:autoSpaceDE w:val="0"/>
              <w:autoSpaceDN w:val="0"/>
              <w:adjustRightInd w:val="0"/>
              <w:jc w:val="both"/>
              <w:rPr>
                <w:rFonts w:ascii="Calibri" w:eastAsia="ArialMT" w:hAnsi="Calibri"/>
                <w:lang w:val="en-US"/>
              </w:rPr>
            </w:pPr>
          </w:p>
          <w:p w:rsidR="006F65CE" w:rsidRPr="00A9366F" w:rsidRDefault="00927CE5" w:rsidP="00927CE5">
            <w:pPr>
              <w:suppressAutoHyphens/>
              <w:autoSpaceDE w:val="0"/>
              <w:autoSpaceDN w:val="0"/>
              <w:adjustRightInd w:val="0"/>
              <w:jc w:val="both"/>
              <w:rPr>
                <w:rFonts w:ascii="Calibri" w:eastAsia="ArialMT" w:hAnsi="Calibri"/>
                <w:bCs/>
                <w:lang w:val="en-US"/>
              </w:rPr>
            </w:pPr>
            <w:r w:rsidRPr="00A9366F">
              <w:rPr>
                <w:rFonts w:ascii="Calibri" w:eastAsia="ArialMT" w:hAnsi="Calibri"/>
                <w:lang w:val="en-US"/>
              </w:rPr>
              <w:t xml:space="preserve">Data on changes in requirements to the software/hardware interaction between KISC and participants of the payment systems, procedure of exchange of electronic messages is mandatory agreed on and communicated to the participants.  Statistics on functioning of ISMT and ICS is openly published on the internet resource of the National Bank of Kazakhstan </w:t>
            </w:r>
          </w:p>
        </w:tc>
      </w:tr>
      <w:tr w:rsidR="006F65CE" w:rsidRPr="00EA720F" w:rsidTr="00610467">
        <w:trPr>
          <w:trHeight w:val="530"/>
        </w:trPr>
        <w:tc>
          <w:tcPr>
            <w:tcW w:w="9644" w:type="dxa"/>
            <w:gridSpan w:val="2"/>
            <w:shd w:val="clear" w:color="auto" w:fill="F3F3F3"/>
          </w:tcPr>
          <w:p w:rsidR="000C0445" w:rsidRPr="00A9366F" w:rsidRDefault="000C0445" w:rsidP="000C0445">
            <w:pPr>
              <w:rPr>
                <w:rFonts w:ascii="Calibri" w:hAnsi="Calibri"/>
                <w:b/>
                <w:bCs/>
                <w:i/>
                <w:color w:val="548DD4" w:themeColor="text2" w:themeTint="99"/>
                <w:lang w:val="en-US"/>
              </w:rPr>
            </w:pPr>
            <w:bookmarkStart w:id="57" w:name="_Toc407204688"/>
            <w:bookmarkStart w:id="58" w:name="_Toc480772966"/>
            <w:bookmarkStart w:id="59" w:name="_Toc480825655"/>
            <w:bookmarkStart w:id="60" w:name="_Toc481139496"/>
            <w:r w:rsidRPr="00A9366F">
              <w:rPr>
                <w:rFonts w:ascii="Calibri" w:hAnsi="Calibri"/>
                <w:b/>
                <w:bCs/>
                <w:i/>
                <w:color w:val="548DD4" w:themeColor="text2" w:themeTint="99"/>
                <w:lang w:val="en-US"/>
              </w:rPr>
              <w:t xml:space="preserve">Principle 24: Disclosure of market data by trade repositories </w:t>
            </w:r>
          </w:p>
          <w:p w:rsidR="000C0445" w:rsidRPr="00A9366F" w:rsidRDefault="000C0445" w:rsidP="000C0445">
            <w:pPr>
              <w:rPr>
                <w:rFonts w:ascii="Calibri" w:eastAsia="ArialMT" w:hAnsi="Calibri"/>
                <w:i/>
                <w:lang w:val="en-US"/>
              </w:rPr>
            </w:pPr>
            <w:r w:rsidRPr="00A9366F">
              <w:rPr>
                <w:rFonts w:ascii="Calibri" w:eastAsia="ArialMT" w:hAnsi="Calibri"/>
                <w:i/>
                <w:lang w:val="en-US"/>
              </w:rPr>
              <w:t xml:space="preserve">A TR should provide timely and accurate data to relevant authorities and the public in line with their respective needs. </w:t>
            </w:r>
          </w:p>
          <w:bookmarkEnd w:id="57"/>
          <w:bookmarkEnd w:id="58"/>
          <w:bookmarkEnd w:id="59"/>
          <w:bookmarkEnd w:id="60"/>
          <w:p w:rsidR="006F65CE" w:rsidRPr="00A9366F" w:rsidRDefault="006F65CE" w:rsidP="00610467">
            <w:pPr>
              <w:jc w:val="both"/>
              <w:rPr>
                <w:rFonts w:ascii="Calibri" w:hAnsi="Calibri"/>
                <w:b/>
                <w:bCs/>
                <w:i/>
                <w:color w:val="548DD4" w:themeColor="text2" w:themeTint="99"/>
                <w:lang w:val="en-US"/>
              </w:rPr>
            </w:pPr>
          </w:p>
        </w:tc>
      </w:tr>
      <w:tr w:rsidR="006F65CE" w:rsidRPr="00EA720F" w:rsidTr="00610467">
        <w:tc>
          <w:tcPr>
            <w:tcW w:w="1364" w:type="dxa"/>
            <w:shd w:val="clear" w:color="auto" w:fill="F3F3F3"/>
          </w:tcPr>
          <w:p w:rsidR="006F65CE" w:rsidRPr="00A9366F" w:rsidRDefault="002D1528" w:rsidP="00610467">
            <w:pPr>
              <w:rPr>
                <w:rFonts w:ascii="Calibri" w:hAnsi="Calibri"/>
                <w:i/>
                <w:lang w:val="en-US"/>
              </w:rPr>
            </w:pPr>
            <w:r w:rsidRPr="00A9366F">
              <w:rPr>
                <w:rFonts w:ascii="Calibri" w:hAnsi="Calibri"/>
                <w:i/>
                <w:lang w:val="en-US"/>
              </w:rPr>
              <w:t>Summary</w:t>
            </w:r>
          </w:p>
        </w:tc>
        <w:tc>
          <w:tcPr>
            <w:tcW w:w="8280" w:type="dxa"/>
            <w:shd w:val="clear" w:color="auto" w:fill="F3F3F3"/>
          </w:tcPr>
          <w:p w:rsidR="006F65CE" w:rsidRPr="00A9366F" w:rsidRDefault="002D1528" w:rsidP="00610467">
            <w:pPr>
              <w:tabs>
                <w:tab w:val="left" w:pos="312"/>
              </w:tabs>
              <w:jc w:val="both"/>
              <w:rPr>
                <w:rFonts w:ascii="Calibri" w:hAnsi="Calibri"/>
                <w:lang w:val="en-US"/>
              </w:rPr>
            </w:pPr>
            <w:r w:rsidRPr="00A9366F">
              <w:rPr>
                <w:rFonts w:ascii="Calibri" w:eastAsia="ArialMT" w:hAnsi="Calibri"/>
                <w:lang w:val="en-US"/>
              </w:rPr>
              <w:t>Provisions of this Principle are not applicable to ISMT and ICS.</w:t>
            </w:r>
          </w:p>
        </w:tc>
      </w:tr>
    </w:tbl>
    <w:p w:rsidR="00927CE5" w:rsidRPr="00A9366F" w:rsidRDefault="00927CE5" w:rsidP="00E909F9">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Based on results of the works done, it is possible</w:t>
      </w:r>
      <w:r w:rsidRPr="00A9366F">
        <w:rPr>
          <w:rFonts w:ascii="Calibri" w:hAnsi="Calibri" w:cs="Arial"/>
          <w:b/>
          <w:sz w:val="30"/>
          <w:szCs w:val="30"/>
          <w:lang w:val="en-US"/>
        </w:rPr>
        <w:t xml:space="preserve"> to state that the payment systems of the National Bank of Kazakhstan comply with the established Principles for FMI</w:t>
      </w:r>
      <w:r w:rsidRPr="00A9366F">
        <w:rPr>
          <w:rFonts w:ascii="Calibri" w:hAnsi="Calibri" w:cs="Arial"/>
          <w:sz w:val="30"/>
          <w:szCs w:val="30"/>
          <w:lang w:val="en-US"/>
        </w:rPr>
        <w:t xml:space="preserve">, including in terms of the legal framework. </w:t>
      </w:r>
      <w:proofErr w:type="gramStart"/>
      <w:r w:rsidRPr="00A9366F">
        <w:rPr>
          <w:rFonts w:ascii="Calibri" w:hAnsi="Calibri" w:cs="Arial"/>
          <w:sz w:val="30"/>
          <w:szCs w:val="30"/>
          <w:lang w:val="en-US"/>
        </w:rPr>
        <w:t>Risk management, information security and technical support.</w:t>
      </w:r>
      <w:proofErr w:type="gramEnd"/>
      <w:r w:rsidRPr="00A9366F">
        <w:rPr>
          <w:rFonts w:ascii="Calibri" w:hAnsi="Calibri" w:cs="Arial"/>
          <w:sz w:val="30"/>
          <w:szCs w:val="30"/>
          <w:lang w:val="en-US"/>
        </w:rPr>
        <w:t xml:space="preserve"> </w:t>
      </w:r>
    </w:p>
    <w:p w:rsidR="00927CE5" w:rsidRPr="00A9366F" w:rsidRDefault="00927CE5" w:rsidP="007D0CC8">
      <w:pPr>
        <w:pStyle w:val="1"/>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p>
    <w:p w:rsidR="007D0CC8" w:rsidRPr="00A9366F" w:rsidRDefault="00A30B7D" w:rsidP="007D0CC8">
      <w:pPr>
        <w:pStyle w:val="1"/>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bookmarkStart w:id="61" w:name="_Toc485626996"/>
      <w:r w:rsidRPr="00A9366F">
        <w:rPr>
          <w:rFonts w:ascii="Calibri" w:hAnsi="Calibri"/>
          <w:bCs w:val="0"/>
          <w:snapToGrid w:val="0"/>
          <w:color w:val="0E4C28"/>
          <w:spacing w:val="-2"/>
          <w:kern w:val="0"/>
          <w:lang w:val="en-US"/>
        </w:rPr>
        <w:t>1</w:t>
      </w:r>
      <w:r w:rsidR="00FA23F3" w:rsidRPr="00A9366F">
        <w:rPr>
          <w:rFonts w:ascii="Calibri" w:hAnsi="Calibri"/>
          <w:bCs w:val="0"/>
          <w:snapToGrid w:val="0"/>
          <w:color w:val="0E4C28"/>
          <w:spacing w:val="-2"/>
          <w:kern w:val="0"/>
          <w:lang w:val="en-US"/>
        </w:rPr>
        <w:t>.3</w:t>
      </w:r>
      <w:r w:rsidR="009E09D9" w:rsidRPr="00A9366F">
        <w:rPr>
          <w:rFonts w:ascii="Calibri" w:hAnsi="Calibri"/>
          <w:bCs w:val="0"/>
          <w:snapToGrid w:val="0"/>
          <w:color w:val="0E4C28"/>
          <w:spacing w:val="-2"/>
          <w:kern w:val="0"/>
          <w:lang w:val="en-US"/>
        </w:rPr>
        <w:t xml:space="preserve">. </w:t>
      </w:r>
      <w:r w:rsidR="00927CE5" w:rsidRPr="00A9366F">
        <w:rPr>
          <w:rFonts w:ascii="Calibri" w:hAnsi="Calibri"/>
          <w:bCs w:val="0"/>
          <w:snapToGrid w:val="0"/>
          <w:color w:val="0E4C28"/>
          <w:spacing w:val="-2"/>
          <w:kern w:val="0"/>
          <w:lang w:val="en-US"/>
        </w:rPr>
        <w:t>Payment system development indicators</w:t>
      </w:r>
      <w:bookmarkEnd w:id="10"/>
      <w:bookmarkEnd w:id="61"/>
    </w:p>
    <w:p w:rsidR="007D1D6C" w:rsidRPr="00A9366F" w:rsidRDefault="007D1D6C" w:rsidP="007D0CC8">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During 2016</w:t>
      </w:r>
      <w:r w:rsidR="00D96100" w:rsidRPr="00A9366F">
        <w:rPr>
          <w:rFonts w:ascii="Calibri" w:hAnsi="Calibri" w:cs="Arial"/>
          <w:sz w:val="30"/>
          <w:szCs w:val="30"/>
          <w:lang w:val="en-US"/>
        </w:rPr>
        <w:t xml:space="preserve"> the tendency of annual growth in the volume of payments</w:t>
      </w:r>
      <w:r w:rsidRPr="00A9366F">
        <w:rPr>
          <w:rFonts w:ascii="Calibri" w:hAnsi="Calibri" w:cs="Arial"/>
          <w:sz w:val="30"/>
          <w:szCs w:val="30"/>
          <w:lang w:val="en-US"/>
        </w:rPr>
        <w:t xml:space="preserve"> through the</w:t>
      </w:r>
      <w:r w:rsidR="00D96100" w:rsidRPr="00A9366F">
        <w:rPr>
          <w:rFonts w:ascii="Calibri" w:hAnsi="Calibri" w:cs="Arial"/>
          <w:sz w:val="30"/>
          <w:szCs w:val="30"/>
          <w:lang w:val="en-US"/>
        </w:rPr>
        <w:t xml:space="preserve"> payment systems of the National Bank of Kazakhstan </w:t>
      </w:r>
      <w:r w:rsidRPr="00A9366F">
        <w:rPr>
          <w:rFonts w:ascii="Calibri" w:hAnsi="Calibri" w:cs="Arial"/>
          <w:sz w:val="30"/>
          <w:szCs w:val="30"/>
          <w:lang w:val="en-US"/>
        </w:rPr>
        <w:t>preserved</w:t>
      </w:r>
      <w:r w:rsidR="00D96100" w:rsidRPr="00A9366F">
        <w:rPr>
          <w:rFonts w:ascii="Calibri" w:hAnsi="Calibri" w:cs="Arial"/>
          <w:sz w:val="30"/>
          <w:szCs w:val="30"/>
          <w:lang w:val="en-US"/>
        </w:rPr>
        <w:t xml:space="preserve">. Thus, </w:t>
      </w:r>
      <w:r w:rsidRPr="00A9366F">
        <w:rPr>
          <w:rFonts w:ascii="Calibri" w:hAnsi="Calibri" w:cs="Arial"/>
          <w:b/>
          <w:sz w:val="30"/>
          <w:szCs w:val="30"/>
          <w:lang w:val="en-US"/>
        </w:rPr>
        <w:t>during</w:t>
      </w:r>
      <w:r w:rsidR="00D96100" w:rsidRPr="00A9366F">
        <w:rPr>
          <w:rFonts w:ascii="Calibri" w:hAnsi="Calibri" w:cs="Arial"/>
          <w:b/>
          <w:sz w:val="30"/>
          <w:szCs w:val="30"/>
          <w:lang w:val="en-US"/>
        </w:rPr>
        <w:t xml:space="preserve"> 2016</w:t>
      </w:r>
      <w:r w:rsidRPr="00A9366F">
        <w:rPr>
          <w:rFonts w:ascii="Calibri" w:hAnsi="Calibri" w:cs="Arial"/>
          <w:b/>
          <w:sz w:val="30"/>
          <w:szCs w:val="30"/>
          <w:lang w:val="en-US"/>
        </w:rPr>
        <w:t>,</w:t>
      </w:r>
      <w:r w:rsidR="00D96100" w:rsidRPr="00A9366F">
        <w:rPr>
          <w:rFonts w:ascii="Calibri" w:hAnsi="Calibri" w:cs="Arial"/>
          <w:b/>
          <w:sz w:val="30"/>
          <w:szCs w:val="30"/>
          <w:lang w:val="en-US"/>
        </w:rPr>
        <w:t xml:space="preserve"> </w:t>
      </w:r>
      <w:r w:rsidRPr="00A9366F">
        <w:rPr>
          <w:rFonts w:ascii="Calibri" w:hAnsi="Calibri" w:cs="Arial"/>
          <w:b/>
          <w:sz w:val="30"/>
          <w:szCs w:val="30"/>
          <w:lang w:val="en-US"/>
        </w:rPr>
        <w:t xml:space="preserve">35.3 million transactions for the amount of KZT 590.7 trillion were </w:t>
      </w:r>
      <w:r w:rsidR="00F66BA7" w:rsidRPr="00A9366F">
        <w:rPr>
          <w:rFonts w:ascii="Calibri" w:hAnsi="Calibri" w:cs="Arial"/>
          <w:b/>
          <w:sz w:val="30"/>
          <w:szCs w:val="30"/>
          <w:lang w:val="en-US"/>
        </w:rPr>
        <w:t>settled</w:t>
      </w:r>
      <w:r w:rsidRPr="00A9366F">
        <w:rPr>
          <w:rFonts w:ascii="Calibri" w:hAnsi="Calibri" w:cs="Arial"/>
          <w:b/>
          <w:sz w:val="30"/>
          <w:szCs w:val="30"/>
          <w:lang w:val="en-US"/>
        </w:rPr>
        <w:t xml:space="preserve"> </w:t>
      </w:r>
      <w:r w:rsidR="00D96100" w:rsidRPr="00A9366F">
        <w:rPr>
          <w:rFonts w:ascii="Calibri" w:hAnsi="Calibri" w:cs="Arial"/>
          <w:b/>
          <w:sz w:val="30"/>
          <w:szCs w:val="30"/>
          <w:lang w:val="en-US"/>
        </w:rPr>
        <w:t xml:space="preserve">through IMTS and </w:t>
      </w:r>
      <w:r w:rsidRPr="00A9366F">
        <w:rPr>
          <w:rFonts w:ascii="Calibri" w:hAnsi="Calibri" w:cs="Arial"/>
          <w:b/>
          <w:sz w:val="30"/>
          <w:szCs w:val="30"/>
          <w:lang w:val="en-US"/>
        </w:rPr>
        <w:t>IC</w:t>
      </w:r>
      <w:r w:rsidR="00055BE7" w:rsidRPr="00A9366F">
        <w:rPr>
          <w:rFonts w:ascii="Calibri" w:hAnsi="Calibri" w:cs="Arial"/>
          <w:b/>
          <w:sz w:val="30"/>
          <w:szCs w:val="30"/>
          <w:lang w:val="en-US"/>
        </w:rPr>
        <w:t>S</w:t>
      </w:r>
      <w:r w:rsidRPr="00A9366F">
        <w:rPr>
          <w:rFonts w:ascii="Calibri" w:hAnsi="Calibri" w:cs="Arial"/>
          <w:sz w:val="30"/>
          <w:szCs w:val="30"/>
          <w:lang w:val="en-US"/>
        </w:rPr>
        <w:t>.</w:t>
      </w:r>
      <w:r w:rsidR="00D96100" w:rsidRPr="00A9366F">
        <w:rPr>
          <w:rFonts w:ascii="Calibri" w:hAnsi="Calibri" w:cs="Arial"/>
          <w:sz w:val="30"/>
          <w:szCs w:val="30"/>
          <w:lang w:val="en-US"/>
        </w:rPr>
        <w:t xml:space="preserve"> </w:t>
      </w:r>
    </w:p>
    <w:p w:rsidR="00555C35" w:rsidRPr="00A9366F" w:rsidRDefault="00603EBC" w:rsidP="007D0CC8">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During </w:t>
      </w:r>
      <w:r w:rsidR="00555C35" w:rsidRPr="00A9366F">
        <w:rPr>
          <w:rFonts w:ascii="Calibri" w:hAnsi="Calibri" w:cs="Arial"/>
          <w:sz w:val="30"/>
          <w:szCs w:val="30"/>
          <w:lang w:val="en-US"/>
        </w:rPr>
        <w:t>2016, on average</w:t>
      </w:r>
      <w:r w:rsidR="00D96100" w:rsidRPr="00A9366F">
        <w:rPr>
          <w:rFonts w:ascii="Calibri" w:hAnsi="Calibri" w:cs="Arial"/>
          <w:sz w:val="30"/>
          <w:szCs w:val="30"/>
          <w:lang w:val="en-US"/>
        </w:rPr>
        <w:t xml:space="preserve"> </w:t>
      </w:r>
      <w:r w:rsidR="00555C35" w:rsidRPr="00A9366F">
        <w:rPr>
          <w:rFonts w:ascii="Calibri" w:hAnsi="Calibri" w:cs="Arial"/>
          <w:sz w:val="30"/>
          <w:szCs w:val="30"/>
          <w:lang w:val="en-US"/>
        </w:rPr>
        <w:t xml:space="preserve">144.1 thousand transactions </w:t>
      </w:r>
      <w:r w:rsidRPr="00A9366F">
        <w:rPr>
          <w:rFonts w:ascii="Calibri" w:hAnsi="Calibri" w:cs="Arial"/>
          <w:sz w:val="30"/>
          <w:szCs w:val="30"/>
          <w:lang w:val="en-US"/>
        </w:rPr>
        <w:t xml:space="preserve">per day </w:t>
      </w:r>
      <w:r w:rsidR="00555C35" w:rsidRPr="00A9366F">
        <w:rPr>
          <w:rFonts w:ascii="Calibri" w:hAnsi="Calibri" w:cs="Arial"/>
          <w:sz w:val="30"/>
          <w:szCs w:val="30"/>
          <w:lang w:val="en-US"/>
        </w:rPr>
        <w:t xml:space="preserve">for the total amount of KZT 2.4 trillion were </w:t>
      </w:r>
      <w:r w:rsidR="00643727" w:rsidRPr="00A9366F">
        <w:rPr>
          <w:rFonts w:ascii="Calibri" w:hAnsi="Calibri" w:cs="Arial"/>
          <w:sz w:val="30"/>
          <w:szCs w:val="30"/>
          <w:lang w:val="en-US"/>
        </w:rPr>
        <w:t xml:space="preserve">settled </w:t>
      </w:r>
      <w:r w:rsidR="00555C35" w:rsidRPr="00A9366F">
        <w:rPr>
          <w:rFonts w:ascii="Calibri" w:hAnsi="Calibri" w:cs="Arial"/>
          <w:sz w:val="30"/>
          <w:szCs w:val="30"/>
          <w:lang w:val="en-US"/>
        </w:rPr>
        <w:t>through the payment systems</w:t>
      </w:r>
      <w:r w:rsidR="00D96100" w:rsidRPr="00A9366F">
        <w:rPr>
          <w:rFonts w:ascii="Calibri" w:hAnsi="Calibri" w:cs="Arial"/>
          <w:sz w:val="30"/>
          <w:szCs w:val="30"/>
          <w:lang w:val="en-US"/>
        </w:rPr>
        <w:t>.</w:t>
      </w:r>
    </w:p>
    <w:p w:rsidR="00555C35" w:rsidRPr="00A9366F" w:rsidRDefault="00D96100" w:rsidP="007D0CC8">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For comparison, the volume of GDP produced </w:t>
      </w:r>
      <w:r w:rsidR="00555C35" w:rsidRPr="00A9366F">
        <w:rPr>
          <w:rFonts w:ascii="Calibri" w:hAnsi="Calibri" w:cs="Arial"/>
          <w:sz w:val="30"/>
          <w:szCs w:val="30"/>
          <w:lang w:val="en-US"/>
        </w:rPr>
        <w:t>in</w:t>
      </w:r>
      <w:r w:rsidRPr="00A9366F">
        <w:rPr>
          <w:rFonts w:ascii="Calibri" w:hAnsi="Calibri" w:cs="Arial"/>
          <w:sz w:val="30"/>
          <w:szCs w:val="30"/>
          <w:lang w:val="en-US"/>
        </w:rPr>
        <w:t xml:space="preserve"> Kazakhstan </w:t>
      </w:r>
      <w:r w:rsidR="00555C35" w:rsidRPr="00A9366F">
        <w:rPr>
          <w:rFonts w:ascii="Calibri" w:hAnsi="Calibri" w:cs="Arial"/>
          <w:sz w:val="30"/>
          <w:szCs w:val="30"/>
          <w:lang w:val="en-US"/>
        </w:rPr>
        <w:t>in</w:t>
      </w:r>
      <w:r w:rsidRPr="00A9366F">
        <w:rPr>
          <w:rFonts w:ascii="Calibri" w:hAnsi="Calibri" w:cs="Arial"/>
          <w:sz w:val="30"/>
          <w:szCs w:val="30"/>
          <w:lang w:val="en-US"/>
        </w:rPr>
        <w:t xml:space="preserve"> 2016 (according to </w:t>
      </w:r>
      <w:r w:rsidR="00555C35" w:rsidRPr="00A9366F">
        <w:rPr>
          <w:rFonts w:ascii="Calibri" w:hAnsi="Calibri" w:cs="Arial"/>
          <w:sz w:val="30"/>
          <w:szCs w:val="30"/>
          <w:lang w:val="en-US"/>
        </w:rPr>
        <w:t xml:space="preserve">the operational </w:t>
      </w:r>
      <w:r w:rsidRPr="00A9366F">
        <w:rPr>
          <w:rFonts w:ascii="Calibri" w:hAnsi="Calibri" w:cs="Arial"/>
          <w:sz w:val="30"/>
          <w:szCs w:val="30"/>
          <w:lang w:val="en-US"/>
        </w:rPr>
        <w:t>data) amounted to</w:t>
      </w:r>
      <w:r w:rsidR="00230F8D" w:rsidRPr="00A9366F">
        <w:rPr>
          <w:rFonts w:ascii="Calibri" w:hAnsi="Calibri" w:cs="Arial"/>
          <w:sz w:val="30"/>
          <w:szCs w:val="30"/>
          <w:lang w:val="en-US"/>
        </w:rPr>
        <w:t xml:space="preserve"> KZT</w:t>
      </w:r>
      <w:r w:rsidRPr="00A9366F">
        <w:rPr>
          <w:rFonts w:ascii="Calibri" w:hAnsi="Calibri" w:cs="Arial"/>
          <w:sz w:val="30"/>
          <w:szCs w:val="30"/>
          <w:lang w:val="en-US"/>
        </w:rPr>
        <w:t xml:space="preserve"> 46.2 trillion</w:t>
      </w:r>
      <w:r w:rsidR="00230F8D" w:rsidRPr="00A9366F">
        <w:rPr>
          <w:rStyle w:val="a6"/>
          <w:rFonts w:ascii="Calibri" w:hAnsi="Calibri" w:cs="Arial"/>
          <w:sz w:val="30"/>
          <w:szCs w:val="30"/>
          <w:lang w:val="en-US"/>
        </w:rPr>
        <w:footnoteReference w:id="2"/>
      </w:r>
      <w:r w:rsidRPr="00A9366F">
        <w:rPr>
          <w:rFonts w:ascii="Calibri" w:hAnsi="Calibri" w:cs="Arial"/>
          <w:sz w:val="30"/>
          <w:szCs w:val="30"/>
          <w:lang w:val="en-US"/>
        </w:rPr>
        <w:t xml:space="preserve">. Thus, the volume of payments </w:t>
      </w:r>
      <w:r w:rsidR="005F6980" w:rsidRPr="00A9366F">
        <w:rPr>
          <w:rFonts w:ascii="Calibri" w:hAnsi="Calibri" w:cs="Arial"/>
          <w:sz w:val="30"/>
          <w:szCs w:val="30"/>
          <w:lang w:val="en-US"/>
        </w:rPr>
        <w:t>settled through</w:t>
      </w:r>
      <w:r w:rsidR="00230F8D" w:rsidRPr="00A9366F">
        <w:rPr>
          <w:rFonts w:ascii="Calibri" w:hAnsi="Calibri" w:cs="Arial"/>
          <w:sz w:val="30"/>
          <w:szCs w:val="30"/>
          <w:lang w:val="en-US"/>
        </w:rPr>
        <w:t xml:space="preserve"> the</w:t>
      </w:r>
      <w:r w:rsidRPr="00A9366F">
        <w:rPr>
          <w:rFonts w:ascii="Calibri" w:hAnsi="Calibri" w:cs="Arial"/>
          <w:sz w:val="30"/>
          <w:szCs w:val="30"/>
          <w:lang w:val="en-US"/>
        </w:rPr>
        <w:t xml:space="preserve"> payment systems exceed</w:t>
      </w:r>
      <w:r w:rsidR="00603EBC" w:rsidRPr="00A9366F">
        <w:rPr>
          <w:rFonts w:ascii="Calibri" w:hAnsi="Calibri" w:cs="Arial"/>
          <w:sz w:val="30"/>
          <w:szCs w:val="30"/>
          <w:lang w:val="en-US"/>
        </w:rPr>
        <w:t>ed</w:t>
      </w:r>
      <w:r w:rsidRPr="00A9366F">
        <w:rPr>
          <w:rFonts w:ascii="Calibri" w:hAnsi="Calibri" w:cs="Arial"/>
          <w:sz w:val="30"/>
          <w:szCs w:val="30"/>
          <w:lang w:val="en-US"/>
        </w:rPr>
        <w:t xml:space="preserve"> </w:t>
      </w:r>
      <w:r w:rsidR="00603EBC" w:rsidRPr="00A9366F">
        <w:rPr>
          <w:rFonts w:ascii="Calibri" w:hAnsi="Calibri" w:cs="Arial"/>
          <w:sz w:val="30"/>
          <w:szCs w:val="30"/>
          <w:lang w:val="en-US"/>
        </w:rPr>
        <w:t xml:space="preserve">Kazakhstan </w:t>
      </w:r>
      <w:r w:rsidRPr="00A9366F">
        <w:rPr>
          <w:rFonts w:ascii="Calibri" w:hAnsi="Calibri" w:cs="Arial"/>
          <w:sz w:val="30"/>
          <w:szCs w:val="30"/>
          <w:lang w:val="en-US"/>
        </w:rPr>
        <w:t xml:space="preserve">GDP for 2016 by almost 12.8 times, that is, on average </w:t>
      </w:r>
      <w:r w:rsidR="00901036" w:rsidRPr="00A9366F">
        <w:rPr>
          <w:rFonts w:ascii="Calibri" w:hAnsi="Calibri" w:cs="Arial"/>
          <w:sz w:val="30"/>
          <w:szCs w:val="30"/>
          <w:lang w:val="en-US"/>
        </w:rPr>
        <w:t>during a</w:t>
      </w:r>
      <w:r w:rsidRPr="00A9366F">
        <w:rPr>
          <w:rFonts w:ascii="Calibri" w:hAnsi="Calibri" w:cs="Arial"/>
          <w:sz w:val="30"/>
          <w:szCs w:val="30"/>
          <w:lang w:val="en-US"/>
        </w:rPr>
        <w:t xml:space="preserve"> month </w:t>
      </w:r>
      <w:r w:rsidR="00901036" w:rsidRPr="00A9366F">
        <w:rPr>
          <w:rFonts w:ascii="Calibri" w:hAnsi="Calibri" w:cs="Arial"/>
          <w:sz w:val="30"/>
          <w:szCs w:val="30"/>
          <w:lang w:val="en-US"/>
        </w:rPr>
        <w:t xml:space="preserve">the amount of payments </w:t>
      </w:r>
      <w:r w:rsidRPr="00A9366F">
        <w:rPr>
          <w:rFonts w:ascii="Calibri" w:hAnsi="Calibri" w:cs="Arial"/>
          <w:sz w:val="30"/>
          <w:szCs w:val="30"/>
          <w:lang w:val="en-US"/>
        </w:rPr>
        <w:t xml:space="preserve">through </w:t>
      </w:r>
      <w:r w:rsidR="00901036" w:rsidRPr="00A9366F">
        <w:rPr>
          <w:rFonts w:ascii="Calibri" w:hAnsi="Calibri" w:cs="Arial"/>
          <w:sz w:val="30"/>
          <w:szCs w:val="30"/>
          <w:lang w:val="en-US"/>
        </w:rPr>
        <w:t>the payment</w:t>
      </w:r>
      <w:r w:rsidRPr="00A9366F">
        <w:rPr>
          <w:rFonts w:ascii="Calibri" w:hAnsi="Calibri" w:cs="Arial"/>
          <w:sz w:val="30"/>
          <w:szCs w:val="30"/>
          <w:lang w:val="en-US"/>
        </w:rPr>
        <w:t xml:space="preserve"> </w:t>
      </w:r>
      <w:r w:rsidR="00901036" w:rsidRPr="00A9366F">
        <w:rPr>
          <w:rFonts w:ascii="Calibri" w:hAnsi="Calibri" w:cs="Arial"/>
          <w:sz w:val="30"/>
          <w:szCs w:val="30"/>
          <w:lang w:val="en-US"/>
        </w:rPr>
        <w:t>systems exceeds</w:t>
      </w:r>
      <w:r w:rsidRPr="00A9366F">
        <w:rPr>
          <w:rFonts w:ascii="Calibri" w:hAnsi="Calibri" w:cs="Arial"/>
          <w:sz w:val="30"/>
          <w:szCs w:val="30"/>
          <w:lang w:val="en-US"/>
        </w:rPr>
        <w:t xml:space="preserve"> the amount of </w:t>
      </w:r>
      <w:r w:rsidR="00901036" w:rsidRPr="00A9366F">
        <w:rPr>
          <w:rFonts w:ascii="Calibri" w:hAnsi="Calibri" w:cs="Arial"/>
          <w:sz w:val="30"/>
          <w:szCs w:val="30"/>
          <w:lang w:val="en-US"/>
        </w:rPr>
        <w:t>Kazakhstan a</w:t>
      </w:r>
      <w:r w:rsidRPr="00A9366F">
        <w:rPr>
          <w:rFonts w:ascii="Calibri" w:hAnsi="Calibri" w:cs="Arial"/>
          <w:sz w:val="30"/>
          <w:szCs w:val="30"/>
          <w:lang w:val="en-US"/>
        </w:rPr>
        <w:t>nnual GDP.</w:t>
      </w:r>
    </w:p>
    <w:p w:rsidR="00901036" w:rsidRPr="00A9366F" w:rsidRDefault="00D96100" w:rsidP="007D0CC8">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Compared </w:t>
      </w:r>
      <w:r w:rsidR="00812573" w:rsidRPr="00A9366F">
        <w:rPr>
          <w:rFonts w:ascii="Calibri" w:hAnsi="Calibri" w:cs="Arial"/>
          <w:sz w:val="30"/>
          <w:szCs w:val="30"/>
          <w:lang w:val="en-US"/>
        </w:rPr>
        <w:t>with</w:t>
      </w:r>
      <w:r w:rsidRPr="00A9366F">
        <w:rPr>
          <w:rFonts w:ascii="Calibri" w:hAnsi="Calibri" w:cs="Arial"/>
          <w:sz w:val="30"/>
          <w:szCs w:val="30"/>
          <w:lang w:val="en-US"/>
        </w:rPr>
        <w:t xml:space="preserve"> 2015, </w:t>
      </w:r>
      <w:r w:rsidR="005F6980" w:rsidRPr="00A9366F">
        <w:rPr>
          <w:rFonts w:ascii="Calibri" w:hAnsi="Calibri" w:cs="Arial"/>
          <w:sz w:val="30"/>
          <w:szCs w:val="30"/>
          <w:lang w:val="en-US"/>
        </w:rPr>
        <w:t>a</w:t>
      </w:r>
      <w:r w:rsidRPr="00A9366F">
        <w:rPr>
          <w:rFonts w:ascii="Calibri" w:hAnsi="Calibri" w:cs="Arial"/>
          <w:sz w:val="30"/>
          <w:szCs w:val="30"/>
          <w:lang w:val="en-US"/>
        </w:rPr>
        <w:t xml:space="preserve"> number of payments in </w:t>
      </w:r>
      <w:r w:rsidR="00901036" w:rsidRPr="00A9366F">
        <w:rPr>
          <w:rFonts w:ascii="Calibri" w:hAnsi="Calibri" w:cs="Arial"/>
          <w:sz w:val="30"/>
          <w:szCs w:val="30"/>
          <w:lang w:val="en-US"/>
        </w:rPr>
        <w:t xml:space="preserve">the </w:t>
      </w:r>
      <w:r w:rsidRPr="00A9366F">
        <w:rPr>
          <w:rFonts w:ascii="Calibri" w:hAnsi="Calibri" w:cs="Arial"/>
          <w:sz w:val="30"/>
          <w:szCs w:val="30"/>
          <w:lang w:val="en-US"/>
        </w:rPr>
        <w:t xml:space="preserve">payment systems increased by 0.3%, </w:t>
      </w:r>
      <w:r w:rsidR="00901036" w:rsidRPr="00A9366F">
        <w:rPr>
          <w:rFonts w:ascii="Calibri" w:hAnsi="Calibri" w:cs="Arial"/>
          <w:sz w:val="30"/>
          <w:szCs w:val="30"/>
          <w:lang w:val="en-US"/>
        </w:rPr>
        <w:t xml:space="preserve">while </w:t>
      </w:r>
      <w:r w:rsidRPr="00A9366F">
        <w:rPr>
          <w:rFonts w:ascii="Calibri" w:hAnsi="Calibri" w:cs="Arial"/>
          <w:b/>
          <w:sz w:val="30"/>
          <w:szCs w:val="30"/>
          <w:lang w:val="en-US"/>
        </w:rPr>
        <w:t>the amount of payments increased by 2.5 times</w:t>
      </w:r>
      <w:r w:rsidRPr="00A9366F">
        <w:rPr>
          <w:rFonts w:ascii="Calibri" w:hAnsi="Calibri" w:cs="Arial"/>
          <w:sz w:val="30"/>
          <w:szCs w:val="30"/>
          <w:lang w:val="en-US"/>
        </w:rPr>
        <w:t>.</w:t>
      </w:r>
    </w:p>
    <w:p w:rsidR="00D96100" w:rsidRPr="00A9366F" w:rsidRDefault="00901036" w:rsidP="007D0CC8">
      <w:pPr>
        <w:autoSpaceDE w:val="0"/>
        <w:autoSpaceDN w:val="0"/>
        <w:adjustRightInd w:val="0"/>
        <w:ind w:firstLine="709"/>
        <w:jc w:val="both"/>
        <w:rPr>
          <w:rFonts w:ascii="Calibri" w:hAnsi="Calibri" w:cs="Arial"/>
          <w:sz w:val="30"/>
          <w:szCs w:val="30"/>
          <w:lang w:val="en-US"/>
        </w:rPr>
      </w:pPr>
      <w:r w:rsidRPr="00A9366F">
        <w:rPr>
          <w:rFonts w:ascii="Calibri" w:hAnsi="Calibri" w:cs="Arial"/>
          <w:sz w:val="30"/>
          <w:szCs w:val="30"/>
          <w:lang w:val="en-US"/>
        </w:rPr>
        <w:t xml:space="preserve">In this regard, over </w:t>
      </w:r>
      <w:r w:rsidR="00D96100" w:rsidRPr="00A9366F">
        <w:rPr>
          <w:rFonts w:ascii="Calibri" w:hAnsi="Calibri" w:cs="Arial"/>
          <w:sz w:val="30"/>
          <w:szCs w:val="30"/>
          <w:lang w:val="en-US"/>
        </w:rPr>
        <w:t xml:space="preserve">the past five years, </w:t>
      </w:r>
      <w:r w:rsidR="005F6980" w:rsidRPr="00A9366F">
        <w:rPr>
          <w:rFonts w:ascii="Calibri" w:hAnsi="Calibri" w:cs="Arial"/>
          <w:sz w:val="30"/>
          <w:szCs w:val="30"/>
          <w:lang w:val="en-US"/>
        </w:rPr>
        <w:t>a</w:t>
      </w:r>
      <w:r w:rsidR="00D96100" w:rsidRPr="00A9366F">
        <w:rPr>
          <w:rFonts w:ascii="Calibri" w:hAnsi="Calibri" w:cs="Arial"/>
          <w:sz w:val="30"/>
          <w:szCs w:val="30"/>
          <w:lang w:val="en-US"/>
        </w:rPr>
        <w:t xml:space="preserve"> number of payments </w:t>
      </w:r>
      <w:r w:rsidR="005F6980" w:rsidRPr="00A9366F">
        <w:rPr>
          <w:rFonts w:ascii="Calibri" w:hAnsi="Calibri" w:cs="Arial"/>
          <w:sz w:val="30"/>
          <w:szCs w:val="30"/>
          <w:lang w:val="en-US"/>
        </w:rPr>
        <w:t>settled</w:t>
      </w:r>
      <w:r w:rsidRPr="00A9366F">
        <w:rPr>
          <w:rFonts w:ascii="Calibri" w:hAnsi="Calibri" w:cs="Arial"/>
          <w:sz w:val="30"/>
          <w:szCs w:val="30"/>
          <w:lang w:val="en-US"/>
        </w:rPr>
        <w:t xml:space="preserve"> </w:t>
      </w:r>
      <w:r w:rsidR="00D96100" w:rsidRPr="00A9366F">
        <w:rPr>
          <w:rFonts w:ascii="Calibri" w:hAnsi="Calibri" w:cs="Arial"/>
          <w:sz w:val="30"/>
          <w:szCs w:val="30"/>
          <w:lang w:val="en-US"/>
        </w:rPr>
        <w:t xml:space="preserve">through </w:t>
      </w:r>
      <w:r w:rsidRPr="00A9366F">
        <w:rPr>
          <w:rFonts w:ascii="Calibri" w:hAnsi="Calibri" w:cs="Arial"/>
          <w:sz w:val="30"/>
          <w:szCs w:val="30"/>
          <w:lang w:val="en-US"/>
        </w:rPr>
        <w:t xml:space="preserve">the </w:t>
      </w:r>
      <w:r w:rsidR="00D96100" w:rsidRPr="00A9366F">
        <w:rPr>
          <w:rFonts w:ascii="Calibri" w:hAnsi="Calibri" w:cs="Arial"/>
          <w:sz w:val="30"/>
          <w:szCs w:val="30"/>
          <w:lang w:val="en-US"/>
        </w:rPr>
        <w:t xml:space="preserve">payment systems has increased by 9.1%, while the amount of payments has increased </w:t>
      </w:r>
      <w:r w:rsidRPr="00A9366F">
        <w:rPr>
          <w:rFonts w:ascii="Calibri" w:hAnsi="Calibri" w:cs="Arial"/>
          <w:sz w:val="30"/>
          <w:szCs w:val="30"/>
          <w:lang w:val="en-US"/>
        </w:rPr>
        <w:t xml:space="preserve">by </w:t>
      </w:r>
      <w:r w:rsidR="00D96100" w:rsidRPr="00A9366F">
        <w:rPr>
          <w:rFonts w:ascii="Calibri" w:hAnsi="Calibri" w:cs="Arial"/>
          <w:sz w:val="30"/>
          <w:szCs w:val="30"/>
          <w:lang w:val="en-US"/>
        </w:rPr>
        <w:t>3.5 times.</w:t>
      </w:r>
    </w:p>
    <w:p w:rsidR="00855CAB" w:rsidRPr="00A9366F" w:rsidRDefault="00927CE5" w:rsidP="00927CE5">
      <w:pPr>
        <w:autoSpaceDE w:val="0"/>
        <w:autoSpaceDN w:val="0"/>
        <w:adjustRightInd w:val="0"/>
        <w:jc w:val="center"/>
        <w:rPr>
          <w:rFonts w:ascii="Calibri" w:hAnsi="Calibri" w:cs="Arial"/>
          <w:b/>
          <w:color w:val="0E4C28"/>
          <w:sz w:val="28"/>
          <w:szCs w:val="28"/>
          <w:lang w:val="en-US"/>
        </w:rPr>
      </w:pPr>
      <w:r w:rsidRPr="00A9366F">
        <w:rPr>
          <w:rFonts w:ascii="Calibri" w:hAnsi="Calibri" w:cs="Arial"/>
          <w:b/>
          <w:color w:val="0E4C28"/>
          <w:sz w:val="28"/>
          <w:szCs w:val="28"/>
          <w:lang w:val="en-US"/>
        </w:rPr>
        <w:t>Volumes of payments in the payment systems</w:t>
      </w:r>
      <w:r w:rsidRPr="00A9366F">
        <w:rPr>
          <w:rFonts w:ascii="Calibri" w:hAnsi="Calibri" w:cs="Arial"/>
          <w:b/>
          <w:color w:val="0E4C28"/>
          <w:sz w:val="28"/>
          <w:szCs w:val="28"/>
          <w:lang w:val="en-US"/>
        </w:rPr>
        <w:br/>
        <w:t xml:space="preserve">of the National Bank of Kazakhstan </w:t>
      </w:r>
    </w:p>
    <w:p w:rsidR="00D96100" w:rsidRPr="00A9366F" w:rsidRDefault="00B41594" w:rsidP="00F43EE2">
      <w:pPr>
        <w:jc w:val="both"/>
        <w:rPr>
          <w:rFonts w:ascii="Calibri" w:hAnsi="Calibri" w:cs="Arial"/>
          <w:sz w:val="30"/>
          <w:szCs w:val="30"/>
          <w:lang w:val="en-US"/>
        </w:rPr>
      </w:pPr>
      <w:r w:rsidRPr="00A9366F">
        <w:rPr>
          <w:noProof/>
        </w:rPr>
        <w:drawing>
          <wp:inline distT="0" distB="0" distL="0" distR="0">
            <wp:extent cx="6084277" cy="2768698"/>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43EE2" w:rsidRPr="00A9366F">
        <w:rPr>
          <w:rFonts w:ascii="Calibri" w:hAnsi="Calibri" w:cs="Arial"/>
          <w:sz w:val="30"/>
          <w:szCs w:val="30"/>
          <w:lang w:val="en-US"/>
        </w:rPr>
        <w:tab/>
      </w:r>
      <w:r w:rsidR="008A7E05" w:rsidRPr="00A9366F">
        <w:rPr>
          <w:rFonts w:ascii="Calibri" w:hAnsi="Calibri" w:cs="Arial"/>
          <w:sz w:val="30"/>
          <w:szCs w:val="30"/>
          <w:lang w:val="en-US"/>
        </w:rPr>
        <w:t>Growth of</w:t>
      </w:r>
      <w:r w:rsidR="00901036" w:rsidRPr="00A9366F">
        <w:rPr>
          <w:rFonts w:ascii="Calibri" w:hAnsi="Calibri" w:cs="Arial"/>
          <w:sz w:val="30"/>
          <w:szCs w:val="30"/>
          <w:lang w:val="en-US"/>
        </w:rPr>
        <w:t xml:space="preserve"> the amount of payments in the </w:t>
      </w:r>
      <w:r w:rsidR="00D96100" w:rsidRPr="00A9366F">
        <w:rPr>
          <w:rFonts w:ascii="Calibri" w:hAnsi="Calibri" w:cs="Arial"/>
          <w:sz w:val="30"/>
          <w:szCs w:val="30"/>
          <w:lang w:val="en-US"/>
        </w:rPr>
        <w:t>payment systems</w:t>
      </w:r>
      <w:r w:rsidR="00901036" w:rsidRPr="00A9366F">
        <w:rPr>
          <w:rFonts w:ascii="Calibri" w:hAnsi="Calibri" w:cs="Arial"/>
          <w:sz w:val="30"/>
          <w:szCs w:val="30"/>
          <w:lang w:val="en-US"/>
        </w:rPr>
        <w:t xml:space="preserve"> has been due to</w:t>
      </w:r>
      <w:r w:rsidR="00D96100" w:rsidRPr="00A9366F">
        <w:rPr>
          <w:rFonts w:ascii="Calibri" w:hAnsi="Calibri" w:cs="Arial"/>
          <w:sz w:val="30"/>
          <w:szCs w:val="30"/>
          <w:lang w:val="en-US"/>
        </w:rPr>
        <w:t xml:space="preserve"> increase in the volume of payments </w:t>
      </w:r>
      <w:r w:rsidR="00901036" w:rsidRPr="00A9366F">
        <w:rPr>
          <w:rFonts w:ascii="Calibri" w:hAnsi="Calibri" w:cs="Arial"/>
          <w:sz w:val="30"/>
          <w:szCs w:val="30"/>
          <w:lang w:val="en-US"/>
        </w:rPr>
        <w:t xml:space="preserve">related to </w:t>
      </w:r>
      <w:r w:rsidR="00D96100" w:rsidRPr="00A9366F">
        <w:rPr>
          <w:rFonts w:ascii="Calibri" w:hAnsi="Calibri" w:cs="Arial"/>
          <w:sz w:val="30"/>
          <w:szCs w:val="30"/>
          <w:lang w:val="en-US"/>
        </w:rPr>
        <w:t>transactio</w:t>
      </w:r>
      <w:r w:rsidR="00541D5F">
        <w:rPr>
          <w:rFonts w:ascii="Calibri" w:hAnsi="Calibri" w:cs="Arial"/>
          <w:sz w:val="30"/>
          <w:szCs w:val="30"/>
          <w:lang w:val="en-US"/>
        </w:rPr>
        <w:t xml:space="preserve">ns with securities and deposits. </w:t>
      </w:r>
    </w:p>
    <w:p w:rsidR="00257626" w:rsidRPr="00A9366F" w:rsidRDefault="00257626" w:rsidP="00F43EE2">
      <w:pPr>
        <w:jc w:val="both"/>
        <w:rPr>
          <w:rFonts w:ascii="Calibri" w:hAnsi="Calibri" w:cs="Arial"/>
          <w:b/>
          <w:i/>
          <w:noProof/>
          <w:color w:val="00B050"/>
          <w:sz w:val="32"/>
          <w:szCs w:val="32"/>
          <w:lang w:val="en-US"/>
        </w:rPr>
      </w:pPr>
      <w:r w:rsidRPr="00A9366F">
        <w:rPr>
          <w:rFonts w:ascii="Calibri" w:hAnsi="Calibri" w:cs="Arial"/>
          <w:b/>
          <w:i/>
          <w:noProof/>
          <w:color w:val="00B050"/>
          <w:sz w:val="32"/>
          <w:szCs w:val="32"/>
        </w:rPr>
        <w:drawing>
          <wp:inline distT="0" distB="0" distL="0" distR="0">
            <wp:extent cx="5829300" cy="2746317"/>
            <wp:effectExtent l="0" t="0" r="0" b="0"/>
            <wp:docPr id="450" name="Диаграмма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96100" w:rsidRPr="00A9366F" w:rsidRDefault="00D96100" w:rsidP="00215A65">
      <w:pPr>
        <w:ind w:firstLine="708"/>
        <w:jc w:val="both"/>
        <w:rPr>
          <w:rFonts w:ascii="Calibri" w:hAnsi="Calibri" w:cs="Arial"/>
          <w:sz w:val="30"/>
          <w:szCs w:val="30"/>
          <w:lang w:val="en-US"/>
        </w:rPr>
      </w:pPr>
      <w:r w:rsidRPr="00A9366F">
        <w:rPr>
          <w:rFonts w:ascii="Calibri" w:hAnsi="Calibri" w:cs="Arial"/>
          <w:sz w:val="30"/>
          <w:szCs w:val="30"/>
          <w:lang w:val="en-US"/>
        </w:rPr>
        <w:t xml:space="preserve">In particular, </w:t>
      </w:r>
      <w:r w:rsidR="008A7E05" w:rsidRPr="00A9366F">
        <w:rPr>
          <w:rFonts w:ascii="Calibri" w:hAnsi="Calibri" w:cs="Arial"/>
          <w:sz w:val="30"/>
          <w:szCs w:val="30"/>
          <w:lang w:val="en-US"/>
        </w:rPr>
        <w:t>said</w:t>
      </w:r>
      <w:r w:rsidRPr="00A9366F">
        <w:rPr>
          <w:rFonts w:ascii="Calibri" w:hAnsi="Calibri" w:cs="Arial"/>
          <w:sz w:val="30"/>
          <w:szCs w:val="30"/>
          <w:lang w:val="en-US"/>
        </w:rPr>
        <w:t xml:space="preserve"> increase </w:t>
      </w:r>
      <w:r w:rsidR="008A7E05" w:rsidRPr="00A9366F">
        <w:rPr>
          <w:rFonts w:ascii="Calibri" w:hAnsi="Calibri" w:cs="Arial"/>
          <w:sz w:val="30"/>
          <w:szCs w:val="30"/>
          <w:lang w:val="en-US"/>
        </w:rPr>
        <w:t xml:space="preserve">has resulted from transactions </w:t>
      </w:r>
      <w:r w:rsidRPr="00A9366F">
        <w:rPr>
          <w:rFonts w:ascii="Calibri" w:hAnsi="Calibri" w:cs="Arial"/>
          <w:sz w:val="30"/>
          <w:szCs w:val="30"/>
          <w:lang w:val="en-US"/>
        </w:rPr>
        <w:t>with government securities and deposit operations between the National Bank of Kazakhstan and second-tier banks of the Republic of Kazakhstan</w:t>
      </w:r>
      <w:r w:rsidR="008A7E05" w:rsidRPr="00A9366F">
        <w:rPr>
          <w:rFonts w:ascii="Calibri" w:hAnsi="Calibri" w:cs="Arial"/>
          <w:sz w:val="30"/>
          <w:szCs w:val="30"/>
          <w:lang w:val="en-US"/>
        </w:rPr>
        <w:t xml:space="preserve">, which were carried out to </w:t>
      </w:r>
      <w:r w:rsidRPr="00A9366F">
        <w:rPr>
          <w:rFonts w:ascii="Calibri" w:hAnsi="Calibri" w:cs="Arial"/>
          <w:sz w:val="30"/>
          <w:szCs w:val="30"/>
          <w:lang w:val="en-US"/>
        </w:rPr>
        <w:t xml:space="preserve">regulate </w:t>
      </w:r>
      <w:proofErr w:type="spellStart"/>
      <w:r w:rsidRPr="00A9366F">
        <w:rPr>
          <w:rFonts w:ascii="Calibri" w:hAnsi="Calibri" w:cs="Arial"/>
          <w:sz w:val="30"/>
          <w:szCs w:val="30"/>
          <w:lang w:val="en-US"/>
        </w:rPr>
        <w:t>tenge</w:t>
      </w:r>
      <w:proofErr w:type="spellEnd"/>
      <w:r w:rsidRPr="00A9366F">
        <w:rPr>
          <w:rFonts w:ascii="Calibri" w:hAnsi="Calibri" w:cs="Arial"/>
          <w:sz w:val="30"/>
          <w:szCs w:val="30"/>
          <w:lang w:val="en-US"/>
        </w:rPr>
        <w:t xml:space="preserve"> liquidity.</w:t>
      </w:r>
    </w:p>
    <w:tbl>
      <w:tblPr>
        <w:tblW w:w="10145" w:type="dxa"/>
        <w:tblLayout w:type="fixed"/>
        <w:tblLook w:val="04A0" w:firstRow="1" w:lastRow="0" w:firstColumn="1" w:lastColumn="0" w:noHBand="0" w:noVBand="1"/>
      </w:tblPr>
      <w:tblGrid>
        <w:gridCol w:w="4739"/>
        <w:gridCol w:w="5406"/>
      </w:tblGrid>
      <w:tr w:rsidR="009E09D9" w:rsidRPr="00A9366F" w:rsidTr="007D0CC8">
        <w:tc>
          <w:tcPr>
            <w:tcW w:w="4739" w:type="dxa"/>
            <w:shd w:val="clear" w:color="auto" w:fill="auto"/>
          </w:tcPr>
          <w:p w:rsidR="009E09D9" w:rsidRPr="00A9366F" w:rsidRDefault="008A7E05" w:rsidP="00015E28">
            <w:pPr>
              <w:ind w:firstLine="709"/>
              <w:jc w:val="both"/>
              <w:rPr>
                <w:rFonts w:ascii="Calibri" w:hAnsi="Calibri" w:cs="Arial"/>
                <w:sz w:val="30"/>
                <w:szCs w:val="30"/>
                <w:lang w:val="en-US"/>
              </w:rPr>
            </w:pPr>
            <w:r w:rsidRPr="00A9366F">
              <w:rPr>
                <w:rFonts w:ascii="Calibri" w:hAnsi="Calibri" w:cs="Arial"/>
                <w:b/>
                <w:sz w:val="30"/>
                <w:szCs w:val="30"/>
                <w:lang w:val="en-US"/>
              </w:rPr>
              <w:t xml:space="preserve">In this regard, ISMT accounts for the major portion of the amount of payments </w:t>
            </w:r>
            <w:r w:rsidR="00F66BA7" w:rsidRPr="00A9366F">
              <w:rPr>
                <w:rFonts w:ascii="Calibri" w:hAnsi="Calibri" w:cs="Arial"/>
                <w:b/>
                <w:sz w:val="30"/>
                <w:szCs w:val="30"/>
                <w:lang w:val="en-US"/>
              </w:rPr>
              <w:t>settled</w:t>
            </w:r>
            <w:r w:rsidRPr="00A9366F">
              <w:rPr>
                <w:rFonts w:ascii="Calibri" w:hAnsi="Calibri" w:cs="Arial"/>
                <w:b/>
                <w:sz w:val="30"/>
                <w:szCs w:val="30"/>
                <w:lang w:val="en-US"/>
              </w:rPr>
              <w:t xml:space="preserve"> through the payment systems of the National Bank of Kazakhstan (99%),</w:t>
            </w:r>
            <w:r w:rsidRPr="00A9366F">
              <w:rPr>
                <w:rFonts w:ascii="Calibri" w:hAnsi="Calibri" w:cs="Arial"/>
                <w:sz w:val="30"/>
                <w:szCs w:val="30"/>
                <w:lang w:val="en-US"/>
              </w:rPr>
              <w:t xml:space="preserve"> while the bulk of payment messages </w:t>
            </w:r>
            <w:proofErr w:type="gramStart"/>
            <w:r w:rsidRPr="00A9366F">
              <w:rPr>
                <w:rFonts w:ascii="Calibri" w:hAnsi="Calibri" w:cs="Arial"/>
                <w:sz w:val="30"/>
                <w:szCs w:val="30"/>
                <w:lang w:val="en-US"/>
              </w:rPr>
              <w:t>is</w:t>
            </w:r>
            <w:proofErr w:type="gramEnd"/>
            <w:r w:rsidRPr="00A9366F">
              <w:rPr>
                <w:rFonts w:ascii="Calibri" w:hAnsi="Calibri" w:cs="Arial"/>
                <w:sz w:val="30"/>
                <w:szCs w:val="30"/>
                <w:lang w:val="en-US"/>
              </w:rPr>
              <w:t xml:space="preserve"> processed through ICS (60%).</w:t>
            </w:r>
          </w:p>
          <w:p w:rsidR="008A7E05" w:rsidRPr="00A9366F" w:rsidRDefault="008A7E05" w:rsidP="00EE6892">
            <w:pPr>
              <w:autoSpaceDE w:val="0"/>
              <w:autoSpaceDN w:val="0"/>
              <w:adjustRightInd w:val="0"/>
              <w:jc w:val="both"/>
              <w:rPr>
                <w:lang w:val="en-US"/>
              </w:rPr>
            </w:pPr>
          </w:p>
          <w:p w:rsidR="00D96100" w:rsidRPr="00A9366F" w:rsidRDefault="008A7E05" w:rsidP="00EE6892">
            <w:pPr>
              <w:autoSpaceDE w:val="0"/>
              <w:autoSpaceDN w:val="0"/>
              <w:adjustRightInd w:val="0"/>
              <w:jc w:val="both"/>
              <w:rPr>
                <w:rFonts w:ascii="Calibri" w:hAnsi="Calibri" w:cs="Arial"/>
                <w:sz w:val="30"/>
                <w:szCs w:val="30"/>
                <w:lang w:val="en-US"/>
              </w:rPr>
            </w:pPr>
            <w:r w:rsidRPr="00A9366F">
              <w:rPr>
                <w:rFonts w:ascii="Calibri" w:hAnsi="Calibri" w:cs="Arial"/>
                <w:sz w:val="30"/>
                <w:szCs w:val="30"/>
                <w:lang w:val="en-US"/>
              </w:rPr>
              <w:t>An</w:t>
            </w:r>
            <w:r w:rsidR="00D96100" w:rsidRPr="00A9366F">
              <w:rPr>
                <w:rFonts w:ascii="Calibri" w:hAnsi="Calibri" w:cs="Arial"/>
                <w:sz w:val="30"/>
                <w:szCs w:val="30"/>
                <w:lang w:val="en-US"/>
              </w:rPr>
              <w:t xml:space="preserve"> average amount of one payment message </w:t>
            </w:r>
            <w:r w:rsidR="00232293" w:rsidRPr="00A9366F">
              <w:rPr>
                <w:rFonts w:ascii="Calibri" w:hAnsi="Calibri" w:cs="Arial"/>
                <w:sz w:val="30"/>
                <w:szCs w:val="30"/>
                <w:lang w:val="en-US"/>
              </w:rPr>
              <w:t xml:space="preserve">in </w:t>
            </w:r>
            <w:r w:rsidR="00D96100" w:rsidRPr="00A9366F">
              <w:rPr>
                <w:rFonts w:ascii="Calibri" w:hAnsi="Calibri" w:cs="Arial"/>
                <w:sz w:val="30"/>
                <w:szCs w:val="30"/>
                <w:lang w:val="en-US"/>
              </w:rPr>
              <w:t xml:space="preserve">ISMT </w:t>
            </w:r>
            <w:r w:rsidR="00B460A3" w:rsidRPr="00A9366F">
              <w:rPr>
                <w:rFonts w:ascii="Calibri" w:hAnsi="Calibri" w:cs="Arial"/>
                <w:sz w:val="30"/>
                <w:szCs w:val="30"/>
                <w:lang w:val="en-US"/>
              </w:rPr>
              <w:t>in</w:t>
            </w:r>
            <w:r w:rsidR="00D96100" w:rsidRPr="00A9366F">
              <w:rPr>
                <w:rFonts w:ascii="Calibri" w:hAnsi="Calibri" w:cs="Arial"/>
                <w:sz w:val="30"/>
                <w:szCs w:val="30"/>
                <w:lang w:val="en-US"/>
              </w:rPr>
              <w:t xml:space="preserve"> 2016 was </w:t>
            </w:r>
            <w:r w:rsidR="00B460A3" w:rsidRPr="00A9366F">
              <w:rPr>
                <w:rFonts w:ascii="Calibri" w:hAnsi="Calibri" w:cs="Arial"/>
                <w:sz w:val="30"/>
                <w:szCs w:val="30"/>
                <w:lang w:val="en-US"/>
              </w:rPr>
              <w:t xml:space="preserve">equal to </w:t>
            </w:r>
            <w:r w:rsidR="00232293" w:rsidRPr="00A9366F">
              <w:rPr>
                <w:rFonts w:ascii="Calibri" w:hAnsi="Calibri" w:cs="Arial"/>
                <w:sz w:val="30"/>
                <w:szCs w:val="30"/>
                <w:lang w:val="en-US"/>
              </w:rPr>
              <w:t xml:space="preserve">KZT 41.7 million </w:t>
            </w:r>
            <w:r w:rsidR="00D96100" w:rsidRPr="00A9366F">
              <w:rPr>
                <w:rFonts w:ascii="Calibri" w:hAnsi="Calibri" w:cs="Arial"/>
                <w:sz w:val="30"/>
                <w:szCs w:val="30"/>
                <w:lang w:val="en-US"/>
              </w:rPr>
              <w:t xml:space="preserve">and increased </w:t>
            </w:r>
            <w:r w:rsidR="00232293" w:rsidRPr="00A9366F">
              <w:rPr>
                <w:rFonts w:ascii="Calibri" w:hAnsi="Calibri" w:cs="Arial"/>
                <w:sz w:val="30"/>
                <w:szCs w:val="30"/>
                <w:lang w:val="en-US"/>
              </w:rPr>
              <w:t xml:space="preserve">by </w:t>
            </w:r>
            <w:r w:rsidR="00D96100" w:rsidRPr="00A9366F">
              <w:rPr>
                <w:rFonts w:ascii="Calibri" w:hAnsi="Calibri" w:cs="Arial"/>
                <w:sz w:val="30"/>
                <w:szCs w:val="30"/>
                <w:lang w:val="en-US"/>
              </w:rPr>
              <w:t xml:space="preserve">2.5 times (by </w:t>
            </w:r>
            <w:r w:rsidR="00232293" w:rsidRPr="00A9366F">
              <w:rPr>
                <w:rFonts w:ascii="Calibri" w:hAnsi="Calibri" w:cs="Arial"/>
                <w:sz w:val="30"/>
                <w:szCs w:val="30"/>
                <w:lang w:val="en-US"/>
              </w:rPr>
              <w:t xml:space="preserve">KZT </w:t>
            </w:r>
            <w:r w:rsidR="00D96100" w:rsidRPr="00A9366F">
              <w:rPr>
                <w:rFonts w:ascii="Calibri" w:hAnsi="Calibri" w:cs="Arial"/>
                <w:sz w:val="30"/>
                <w:szCs w:val="30"/>
                <w:lang w:val="en-US"/>
              </w:rPr>
              <w:t xml:space="preserve">25.0 million) </w:t>
            </w:r>
            <w:r w:rsidR="00232293" w:rsidRPr="00A9366F">
              <w:rPr>
                <w:rFonts w:ascii="Calibri" w:hAnsi="Calibri" w:cs="Arial"/>
                <w:sz w:val="30"/>
                <w:szCs w:val="30"/>
                <w:lang w:val="en-US"/>
              </w:rPr>
              <w:t xml:space="preserve">as </w:t>
            </w:r>
            <w:r w:rsidR="00D96100" w:rsidRPr="00A9366F">
              <w:rPr>
                <w:rFonts w:ascii="Calibri" w:hAnsi="Calibri" w:cs="Arial"/>
                <w:sz w:val="30"/>
                <w:szCs w:val="30"/>
                <w:lang w:val="en-US"/>
              </w:rPr>
              <w:t xml:space="preserve">compared </w:t>
            </w:r>
            <w:r w:rsidR="00812573" w:rsidRPr="00A9366F">
              <w:rPr>
                <w:rFonts w:ascii="Calibri" w:hAnsi="Calibri" w:cs="Arial"/>
                <w:sz w:val="30"/>
                <w:szCs w:val="30"/>
                <w:lang w:val="en-US"/>
              </w:rPr>
              <w:t>with</w:t>
            </w:r>
            <w:r w:rsidR="00D96100" w:rsidRPr="00A9366F">
              <w:rPr>
                <w:rFonts w:ascii="Calibri" w:hAnsi="Calibri" w:cs="Arial"/>
                <w:sz w:val="30"/>
                <w:szCs w:val="30"/>
                <w:lang w:val="en-US"/>
              </w:rPr>
              <w:t xml:space="preserve"> 2015. </w:t>
            </w:r>
            <w:r w:rsidR="00232293" w:rsidRPr="00A9366F">
              <w:rPr>
                <w:rFonts w:ascii="Calibri" w:hAnsi="Calibri" w:cs="Arial"/>
                <w:sz w:val="30"/>
                <w:szCs w:val="30"/>
                <w:lang w:val="en-US"/>
              </w:rPr>
              <w:t xml:space="preserve">An </w:t>
            </w:r>
            <w:r w:rsidR="00D96100" w:rsidRPr="00A9366F">
              <w:rPr>
                <w:rFonts w:ascii="Calibri" w:hAnsi="Calibri" w:cs="Arial"/>
                <w:sz w:val="30"/>
                <w:szCs w:val="30"/>
                <w:lang w:val="en-US"/>
              </w:rPr>
              <w:t xml:space="preserve">average amount of one payment message in </w:t>
            </w:r>
            <w:r w:rsidR="00232293" w:rsidRPr="00A9366F">
              <w:rPr>
                <w:rFonts w:ascii="Calibri" w:hAnsi="Calibri" w:cs="Arial"/>
                <w:sz w:val="30"/>
                <w:szCs w:val="30"/>
                <w:lang w:val="en-US"/>
              </w:rPr>
              <w:t>ICS</w:t>
            </w:r>
            <w:r w:rsidR="00D96100" w:rsidRPr="00A9366F">
              <w:rPr>
                <w:rFonts w:ascii="Calibri" w:hAnsi="Calibri" w:cs="Arial"/>
                <w:sz w:val="30"/>
                <w:szCs w:val="30"/>
                <w:lang w:val="en-US"/>
              </w:rPr>
              <w:t xml:space="preserve"> for 2016 was</w:t>
            </w:r>
            <w:r w:rsidR="00B460A3" w:rsidRPr="00A9366F">
              <w:rPr>
                <w:rFonts w:ascii="Calibri" w:hAnsi="Calibri" w:cs="Arial"/>
                <w:sz w:val="30"/>
                <w:szCs w:val="30"/>
                <w:lang w:val="en-US"/>
              </w:rPr>
              <w:t xml:space="preserve"> equal to</w:t>
            </w:r>
            <w:r w:rsidR="00D96100" w:rsidRPr="00A9366F">
              <w:rPr>
                <w:rFonts w:ascii="Calibri" w:hAnsi="Calibri" w:cs="Arial"/>
                <w:sz w:val="30"/>
                <w:szCs w:val="30"/>
                <w:lang w:val="en-US"/>
              </w:rPr>
              <w:t xml:space="preserve"> </w:t>
            </w:r>
            <w:r w:rsidR="00232293" w:rsidRPr="00A9366F">
              <w:rPr>
                <w:rFonts w:ascii="Calibri" w:hAnsi="Calibri" w:cs="Arial"/>
                <w:sz w:val="30"/>
                <w:szCs w:val="30"/>
                <w:lang w:val="en-US"/>
              </w:rPr>
              <w:t>KZT 282.4 thousand</w:t>
            </w:r>
            <w:r w:rsidR="00D96100" w:rsidRPr="00A9366F">
              <w:rPr>
                <w:rFonts w:ascii="Calibri" w:hAnsi="Calibri" w:cs="Arial"/>
                <w:sz w:val="30"/>
                <w:szCs w:val="30"/>
                <w:lang w:val="en-US"/>
              </w:rPr>
              <w:t xml:space="preserve">, having increased by 10.9% </w:t>
            </w:r>
            <w:r w:rsidR="00232293" w:rsidRPr="00A9366F">
              <w:rPr>
                <w:rFonts w:ascii="Calibri" w:hAnsi="Calibri" w:cs="Arial"/>
                <w:sz w:val="30"/>
                <w:szCs w:val="30"/>
                <w:lang w:val="en-US"/>
              </w:rPr>
              <w:t xml:space="preserve">(KZT 27.8 thousand) as compared </w:t>
            </w:r>
            <w:r w:rsidR="00812573" w:rsidRPr="00A9366F">
              <w:rPr>
                <w:rFonts w:ascii="Calibri" w:hAnsi="Calibri" w:cs="Arial"/>
                <w:sz w:val="30"/>
                <w:szCs w:val="30"/>
                <w:lang w:val="en-US"/>
              </w:rPr>
              <w:t>with</w:t>
            </w:r>
            <w:r w:rsidR="00232293" w:rsidRPr="00A9366F">
              <w:rPr>
                <w:rFonts w:ascii="Calibri" w:hAnsi="Calibri" w:cs="Arial"/>
                <w:sz w:val="30"/>
                <w:szCs w:val="30"/>
                <w:lang w:val="en-US"/>
              </w:rPr>
              <w:t xml:space="preserve"> 2015.</w:t>
            </w:r>
          </w:p>
          <w:p w:rsidR="009E09D9" w:rsidRPr="00A9366F" w:rsidRDefault="009E09D9" w:rsidP="00EE6892">
            <w:pPr>
              <w:autoSpaceDE w:val="0"/>
              <w:autoSpaceDN w:val="0"/>
              <w:adjustRightInd w:val="0"/>
              <w:jc w:val="both"/>
              <w:rPr>
                <w:rFonts w:ascii="Calibri" w:hAnsi="Calibri" w:cs="Arial"/>
                <w:sz w:val="30"/>
                <w:szCs w:val="30"/>
                <w:lang w:val="en-US"/>
              </w:rPr>
            </w:pPr>
          </w:p>
        </w:tc>
        <w:tc>
          <w:tcPr>
            <w:tcW w:w="5406" w:type="dxa"/>
            <w:shd w:val="clear" w:color="auto" w:fill="auto"/>
          </w:tcPr>
          <w:p w:rsidR="009E09D9" w:rsidRPr="00A9366F" w:rsidRDefault="00B41594" w:rsidP="00015E28">
            <w:pPr>
              <w:autoSpaceDE w:val="0"/>
              <w:autoSpaceDN w:val="0"/>
              <w:adjustRightInd w:val="0"/>
              <w:jc w:val="both"/>
              <w:rPr>
                <w:rFonts w:ascii="Calibri" w:hAnsi="Calibri" w:cs="Arial"/>
                <w:sz w:val="20"/>
                <w:szCs w:val="20"/>
                <w:lang w:val="en-US"/>
              </w:rPr>
            </w:pPr>
            <w:r w:rsidRPr="00A9366F">
              <w:rPr>
                <w:rFonts w:ascii="Calibri" w:hAnsi="Calibri" w:cs="Arial"/>
                <w:noProof/>
                <w:sz w:val="20"/>
                <w:szCs w:val="20"/>
              </w:rPr>
              <w:drawing>
                <wp:inline distT="0" distB="0" distL="0" distR="0">
                  <wp:extent cx="2930237" cy="1610591"/>
                  <wp:effectExtent l="19050" t="0" r="3463"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09D9" w:rsidRPr="00A9366F" w:rsidRDefault="00B41594" w:rsidP="00015E28">
            <w:pPr>
              <w:autoSpaceDE w:val="0"/>
              <w:autoSpaceDN w:val="0"/>
              <w:adjustRightInd w:val="0"/>
              <w:jc w:val="both"/>
              <w:rPr>
                <w:rFonts w:ascii="Calibri" w:hAnsi="Calibri" w:cs="Arial"/>
                <w:sz w:val="30"/>
                <w:szCs w:val="30"/>
                <w:lang w:val="en-US"/>
              </w:rPr>
            </w:pPr>
            <w:r w:rsidRPr="00A9366F">
              <w:rPr>
                <w:rFonts w:ascii="Calibri" w:hAnsi="Calibri" w:cs="Arial"/>
                <w:noProof/>
                <w:sz w:val="30"/>
                <w:szCs w:val="30"/>
              </w:rPr>
              <w:drawing>
                <wp:inline distT="0" distB="0" distL="0" distR="0">
                  <wp:extent cx="3075709" cy="1662546"/>
                  <wp:effectExtent l="19050" t="0" r="0" b="0"/>
                  <wp:docPr id="5" name="Диаграмма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09D9" w:rsidRPr="00A9366F" w:rsidRDefault="00FB60A9" w:rsidP="00015E28">
            <w:pPr>
              <w:autoSpaceDE w:val="0"/>
              <w:autoSpaceDN w:val="0"/>
              <w:adjustRightInd w:val="0"/>
              <w:jc w:val="both"/>
              <w:rPr>
                <w:rFonts w:ascii="Calibri" w:hAnsi="Calibri" w:cs="Arial"/>
                <w:sz w:val="30"/>
                <w:szCs w:val="30"/>
                <w:lang w:val="en-US"/>
              </w:rPr>
            </w:pPr>
            <w:r w:rsidRPr="00A9366F">
              <w:rPr>
                <w:noProof/>
              </w:rPr>
              <mc:AlternateContent>
                <mc:Choice Requires="wpg">
                  <w:drawing>
                    <wp:anchor distT="0" distB="0" distL="114300" distR="114300" simplePos="0" relativeHeight="251643904" behindDoc="0" locked="0" layoutInCell="1" allowOverlap="1">
                      <wp:simplePos x="0" y="0"/>
                      <wp:positionH relativeFrom="column">
                        <wp:posOffset>20320</wp:posOffset>
                      </wp:positionH>
                      <wp:positionV relativeFrom="paragraph">
                        <wp:posOffset>81280</wp:posOffset>
                      </wp:positionV>
                      <wp:extent cx="2752725" cy="1297305"/>
                      <wp:effectExtent l="0" t="0" r="28575" b="0"/>
                      <wp:wrapSquare wrapText="bothSides"/>
                      <wp:docPr id="51"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1297305"/>
                                <a:chOff x="2385" y="10067"/>
                                <a:chExt cx="7498" cy="1703"/>
                              </a:xfrm>
                            </wpg:grpSpPr>
                            <wps:wsp>
                              <wps:cNvPr id="54" name="Овал 5"/>
                              <wps:cNvSpPr>
                                <a:spLocks noChangeArrowheads="1"/>
                              </wps:cNvSpPr>
                              <wps:spPr bwMode="auto">
                                <a:xfrm>
                                  <a:off x="2910" y="10353"/>
                                  <a:ext cx="3270" cy="1005"/>
                                </a:xfrm>
                                <a:prstGeom prst="ellipse">
                                  <a:avLst/>
                                </a:prstGeom>
                                <a:solidFill>
                                  <a:srgbClr val="92D050"/>
                                </a:solidFill>
                                <a:ln w="25400" algn="ctr">
                                  <a:solidFill>
                                    <a:srgbClr val="385D8A"/>
                                  </a:solidFill>
                                  <a:round/>
                                  <a:headEnd/>
                                  <a:tailEnd/>
                                </a:ln>
                              </wps:spPr>
                              <wps:txbx>
                                <w:txbxContent>
                                  <w:p w:rsidR="00541D5F" w:rsidRPr="00232293" w:rsidRDefault="00541D5F" w:rsidP="009E09D9">
                                    <w:pPr>
                                      <w:jc w:val="center"/>
                                      <w:rPr>
                                        <w:rFonts w:ascii="Calibri" w:hAnsi="Calibri"/>
                                        <w:sz w:val="20"/>
                                        <w:szCs w:val="20"/>
                                        <w:lang w:val="en-US"/>
                                      </w:rPr>
                                    </w:pPr>
                                    <w:r>
                                      <w:rPr>
                                        <w:rFonts w:ascii="Calibri" w:hAnsi="Calibri"/>
                                        <w:sz w:val="20"/>
                                        <w:szCs w:val="20"/>
                                        <w:lang w:val="en-US"/>
                                      </w:rPr>
                                      <w:t xml:space="preserve">KZT </w:t>
                                    </w:r>
                                    <w:r>
                                      <w:rPr>
                                        <w:rFonts w:ascii="Calibri" w:hAnsi="Calibri"/>
                                        <w:sz w:val="20"/>
                                        <w:szCs w:val="20"/>
                                      </w:rPr>
                                      <w:t>41.</w:t>
                                    </w:r>
                                    <w:r w:rsidRPr="00015E28">
                                      <w:rPr>
                                        <w:rFonts w:ascii="Calibri" w:hAnsi="Calibri"/>
                                        <w:sz w:val="20"/>
                                        <w:szCs w:val="20"/>
                                      </w:rPr>
                                      <w:t xml:space="preserve">7 </w:t>
                                    </w:r>
                                    <w:r>
                                      <w:rPr>
                                        <w:rFonts w:ascii="Calibri" w:hAnsi="Calibri"/>
                                        <w:sz w:val="20"/>
                                        <w:szCs w:val="20"/>
                                        <w:lang w:val="en-US"/>
                                      </w:rPr>
                                      <w:t xml:space="preserve">million </w:t>
                                    </w:r>
                                  </w:p>
                                </w:txbxContent>
                              </wps:txbx>
                              <wps:bodyPr rot="0" vert="horz" wrap="square" lIns="91440" tIns="45720" rIns="91440" bIns="45720" anchor="ctr" anchorCtr="0" upright="1">
                                <a:noAutofit/>
                              </wps:bodyPr>
                            </wps:wsp>
                            <wps:wsp>
                              <wps:cNvPr id="55" name="Овал 6"/>
                              <wps:cNvSpPr>
                                <a:spLocks noChangeArrowheads="1"/>
                              </wps:cNvSpPr>
                              <wps:spPr bwMode="auto">
                                <a:xfrm>
                                  <a:off x="7119" y="10997"/>
                                  <a:ext cx="507" cy="271"/>
                                </a:xfrm>
                                <a:prstGeom prst="ellipse">
                                  <a:avLst/>
                                </a:prstGeom>
                                <a:solidFill>
                                  <a:srgbClr val="C0504D"/>
                                </a:solidFill>
                                <a:ln w="25400" algn="ctr">
                                  <a:solidFill>
                                    <a:srgbClr val="8C3836"/>
                                  </a:solidFill>
                                  <a:round/>
                                  <a:headEnd/>
                                  <a:tailEnd/>
                                </a:ln>
                              </wps:spPr>
                              <wps:txbx>
                                <w:txbxContent>
                                  <w:p w:rsidR="00541D5F" w:rsidRDefault="00541D5F" w:rsidP="009E09D9">
                                    <w:pPr>
                                      <w:jc w:val="center"/>
                                    </w:pPr>
                                  </w:p>
                                </w:txbxContent>
                              </wps:txbx>
                              <wps:bodyPr rot="0" vert="horz" wrap="square" lIns="91440" tIns="45720" rIns="91440" bIns="45720" anchor="ctr" anchorCtr="0" upright="1">
                                <a:noAutofit/>
                              </wps:bodyPr>
                            </wps:wsp>
                            <wps:wsp>
                              <wps:cNvPr id="57" name="Двойные фигурные скобки 7"/>
                              <wps:cNvSpPr>
                                <a:spLocks noChangeArrowheads="1"/>
                              </wps:cNvSpPr>
                              <wps:spPr bwMode="auto">
                                <a:xfrm>
                                  <a:off x="2385" y="10067"/>
                                  <a:ext cx="7498" cy="1680"/>
                                </a:xfrm>
                                <a:prstGeom prst="bracePair">
                                  <a:avLst>
                                    <a:gd name="adj" fmla="val 8333"/>
                                  </a:avLst>
                                </a:prstGeom>
                                <a:noFill/>
                                <a:ln w="9525" algn="ctr">
                                  <a:solidFill>
                                    <a:srgbClr val="4A7EB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Надпись 2"/>
                              <wps:cNvSpPr txBox="1">
                                <a:spLocks noChangeArrowheads="1"/>
                              </wps:cNvSpPr>
                              <wps:spPr bwMode="auto">
                                <a:xfrm>
                                  <a:off x="3354" y="11365"/>
                                  <a:ext cx="219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5F" w:rsidRPr="00232293" w:rsidRDefault="00541D5F" w:rsidP="009E09D9">
                                    <w:pPr>
                                      <w:jc w:val="center"/>
                                      <w:rPr>
                                        <w:rFonts w:ascii="Calibri" w:hAnsi="Calibri"/>
                                        <w:b/>
                                        <w:lang w:val="en-US"/>
                                      </w:rPr>
                                    </w:pPr>
                                    <w:r>
                                      <w:rPr>
                                        <w:rFonts w:ascii="Calibri" w:hAnsi="Calibri"/>
                                        <w:b/>
                                        <w:lang w:val="en-US"/>
                                      </w:rPr>
                                      <w:t>ISMT</w:t>
                                    </w:r>
                                  </w:p>
                                </w:txbxContent>
                              </wps:txbx>
                              <wps:bodyPr rot="0" vert="horz" wrap="square" lIns="91440" tIns="45720" rIns="91440" bIns="45720" anchor="t" anchorCtr="0" upright="1">
                                <a:noAutofit/>
                              </wps:bodyPr>
                            </wps:wsp>
                            <wps:wsp>
                              <wps:cNvPr id="59" name="Надпись 2"/>
                              <wps:cNvSpPr txBox="1">
                                <a:spLocks noChangeArrowheads="1"/>
                              </wps:cNvSpPr>
                              <wps:spPr bwMode="auto">
                                <a:xfrm>
                                  <a:off x="6423" y="11347"/>
                                  <a:ext cx="194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D5F" w:rsidRPr="00232293" w:rsidRDefault="00541D5F" w:rsidP="009E09D9">
                                    <w:pPr>
                                      <w:jc w:val="center"/>
                                      <w:rPr>
                                        <w:rFonts w:ascii="Calibri" w:hAnsi="Calibri"/>
                                        <w:b/>
                                        <w:lang w:val="en-US"/>
                                      </w:rPr>
                                    </w:pPr>
                                    <w:r>
                                      <w:rPr>
                                        <w:rFonts w:ascii="Calibri" w:hAnsi="Calibri"/>
                                        <w:b/>
                                        <w:lang w:val="en-US"/>
                                      </w:rPr>
                                      <w:t>ICS</w:t>
                                    </w:r>
                                  </w:p>
                                </w:txbxContent>
                              </wps:txbx>
                              <wps:bodyPr rot="0" vert="horz" wrap="square" lIns="91440" tIns="45720" rIns="91440" bIns="45720" anchor="t" anchorCtr="0" upright="1">
                                <a:noAutofit/>
                              </wps:bodyPr>
                            </wps:wsp>
                            <wps:wsp>
                              <wps:cNvPr id="60" name="Скругленная прямоугольная выноска 13"/>
                              <wps:cNvSpPr>
                                <a:spLocks noChangeArrowheads="1"/>
                              </wps:cNvSpPr>
                              <wps:spPr bwMode="auto">
                                <a:xfrm>
                                  <a:off x="7323" y="10248"/>
                                  <a:ext cx="2053" cy="675"/>
                                </a:xfrm>
                                <a:prstGeom prst="wedgeRoundRectCallout">
                                  <a:avLst>
                                    <a:gd name="adj1" fmla="val -45176"/>
                                    <a:gd name="adj2" fmla="val 71773"/>
                                    <a:gd name="adj3" fmla="val 16667"/>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541D5F" w:rsidRPr="00015E28" w:rsidRDefault="00541D5F" w:rsidP="009E09D9">
                                    <w:pPr>
                                      <w:jc w:val="center"/>
                                      <w:rPr>
                                        <w:rFonts w:ascii="Calibri" w:hAnsi="Calibri"/>
                                        <w:sz w:val="20"/>
                                        <w:szCs w:val="20"/>
                                      </w:rPr>
                                    </w:pPr>
                                    <w:r>
                                      <w:rPr>
                                        <w:rFonts w:ascii="Calibri" w:hAnsi="Calibri"/>
                                        <w:sz w:val="20"/>
                                        <w:szCs w:val="20"/>
                                      </w:rPr>
                                      <w:t>282.</w:t>
                                    </w:r>
                                    <w:r w:rsidRPr="00015E28">
                                      <w:rPr>
                                        <w:rFonts w:ascii="Calibri" w:hAnsi="Calibri"/>
                                        <w:sz w:val="20"/>
                                        <w:szCs w:val="20"/>
                                      </w:rPr>
                                      <w:t xml:space="preserve">4 </w:t>
                                    </w:r>
                                    <w:r>
                                      <w:rPr>
                                        <w:rFonts w:ascii="Calibri" w:hAnsi="Calibri"/>
                                        <w:sz w:val="20"/>
                                        <w:szCs w:val="20"/>
                                        <w:lang w:val="en-US"/>
                                      </w:rPr>
                                      <w:t>thousand</w:t>
                                    </w:r>
                                    <w:r w:rsidRPr="00015E28">
                                      <w:rPr>
                                        <w:rFonts w:ascii="Calibri" w:hAnsi="Calibri"/>
                                        <w:sz w:val="20"/>
                                        <w:szCs w:val="20"/>
                                      </w:rPr>
                                      <w:t xml:space="preserve"> тенге</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31" style="position:absolute;left:0;text-align:left;margin-left:1.6pt;margin-top:6.4pt;width:216.75pt;height:102.15pt;z-index:251643904" coordorigin="2385,10067" coordsize="7498,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">
                      <v:oval id="Овал 5" o:spid="_x0000_s1032" style="position:absolute;left:2910;top:10353;width:3270;height:1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9d/MMA&#10;AADbAAAADwAAAGRycy9kb3ducmV2LnhtbESPT2sCMRTE74V+h/AK3mrW4j9Wo5TCQi+1uorn5+a5&#10;u3TzEpJUt9/eFASPw8z8hlmue9OJC/nQWlYwGmYgiCurW64VHPbF6xxEiMgaO8uk4I8CrFfPT0vM&#10;tb3yji5lrEWCcMhRQROjy6UMVUMGw9A64uSdrTcYk/S11B6vCW46+ZZlU2mw5bTQoKOPhqqf8tco&#10;mG2/CjSnXZHNN25T+uN5O3LfSg1e+vcFiEh9fITv7U+tYDKG/y/p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9d/MMAAADbAAAADwAAAAAAAAAAAAAAAACYAgAAZHJzL2Rv&#10;d25yZXYueG1sUEsFBgAAAAAEAAQA9QAAAIgDAAAAAA==&#10;" fillcolor="#92d050" strokecolor="#385d8a" strokeweight="2pt">
                        <v:textbox>
                          <w:txbxContent>
                            <w:p w:rsidR="00541D5F" w:rsidRPr="00232293" w:rsidRDefault="00541D5F" w:rsidP="009E09D9">
                              <w:pPr>
                                <w:jc w:val="center"/>
                                <w:rPr>
                                  <w:rFonts w:ascii="Calibri" w:hAnsi="Calibri"/>
                                  <w:sz w:val="20"/>
                                  <w:szCs w:val="20"/>
                                  <w:lang w:val="en-US"/>
                                </w:rPr>
                              </w:pPr>
                              <w:r>
                                <w:rPr>
                                  <w:rFonts w:ascii="Calibri" w:hAnsi="Calibri"/>
                                  <w:sz w:val="20"/>
                                  <w:szCs w:val="20"/>
                                  <w:lang w:val="en-US"/>
                                </w:rPr>
                                <w:t xml:space="preserve">KZT </w:t>
                              </w:r>
                              <w:r>
                                <w:rPr>
                                  <w:rFonts w:ascii="Calibri" w:hAnsi="Calibri"/>
                                  <w:sz w:val="20"/>
                                  <w:szCs w:val="20"/>
                                </w:rPr>
                                <w:t>41.</w:t>
                              </w:r>
                              <w:r w:rsidRPr="00015E28">
                                <w:rPr>
                                  <w:rFonts w:ascii="Calibri" w:hAnsi="Calibri"/>
                                  <w:sz w:val="20"/>
                                  <w:szCs w:val="20"/>
                                </w:rPr>
                                <w:t xml:space="preserve">7 </w:t>
                              </w:r>
                              <w:r>
                                <w:rPr>
                                  <w:rFonts w:ascii="Calibri" w:hAnsi="Calibri"/>
                                  <w:sz w:val="20"/>
                                  <w:szCs w:val="20"/>
                                  <w:lang w:val="en-US"/>
                                </w:rPr>
                                <w:t xml:space="preserve">million </w:t>
                              </w:r>
                            </w:p>
                          </w:txbxContent>
                        </v:textbox>
                      </v:oval>
                      <v:oval id="Овал 6" o:spid="_x0000_s1033" style="position:absolute;left:7119;top:10997;width:507;height: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mscIA&#10;AADbAAAADwAAAGRycy9kb3ducmV2LnhtbESPQWvCQBSE70L/w/IKvemmpWqJbkIplApeamLvz+xL&#10;NjT7NmS3Jv57Vyh4HGa+GWabT7YTZxp861jB8yIBQVw53XKj4Fh+zt9A+ICssXNMCi7kIc8eZltM&#10;tRv5QOciNCKWsE9RgQmhT6X0lSGLfuF64ujVbrAYohwaqQccY7nt5EuSrKTFluOCwZ4+DFW/xZ9V&#10;sKy/Ub4Wh/Wl/PrZj7WfWJ+MUk+P0/sGRKAp3MP/9E5Hbgm3L/EHy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maxwgAAANsAAAAPAAAAAAAAAAAAAAAAAJgCAABkcnMvZG93&#10;bnJldi54bWxQSwUGAAAAAAQABAD1AAAAhwMAAAAA&#10;" fillcolor="#c0504d" strokecolor="#8c3836" strokeweight="2pt">
                        <v:textbox>
                          <w:txbxContent>
                            <w:p w:rsidR="00541D5F" w:rsidRDefault="00541D5F" w:rsidP="009E09D9">
                              <w:pPr>
                                <w:jc w:val="center"/>
                              </w:pPr>
                            </w:p>
                          </w:txbxContent>
                        </v:textbox>
                      </v:oval>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Двойные фигурные скобки 7" o:spid="_x0000_s1034" type="#_x0000_t186" style="position:absolute;left:2385;top:10067;width:7498;height:1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4uMQA&#10;AADbAAAADwAAAGRycy9kb3ducmV2LnhtbESPQWvCQBSE70L/w/IK3sxGobVNs0oRrBVPTYPnZ/aZ&#10;BLNvw+4a03/fLRQ8DjPzDZOvR9OJgZxvLSuYJykI4srqlmsF5fd29gLCB2SNnWVS8EMe1quHSY6Z&#10;tjf+oqEItYgQ9hkqaELoMyl91ZBBn9ieOHpn6wyGKF0ttcNbhJtOLtL0WRpsOS402NOmoepSXI2C&#10;Yl+fX+elq4rDZXdE3Z72w8dSqenj+P4GItAY7uH/9qdW8LSEv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AOLjEAAAA2wAAAA8AAAAAAAAAAAAAAAAAmAIAAGRycy9k&#10;b3ducmV2LnhtbFBLBQYAAAAABAAEAPUAAACJAwAAAAA=&#10;" strokecolor="#4a7ebb"/>
                      <v:shapetype id="_x0000_t202" coordsize="21600,21600" o:spt="202" path="m,l,21600r21600,l21600,xe">
                        <v:stroke joinstyle="miter"/>
                        <v:path gradientshapeok="t" o:connecttype="rect"/>
                      </v:shapetype>
                      <v:shape id="_x0000_s1035" type="#_x0000_t202" style="position:absolute;left:3354;top:11365;width:219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541D5F" w:rsidRPr="00232293" w:rsidRDefault="00541D5F" w:rsidP="009E09D9">
                              <w:pPr>
                                <w:jc w:val="center"/>
                                <w:rPr>
                                  <w:rFonts w:ascii="Calibri" w:hAnsi="Calibri"/>
                                  <w:b/>
                                  <w:lang w:val="en-US"/>
                                </w:rPr>
                              </w:pPr>
                              <w:r>
                                <w:rPr>
                                  <w:rFonts w:ascii="Calibri" w:hAnsi="Calibri"/>
                                  <w:b/>
                                  <w:lang w:val="en-US"/>
                                </w:rPr>
                                <w:t>ISMT</w:t>
                              </w:r>
                            </w:p>
                          </w:txbxContent>
                        </v:textbox>
                      </v:shape>
                      <v:shape id="_x0000_s1036" type="#_x0000_t202" style="position:absolute;left:6423;top:11347;width:1947;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541D5F" w:rsidRPr="00232293" w:rsidRDefault="00541D5F" w:rsidP="009E09D9">
                              <w:pPr>
                                <w:jc w:val="center"/>
                                <w:rPr>
                                  <w:rFonts w:ascii="Calibri" w:hAnsi="Calibri"/>
                                  <w:b/>
                                  <w:lang w:val="en-US"/>
                                </w:rPr>
                              </w:pPr>
                              <w:r>
                                <w:rPr>
                                  <w:rFonts w:ascii="Calibri" w:hAnsi="Calibri"/>
                                  <w:b/>
                                  <w:lang w:val="en-US"/>
                                </w:rPr>
                                <w:t>ICS</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3" o:spid="_x0000_s1037" type="#_x0000_t62" style="position:absolute;left:7323;top:10248;width:2053;height: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sb8AA&#10;AADbAAAADwAAAGRycy9kb3ducmV2LnhtbERPz2vCMBS+D/wfwhN2GTbdDmXURhHBYY+6sl0fzbMp&#10;Ni+1idr615vDYMeP73exHm0nbjT41rGC9yQFQVw73XKjoPreLT5B+ICssXNMCibysF7NXgrMtbvz&#10;gW7H0IgYwj5HBSaEPpfS14Ys+sT1xJE7ucFiiHBopB7wHsNtJz/SNJMWW44NBnvaGqrPx6tVUE/0&#10;1n0Ze3B9k16q37L8mR6lUq/zcbMEEWgM/+I/914ryOL6+C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wsb8AAAADbAAAADwAAAAAAAAAAAAAAAACYAgAAZHJzL2Rvd25y&#10;ZXYueG1sUEsFBgAAAAAEAAQA9QAAAIUDAAAAAA==&#10;" adj="1042,26303" fillcolor="#bcbcbc">
                        <v:fill color2="#ededed" rotate="t" angle="180" colors="0 #bcbcbc;22938f #d0d0d0;1 #ededed" focus="100%" type="gradient"/>
                        <v:shadow on="t" color="black" opacity="24903f" origin=",.5" offset="0,.55556mm"/>
                        <v:textbox>
                          <w:txbxContent>
                            <w:p w:rsidR="00541D5F" w:rsidRPr="00015E28" w:rsidRDefault="00541D5F" w:rsidP="009E09D9">
                              <w:pPr>
                                <w:jc w:val="center"/>
                                <w:rPr>
                                  <w:rFonts w:ascii="Calibri" w:hAnsi="Calibri"/>
                                  <w:sz w:val="20"/>
                                  <w:szCs w:val="20"/>
                                </w:rPr>
                              </w:pPr>
                              <w:r>
                                <w:rPr>
                                  <w:rFonts w:ascii="Calibri" w:hAnsi="Calibri"/>
                                  <w:sz w:val="20"/>
                                  <w:szCs w:val="20"/>
                                </w:rPr>
                                <w:t>282.</w:t>
                              </w:r>
                              <w:r w:rsidRPr="00015E28">
                                <w:rPr>
                                  <w:rFonts w:ascii="Calibri" w:hAnsi="Calibri"/>
                                  <w:sz w:val="20"/>
                                  <w:szCs w:val="20"/>
                                </w:rPr>
                                <w:t xml:space="preserve">4 </w:t>
                              </w:r>
                              <w:r>
                                <w:rPr>
                                  <w:rFonts w:ascii="Calibri" w:hAnsi="Calibri"/>
                                  <w:sz w:val="20"/>
                                  <w:szCs w:val="20"/>
                                  <w:lang w:val="en-US"/>
                                </w:rPr>
                                <w:t>thousand</w:t>
                              </w:r>
                              <w:r w:rsidRPr="00015E28">
                                <w:rPr>
                                  <w:rFonts w:ascii="Calibri" w:hAnsi="Calibri"/>
                                  <w:sz w:val="20"/>
                                  <w:szCs w:val="20"/>
                                </w:rPr>
                                <w:t xml:space="preserve"> тенге</w:t>
                              </w:r>
                            </w:p>
                          </w:txbxContent>
                        </v:textbox>
                      </v:shape>
                      <w10:wrap type="square"/>
                    </v:group>
                  </w:pict>
                </mc:Fallback>
              </mc:AlternateContent>
            </w:r>
          </w:p>
        </w:tc>
      </w:tr>
    </w:tbl>
    <w:p w:rsidR="0082483E" w:rsidRPr="00A9366F" w:rsidRDefault="0082483E" w:rsidP="009E09D9">
      <w:pPr>
        <w:pStyle w:val="1"/>
        <w:pBdr>
          <w:bottom w:val="single" w:sz="12" w:space="1" w:color="auto"/>
        </w:pBdr>
        <w:tabs>
          <w:tab w:val="left" w:pos="561"/>
        </w:tabs>
        <w:spacing w:before="0" w:after="0" w:line="233" w:lineRule="auto"/>
        <w:rPr>
          <w:rFonts w:ascii="Calibri" w:hAnsi="Calibri"/>
          <w:bCs w:val="0"/>
          <w:snapToGrid w:val="0"/>
          <w:color w:val="0E4C28"/>
          <w:spacing w:val="-2"/>
          <w:kern w:val="0"/>
          <w:sz w:val="14"/>
          <w:lang w:val="en-US"/>
        </w:rPr>
        <w:sectPr w:rsidR="0082483E" w:rsidRPr="00A9366F" w:rsidSect="002C64D4">
          <w:headerReference w:type="default" r:id="rId16"/>
          <w:pgSz w:w="11906" w:h="16838"/>
          <w:pgMar w:top="1134" w:right="851" w:bottom="1134" w:left="1701" w:header="709" w:footer="709" w:gutter="0"/>
          <w:pgNumType w:start="0"/>
          <w:cols w:space="708"/>
          <w:titlePg/>
          <w:docGrid w:linePitch="360"/>
        </w:sectPr>
      </w:pPr>
      <w:bookmarkStart w:id="62" w:name="_Toc470534235"/>
    </w:p>
    <w:p w:rsidR="009E09D9" w:rsidRPr="00A9366F" w:rsidRDefault="00A30B7D" w:rsidP="009E09D9">
      <w:pPr>
        <w:pStyle w:val="1"/>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bookmarkStart w:id="63" w:name="_Toc485626997"/>
      <w:r w:rsidRPr="00A9366F">
        <w:rPr>
          <w:rFonts w:ascii="Calibri" w:hAnsi="Calibri"/>
          <w:bCs w:val="0"/>
          <w:snapToGrid w:val="0"/>
          <w:color w:val="0E4C28"/>
          <w:spacing w:val="-2"/>
          <w:kern w:val="0"/>
          <w:lang w:val="en-US"/>
        </w:rPr>
        <w:t>1</w:t>
      </w:r>
      <w:r w:rsidR="009E09D9" w:rsidRPr="00A9366F">
        <w:rPr>
          <w:rFonts w:ascii="Calibri" w:hAnsi="Calibri"/>
          <w:bCs w:val="0"/>
          <w:snapToGrid w:val="0"/>
          <w:color w:val="0E4C28"/>
          <w:spacing w:val="-2"/>
          <w:kern w:val="0"/>
          <w:lang w:val="en-US"/>
        </w:rPr>
        <w:t>.</w:t>
      </w:r>
      <w:r w:rsidR="00215A65" w:rsidRPr="00A9366F">
        <w:rPr>
          <w:rFonts w:ascii="Calibri" w:hAnsi="Calibri"/>
          <w:bCs w:val="0"/>
          <w:snapToGrid w:val="0"/>
          <w:color w:val="0E4C28"/>
          <w:spacing w:val="-2"/>
          <w:kern w:val="0"/>
          <w:lang w:val="en-US"/>
        </w:rPr>
        <w:t>4</w:t>
      </w:r>
      <w:r w:rsidR="009E09D9" w:rsidRPr="00A9366F">
        <w:rPr>
          <w:rFonts w:ascii="Calibri" w:hAnsi="Calibri"/>
          <w:bCs w:val="0"/>
          <w:snapToGrid w:val="0"/>
          <w:color w:val="0E4C28"/>
          <w:spacing w:val="-2"/>
          <w:kern w:val="0"/>
          <w:lang w:val="en-US"/>
        </w:rPr>
        <w:t xml:space="preserve">. </w:t>
      </w:r>
      <w:r w:rsidR="00927CE5" w:rsidRPr="00A9366F">
        <w:rPr>
          <w:rFonts w:ascii="Calibri" w:hAnsi="Calibri"/>
          <w:bCs w:val="0"/>
          <w:snapToGrid w:val="0"/>
          <w:color w:val="0E4C28"/>
          <w:spacing w:val="-2"/>
          <w:kern w:val="0"/>
          <w:lang w:val="en-US"/>
        </w:rPr>
        <w:t>ISMT performance indicators</w:t>
      </w:r>
      <w:bookmarkEnd w:id="62"/>
      <w:bookmarkEnd w:id="63"/>
    </w:p>
    <w:tbl>
      <w:tblPr>
        <w:tblW w:w="9332" w:type="dxa"/>
        <w:tblLayout w:type="fixed"/>
        <w:tblLook w:val="04A0" w:firstRow="1" w:lastRow="0" w:firstColumn="1" w:lastColumn="0" w:noHBand="0" w:noVBand="1"/>
      </w:tblPr>
      <w:tblGrid>
        <w:gridCol w:w="3888"/>
        <w:gridCol w:w="5444"/>
      </w:tblGrid>
      <w:tr w:rsidR="009E09D9" w:rsidRPr="00EA720F" w:rsidTr="00215A65">
        <w:tc>
          <w:tcPr>
            <w:tcW w:w="3888" w:type="dxa"/>
            <w:shd w:val="clear" w:color="auto" w:fill="auto"/>
          </w:tcPr>
          <w:p w:rsidR="00232293" w:rsidRPr="00A9366F" w:rsidRDefault="00550E0F" w:rsidP="00232293">
            <w:pPr>
              <w:spacing w:line="230" w:lineRule="auto"/>
              <w:ind w:firstLine="720"/>
              <w:jc w:val="both"/>
              <w:rPr>
                <w:rFonts w:ascii="Calibri" w:hAnsi="Calibri" w:cs="Arial"/>
                <w:spacing w:val="-4"/>
                <w:sz w:val="30"/>
                <w:szCs w:val="30"/>
                <w:lang w:val="en-US"/>
              </w:rPr>
            </w:pPr>
            <w:r w:rsidRPr="00A9366F">
              <w:rPr>
                <w:rFonts w:ascii="Calibri" w:hAnsi="Calibri" w:cs="Arial"/>
                <w:b/>
                <w:spacing w:val="-4"/>
                <w:sz w:val="30"/>
                <w:szCs w:val="30"/>
                <w:lang w:val="en-US"/>
              </w:rPr>
              <w:t xml:space="preserve">14.0 million </w:t>
            </w:r>
            <w:proofErr w:type="gramStart"/>
            <w:r w:rsidRPr="00A9366F">
              <w:rPr>
                <w:rFonts w:ascii="Calibri" w:hAnsi="Calibri" w:cs="Arial"/>
                <w:b/>
                <w:spacing w:val="-4"/>
                <w:sz w:val="30"/>
                <w:szCs w:val="30"/>
                <w:lang w:val="en-US"/>
              </w:rPr>
              <w:t>transactions</w:t>
            </w:r>
            <w:proofErr w:type="gramEnd"/>
            <w:r w:rsidRPr="00A9366F">
              <w:rPr>
                <w:rFonts w:ascii="Calibri" w:hAnsi="Calibri" w:cs="Arial"/>
                <w:b/>
                <w:spacing w:val="-4"/>
                <w:sz w:val="30"/>
                <w:szCs w:val="30"/>
                <w:lang w:val="en-US"/>
              </w:rPr>
              <w:t xml:space="preserve"> were </w:t>
            </w:r>
            <w:r w:rsidR="00F66BA7" w:rsidRPr="00A9366F">
              <w:rPr>
                <w:rFonts w:ascii="Calibri" w:hAnsi="Calibri" w:cs="Arial"/>
                <w:b/>
                <w:spacing w:val="-4"/>
                <w:sz w:val="30"/>
                <w:szCs w:val="30"/>
                <w:lang w:val="en-US"/>
              </w:rPr>
              <w:t>settled</w:t>
            </w:r>
            <w:r w:rsidRPr="00A9366F">
              <w:rPr>
                <w:rFonts w:ascii="Calibri" w:hAnsi="Calibri" w:cs="Arial"/>
                <w:b/>
                <w:spacing w:val="-4"/>
                <w:sz w:val="30"/>
                <w:szCs w:val="30"/>
                <w:lang w:val="en-US"/>
              </w:rPr>
              <w:t xml:space="preserve"> through ISMT during 2016 for the total amount of KZT 584.7 trillion. </w:t>
            </w:r>
            <w:r w:rsidR="00232293" w:rsidRPr="00A9366F">
              <w:rPr>
                <w:rFonts w:ascii="Calibri" w:hAnsi="Calibri" w:cs="Arial"/>
                <w:spacing w:val="-4"/>
                <w:sz w:val="30"/>
                <w:szCs w:val="30"/>
                <w:lang w:val="en-US"/>
              </w:rPr>
              <w:t xml:space="preserve">Compared </w:t>
            </w:r>
            <w:r w:rsidR="00812573" w:rsidRPr="00A9366F">
              <w:rPr>
                <w:rFonts w:ascii="Calibri" w:hAnsi="Calibri" w:cs="Arial"/>
                <w:spacing w:val="-4"/>
                <w:sz w:val="30"/>
                <w:szCs w:val="30"/>
                <w:lang w:val="en-US"/>
              </w:rPr>
              <w:t xml:space="preserve">with </w:t>
            </w:r>
            <w:r w:rsidR="00232293" w:rsidRPr="00A9366F">
              <w:rPr>
                <w:rFonts w:ascii="Calibri" w:hAnsi="Calibri" w:cs="Arial"/>
                <w:spacing w:val="-4"/>
                <w:sz w:val="30"/>
                <w:szCs w:val="30"/>
                <w:lang w:val="en-US"/>
              </w:rPr>
              <w:t>2015, a number of payment messages increased by 3.8%, while the amount of payments increased by 2.6 times.</w:t>
            </w:r>
          </w:p>
          <w:p w:rsidR="00D96100" w:rsidRPr="00A9366F" w:rsidRDefault="00232293" w:rsidP="00215A65">
            <w:pPr>
              <w:spacing w:line="230" w:lineRule="auto"/>
              <w:ind w:firstLine="720"/>
              <w:jc w:val="both"/>
              <w:rPr>
                <w:rFonts w:ascii="Calibri" w:hAnsi="Calibri" w:cs="Arial"/>
                <w:spacing w:val="-4"/>
                <w:sz w:val="30"/>
                <w:szCs w:val="30"/>
                <w:lang w:val="en-US"/>
              </w:rPr>
            </w:pPr>
            <w:r w:rsidRPr="00A9366F">
              <w:rPr>
                <w:rFonts w:ascii="Calibri" w:hAnsi="Calibri" w:cs="Arial"/>
                <w:spacing w:val="-4"/>
                <w:sz w:val="30"/>
                <w:szCs w:val="30"/>
                <w:lang w:val="en-US"/>
              </w:rPr>
              <w:t>At the same time, during 2016, on average</w:t>
            </w:r>
            <w:r w:rsidR="00D96100" w:rsidRPr="00A9366F">
              <w:rPr>
                <w:rFonts w:ascii="Calibri" w:hAnsi="Calibri" w:cs="Arial"/>
                <w:spacing w:val="-4"/>
                <w:sz w:val="30"/>
                <w:szCs w:val="30"/>
                <w:lang w:val="en-US"/>
              </w:rPr>
              <w:t xml:space="preserve"> 57.2 thousand transactions </w:t>
            </w:r>
            <w:r w:rsidRPr="00A9366F">
              <w:rPr>
                <w:rFonts w:ascii="Calibri" w:hAnsi="Calibri" w:cs="Arial"/>
                <w:spacing w:val="-4"/>
                <w:sz w:val="30"/>
                <w:szCs w:val="30"/>
                <w:lang w:val="en-US"/>
              </w:rPr>
              <w:t xml:space="preserve">per day </w:t>
            </w:r>
            <w:r w:rsidR="00D96100" w:rsidRPr="00A9366F">
              <w:rPr>
                <w:rFonts w:ascii="Calibri" w:hAnsi="Calibri" w:cs="Arial"/>
                <w:spacing w:val="-4"/>
                <w:sz w:val="30"/>
                <w:szCs w:val="30"/>
                <w:lang w:val="en-US"/>
              </w:rPr>
              <w:t>for the amount of KZT 2,386.4 bil</w:t>
            </w:r>
            <w:r w:rsidRPr="00A9366F">
              <w:rPr>
                <w:rFonts w:ascii="Calibri" w:hAnsi="Calibri" w:cs="Arial"/>
                <w:spacing w:val="-4"/>
                <w:sz w:val="30"/>
                <w:szCs w:val="30"/>
                <w:lang w:val="en-US"/>
              </w:rPr>
              <w:t xml:space="preserve">lion were </w:t>
            </w:r>
            <w:r w:rsidR="00CD7F47" w:rsidRPr="00A9366F">
              <w:rPr>
                <w:rFonts w:ascii="Calibri" w:hAnsi="Calibri" w:cs="Arial"/>
                <w:spacing w:val="-4"/>
                <w:sz w:val="30"/>
                <w:szCs w:val="30"/>
                <w:lang w:val="en-US"/>
              </w:rPr>
              <w:t>settled</w:t>
            </w:r>
            <w:r w:rsidRPr="00A9366F">
              <w:rPr>
                <w:rFonts w:ascii="Calibri" w:hAnsi="Calibri" w:cs="Arial"/>
                <w:spacing w:val="-4"/>
                <w:sz w:val="30"/>
                <w:szCs w:val="30"/>
                <w:lang w:val="en-US"/>
              </w:rPr>
              <w:t xml:space="preserve"> through ISMT.</w:t>
            </w:r>
          </w:p>
          <w:p w:rsidR="009E09D9" w:rsidRPr="00A9366F" w:rsidRDefault="009E09D9" w:rsidP="00215A65">
            <w:pPr>
              <w:spacing w:line="230" w:lineRule="auto"/>
              <w:ind w:firstLine="720"/>
              <w:jc w:val="both"/>
              <w:rPr>
                <w:rFonts w:ascii="Calibri" w:hAnsi="Calibri"/>
                <w:sz w:val="28"/>
                <w:szCs w:val="28"/>
                <w:lang w:val="en-US"/>
              </w:rPr>
            </w:pPr>
          </w:p>
        </w:tc>
        <w:tc>
          <w:tcPr>
            <w:tcW w:w="5444" w:type="dxa"/>
            <w:shd w:val="clear" w:color="auto" w:fill="auto"/>
          </w:tcPr>
          <w:p w:rsidR="009E09D9" w:rsidRPr="00A9366F" w:rsidRDefault="00927CE5" w:rsidP="00927CE5">
            <w:pPr>
              <w:jc w:val="center"/>
              <w:rPr>
                <w:rFonts w:ascii="Calibri" w:hAnsi="Calibri"/>
                <w:sz w:val="28"/>
                <w:szCs w:val="28"/>
                <w:lang w:val="en-US"/>
              </w:rPr>
            </w:pPr>
            <w:r w:rsidRPr="00A9366F">
              <w:rPr>
                <w:rFonts w:ascii="Calibri" w:hAnsi="Calibri" w:cs="Arial"/>
                <w:b/>
                <w:color w:val="0E4C28"/>
                <w:sz w:val="28"/>
                <w:szCs w:val="28"/>
                <w:lang w:val="en-US"/>
              </w:rPr>
              <w:t>Dynamics in the payment flows in ISMT</w:t>
            </w:r>
            <w:r w:rsidR="00B41594" w:rsidRPr="00A9366F">
              <w:rPr>
                <w:rFonts w:ascii="Calibri" w:hAnsi="Calibri"/>
                <w:noProof/>
                <w:sz w:val="28"/>
                <w:szCs w:val="28"/>
              </w:rPr>
              <w:drawing>
                <wp:inline distT="0" distB="0" distL="0" distR="0">
                  <wp:extent cx="3358515" cy="1554480"/>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B41594" w:rsidRPr="00A9366F">
              <w:rPr>
                <w:rFonts w:ascii="Calibri" w:hAnsi="Calibri"/>
                <w:noProof/>
                <w:sz w:val="28"/>
                <w:szCs w:val="28"/>
              </w:rPr>
              <w:drawing>
                <wp:inline distT="0" distB="0" distL="0" distR="0">
                  <wp:extent cx="3467100" cy="1668780"/>
                  <wp:effectExtent l="0" t="0" r="0" b="762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bl>
    <w:p w:rsidR="00D96100" w:rsidRPr="00A9366F" w:rsidRDefault="00D96100" w:rsidP="00687214">
      <w:pPr>
        <w:spacing w:line="230" w:lineRule="auto"/>
        <w:ind w:firstLine="720"/>
        <w:jc w:val="both"/>
        <w:rPr>
          <w:rFonts w:ascii="Calibri" w:hAnsi="Calibri" w:cs="Arial"/>
          <w:spacing w:val="-4"/>
          <w:sz w:val="30"/>
          <w:szCs w:val="30"/>
          <w:lang w:val="en-US"/>
        </w:rPr>
      </w:pPr>
      <w:r w:rsidRPr="00A9366F">
        <w:rPr>
          <w:rFonts w:ascii="Calibri" w:hAnsi="Calibri" w:cs="Arial"/>
          <w:spacing w:val="-4"/>
          <w:sz w:val="30"/>
          <w:szCs w:val="30"/>
          <w:lang w:val="en-US"/>
        </w:rPr>
        <w:t xml:space="preserve">Growth in the volume of payments in ISMT </w:t>
      </w:r>
      <w:r w:rsidR="00232293" w:rsidRPr="00A9366F">
        <w:rPr>
          <w:rFonts w:ascii="Calibri" w:hAnsi="Calibri" w:cs="Arial"/>
          <w:spacing w:val="-4"/>
          <w:sz w:val="30"/>
          <w:szCs w:val="30"/>
          <w:lang w:val="en-US"/>
        </w:rPr>
        <w:t>has been due to</w:t>
      </w:r>
      <w:r w:rsidRPr="00A9366F">
        <w:rPr>
          <w:rFonts w:ascii="Calibri" w:hAnsi="Calibri" w:cs="Arial"/>
          <w:spacing w:val="-4"/>
          <w:sz w:val="30"/>
          <w:szCs w:val="30"/>
          <w:lang w:val="en-US"/>
        </w:rPr>
        <w:t xml:space="preserve"> increase in the volume of </w:t>
      </w:r>
      <w:r w:rsidR="00232293" w:rsidRPr="00A9366F">
        <w:rPr>
          <w:rFonts w:ascii="Calibri" w:hAnsi="Calibri" w:cs="Arial"/>
          <w:spacing w:val="-4"/>
          <w:sz w:val="30"/>
          <w:szCs w:val="30"/>
          <w:lang w:val="en-US"/>
        </w:rPr>
        <w:t>transactions</w:t>
      </w:r>
      <w:r w:rsidRPr="00A9366F">
        <w:rPr>
          <w:rFonts w:ascii="Calibri" w:hAnsi="Calibri" w:cs="Arial"/>
          <w:spacing w:val="-4"/>
          <w:sz w:val="30"/>
          <w:szCs w:val="30"/>
          <w:lang w:val="en-US"/>
        </w:rPr>
        <w:t xml:space="preserve"> with securities and deposits.</w:t>
      </w:r>
    </w:p>
    <w:p w:rsidR="00B972FE" w:rsidRPr="00A9366F" w:rsidRDefault="00B972FE" w:rsidP="009E09D9">
      <w:pPr>
        <w:widowControl w:val="0"/>
        <w:jc w:val="center"/>
        <w:rPr>
          <w:rFonts w:ascii="Calibri" w:hAnsi="Calibri" w:cs="Arial"/>
          <w:b/>
          <w:color w:val="0E4C28"/>
          <w:sz w:val="28"/>
          <w:szCs w:val="28"/>
          <w:highlight w:val="yellow"/>
          <w:lang w:val="en-US"/>
        </w:rPr>
      </w:pPr>
    </w:p>
    <w:p w:rsidR="009E09D9" w:rsidRPr="00A9366F" w:rsidRDefault="00927CE5" w:rsidP="009E09D9">
      <w:pPr>
        <w:widowControl w:val="0"/>
        <w:jc w:val="center"/>
        <w:rPr>
          <w:rFonts w:ascii="Calibri" w:hAnsi="Calibri" w:cs="Arial"/>
          <w:b/>
          <w:color w:val="0E4C28"/>
          <w:sz w:val="28"/>
          <w:szCs w:val="28"/>
          <w:lang w:val="en-US"/>
        </w:rPr>
      </w:pPr>
      <w:r w:rsidRPr="00A9366F">
        <w:rPr>
          <w:rFonts w:ascii="Calibri" w:hAnsi="Calibri" w:cs="Arial"/>
          <w:b/>
          <w:color w:val="0E4C28"/>
          <w:sz w:val="28"/>
          <w:szCs w:val="28"/>
          <w:lang w:val="en-US"/>
        </w:rPr>
        <w:t>Volumes of payments by types of purpose</w:t>
      </w:r>
      <w:r w:rsidR="00232293" w:rsidRPr="00A9366F">
        <w:rPr>
          <w:rFonts w:ascii="Calibri" w:hAnsi="Calibri" w:cs="Arial"/>
          <w:b/>
          <w:color w:val="0E4C28"/>
          <w:sz w:val="28"/>
          <w:szCs w:val="28"/>
          <w:lang w:val="en-US"/>
        </w:rPr>
        <w:t>s</w:t>
      </w:r>
      <w:r w:rsidRPr="00A9366F">
        <w:rPr>
          <w:rFonts w:ascii="Calibri" w:hAnsi="Calibri" w:cs="Arial"/>
          <w:b/>
          <w:color w:val="0E4C28"/>
          <w:sz w:val="28"/>
          <w:szCs w:val="28"/>
          <w:lang w:val="en-US"/>
        </w:rPr>
        <w:t xml:space="preserve"> of payments in ISMT </w:t>
      </w:r>
    </w:p>
    <w:p w:rsidR="005975A6" w:rsidRPr="00A9366F" w:rsidRDefault="005975A6" w:rsidP="009E09D9">
      <w:pPr>
        <w:widowControl w:val="0"/>
        <w:jc w:val="center"/>
        <w:rPr>
          <w:rFonts w:ascii="Calibri" w:hAnsi="Calibri" w:cs="Arial"/>
          <w:b/>
          <w:color w:val="0E4C28"/>
          <w:sz w:val="28"/>
          <w:szCs w:val="28"/>
          <w:lang w:val="en-US"/>
        </w:rPr>
      </w:pPr>
      <w:r w:rsidRPr="00A9366F">
        <w:rPr>
          <w:rFonts w:ascii="Calibri" w:hAnsi="Calibri" w:cs="Arial"/>
          <w:b/>
          <w:noProof/>
          <w:color w:val="0E4C28"/>
          <w:sz w:val="28"/>
          <w:szCs w:val="28"/>
        </w:rPr>
        <w:drawing>
          <wp:inline distT="0" distB="0" distL="0" distR="0" wp14:anchorId="6348B394" wp14:editId="771E23CE">
            <wp:extent cx="5777345" cy="2195599"/>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09D9" w:rsidRPr="00A9366F" w:rsidRDefault="009E09D9" w:rsidP="009E09D9">
      <w:pPr>
        <w:widowControl w:val="0"/>
        <w:jc w:val="both"/>
        <w:rPr>
          <w:rFonts w:ascii="Calibri" w:hAnsi="Calibri" w:cs="Arial"/>
          <w:i/>
          <w:sz w:val="20"/>
          <w:szCs w:val="20"/>
          <w:lang w:val="en-US"/>
        </w:rPr>
      </w:pPr>
      <w:r w:rsidRPr="00A9366F">
        <w:rPr>
          <w:rFonts w:ascii="Calibri" w:hAnsi="Calibri" w:cs="Arial"/>
          <w:i/>
          <w:sz w:val="20"/>
          <w:szCs w:val="20"/>
          <w:lang w:val="en-US"/>
        </w:rPr>
        <w:t xml:space="preserve">* </w:t>
      </w:r>
      <w:r w:rsidR="00B972FE" w:rsidRPr="00A9366F">
        <w:rPr>
          <w:rFonts w:ascii="Calibri" w:hAnsi="Calibri" w:cs="Arial"/>
          <w:i/>
          <w:sz w:val="20"/>
          <w:szCs w:val="20"/>
          <w:lang w:val="en-US"/>
        </w:rPr>
        <w:t>comprise pension payments and benefits, specific transfers, payments to/from budget</w:t>
      </w:r>
      <w:r w:rsidRPr="00A9366F">
        <w:rPr>
          <w:rFonts w:ascii="Calibri" w:hAnsi="Calibri" w:cs="Arial"/>
          <w:i/>
          <w:sz w:val="20"/>
          <w:szCs w:val="20"/>
          <w:lang w:val="en-US"/>
        </w:rPr>
        <w:t>.</w:t>
      </w:r>
    </w:p>
    <w:p w:rsidR="00D96100" w:rsidRPr="00A9366F" w:rsidRDefault="00CD7F47" w:rsidP="005975A6">
      <w:pPr>
        <w:autoSpaceDE w:val="0"/>
        <w:autoSpaceDN w:val="0"/>
        <w:adjustRightInd w:val="0"/>
        <w:spacing w:line="230" w:lineRule="auto"/>
        <w:ind w:firstLine="720"/>
        <w:jc w:val="both"/>
        <w:rPr>
          <w:rFonts w:ascii="Calibri" w:hAnsi="Calibri" w:cs="Arial"/>
          <w:sz w:val="30"/>
          <w:szCs w:val="30"/>
          <w:lang w:val="en-US"/>
        </w:rPr>
      </w:pPr>
      <w:r w:rsidRPr="00A9366F">
        <w:rPr>
          <w:rFonts w:ascii="Calibri" w:hAnsi="Calibri" w:cs="Arial"/>
          <w:b/>
          <w:sz w:val="30"/>
          <w:szCs w:val="30"/>
          <w:lang w:val="en-US"/>
        </w:rPr>
        <w:t>In ISMT a</w:t>
      </w:r>
      <w:r w:rsidR="0033456F" w:rsidRPr="00A9366F">
        <w:rPr>
          <w:rFonts w:ascii="Calibri" w:hAnsi="Calibri" w:cs="Arial"/>
          <w:b/>
          <w:sz w:val="30"/>
          <w:szCs w:val="30"/>
          <w:lang w:val="en-US"/>
        </w:rPr>
        <w:t xml:space="preserve"> proportion</w:t>
      </w:r>
      <w:r w:rsidR="00B972FE" w:rsidRPr="00A9366F">
        <w:rPr>
          <w:rFonts w:ascii="Calibri" w:hAnsi="Calibri" w:cs="Arial"/>
          <w:b/>
          <w:sz w:val="30"/>
          <w:szCs w:val="30"/>
          <w:lang w:val="en-US"/>
        </w:rPr>
        <w:t xml:space="preserve"> of p</w:t>
      </w:r>
      <w:r w:rsidR="00D96100" w:rsidRPr="00A9366F">
        <w:rPr>
          <w:rFonts w:ascii="Calibri" w:hAnsi="Calibri" w:cs="Arial"/>
          <w:b/>
          <w:sz w:val="30"/>
          <w:szCs w:val="30"/>
          <w:lang w:val="en-US"/>
        </w:rPr>
        <w:t>ayments and money transfers of</w:t>
      </w:r>
      <w:r w:rsidR="00B972FE" w:rsidRPr="00A9366F">
        <w:rPr>
          <w:rFonts w:ascii="Calibri" w:hAnsi="Calibri" w:cs="Arial"/>
          <w:b/>
          <w:sz w:val="30"/>
          <w:szCs w:val="30"/>
          <w:lang w:val="en-US"/>
        </w:rPr>
        <w:t xml:space="preserve"> the</w:t>
      </w:r>
      <w:r w:rsidR="00D96100" w:rsidRPr="00A9366F">
        <w:rPr>
          <w:rFonts w:ascii="Calibri" w:hAnsi="Calibri" w:cs="Arial"/>
          <w:b/>
          <w:sz w:val="30"/>
          <w:szCs w:val="30"/>
          <w:lang w:val="en-US"/>
        </w:rPr>
        <w:t xml:space="preserve"> individuals</w:t>
      </w:r>
      <w:r w:rsidR="00B972FE" w:rsidRPr="00A9366F">
        <w:rPr>
          <w:rStyle w:val="a6"/>
          <w:rFonts w:ascii="Calibri" w:hAnsi="Calibri" w:cs="Arial"/>
          <w:b/>
          <w:sz w:val="30"/>
          <w:szCs w:val="30"/>
          <w:lang w:val="en-US"/>
        </w:rPr>
        <w:footnoteReference w:id="3"/>
      </w:r>
      <w:r w:rsidR="00D96100" w:rsidRPr="00A9366F">
        <w:rPr>
          <w:b/>
          <w:lang w:val="en-US"/>
        </w:rPr>
        <w:t xml:space="preserve"> </w:t>
      </w:r>
      <w:r w:rsidRPr="00A9366F">
        <w:rPr>
          <w:rFonts w:ascii="Calibri" w:hAnsi="Calibri" w:cs="Arial"/>
          <w:b/>
          <w:sz w:val="30"/>
          <w:szCs w:val="30"/>
          <w:lang w:val="en-US"/>
        </w:rPr>
        <w:t xml:space="preserve">of the total amount of payments and money transfers settled through the system </w:t>
      </w:r>
      <w:r w:rsidR="00B972FE" w:rsidRPr="00A9366F">
        <w:rPr>
          <w:rFonts w:ascii="Calibri" w:hAnsi="Calibri" w:cs="Arial"/>
          <w:b/>
          <w:sz w:val="30"/>
          <w:szCs w:val="30"/>
          <w:lang w:val="en-US"/>
        </w:rPr>
        <w:t>is</w:t>
      </w:r>
      <w:r w:rsidR="00D96100" w:rsidRPr="00A9366F">
        <w:rPr>
          <w:b/>
          <w:lang w:val="en-US"/>
        </w:rPr>
        <w:t xml:space="preserve"> </w:t>
      </w:r>
      <w:r w:rsidR="00D96100" w:rsidRPr="00A9366F">
        <w:rPr>
          <w:rFonts w:ascii="Calibri" w:hAnsi="Calibri" w:cs="Arial"/>
          <w:b/>
          <w:sz w:val="30"/>
          <w:szCs w:val="30"/>
          <w:lang w:val="en-US"/>
        </w:rPr>
        <w:t xml:space="preserve">insignificant (KZT 1,280.9 billion </w:t>
      </w:r>
      <w:r w:rsidR="00B972FE" w:rsidRPr="00A9366F">
        <w:rPr>
          <w:rFonts w:ascii="Calibri" w:hAnsi="Calibri" w:cs="Arial"/>
          <w:b/>
          <w:sz w:val="30"/>
          <w:szCs w:val="30"/>
          <w:lang w:val="en-US"/>
        </w:rPr>
        <w:t>or</w:t>
      </w:r>
      <w:r w:rsidR="00D96100" w:rsidRPr="00A9366F">
        <w:rPr>
          <w:rFonts w:ascii="Calibri" w:hAnsi="Calibri" w:cs="Arial"/>
          <w:b/>
          <w:sz w:val="30"/>
          <w:szCs w:val="30"/>
          <w:lang w:val="en-US"/>
        </w:rPr>
        <w:t xml:space="preserve"> 0.2%)</w:t>
      </w:r>
      <w:r w:rsidRPr="00A9366F">
        <w:rPr>
          <w:rFonts w:ascii="Calibri" w:hAnsi="Calibri" w:cs="Arial"/>
          <w:b/>
          <w:sz w:val="30"/>
          <w:szCs w:val="30"/>
          <w:lang w:val="en-US"/>
        </w:rPr>
        <w:t>, while</w:t>
      </w:r>
      <w:r w:rsidR="00D96100" w:rsidRPr="00A9366F">
        <w:rPr>
          <w:rFonts w:ascii="Calibri" w:hAnsi="Calibri" w:cs="Arial"/>
          <w:b/>
          <w:sz w:val="30"/>
          <w:szCs w:val="30"/>
          <w:lang w:val="en-US"/>
        </w:rPr>
        <w:t xml:space="preserve"> </w:t>
      </w:r>
      <w:r w:rsidR="00B972FE" w:rsidRPr="00A9366F">
        <w:rPr>
          <w:rFonts w:ascii="Calibri" w:hAnsi="Calibri" w:cs="Arial"/>
          <w:b/>
          <w:sz w:val="30"/>
          <w:szCs w:val="30"/>
          <w:lang w:val="en-US"/>
        </w:rPr>
        <w:t xml:space="preserve">legal entities account for </w:t>
      </w:r>
      <w:r w:rsidR="00D96100" w:rsidRPr="00A9366F">
        <w:rPr>
          <w:rFonts w:ascii="Calibri" w:hAnsi="Calibri" w:cs="Arial"/>
          <w:b/>
          <w:sz w:val="30"/>
          <w:szCs w:val="30"/>
          <w:lang w:val="en-US"/>
        </w:rPr>
        <w:t xml:space="preserve">99.8% of </w:t>
      </w:r>
      <w:r w:rsidRPr="00A9366F">
        <w:rPr>
          <w:rFonts w:ascii="Calibri" w:hAnsi="Calibri" w:cs="Arial"/>
          <w:b/>
          <w:sz w:val="30"/>
          <w:szCs w:val="30"/>
          <w:lang w:val="en-US"/>
        </w:rPr>
        <w:t xml:space="preserve">all </w:t>
      </w:r>
      <w:r w:rsidR="00D96100" w:rsidRPr="00A9366F">
        <w:rPr>
          <w:rFonts w:ascii="Calibri" w:hAnsi="Calibri" w:cs="Arial"/>
          <w:b/>
          <w:sz w:val="30"/>
          <w:szCs w:val="30"/>
          <w:lang w:val="en-US"/>
        </w:rPr>
        <w:t xml:space="preserve">payments and money transfers. </w:t>
      </w:r>
      <w:r w:rsidR="00B972FE" w:rsidRPr="00A9366F">
        <w:rPr>
          <w:rFonts w:ascii="Calibri" w:hAnsi="Calibri" w:cs="Arial"/>
          <w:sz w:val="30"/>
          <w:szCs w:val="30"/>
          <w:lang w:val="en-US"/>
        </w:rPr>
        <w:t xml:space="preserve">An </w:t>
      </w:r>
      <w:r w:rsidR="00D96100" w:rsidRPr="00A9366F">
        <w:rPr>
          <w:rFonts w:ascii="Calibri" w:hAnsi="Calibri" w:cs="Arial"/>
          <w:sz w:val="30"/>
          <w:szCs w:val="30"/>
          <w:lang w:val="en-US"/>
        </w:rPr>
        <w:t>average amount of one payment message gener</w:t>
      </w:r>
      <w:r w:rsidR="00B972FE" w:rsidRPr="00A9366F">
        <w:rPr>
          <w:rFonts w:ascii="Calibri" w:hAnsi="Calibri" w:cs="Arial"/>
          <w:sz w:val="30"/>
          <w:szCs w:val="30"/>
          <w:lang w:val="en-US"/>
        </w:rPr>
        <w:t>ated and sent by a participant of</w:t>
      </w:r>
      <w:r w:rsidR="00D96100" w:rsidRPr="00A9366F">
        <w:rPr>
          <w:rFonts w:ascii="Calibri" w:hAnsi="Calibri" w:cs="Arial"/>
          <w:sz w:val="30"/>
          <w:szCs w:val="30"/>
          <w:lang w:val="en-US"/>
        </w:rPr>
        <w:t xml:space="preserve"> the system </w:t>
      </w:r>
      <w:r w:rsidR="00B972FE" w:rsidRPr="00A9366F">
        <w:rPr>
          <w:rFonts w:ascii="Calibri" w:hAnsi="Calibri" w:cs="Arial"/>
          <w:sz w:val="30"/>
          <w:szCs w:val="30"/>
          <w:lang w:val="en-US"/>
        </w:rPr>
        <w:t>based on the instructions of</w:t>
      </w:r>
      <w:r w:rsidR="00D96100" w:rsidRPr="00A9366F">
        <w:rPr>
          <w:rFonts w:ascii="Calibri" w:hAnsi="Calibri" w:cs="Arial"/>
          <w:sz w:val="30"/>
          <w:szCs w:val="30"/>
          <w:lang w:val="en-US"/>
        </w:rPr>
        <w:t xml:space="preserve"> a legal entity </w:t>
      </w:r>
      <w:r w:rsidR="00B972FE" w:rsidRPr="00A9366F">
        <w:rPr>
          <w:rFonts w:ascii="Calibri" w:hAnsi="Calibri" w:cs="Arial"/>
          <w:sz w:val="30"/>
          <w:szCs w:val="30"/>
          <w:lang w:val="en-US"/>
        </w:rPr>
        <w:t>was</w:t>
      </w:r>
      <w:r w:rsidR="00D96100" w:rsidRPr="00A9366F">
        <w:rPr>
          <w:rFonts w:ascii="Calibri" w:hAnsi="Calibri" w:cs="Arial"/>
          <w:sz w:val="30"/>
          <w:szCs w:val="30"/>
          <w:lang w:val="en-US"/>
        </w:rPr>
        <w:t xml:space="preserve"> KZT 2.9 million. </w:t>
      </w:r>
      <w:r w:rsidR="00B972FE" w:rsidRPr="00A9366F">
        <w:rPr>
          <w:rFonts w:ascii="Calibri" w:hAnsi="Calibri" w:cs="Arial"/>
          <w:sz w:val="30"/>
          <w:szCs w:val="30"/>
          <w:lang w:val="en-US"/>
        </w:rPr>
        <w:t xml:space="preserve">An </w:t>
      </w:r>
      <w:r w:rsidR="00D96100" w:rsidRPr="00A9366F">
        <w:rPr>
          <w:rFonts w:ascii="Calibri" w:hAnsi="Calibri" w:cs="Arial"/>
          <w:sz w:val="30"/>
          <w:szCs w:val="30"/>
          <w:lang w:val="en-US"/>
        </w:rPr>
        <w:t>average amount of one payment message</w:t>
      </w:r>
      <w:r w:rsidR="00B972FE" w:rsidRPr="00A9366F">
        <w:rPr>
          <w:rFonts w:ascii="Calibri" w:hAnsi="Calibri" w:cs="Arial"/>
          <w:sz w:val="30"/>
          <w:szCs w:val="30"/>
          <w:lang w:val="en-US"/>
        </w:rPr>
        <w:t xml:space="preserve"> generated in accordance with the individual’s instructions was</w:t>
      </w:r>
      <w:r w:rsidR="00D96100" w:rsidRPr="00A9366F">
        <w:rPr>
          <w:rFonts w:ascii="Calibri" w:hAnsi="Calibri" w:cs="Arial"/>
          <w:sz w:val="30"/>
          <w:szCs w:val="30"/>
          <w:lang w:val="en-US"/>
        </w:rPr>
        <w:t xml:space="preserve"> about </w:t>
      </w:r>
      <w:r w:rsidR="00B972FE" w:rsidRPr="00A9366F">
        <w:rPr>
          <w:rFonts w:ascii="Calibri" w:hAnsi="Calibri" w:cs="Arial"/>
          <w:sz w:val="30"/>
          <w:szCs w:val="30"/>
          <w:lang w:val="en-US"/>
        </w:rPr>
        <w:t xml:space="preserve">KZT </w:t>
      </w:r>
      <w:r w:rsidR="00D96100" w:rsidRPr="00A9366F">
        <w:rPr>
          <w:rFonts w:ascii="Calibri" w:hAnsi="Calibri" w:cs="Arial"/>
          <w:sz w:val="30"/>
          <w:szCs w:val="30"/>
          <w:lang w:val="en-US"/>
        </w:rPr>
        <w:t xml:space="preserve">479.0 thousand. At the same time, </w:t>
      </w:r>
      <w:r w:rsidR="00B972FE" w:rsidRPr="00A9366F">
        <w:rPr>
          <w:rFonts w:ascii="Calibri" w:hAnsi="Calibri" w:cs="Arial"/>
          <w:sz w:val="30"/>
          <w:szCs w:val="30"/>
          <w:lang w:val="en-US"/>
        </w:rPr>
        <w:t>an</w:t>
      </w:r>
      <w:r w:rsidR="00D96100" w:rsidRPr="00A9366F">
        <w:rPr>
          <w:rFonts w:ascii="Calibri" w:hAnsi="Calibri" w:cs="Arial"/>
          <w:sz w:val="30"/>
          <w:szCs w:val="30"/>
          <w:lang w:val="en-US"/>
        </w:rPr>
        <w:t xml:space="preserve"> average amount of one payment of an individual under the </w:t>
      </w:r>
      <w:r w:rsidR="001271F5" w:rsidRPr="00A9366F">
        <w:rPr>
          <w:rFonts w:ascii="Calibri" w:hAnsi="Calibri" w:cs="Arial"/>
          <w:sz w:val="30"/>
          <w:szCs w:val="30"/>
          <w:lang w:val="en-US"/>
        </w:rPr>
        <w:t xml:space="preserve">heading </w:t>
      </w:r>
      <w:r w:rsidR="00D96100" w:rsidRPr="00A9366F">
        <w:rPr>
          <w:rFonts w:ascii="Calibri" w:hAnsi="Calibri" w:cs="Arial"/>
          <w:sz w:val="30"/>
          <w:szCs w:val="30"/>
          <w:lang w:val="en-US"/>
        </w:rPr>
        <w:t xml:space="preserve">"Pension payments" is about </w:t>
      </w:r>
      <w:r w:rsidR="00B972FE" w:rsidRPr="00A9366F">
        <w:rPr>
          <w:rFonts w:ascii="Calibri" w:hAnsi="Calibri" w:cs="Arial"/>
          <w:sz w:val="30"/>
          <w:szCs w:val="30"/>
          <w:lang w:val="en-US"/>
        </w:rPr>
        <w:t>KZT 5.9 thousand</w:t>
      </w:r>
      <w:r w:rsidR="00D96100" w:rsidRPr="00A9366F">
        <w:rPr>
          <w:rFonts w:ascii="Calibri" w:hAnsi="Calibri" w:cs="Arial"/>
          <w:sz w:val="30"/>
          <w:szCs w:val="30"/>
          <w:lang w:val="en-US"/>
        </w:rPr>
        <w:t>,</w:t>
      </w:r>
      <w:r w:rsidR="00B972FE" w:rsidRPr="00A9366F">
        <w:rPr>
          <w:rFonts w:ascii="Calibri" w:hAnsi="Calibri" w:cs="Arial"/>
          <w:sz w:val="30"/>
          <w:szCs w:val="30"/>
          <w:lang w:val="en-US"/>
        </w:rPr>
        <w:t xml:space="preserve"> while the amount of</w:t>
      </w:r>
      <w:r w:rsidR="00D96100" w:rsidRPr="00A9366F">
        <w:rPr>
          <w:rFonts w:ascii="Calibri" w:hAnsi="Calibri" w:cs="Arial"/>
          <w:sz w:val="30"/>
          <w:szCs w:val="30"/>
          <w:lang w:val="en-US"/>
        </w:rPr>
        <w:t xml:space="preserve"> payments to the budget</w:t>
      </w:r>
      <w:r w:rsidR="00B972FE" w:rsidRPr="00A9366F">
        <w:rPr>
          <w:rFonts w:ascii="Calibri" w:hAnsi="Calibri" w:cs="Arial"/>
          <w:sz w:val="30"/>
          <w:szCs w:val="30"/>
          <w:lang w:val="en-US"/>
        </w:rPr>
        <w:t xml:space="preserve"> is KZT</w:t>
      </w:r>
      <w:r w:rsidR="00D96100" w:rsidRPr="00A9366F">
        <w:rPr>
          <w:rFonts w:ascii="Calibri" w:hAnsi="Calibri" w:cs="Arial"/>
          <w:sz w:val="30"/>
          <w:szCs w:val="30"/>
          <w:lang w:val="en-US"/>
        </w:rPr>
        <w:t xml:space="preserve"> 181.8 thousand.</w:t>
      </w:r>
    </w:p>
    <w:p w:rsidR="00D96100" w:rsidRPr="00A9366F" w:rsidRDefault="001271F5" w:rsidP="009E09D9">
      <w:pPr>
        <w:widowControl w:val="0"/>
        <w:spacing w:line="230" w:lineRule="auto"/>
        <w:ind w:firstLine="720"/>
        <w:jc w:val="both"/>
        <w:rPr>
          <w:rFonts w:ascii="Calibri" w:hAnsi="Calibri" w:cs="Arial"/>
          <w:spacing w:val="-4"/>
          <w:sz w:val="30"/>
          <w:szCs w:val="30"/>
          <w:lang w:val="en-US"/>
        </w:rPr>
      </w:pPr>
      <w:r w:rsidRPr="00A9366F">
        <w:rPr>
          <w:rFonts w:ascii="Calibri" w:hAnsi="Calibri" w:cs="Arial"/>
          <w:spacing w:val="-4"/>
          <w:sz w:val="30"/>
          <w:szCs w:val="30"/>
          <w:lang w:val="en-US"/>
        </w:rPr>
        <w:t xml:space="preserve">Payments for the amount under KZT 3 million account for a major portion of the payment messages in </w:t>
      </w:r>
      <w:r w:rsidR="00D96100" w:rsidRPr="00A9366F">
        <w:rPr>
          <w:rFonts w:ascii="Calibri" w:hAnsi="Calibri" w:cs="Arial"/>
          <w:spacing w:val="-4"/>
          <w:sz w:val="30"/>
          <w:szCs w:val="30"/>
          <w:lang w:val="en-US"/>
        </w:rPr>
        <w:t xml:space="preserve">ISMT </w:t>
      </w:r>
      <w:r w:rsidR="000820A9" w:rsidRPr="00A9366F">
        <w:rPr>
          <w:rFonts w:ascii="Calibri" w:hAnsi="Calibri" w:cs="Arial"/>
          <w:spacing w:val="-4"/>
          <w:sz w:val="30"/>
          <w:szCs w:val="30"/>
          <w:lang w:val="en-US"/>
        </w:rPr>
        <w:t>- 87.4%</w:t>
      </w:r>
      <w:r w:rsidRPr="00A9366F">
        <w:rPr>
          <w:rFonts w:ascii="Calibri" w:hAnsi="Calibri" w:cs="Arial"/>
          <w:spacing w:val="-4"/>
          <w:sz w:val="30"/>
          <w:szCs w:val="30"/>
          <w:lang w:val="en-US"/>
        </w:rPr>
        <w:t xml:space="preserve">, while payments for the amount from KZT 500 million to KZT 1 billion represent </w:t>
      </w:r>
      <w:r w:rsidR="00D96100" w:rsidRPr="00A9366F">
        <w:rPr>
          <w:rFonts w:ascii="Calibri" w:hAnsi="Calibri" w:cs="Arial"/>
          <w:spacing w:val="-4"/>
          <w:sz w:val="30"/>
          <w:szCs w:val="30"/>
          <w:lang w:val="en-US"/>
        </w:rPr>
        <w:t>the smallest p</w:t>
      </w:r>
      <w:r w:rsidRPr="00A9366F">
        <w:rPr>
          <w:rFonts w:ascii="Calibri" w:hAnsi="Calibri" w:cs="Arial"/>
          <w:spacing w:val="-4"/>
          <w:sz w:val="30"/>
          <w:szCs w:val="30"/>
          <w:lang w:val="en-US"/>
        </w:rPr>
        <w:t xml:space="preserve">ortion of payments </w:t>
      </w:r>
      <w:r w:rsidR="00D96100" w:rsidRPr="00A9366F">
        <w:rPr>
          <w:rFonts w:ascii="Calibri" w:hAnsi="Calibri" w:cs="Arial"/>
          <w:spacing w:val="-4"/>
          <w:sz w:val="30"/>
          <w:szCs w:val="30"/>
          <w:lang w:val="en-US"/>
        </w:rPr>
        <w:t xml:space="preserve">(0.3%). At the same time, </w:t>
      </w:r>
      <w:r w:rsidRPr="00A9366F">
        <w:rPr>
          <w:rFonts w:ascii="Calibri" w:hAnsi="Calibri" w:cs="Arial"/>
          <w:spacing w:val="-4"/>
          <w:sz w:val="30"/>
          <w:szCs w:val="30"/>
          <w:lang w:val="en-US"/>
        </w:rPr>
        <w:t>payments within the range of over KZT 1 billion account for the bulk of payments</w:t>
      </w:r>
      <w:r w:rsidR="00D96100" w:rsidRPr="00A9366F">
        <w:rPr>
          <w:rFonts w:ascii="Calibri" w:hAnsi="Calibri" w:cs="Arial"/>
          <w:spacing w:val="-4"/>
          <w:sz w:val="30"/>
          <w:szCs w:val="30"/>
          <w:lang w:val="en-US"/>
        </w:rPr>
        <w:t xml:space="preserve"> </w:t>
      </w:r>
      <w:r w:rsidR="000820A9" w:rsidRPr="00A9366F">
        <w:rPr>
          <w:rFonts w:ascii="Calibri" w:hAnsi="Calibri" w:cs="Arial"/>
          <w:spacing w:val="-4"/>
          <w:sz w:val="30"/>
          <w:szCs w:val="30"/>
          <w:lang w:val="en-US"/>
        </w:rPr>
        <w:t xml:space="preserve">- </w:t>
      </w:r>
      <w:r w:rsidRPr="00A9366F">
        <w:rPr>
          <w:rFonts w:ascii="Calibri" w:hAnsi="Calibri" w:cs="Arial"/>
          <w:spacing w:val="-4"/>
          <w:sz w:val="30"/>
          <w:szCs w:val="30"/>
          <w:lang w:val="en-US"/>
        </w:rPr>
        <w:t>85.9%</w:t>
      </w:r>
      <w:r w:rsidR="00D96100" w:rsidRPr="00A9366F">
        <w:rPr>
          <w:rFonts w:ascii="Calibri" w:hAnsi="Calibri" w:cs="Arial"/>
          <w:spacing w:val="-4"/>
          <w:sz w:val="30"/>
          <w:szCs w:val="30"/>
          <w:lang w:val="en-US"/>
        </w:rPr>
        <w:t>.</w:t>
      </w:r>
    </w:p>
    <w:p w:rsidR="00FC7CC5" w:rsidRPr="009E7D83" w:rsidRDefault="00FC7CC5" w:rsidP="009E09D9">
      <w:pPr>
        <w:widowControl w:val="0"/>
        <w:jc w:val="center"/>
        <w:rPr>
          <w:rFonts w:ascii="Calibri" w:hAnsi="Calibri" w:cs="Arial"/>
          <w:b/>
          <w:color w:val="0E4C28"/>
          <w:sz w:val="28"/>
          <w:szCs w:val="28"/>
          <w:lang w:val="en-US"/>
        </w:rPr>
      </w:pPr>
      <w:bookmarkStart w:id="64" w:name="_Toc289769421"/>
    </w:p>
    <w:p w:rsidR="009E09D9" w:rsidRPr="00FC7CC5" w:rsidRDefault="00FA63CC" w:rsidP="009E09D9">
      <w:pPr>
        <w:widowControl w:val="0"/>
        <w:jc w:val="center"/>
        <w:rPr>
          <w:rFonts w:ascii="Calibri" w:hAnsi="Calibri" w:cs="Arial"/>
          <w:b/>
          <w:color w:val="0E4C28"/>
          <w:sz w:val="28"/>
          <w:szCs w:val="28"/>
          <w:lang w:val="en-US"/>
        </w:rPr>
      </w:pPr>
      <w:r w:rsidRPr="00A9366F">
        <w:rPr>
          <w:rFonts w:ascii="Calibri" w:hAnsi="Calibri" w:cs="Arial"/>
          <w:b/>
          <w:color w:val="0E4C28"/>
          <w:sz w:val="28"/>
          <w:szCs w:val="28"/>
          <w:lang w:val="en-US"/>
        </w:rPr>
        <w:t>Number of payments in ISMT by ranges of amounts</w:t>
      </w:r>
      <w:bookmarkEnd w:id="64"/>
    </w:p>
    <w:p w:rsidR="00FC7CC5" w:rsidRPr="00FC7CC5" w:rsidRDefault="00FC7CC5" w:rsidP="009E09D9">
      <w:pPr>
        <w:widowControl w:val="0"/>
        <w:jc w:val="center"/>
        <w:rPr>
          <w:rFonts w:ascii="Calibri" w:hAnsi="Calibri" w:cs="Arial"/>
          <w:b/>
          <w:color w:val="0E4C28"/>
          <w:sz w:val="28"/>
          <w:szCs w:val="28"/>
        </w:rPr>
      </w:pPr>
      <w:r>
        <w:rPr>
          <w:noProof/>
        </w:rPr>
        <w:drawing>
          <wp:inline distT="0" distB="0" distL="0" distR="0" wp14:anchorId="053A6738" wp14:editId="01E07A0C">
            <wp:extent cx="5996940" cy="1981200"/>
            <wp:effectExtent l="0" t="0" r="22860" b="19050"/>
            <wp:docPr id="459" name="Диаграмма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E5C6A" w:rsidRPr="00A9366F" w:rsidRDefault="009E7D83" w:rsidP="009E09D9">
      <w:pPr>
        <w:widowControl w:val="0"/>
        <w:jc w:val="center"/>
        <w:rPr>
          <w:rFonts w:ascii="Calibri" w:hAnsi="Calibri" w:cs="Arial"/>
          <w:b/>
          <w:color w:val="0E4C28"/>
          <w:sz w:val="28"/>
          <w:szCs w:val="28"/>
          <w:lang w:val="en-US"/>
        </w:rPr>
      </w:pPr>
      <w:r>
        <w:rPr>
          <w:rFonts w:ascii="Calibri" w:hAnsi="Calibri" w:cs="Arial"/>
          <w:b/>
          <w:color w:val="0E4C28"/>
          <w:sz w:val="28"/>
          <w:szCs w:val="28"/>
          <w:lang w:val="en-US"/>
        </w:rPr>
        <w:t xml:space="preserve">Value </w:t>
      </w:r>
      <w:r w:rsidR="00DE5C6A" w:rsidRPr="00A9366F">
        <w:rPr>
          <w:rFonts w:ascii="Calibri" w:hAnsi="Calibri" w:cs="Arial"/>
          <w:b/>
          <w:color w:val="0E4C28"/>
          <w:sz w:val="28"/>
          <w:szCs w:val="28"/>
          <w:lang w:val="en-US"/>
        </w:rPr>
        <w:t>of payments in ISMT by ranges of amounts</w:t>
      </w:r>
    </w:p>
    <w:p w:rsidR="00CC1D20" w:rsidRPr="00174372" w:rsidRDefault="00CC1D20" w:rsidP="00CC1D20">
      <w:pPr>
        <w:widowControl w:val="0"/>
        <w:jc w:val="center"/>
        <w:rPr>
          <w:rFonts w:ascii="Calibri" w:hAnsi="Calibri" w:cs="Arial"/>
          <w:b/>
          <w:color w:val="0E4C28"/>
          <w:sz w:val="28"/>
          <w:szCs w:val="28"/>
        </w:rPr>
      </w:pPr>
      <w:r>
        <w:rPr>
          <w:noProof/>
        </w:rPr>
        <w:drawing>
          <wp:inline distT="0" distB="0" distL="0" distR="0" wp14:anchorId="4E41C44F" wp14:editId="4C14FC5D">
            <wp:extent cx="5996940" cy="2209800"/>
            <wp:effectExtent l="0" t="0" r="22860" b="19050"/>
            <wp:docPr id="458" name="Диаграмма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1D20" w:rsidRDefault="00CC1D20" w:rsidP="00610467">
      <w:pPr>
        <w:widowControl w:val="0"/>
        <w:jc w:val="center"/>
        <w:rPr>
          <w:rFonts w:ascii="Calibri" w:hAnsi="Calibri" w:cs="Arial"/>
          <w:color w:val="0E4C28"/>
          <w:sz w:val="22"/>
          <w:szCs w:val="22"/>
        </w:rPr>
      </w:pPr>
    </w:p>
    <w:tbl>
      <w:tblPr>
        <w:tblStyle w:val="a3"/>
        <w:tblW w:w="9468" w:type="dxa"/>
        <w:shd w:val="clear" w:color="auto" w:fill="E6E6E6"/>
        <w:tblLook w:val="01E0" w:firstRow="1" w:lastRow="1" w:firstColumn="1" w:lastColumn="1" w:noHBand="0" w:noVBand="0"/>
      </w:tblPr>
      <w:tblGrid>
        <w:gridCol w:w="6388"/>
        <w:gridCol w:w="3080"/>
      </w:tblGrid>
      <w:tr w:rsidR="00610467" w:rsidRPr="00017666" w:rsidTr="0082483E">
        <w:trPr>
          <w:trHeight w:val="3547"/>
        </w:trPr>
        <w:tc>
          <w:tcPr>
            <w:tcW w:w="9468" w:type="dxa"/>
            <w:gridSpan w:val="2"/>
            <w:tcBorders>
              <w:bottom w:val="single" w:sz="4" w:space="0" w:color="auto"/>
            </w:tcBorders>
            <w:shd w:val="clear" w:color="auto" w:fill="E6E6E6"/>
          </w:tcPr>
          <w:p w:rsidR="007D0CC8" w:rsidRPr="00A9366F" w:rsidRDefault="007E22AB" w:rsidP="007D0CC8">
            <w:pPr>
              <w:widowControl w:val="0"/>
              <w:autoSpaceDE w:val="0"/>
              <w:autoSpaceDN w:val="0"/>
              <w:adjustRightInd w:val="0"/>
              <w:jc w:val="center"/>
              <w:rPr>
                <w:rFonts w:ascii="Calibri" w:hAnsi="Calibri" w:cs="Arial"/>
                <w:b/>
                <w:spacing w:val="-4"/>
                <w:lang w:val="en-US"/>
              </w:rPr>
            </w:pPr>
            <w:r w:rsidRPr="00A9366F">
              <w:rPr>
                <w:rFonts w:ascii="Calibri" w:hAnsi="Calibri" w:cs="Arial"/>
                <w:b/>
                <w:spacing w:val="-4"/>
                <w:lang w:val="en-US"/>
              </w:rPr>
              <w:t>Box</w:t>
            </w:r>
            <w:r w:rsidR="007D0CC8" w:rsidRPr="00A9366F">
              <w:rPr>
                <w:rFonts w:ascii="Calibri" w:hAnsi="Calibri" w:cs="Arial"/>
                <w:b/>
                <w:spacing w:val="-4"/>
                <w:lang w:val="en-US"/>
              </w:rPr>
              <w:t xml:space="preserve"> 3 – </w:t>
            </w:r>
            <w:r w:rsidR="00DE5C6A" w:rsidRPr="00A9366F">
              <w:rPr>
                <w:rFonts w:ascii="Calibri" w:hAnsi="Calibri" w:cs="Arial"/>
                <w:b/>
                <w:spacing w:val="-4"/>
                <w:lang w:val="en-US"/>
              </w:rPr>
              <w:t>Comparison of indicators</w:t>
            </w:r>
          </w:p>
          <w:p w:rsidR="00DE5C6A" w:rsidRPr="00A9366F" w:rsidRDefault="00DE5C6A" w:rsidP="007D0CC8">
            <w:pPr>
              <w:widowControl w:val="0"/>
              <w:autoSpaceDE w:val="0"/>
              <w:autoSpaceDN w:val="0"/>
              <w:adjustRightInd w:val="0"/>
              <w:ind w:firstLine="720"/>
              <w:jc w:val="both"/>
              <w:rPr>
                <w:rFonts w:ascii="Calibri" w:hAnsi="Calibri" w:cs="Arial"/>
                <w:i/>
                <w:spacing w:val="-4"/>
                <w:lang w:val="en-US"/>
              </w:rPr>
            </w:pPr>
            <w:r w:rsidRPr="00A9366F">
              <w:rPr>
                <w:rFonts w:ascii="Calibri" w:hAnsi="Calibri" w:cs="Arial"/>
                <w:i/>
                <w:spacing w:val="-4"/>
                <w:lang w:val="en-US"/>
              </w:rPr>
              <w:t>To compare the indicators of development of the payments systems and payment services market the data broken down by EEU member states is used hereunder.</w:t>
            </w:r>
          </w:p>
          <w:p w:rsidR="00DE5C6A" w:rsidRPr="00A9366F" w:rsidRDefault="00DE5C6A" w:rsidP="007D0CC8">
            <w:pPr>
              <w:widowControl w:val="0"/>
              <w:autoSpaceDE w:val="0"/>
              <w:autoSpaceDN w:val="0"/>
              <w:adjustRightInd w:val="0"/>
              <w:ind w:firstLine="720"/>
              <w:jc w:val="both"/>
              <w:rPr>
                <w:rFonts w:ascii="Calibri" w:hAnsi="Calibri" w:cs="Arial"/>
                <w:spacing w:val="-4"/>
                <w:lang w:val="en-US"/>
              </w:rPr>
            </w:pPr>
            <w:r w:rsidRPr="00A9366F">
              <w:rPr>
                <w:rFonts w:ascii="Calibri" w:hAnsi="Calibri" w:cs="Arial"/>
                <w:spacing w:val="-4"/>
                <w:lang w:val="en-US"/>
              </w:rPr>
              <w:t xml:space="preserve">During 2016, 70.1 million of payments for </w:t>
            </w:r>
            <w:r w:rsidR="00F936A3" w:rsidRPr="00A9366F">
              <w:rPr>
                <w:rFonts w:ascii="Calibri" w:hAnsi="Calibri" w:cs="Arial"/>
                <w:spacing w:val="-4"/>
                <w:lang w:val="en-US"/>
              </w:rPr>
              <w:t>BYR</w:t>
            </w:r>
            <w:r w:rsidR="00275EAB" w:rsidRPr="00A9366F">
              <w:rPr>
                <w:rFonts w:ascii="Calibri" w:hAnsi="Calibri" w:cs="Arial"/>
                <w:spacing w:val="-4"/>
                <w:lang w:val="en-US"/>
              </w:rPr>
              <w:t xml:space="preserve"> </w:t>
            </w:r>
            <w:r w:rsidR="00F936A3" w:rsidRPr="00A9366F">
              <w:rPr>
                <w:rFonts w:ascii="Calibri" w:hAnsi="Calibri" w:cs="Arial"/>
                <w:spacing w:val="-4"/>
                <w:lang w:val="en-US"/>
              </w:rPr>
              <w:t>517.4 billion (equivalent to KZT 89.0 trillion) were made through the payment system of the Republic of Belarus - Belarus Interbank Settlement System (BISS).</w:t>
            </w:r>
          </w:p>
          <w:p w:rsidR="00F936A3" w:rsidRPr="00A9366F" w:rsidRDefault="00275EAB" w:rsidP="007D0CC8">
            <w:pPr>
              <w:widowControl w:val="0"/>
              <w:autoSpaceDE w:val="0"/>
              <w:autoSpaceDN w:val="0"/>
              <w:adjustRightInd w:val="0"/>
              <w:ind w:firstLine="720"/>
              <w:jc w:val="both"/>
              <w:rPr>
                <w:rFonts w:ascii="Calibri" w:hAnsi="Calibri" w:cs="Arial"/>
                <w:spacing w:val="-4"/>
                <w:lang w:val="en-US"/>
              </w:rPr>
            </w:pPr>
            <w:r w:rsidRPr="00A9366F">
              <w:rPr>
                <w:rFonts w:ascii="Calibri" w:hAnsi="Calibri" w:cs="Arial"/>
                <w:spacing w:val="-4"/>
                <w:lang w:val="en-US"/>
              </w:rPr>
              <w:t xml:space="preserve">3.4 million </w:t>
            </w:r>
            <w:proofErr w:type="gramStart"/>
            <w:r w:rsidR="00F936A3" w:rsidRPr="00A9366F">
              <w:rPr>
                <w:rFonts w:ascii="Calibri" w:hAnsi="Calibri" w:cs="Arial"/>
                <w:spacing w:val="-4"/>
                <w:lang w:val="en-US"/>
              </w:rPr>
              <w:t>payments</w:t>
            </w:r>
            <w:proofErr w:type="gramEnd"/>
            <w:r w:rsidR="00F936A3" w:rsidRPr="00A9366F">
              <w:rPr>
                <w:rFonts w:ascii="Calibri" w:hAnsi="Calibri" w:cs="Arial"/>
                <w:spacing w:val="-4"/>
                <w:lang w:val="en-US"/>
              </w:rPr>
              <w:t xml:space="preserve"> for RUB 560.1 trillion (equivalent to KZT 2,826.2 trillion) were </w:t>
            </w:r>
            <w:r w:rsidRPr="00A9366F">
              <w:rPr>
                <w:rFonts w:ascii="Calibri" w:hAnsi="Calibri" w:cs="Arial"/>
                <w:spacing w:val="-4"/>
                <w:lang w:val="en-US"/>
              </w:rPr>
              <w:t>settled</w:t>
            </w:r>
            <w:r w:rsidR="00F936A3" w:rsidRPr="00A9366F">
              <w:rPr>
                <w:rFonts w:ascii="Calibri" w:hAnsi="Calibri" w:cs="Arial"/>
                <w:spacing w:val="-4"/>
                <w:lang w:val="en-US"/>
              </w:rPr>
              <w:t xml:space="preserve"> through the </w:t>
            </w:r>
            <w:r w:rsidR="003B0337">
              <w:rPr>
                <w:rFonts w:ascii="Calibri" w:hAnsi="Calibri" w:cs="Arial"/>
                <w:iCs/>
                <w:spacing w:val="-4"/>
                <w:lang w:val="en-US"/>
              </w:rPr>
              <w:t xml:space="preserve">Bank of Russia Real Time Gross Settlement System </w:t>
            </w:r>
            <w:r w:rsidR="00F936A3" w:rsidRPr="00A9366F">
              <w:rPr>
                <w:rFonts w:ascii="Calibri" w:hAnsi="Calibri" w:cs="Arial"/>
                <w:spacing w:val="-4"/>
                <w:lang w:val="en-US"/>
              </w:rPr>
              <w:t>(BESP</w:t>
            </w:r>
            <w:r w:rsidR="003B0337">
              <w:rPr>
                <w:rFonts w:ascii="Calibri" w:hAnsi="Calibri" w:cs="Arial"/>
                <w:spacing w:val="-4"/>
                <w:lang w:val="en-US"/>
              </w:rPr>
              <w:t xml:space="preserve"> System</w:t>
            </w:r>
            <w:r w:rsidR="00F936A3" w:rsidRPr="00A9366F">
              <w:rPr>
                <w:rFonts w:ascii="Calibri" w:hAnsi="Calibri" w:cs="Arial"/>
                <w:spacing w:val="-4"/>
                <w:lang w:val="en-US"/>
              </w:rPr>
              <w:t xml:space="preserve">) of the Russian Federation during 2016. </w:t>
            </w:r>
          </w:p>
          <w:p w:rsidR="00F936A3" w:rsidRPr="00A9366F" w:rsidRDefault="00F936A3" w:rsidP="00605549">
            <w:pPr>
              <w:widowControl w:val="0"/>
              <w:autoSpaceDE w:val="0"/>
              <w:autoSpaceDN w:val="0"/>
              <w:adjustRightInd w:val="0"/>
              <w:ind w:firstLine="720"/>
              <w:jc w:val="both"/>
              <w:rPr>
                <w:rFonts w:ascii="Calibri" w:hAnsi="Calibri" w:cs="Arial"/>
                <w:spacing w:val="-4"/>
                <w:lang w:val="en-US"/>
              </w:rPr>
            </w:pPr>
            <w:r w:rsidRPr="00A9366F">
              <w:rPr>
                <w:rFonts w:ascii="Calibri" w:hAnsi="Calibri" w:cs="Arial"/>
                <w:spacing w:val="-4"/>
                <w:lang w:val="en-US"/>
              </w:rPr>
              <w:t xml:space="preserve">70.1 million </w:t>
            </w:r>
            <w:proofErr w:type="gramStart"/>
            <w:r w:rsidRPr="00A9366F">
              <w:rPr>
                <w:rFonts w:ascii="Calibri" w:hAnsi="Calibri" w:cs="Arial"/>
                <w:spacing w:val="-4"/>
                <w:lang w:val="en-US"/>
              </w:rPr>
              <w:t>of</w:t>
            </w:r>
            <w:proofErr w:type="gramEnd"/>
            <w:r w:rsidRPr="00A9366F">
              <w:rPr>
                <w:rFonts w:ascii="Calibri" w:hAnsi="Calibri" w:cs="Arial"/>
                <w:spacing w:val="-4"/>
                <w:lang w:val="en-US"/>
              </w:rPr>
              <w:t xml:space="preserve"> payments for KGS 4,980.2 billion (equivalent to KZT 24.4 trillion) were </w:t>
            </w:r>
            <w:r w:rsidR="00275EAB" w:rsidRPr="00A9366F">
              <w:rPr>
                <w:rFonts w:ascii="Calibri" w:hAnsi="Calibri" w:cs="Arial"/>
                <w:spacing w:val="-4"/>
                <w:lang w:val="en-US"/>
              </w:rPr>
              <w:t xml:space="preserve">settled </w:t>
            </w:r>
            <w:r w:rsidRPr="00A9366F">
              <w:rPr>
                <w:rFonts w:ascii="Calibri" w:hAnsi="Calibri" w:cs="Arial"/>
                <w:spacing w:val="-4"/>
                <w:lang w:val="en-US"/>
              </w:rPr>
              <w:t xml:space="preserve">using the </w:t>
            </w:r>
            <w:r w:rsidRPr="00A9366F">
              <w:rPr>
                <w:rFonts w:ascii="Calibri" w:hAnsi="Calibri" w:cs="Arial"/>
                <w:iCs/>
                <w:spacing w:val="-4"/>
                <w:lang w:val="en-US"/>
              </w:rPr>
              <w:t>Real</w:t>
            </w:r>
            <w:r w:rsidRPr="00A9366F">
              <w:rPr>
                <w:rFonts w:ascii="Calibri" w:hAnsi="Calibri" w:cs="Arial"/>
                <w:spacing w:val="-4"/>
                <w:lang w:val="en-US"/>
              </w:rPr>
              <w:t>-</w:t>
            </w:r>
            <w:r w:rsidRPr="00A9366F">
              <w:rPr>
                <w:rFonts w:ascii="Calibri" w:hAnsi="Calibri" w:cs="Arial"/>
                <w:iCs/>
                <w:spacing w:val="-4"/>
                <w:lang w:val="en-US"/>
              </w:rPr>
              <w:t>Time Gross Settlement System (RTGSS) of the Kyrgyz Republic during 2016.</w:t>
            </w:r>
          </w:p>
          <w:p w:rsidR="00610467" w:rsidRPr="00A9366F" w:rsidRDefault="00610467" w:rsidP="00605549">
            <w:pPr>
              <w:widowControl w:val="0"/>
              <w:autoSpaceDE w:val="0"/>
              <w:autoSpaceDN w:val="0"/>
              <w:adjustRightInd w:val="0"/>
              <w:ind w:firstLine="720"/>
              <w:jc w:val="both"/>
              <w:rPr>
                <w:rFonts w:ascii="Calibri" w:hAnsi="Calibri" w:cs="Arial"/>
                <w:spacing w:val="-4"/>
                <w:sz w:val="16"/>
                <w:szCs w:val="16"/>
                <w:lang w:val="en-US"/>
              </w:rPr>
            </w:pPr>
          </w:p>
        </w:tc>
      </w:tr>
      <w:tr w:rsidR="0082483E" w:rsidRPr="00A9366F" w:rsidTr="0082483E">
        <w:trPr>
          <w:trHeight w:val="3754"/>
        </w:trPr>
        <w:tc>
          <w:tcPr>
            <w:tcW w:w="9468" w:type="dxa"/>
            <w:gridSpan w:val="2"/>
            <w:tcBorders>
              <w:bottom w:val="single" w:sz="4" w:space="0" w:color="auto"/>
            </w:tcBorders>
            <w:shd w:val="clear" w:color="auto" w:fill="E6E6E6"/>
          </w:tcPr>
          <w:p w:rsidR="0082483E" w:rsidRPr="00A9366F" w:rsidRDefault="00F936A3" w:rsidP="002E5C2F">
            <w:pPr>
              <w:widowControl w:val="0"/>
              <w:jc w:val="center"/>
              <w:rPr>
                <w:rFonts w:ascii="Calibri" w:hAnsi="Calibri" w:cs="Arial"/>
                <w:b/>
                <w:color w:val="0E4C28"/>
                <w:sz w:val="28"/>
                <w:szCs w:val="28"/>
                <w:lang w:val="en-US"/>
              </w:rPr>
            </w:pPr>
            <w:r w:rsidRPr="00A9366F">
              <w:rPr>
                <w:rFonts w:ascii="Calibri" w:hAnsi="Calibri" w:cs="Arial"/>
                <w:b/>
                <w:color w:val="0E4C28"/>
                <w:sz w:val="28"/>
                <w:szCs w:val="28"/>
                <w:lang w:val="en-US"/>
              </w:rPr>
              <w:t>Payment</w:t>
            </w:r>
            <w:r w:rsidR="00275EAB" w:rsidRPr="00A9366F">
              <w:rPr>
                <w:rFonts w:ascii="Calibri" w:hAnsi="Calibri" w:cs="Arial"/>
                <w:b/>
                <w:color w:val="0E4C28"/>
                <w:sz w:val="28"/>
                <w:szCs w:val="28"/>
                <w:lang w:val="en-US"/>
              </w:rPr>
              <w:t>s</w:t>
            </w:r>
            <w:r w:rsidRPr="00A9366F">
              <w:rPr>
                <w:rFonts w:ascii="Calibri" w:hAnsi="Calibri" w:cs="Arial"/>
                <w:b/>
                <w:color w:val="0E4C28"/>
                <w:sz w:val="28"/>
                <w:szCs w:val="28"/>
                <w:lang w:val="en-US"/>
              </w:rPr>
              <w:t xml:space="preserve"> and money transfers </w:t>
            </w:r>
            <w:r w:rsidR="00275EAB" w:rsidRPr="00A9366F">
              <w:rPr>
                <w:rFonts w:ascii="Calibri" w:hAnsi="Calibri" w:cs="Arial"/>
                <w:b/>
                <w:color w:val="0E4C28"/>
                <w:sz w:val="28"/>
                <w:szCs w:val="28"/>
                <w:lang w:val="en-US"/>
              </w:rPr>
              <w:t>settled</w:t>
            </w:r>
            <w:r w:rsidRPr="00A9366F">
              <w:rPr>
                <w:rFonts w:ascii="Calibri" w:hAnsi="Calibri" w:cs="Arial"/>
                <w:b/>
                <w:color w:val="0E4C28"/>
                <w:sz w:val="28"/>
                <w:szCs w:val="28"/>
                <w:lang w:val="en-US"/>
              </w:rPr>
              <w:t xml:space="preserve"> through the payment systems of EEU member states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82"/>
              <w:gridCol w:w="2266"/>
              <w:gridCol w:w="2268"/>
            </w:tblGrid>
            <w:tr w:rsidR="0082483E" w:rsidRPr="00EA720F" w:rsidTr="002E5C2F">
              <w:tc>
                <w:tcPr>
                  <w:tcW w:w="2093" w:type="dxa"/>
                  <w:tcBorders>
                    <w:bottom w:val="single" w:sz="4" w:space="0" w:color="auto"/>
                  </w:tcBorders>
                  <w:shd w:val="clear" w:color="auto" w:fill="C2D69B"/>
                  <w:vAlign w:val="center"/>
                </w:tcPr>
                <w:p w:rsidR="0082483E" w:rsidRPr="00A9366F" w:rsidRDefault="003F0B3E" w:rsidP="002E5C2F">
                  <w:pPr>
                    <w:widowControl w:val="0"/>
                    <w:jc w:val="center"/>
                    <w:rPr>
                      <w:rFonts w:ascii="Calibri" w:hAnsi="Calibri" w:cs="Arial"/>
                      <w:b/>
                      <w:bCs/>
                      <w:lang w:val="en-US"/>
                    </w:rPr>
                  </w:pPr>
                  <w:r w:rsidRPr="00A9366F">
                    <w:rPr>
                      <w:rFonts w:ascii="Calibri" w:hAnsi="Calibri" w:cs="Arial"/>
                      <w:b/>
                      <w:bCs/>
                      <w:lang w:val="en-US"/>
                    </w:rPr>
                    <w:t>Name of the payment system</w:t>
                  </w:r>
                </w:p>
              </w:tc>
              <w:tc>
                <w:tcPr>
                  <w:tcW w:w="2582" w:type="dxa"/>
                  <w:shd w:val="clear" w:color="auto" w:fill="C2D69B"/>
                  <w:vAlign w:val="center"/>
                </w:tcPr>
                <w:p w:rsidR="0082483E" w:rsidRPr="00A9366F" w:rsidRDefault="003F0B3E" w:rsidP="003F0B3E">
                  <w:pPr>
                    <w:widowControl w:val="0"/>
                    <w:jc w:val="center"/>
                    <w:rPr>
                      <w:rFonts w:ascii="Calibri" w:hAnsi="Calibri" w:cs="Arial"/>
                      <w:b/>
                      <w:bCs/>
                      <w:lang w:val="en-US"/>
                    </w:rPr>
                  </w:pPr>
                  <w:r w:rsidRPr="00A9366F">
                    <w:rPr>
                      <w:rFonts w:ascii="Calibri" w:hAnsi="Calibri" w:cs="Arial"/>
                      <w:b/>
                      <w:bCs/>
                      <w:lang w:val="en-US"/>
                    </w:rPr>
                    <w:t xml:space="preserve">Turnover in the national currency </w:t>
                  </w:r>
                </w:p>
              </w:tc>
              <w:tc>
                <w:tcPr>
                  <w:tcW w:w="2266" w:type="dxa"/>
                  <w:shd w:val="clear" w:color="auto" w:fill="C2D69B"/>
                  <w:vAlign w:val="center"/>
                </w:tcPr>
                <w:p w:rsidR="0082483E" w:rsidRPr="00A9366F" w:rsidRDefault="003F0B3E" w:rsidP="003F0B3E">
                  <w:pPr>
                    <w:widowControl w:val="0"/>
                    <w:jc w:val="center"/>
                    <w:rPr>
                      <w:rFonts w:ascii="Calibri" w:hAnsi="Calibri" w:cs="Arial"/>
                      <w:b/>
                      <w:bCs/>
                      <w:lang w:val="en-US"/>
                    </w:rPr>
                  </w:pPr>
                  <w:r w:rsidRPr="00A9366F">
                    <w:rPr>
                      <w:rFonts w:ascii="Calibri" w:hAnsi="Calibri" w:cs="Arial"/>
                      <w:b/>
                      <w:bCs/>
                      <w:lang w:val="en-US"/>
                    </w:rPr>
                    <w:t>KZT equivalent</w:t>
                  </w:r>
                  <w:r w:rsidRPr="00A9366F">
                    <w:rPr>
                      <w:rFonts w:ascii="Calibri" w:hAnsi="Calibri" w:cs="Arial"/>
                      <w:b/>
                      <w:bCs/>
                      <w:lang w:val="en-US"/>
                    </w:rPr>
                    <w:br/>
                  </w:r>
                  <w:r w:rsidR="0082483E" w:rsidRPr="00A9366F">
                    <w:rPr>
                      <w:rFonts w:ascii="Calibri" w:hAnsi="Calibri" w:cs="Arial"/>
                      <w:b/>
                      <w:bCs/>
                      <w:lang w:val="en-US"/>
                    </w:rPr>
                    <w:t>(</w:t>
                  </w:r>
                  <w:r w:rsidRPr="00A9366F">
                    <w:rPr>
                      <w:rFonts w:ascii="Calibri" w:hAnsi="Calibri" w:cs="Arial"/>
                      <w:b/>
                      <w:bCs/>
                      <w:lang w:val="en-US"/>
                    </w:rPr>
                    <w:t>KZT trillion)</w:t>
                  </w:r>
                </w:p>
              </w:tc>
              <w:tc>
                <w:tcPr>
                  <w:tcW w:w="2268" w:type="dxa"/>
                  <w:shd w:val="clear" w:color="auto" w:fill="C2D69B"/>
                  <w:vAlign w:val="center"/>
                </w:tcPr>
                <w:p w:rsidR="0082483E" w:rsidRPr="00A9366F" w:rsidRDefault="003F0B3E" w:rsidP="003F0B3E">
                  <w:pPr>
                    <w:widowControl w:val="0"/>
                    <w:jc w:val="center"/>
                    <w:rPr>
                      <w:rFonts w:ascii="Calibri" w:hAnsi="Calibri" w:cs="Arial"/>
                      <w:b/>
                      <w:bCs/>
                      <w:lang w:val="en-US"/>
                    </w:rPr>
                  </w:pPr>
                  <w:r w:rsidRPr="00A9366F">
                    <w:rPr>
                      <w:rFonts w:ascii="Calibri" w:hAnsi="Calibri" w:cs="Arial"/>
                      <w:b/>
                      <w:bCs/>
                      <w:lang w:val="en-US"/>
                    </w:rPr>
                    <w:t xml:space="preserve">Increase compared with the previous period </w:t>
                  </w:r>
                </w:p>
              </w:tc>
            </w:tr>
            <w:tr w:rsidR="0082483E" w:rsidRPr="00A9366F" w:rsidTr="002E5C2F">
              <w:tc>
                <w:tcPr>
                  <w:tcW w:w="2093" w:type="dxa"/>
                  <w:shd w:val="clear" w:color="auto" w:fill="EAF1DD"/>
                </w:tcPr>
                <w:p w:rsidR="0082483E" w:rsidRPr="00A9366F" w:rsidRDefault="003F0B3E" w:rsidP="002E5C2F">
                  <w:pPr>
                    <w:widowControl w:val="0"/>
                    <w:autoSpaceDE w:val="0"/>
                    <w:autoSpaceDN w:val="0"/>
                    <w:adjustRightInd w:val="0"/>
                    <w:jc w:val="both"/>
                    <w:rPr>
                      <w:rFonts w:ascii="Calibri" w:hAnsi="Calibri" w:cs="Arial"/>
                      <w:spacing w:val="-4"/>
                      <w:lang w:val="en-US"/>
                    </w:rPr>
                  </w:pPr>
                  <w:r w:rsidRPr="00A9366F">
                    <w:rPr>
                      <w:rFonts w:ascii="Calibri" w:hAnsi="Calibri" w:cs="Arial"/>
                      <w:spacing w:val="-4"/>
                      <w:lang w:val="en-US"/>
                    </w:rPr>
                    <w:t>ISMT</w:t>
                  </w:r>
                </w:p>
              </w:tc>
              <w:tc>
                <w:tcPr>
                  <w:tcW w:w="2582"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 xml:space="preserve">KZT </w:t>
                  </w:r>
                  <w:r w:rsidR="0082483E" w:rsidRPr="00A9366F">
                    <w:rPr>
                      <w:rFonts w:ascii="Calibri" w:hAnsi="Calibri" w:cs="Arial"/>
                      <w:spacing w:val="-4"/>
                      <w:lang w:val="en-US"/>
                    </w:rPr>
                    <w:t>584</w:t>
                  </w:r>
                  <w:r w:rsidRPr="00A9366F">
                    <w:rPr>
                      <w:rFonts w:ascii="Calibri" w:hAnsi="Calibri" w:cs="Arial"/>
                      <w:spacing w:val="-4"/>
                      <w:lang w:val="en-US"/>
                    </w:rPr>
                    <w:t>,671.</w:t>
                  </w:r>
                  <w:r w:rsidR="0082483E" w:rsidRPr="00A9366F">
                    <w:rPr>
                      <w:rFonts w:ascii="Calibri" w:hAnsi="Calibri" w:cs="Arial"/>
                      <w:spacing w:val="-4"/>
                      <w:lang w:val="en-US"/>
                    </w:rPr>
                    <w:t xml:space="preserve">7 </w:t>
                  </w:r>
                  <w:r w:rsidRPr="00A9366F">
                    <w:rPr>
                      <w:rFonts w:ascii="Calibri" w:hAnsi="Calibri" w:cs="Arial"/>
                      <w:spacing w:val="-4"/>
                      <w:lang w:val="en-US"/>
                    </w:rPr>
                    <w:t>billion</w:t>
                  </w:r>
                </w:p>
              </w:tc>
              <w:tc>
                <w:tcPr>
                  <w:tcW w:w="2266" w:type="dxa"/>
                  <w:shd w:val="clear" w:color="auto" w:fill="auto"/>
                </w:tcPr>
                <w:p w:rsidR="0082483E" w:rsidRPr="00A9366F" w:rsidRDefault="008248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584,7</w:t>
                  </w:r>
                </w:p>
              </w:tc>
              <w:tc>
                <w:tcPr>
                  <w:tcW w:w="2268"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by 2.</w:t>
                  </w:r>
                  <w:r w:rsidR="0082483E" w:rsidRPr="00A9366F">
                    <w:rPr>
                      <w:rFonts w:ascii="Calibri" w:hAnsi="Calibri" w:cs="Arial"/>
                      <w:spacing w:val="-4"/>
                      <w:lang w:val="en-US"/>
                    </w:rPr>
                    <w:t>6</w:t>
                  </w:r>
                  <w:r w:rsidRPr="00A9366F">
                    <w:rPr>
                      <w:rFonts w:ascii="Calibri" w:hAnsi="Calibri" w:cs="Arial"/>
                      <w:spacing w:val="-4"/>
                      <w:lang w:val="en-US"/>
                    </w:rPr>
                    <w:t xml:space="preserve"> times</w:t>
                  </w:r>
                </w:p>
              </w:tc>
            </w:tr>
            <w:tr w:rsidR="0082483E" w:rsidRPr="00A9366F" w:rsidTr="002E5C2F">
              <w:tc>
                <w:tcPr>
                  <w:tcW w:w="2093" w:type="dxa"/>
                  <w:shd w:val="clear" w:color="auto" w:fill="EAF1DD"/>
                </w:tcPr>
                <w:p w:rsidR="0082483E" w:rsidRPr="00A9366F" w:rsidRDefault="0082483E" w:rsidP="002E5C2F">
                  <w:pPr>
                    <w:widowControl w:val="0"/>
                    <w:autoSpaceDE w:val="0"/>
                    <w:autoSpaceDN w:val="0"/>
                    <w:adjustRightInd w:val="0"/>
                    <w:jc w:val="both"/>
                    <w:rPr>
                      <w:rFonts w:ascii="Calibri" w:hAnsi="Calibri" w:cs="Arial"/>
                      <w:spacing w:val="-4"/>
                      <w:lang w:val="en-US"/>
                    </w:rPr>
                  </w:pPr>
                  <w:r w:rsidRPr="00A9366F">
                    <w:rPr>
                      <w:rFonts w:ascii="Calibri" w:hAnsi="Calibri" w:cs="Arial"/>
                      <w:spacing w:val="-4"/>
                      <w:lang w:val="en-US"/>
                    </w:rPr>
                    <w:t>BISS</w:t>
                  </w:r>
                </w:p>
              </w:tc>
              <w:tc>
                <w:tcPr>
                  <w:tcW w:w="2582"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BYR 517.</w:t>
                  </w:r>
                  <w:r w:rsidR="0082483E" w:rsidRPr="00A9366F">
                    <w:rPr>
                      <w:rFonts w:ascii="Calibri" w:hAnsi="Calibri" w:cs="Arial"/>
                      <w:spacing w:val="-4"/>
                      <w:lang w:val="en-US"/>
                    </w:rPr>
                    <w:t xml:space="preserve">4 </w:t>
                  </w:r>
                  <w:r w:rsidRPr="00A9366F">
                    <w:rPr>
                      <w:rFonts w:ascii="Calibri" w:hAnsi="Calibri" w:cs="Arial"/>
                      <w:spacing w:val="-4"/>
                      <w:lang w:val="en-US"/>
                    </w:rPr>
                    <w:t>billion</w:t>
                  </w:r>
                </w:p>
              </w:tc>
              <w:tc>
                <w:tcPr>
                  <w:tcW w:w="2266" w:type="dxa"/>
                  <w:shd w:val="clear" w:color="auto" w:fill="auto"/>
                </w:tcPr>
                <w:p w:rsidR="0082483E" w:rsidRPr="00A9366F" w:rsidRDefault="008248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89,0</w:t>
                  </w:r>
                </w:p>
              </w:tc>
              <w:tc>
                <w:tcPr>
                  <w:tcW w:w="2268" w:type="dxa"/>
                  <w:shd w:val="clear" w:color="auto" w:fill="auto"/>
                </w:tcPr>
                <w:p w:rsidR="0082483E" w:rsidRPr="00A9366F" w:rsidRDefault="003F0B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18.</w:t>
                  </w:r>
                  <w:r w:rsidR="0082483E" w:rsidRPr="00A9366F">
                    <w:rPr>
                      <w:rFonts w:ascii="Calibri" w:hAnsi="Calibri" w:cs="Arial"/>
                      <w:spacing w:val="-4"/>
                      <w:lang w:val="en-US"/>
                    </w:rPr>
                    <w:t>5%</w:t>
                  </w:r>
                </w:p>
              </w:tc>
            </w:tr>
            <w:tr w:rsidR="0082483E" w:rsidRPr="00A9366F" w:rsidTr="002E5C2F">
              <w:tc>
                <w:tcPr>
                  <w:tcW w:w="2093" w:type="dxa"/>
                  <w:shd w:val="clear" w:color="auto" w:fill="EAF1DD"/>
                </w:tcPr>
                <w:p w:rsidR="0082483E" w:rsidRPr="00A9366F" w:rsidRDefault="003F0B3E" w:rsidP="002E5C2F">
                  <w:pPr>
                    <w:widowControl w:val="0"/>
                    <w:autoSpaceDE w:val="0"/>
                    <w:autoSpaceDN w:val="0"/>
                    <w:adjustRightInd w:val="0"/>
                    <w:jc w:val="both"/>
                    <w:rPr>
                      <w:rFonts w:ascii="Calibri" w:hAnsi="Calibri" w:cs="Arial"/>
                      <w:spacing w:val="-4"/>
                      <w:lang w:val="en-US"/>
                    </w:rPr>
                  </w:pPr>
                  <w:r w:rsidRPr="00A9366F">
                    <w:rPr>
                      <w:rFonts w:ascii="Calibri" w:hAnsi="Calibri" w:cs="Arial"/>
                      <w:spacing w:val="-4"/>
                      <w:lang w:val="en-US"/>
                    </w:rPr>
                    <w:t>BESP</w:t>
                  </w:r>
                </w:p>
              </w:tc>
              <w:tc>
                <w:tcPr>
                  <w:tcW w:w="2582"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 xml:space="preserve">RUB </w:t>
                  </w:r>
                  <w:r w:rsidR="0082483E" w:rsidRPr="00A9366F">
                    <w:rPr>
                      <w:rFonts w:ascii="Calibri" w:hAnsi="Calibri" w:cs="Arial"/>
                      <w:spacing w:val="-4"/>
                      <w:lang w:val="en-US"/>
                    </w:rPr>
                    <w:t>560</w:t>
                  </w:r>
                  <w:r w:rsidRPr="00A9366F">
                    <w:rPr>
                      <w:rFonts w:ascii="Calibri" w:hAnsi="Calibri" w:cs="Arial"/>
                      <w:spacing w:val="-4"/>
                      <w:lang w:val="en-US"/>
                    </w:rPr>
                    <w:t>,123.</w:t>
                  </w:r>
                  <w:r w:rsidR="0082483E" w:rsidRPr="00A9366F">
                    <w:rPr>
                      <w:rFonts w:ascii="Calibri" w:hAnsi="Calibri" w:cs="Arial"/>
                      <w:spacing w:val="-4"/>
                      <w:lang w:val="en-US"/>
                    </w:rPr>
                    <w:t>2</w:t>
                  </w:r>
                  <w:r w:rsidRPr="00A9366F">
                    <w:rPr>
                      <w:rFonts w:ascii="Calibri" w:hAnsi="Calibri" w:cs="Arial"/>
                      <w:spacing w:val="-4"/>
                      <w:lang w:val="en-US"/>
                    </w:rPr>
                    <w:t xml:space="preserve"> billion</w:t>
                  </w:r>
                </w:p>
              </w:tc>
              <w:tc>
                <w:tcPr>
                  <w:tcW w:w="2266" w:type="dxa"/>
                  <w:shd w:val="clear" w:color="auto" w:fill="auto"/>
                </w:tcPr>
                <w:p w:rsidR="0082483E" w:rsidRPr="00A9366F" w:rsidRDefault="008248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2 826,2</w:t>
                  </w:r>
                </w:p>
              </w:tc>
              <w:tc>
                <w:tcPr>
                  <w:tcW w:w="2268" w:type="dxa"/>
                  <w:shd w:val="clear" w:color="auto" w:fill="auto"/>
                </w:tcPr>
                <w:p w:rsidR="0082483E" w:rsidRPr="00A9366F" w:rsidRDefault="003F0B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4.</w:t>
                  </w:r>
                  <w:r w:rsidR="0082483E" w:rsidRPr="00A9366F">
                    <w:rPr>
                      <w:rFonts w:ascii="Calibri" w:hAnsi="Calibri" w:cs="Arial"/>
                      <w:spacing w:val="-4"/>
                      <w:lang w:val="en-US"/>
                    </w:rPr>
                    <w:t>6%</w:t>
                  </w:r>
                </w:p>
              </w:tc>
            </w:tr>
            <w:tr w:rsidR="0082483E" w:rsidRPr="00A9366F" w:rsidTr="002E5C2F">
              <w:tc>
                <w:tcPr>
                  <w:tcW w:w="2093" w:type="dxa"/>
                  <w:shd w:val="clear" w:color="auto" w:fill="EAF1DD"/>
                </w:tcPr>
                <w:p w:rsidR="0082483E" w:rsidRPr="00A9366F" w:rsidRDefault="003F0B3E" w:rsidP="002E5C2F">
                  <w:pPr>
                    <w:widowControl w:val="0"/>
                    <w:autoSpaceDE w:val="0"/>
                    <w:autoSpaceDN w:val="0"/>
                    <w:adjustRightInd w:val="0"/>
                    <w:jc w:val="both"/>
                    <w:rPr>
                      <w:rFonts w:ascii="Calibri" w:hAnsi="Calibri" w:cs="Arial"/>
                      <w:spacing w:val="-4"/>
                      <w:lang w:val="en-US"/>
                    </w:rPr>
                  </w:pPr>
                  <w:r w:rsidRPr="00A9366F">
                    <w:rPr>
                      <w:rFonts w:ascii="Calibri" w:hAnsi="Calibri" w:cs="Arial"/>
                      <w:spacing w:val="-4"/>
                      <w:lang w:val="en-US"/>
                    </w:rPr>
                    <w:t>RTGSS</w:t>
                  </w:r>
                </w:p>
              </w:tc>
              <w:tc>
                <w:tcPr>
                  <w:tcW w:w="2582"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 xml:space="preserve">KGS </w:t>
                  </w:r>
                  <w:r w:rsidR="0082483E" w:rsidRPr="00A9366F">
                    <w:rPr>
                      <w:rFonts w:ascii="Calibri" w:hAnsi="Calibri" w:cs="Arial"/>
                      <w:spacing w:val="-4"/>
                      <w:lang w:val="en-US"/>
                    </w:rPr>
                    <w:t>4</w:t>
                  </w:r>
                  <w:r w:rsidRPr="00A9366F">
                    <w:rPr>
                      <w:rFonts w:ascii="Calibri" w:hAnsi="Calibri" w:cs="Arial"/>
                      <w:spacing w:val="-4"/>
                      <w:lang w:val="en-US"/>
                    </w:rPr>
                    <w:t>,980.</w:t>
                  </w:r>
                  <w:r w:rsidR="0082483E" w:rsidRPr="00A9366F">
                    <w:rPr>
                      <w:rFonts w:ascii="Calibri" w:hAnsi="Calibri" w:cs="Arial"/>
                      <w:spacing w:val="-4"/>
                      <w:lang w:val="en-US"/>
                    </w:rPr>
                    <w:t>2</w:t>
                  </w:r>
                  <w:r w:rsidRPr="00A9366F">
                    <w:rPr>
                      <w:rFonts w:ascii="Calibri" w:hAnsi="Calibri" w:cs="Arial"/>
                      <w:spacing w:val="-4"/>
                      <w:lang w:val="en-US"/>
                    </w:rPr>
                    <w:t xml:space="preserve"> billion</w:t>
                  </w:r>
                </w:p>
              </w:tc>
              <w:tc>
                <w:tcPr>
                  <w:tcW w:w="2266" w:type="dxa"/>
                  <w:shd w:val="clear" w:color="auto" w:fill="auto"/>
                </w:tcPr>
                <w:p w:rsidR="0082483E" w:rsidRPr="00A9366F" w:rsidRDefault="0082483E" w:rsidP="002E5C2F">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24,4</w:t>
                  </w:r>
                </w:p>
              </w:tc>
              <w:tc>
                <w:tcPr>
                  <w:tcW w:w="2268" w:type="dxa"/>
                  <w:shd w:val="clear" w:color="auto" w:fill="auto"/>
                </w:tcPr>
                <w:p w:rsidR="0082483E" w:rsidRPr="00A9366F" w:rsidRDefault="003F0B3E" w:rsidP="003F0B3E">
                  <w:pPr>
                    <w:widowControl w:val="0"/>
                    <w:autoSpaceDE w:val="0"/>
                    <w:autoSpaceDN w:val="0"/>
                    <w:adjustRightInd w:val="0"/>
                    <w:jc w:val="right"/>
                    <w:rPr>
                      <w:rFonts w:ascii="Calibri" w:hAnsi="Calibri" w:cs="Arial"/>
                      <w:spacing w:val="-4"/>
                      <w:lang w:val="en-US"/>
                    </w:rPr>
                  </w:pPr>
                  <w:r w:rsidRPr="00A9366F">
                    <w:rPr>
                      <w:rFonts w:ascii="Calibri" w:hAnsi="Calibri" w:cs="Arial"/>
                      <w:spacing w:val="-4"/>
                      <w:lang w:val="en-US"/>
                    </w:rPr>
                    <w:t>b</w:t>
                  </w:r>
                  <w:r w:rsidR="00275EAB" w:rsidRPr="00A9366F">
                    <w:rPr>
                      <w:rFonts w:ascii="Calibri" w:hAnsi="Calibri" w:cs="Arial"/>
                      <w:spacing w:val="-4"/>
                      <w:lang w:val="en-US"/>
                    </w:rPr>
                    <w:t>y</w:t>
                  </w:r>
                  <w:r w:rsidRPr="00A9366F">
                    <w:rPr>
                      <w:rFonts w:ascii="Calibri" w:hAnsi="Calibri" w:cs="Arial"/>
                      <w:spacing w:val="-4"/>
                      <w:lang w:val="en-US"/>
                    </w:rPr>
                    <w:t xml:space="preserve"> 2.</w:t>
                  </w:r>
                  <w:r w:rsidR="0082483E" w:rsidRPr="00A9366F">
                    <w:rPr>
                      <w:rFonts w:ascii="Calibri" w:hAnsi="Calibri" w:cs="Arial"/>
                      <w:spacing w:val="-4"/>
                      <w:lang w:val="en-US"/>
                    </w:rPr>
                    <w:t xml:space="preserve">9 </w:t>
                  </w:r>
                  <w:r w:rsidRPr="00A9366F">
                    <w:rPr>
                      <w:rFonts w:ascii="Calibri" w:hAnsi="Calibri" w:cs="Arial"/>
                      <w:spacing w:val="-4"/>
                      <w:lang w:val="en-US"/>
                    </w:rPr>
                    <w:t>times</w:t>
                  </w:r>
                </w:p>
              </w:tc>
            </w:tr>
          </w:tbl>
          <w:p w:rsidR="0082483E" w:rsidRPr="00A9366F" w:rsidRDefault="0082483E" w:rsidP="002E5C2F">
            <w:pPr>
              <w:widowControl w:val="0"/>
              <w:autoSpaceDE w:val="0"/>
              <w:autoSpaceDN w:val="0"/>
              <w:adjustRightInd w:val="0"/>
              <w:jc w:val="both"/>
              <w:rPr>
                <w:rFonts w:ascii="Calibri" w:hAnsi="Calibri" w:cs="Arial"/>
                <w:spacing w:val="-4"/>
                <w:sz w:val="16"/>
                <w:szCs w:val="16"/>
                <w:lang w:val="en-US"/>
              </w:rPr>
            </w:pPr>
          </w:p>
        </w:tc>
      </w:tr>
      <w:tr w:rsidR="00351477" w:rsidRPr="00EA720F" w:rsidTr="003514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c>
          <w:tcPr>
            <w:tcW w:w="6388" w:type="dxa"/>
          </w:tcPr>
          <w:p w:rsidR="00351477" w:rsidRPr="00A9366F" w:rsidRDefault="003F0B3E" w:rsidP="00351477">
            <w:pPr>
              <w:widowControl w:val="0"/>
              <w:jc w:val="both"/>
              <w:rPr>
                <w:rFonts w:ascii="Calibri" w:hAnsi="Calibri" w:cs="Arial"/>
                <w:spacing w:val="-4"/>
                <w:sz w:val="30"/>
                <w:szCs w:val="30"/>
                <w:lang w:val="en-US"/>
              </w:rPr>
            </w:pPr>
            <w:r w:rsidRPr="00A9366F">
              <w:rPr>
                <w:rFonts w:ascii="Calibri" w:hAnsi="Calibri" w:cs="Arial"/>
                <w:spacing w:val="-4"/>
                <w:sz w:val="30"/>
                <w:szCs w:val="30"/>
                <w:lang w:val="en-US"/>
              </w:rPr>
              <w:t>Tariffs in the payment systems of the National Bank are differentiated by the payment timing and vary from KZT 57 to KZT 114 in ISMT.</w:t>
            </w:r>
          </w:p>
        </w:tc>
        <w:tc>
          <w:tcPr>
            <w:tcW w:w="3080" w:type="dxa"/>
          </w:tcPr>
          <w:tbl>
            <w:tblPr>
              <w:tblpPr w:leftFromText="180" w:rightFromText="180" w:vertAnchor="text" w:horzAnchor="page" w:tblpX="696" w:tblpY="410"/>
              <w:tblOverlap w:val="never"/>
              <w:tblW w:w="2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0"/>
              <w:gridCol w:w="934"/>
            </w:tblGrid>
            <w:tr w:rsidR="00351477" w:rsidRPr="00EA720F" w:rsidTr="00351477">
              <w:trPr>
                <w:cantSplit/>
                <w:trHeight w:val="20"/>
              </w:trPr>
              <w:tc>
                <w:tcPr>
                  <w:tcW w:w="1920" w:type="dxa"/>
                  <w:shd w:val="clear" w:color="auto" w:fill="C2D69B"/>
                  <w:noWrap/>
                </w:tcPr>
                <w:p w:rsidR="00351477" w:rsidRPr="00A9366F" w:rsidRDefault="003F0B3E" w:rsidP="00351477">
                  <w:pPr>
                    <w:widowControl w:val="0"/>
                    <w:jc w:val="center"/>
                    <w:rPr>
                      <w:rFonts w:ascii="Calibri" w:hAnsi="Calibri" w:cs="Arial"/>
                      <w:b/>
                      <w:bCs/>
                      <w:sz w:val="22"/>
                      <w:szCs w:val="22"/>
                      <w:lang w:val="en-US"/>
                    </w:rPr>
                  </w:pPr>
                  <w:r w:rsidRPr="00A9366F">
                    <w:rPr>
                      <w:rFonts w:ascii="Calibri" w:hAnsi="Calibri" w:cs="Arial"/>
                      <w:b/>
                      <w:bCs/>
                      <w:sz w:val="22"/>
                      <w:szCs w:val="22"/>
                      <w:lang w:val="en-US"/>
                    </w:rPr>
                    <w:t>Time of settlement</w:t>
                  </w:r>
                </w:p>
              </w:tc>
              <w:tc>
                <w:tcPr>
                  <w:tcW w:w="934" w:type="dxa"/>
                  <w:shd w:val="clear" w:color="auto" w:fill="C2D69B"/>
                  <w:noWrap/>
                </w:tcPr>
                <w:p w:rsidR="00351477" w:rsidRPr="00A9366F" w:rsidRDefault="003F0B3E" w:rsidP="003F0B3E">
                  <w:pPr>
                    <w:widowControl w:val="0"/>
                    <w:jc w:val="center"/>
                    <w:rPr>
                      <w:rFonts w:ascii="Calibri" w:hAnsi="Calibri" w:cs="Arial"/>
                      <w:b/>
                      <w:bCs/>
                      <w:sz w:val="22"/>
                      <w:szCs w:val="22"/>
                      <w:lang w:val="en-US"/>
                    </w:rPr>
                  </w:pPr>
                  <w:r w:rsidRPr="00A9366F">
                    <w:rPr>
                      <w:rFonts w:ascii="Calibri" w:hAnsi="Calibri" w:cs="Arial"/>
                      <w:b/>
                      <w:bCs/>
                      <w:sz w:val="22"/>
                      <w:szCs w:val="22"/>
                      <w:lang w:val="en-US"/>
                    </w:rPr>
                    <w:t>Tariff</w:t>
                  </w:r>
                </w:p>
              </w:tc>
            </w:tr>
            <w:tr w:rsidR="00351477" w:rsidRPr="00EA720F" w:rsidTr="00351477">
              <w:trPr>
                <w:cantSplit/>
                <w:trHeight w:val="20"/>
              </w:trPr>
              <w:tc>
                <w:tcPr>
                  <w:tcW w:w="1920" w:type="dxa"/>
                  <w:shd w:val="clear" w:color="auto" w:fill="EAF1DD"/>
                  <w:noWrap/>
                </w:tcPr>
                <w:p w:rsidR="00351477" w:rsidRPr="00C55900" w:rsidRDefault="003F0B3E" w:rsidP="003F0B3E">
                  <w:pPr>
                    <w:widowControl w:val="0"/>
                    <w:jc w:val="center"/>
                    <w:rPr>
                      <w:rFonts w:ascii="Calibri" w:hAnsi="Calibri" w:cs="Arial"/>
                      <w:sz w:val="22"/>
                      <w:szCs w:val="22"/>
                      <w:lang w:val="en-US"/>
                    </w:rPr>
                  </w:pPr>
                  <w:r w:rsidRPr="00C55900">
                    <w:rPr>
                      <w:rFonts w:ascii="Calibri" w:hAnsi="Calibri" w:cs="Arial"/>
                      <w:sz w:val="22"/>
                      <w:szCs w:val="22"/>
                      <w:lang w:val="en-US"/>
                    </w:rPr>
                    <w:t xml:space="preserve">From </w:t>
                  </w:r>
                  <w:r w:rsidR="00351477" w:rsidRPr="00C55900">
                    <w:rPr>
                      <w:rFonts w:ascii="Calibri" w:hAnsi="Calibri" w:cs="Arial"/>
                      <w:sz w:val="22"/>
                      <w:szCs w:val="22"/>
                      <w:lang w:val="en-US"/>
                    </w:rPr>
                    <w:t>8</w:t>
                  </w:r>
                  <w:r w:rsidR="00EF783B" w:rsidRPr="00C55900">
                    <w:rPr>
                      <w:rFonts w:ascii="Calibri" w:hAnsi="Calibri" w:cs="Arial"/>
                      <w:sz w:val="22"/>
                      <w:szCs w:val="22"/>
                      <w:lang w:val="en-US"/>
                    </w:rPr>
                    <w:t xml:space="preserve">.00 </w:t>
                  </w:r>
                  <w:r w:rsidRPr="00C55900">
                    <w:rPr>
                      <w:rFonts w:ascii="Calibri" w:hAnsi="Calibri" w:cs="Arial"/>
                      <w:sz w:val="22"/>
                      <w:szCs w:val="22"/>
                      <w:lang w:val="en-US"/>
                    </w:rPr>
                    <w:t>am</w:t>
                  </w:r>
                  <w:r w:rsidR="00351477" w:rsidRPr="00C55900">
                    <w:rPr>
                      <w:rFonts w:ascii="Calibri" w:hAnsi="Calibri" w:cs="Arial"/>
                      <w:sz w:val="22"/>
                      <w:szCs w:val="22"/>
                      <w:lang w:val="en-US"/>
                    </w:rPr>
                    <w:t xml:space="preserve"> </w:t>
                  </w:r>
                  <w:r w:rsidRPr="00C55900">
                    <w:rPr>
                      <w:rFonts w:ascii="Calibri" w:hAnsi="Calibri" w:cs="Arial"/>
                      <w:sz w:val="22"/>
                      <w:szCs w:val="22"/>
                      <w:lang w:val="en-US"/>
                    </w:rPr>
                    <w:t>to1</w:t>
                  </w:r>
                  <w:r w:rsidR="00EF783B" w:rsidRPr="00C55900">
                    <w:rPr>
                      <w:rFonts w:ascii="Calibri" w:hAnsi="Calibri" w:cs="Arial"/>
                      <w:sz w:val="22"/>
                      <w:szCs w:val="22"/>
                      <w:lang w:val="en-US"/>
                    </w:rPr>
                    <w:t>.00</w:t>
                  </w:r>
                  <w:r w:rsidRPr="00C55900">
                    <w:rPr>
                      <w:rFonts w:ascii="Calibri" w:hAnsi="Calibri" w:cs="Arial"/>
                      <w:sz w:val="22"/>
                      <w:szCs w:val="22"/>
                      <w:lang w:val="en-US"/>
                    </w:rPr>
                    <w:t xml:space="preserve"> pm</w:t>
                  </w:r>
                </w:p>
              </w:tc>
              <w:tc>
                <w:tcPr>
                  <w:tcW w:w="934" w:type="dxa"/>
                  <w:shd w:val="clear" w:color="auto" w:fill="auto"/>
                  <w:noWrap/>
                </w:tcPr>
                <w:p w:rsidR="00351477" w:rsidRPr="00C55900" w:rsidRDefault="00351477" w:rsidP="00351477">
                  <w:pPr>
                    <w:widowControl w:val="0"/>
                    <w:jc w:val="center"/>
                    <w:rPr>
                      <w:rFonts w:ascii="Calibri" w:hAnsi="Calibri" w:cs="Arial"/>
                      <w:sz w:val="22"/>
                      <w:szCs w:val="22"/>
                      <w:lang w:val="en-US"/>
                    </w:rPr>
                  </w:pPr>
                  <w:r w:rsidRPr="00C55900">
                    <w:rPr>
                      <w:rFonts w:ascii="Calibri" w:hAnsi="Calibri" w:cs="Arial"/>
                      <w:sz w:val="22"/>
                      <w:szCs w:val="22"/>
                      <w:lang w:val="en-US"/>
                    </w:rPr>
                    <w:t>57,0</w:t>
                  </w:r>
                </w:p>
              </w:tc>
            </w:tr>
            <w:tr w:rsidR="00351477" w:rsidRPr="00EA720F" w:rsidTr="00351477">
              <w:trPr>
                <w:cantSplit/>
                <w:trHeight w:val="20"/>
              </w:trPr>
              <w:tc>
                <w:tcPr>
                  <w:tcW w:w="1920" w:type="dxa"/>
                  <w:shd w:val="clear" w:color="auto" w:fill="EAF1DD"/>
                  <w:noWrap/>
                </w:tcPr>
                <w:p w:rsidR="00351477" w:rsidRPr="00C55900" w:rsidRDefault="00EF783B" w:rsidP="00EF783B">
                  <w:pPr>
                    <w:widowControl w:val="0"/>
                    <w:jc w:val="center"/>
                    <w:rPr>
                      <w:rFonts w:ascii="Calibri" w:hAnsi="Calibri" w:cs="Arial"/>
                      <w:sz w:val="22"/>
                      <w:szCs w:val="22"/>
                      <w:lang w:val="en-US"/>
                    </w:rPr>
                  </w:pPr>
                  <w:r w:rsidRPr="00C55900">
                    <w:rPr>
                      <w:rFonts w:ascii="Calibri" w:hAnsi="Calibri" w:cs="Arial"/>
                      <w:sz w:val="22"/>
                      <w:szCs w:val="22"/>
                      <w:lang w:val="en-US"/>
                    </w:rPr>
                    <w:t>From 1.00 pm to 7.00 pm</w:t>
                  </w:r>
                </w:p>
              </w:tc>
              <w:tc>
                <w:tcPr>
                  <w:tcW w:w="934" w:type="dxa"/>
                  <w:shd w:val="clear" w:color="auto" w:fill="auto"/>
                  <w:noWrap/>
                </w:tcPr>
                <w:p w:rsidR="00351477" w:rsidRPr="00C55900" w:rsidRDefault="00351477" w:rsidP="00351477">
                  <w:pPr>
                    <w:widowControl w:val="0"/>
                    <w:jc w:val="center"/>
                    <w:rPr>
                      <w:rFonts w:ascii="Calibri" w:hAnsi="Calibri" w:cs="Arial"/>
                      <w:sz w:val="22"/>
                      <w:szCs w:val="22"/>
                      <w:lang w:val="en-US"/>
                    </w:rPr>
                  </w:pPr>
                  <w:r w:rsidRPr="00C55900">
                    <w:rPr>
                      <w:rFonts w:ascii="Calibri" w:hAnsi="Calibri" w:cs="Arial"/>
                      <w:sz w:val="22"/>
                      <w:szCs w:val="22"/>
                      <w:lang w:val="en-US"/>
                    </w:rPr>
                    <w:t>114,0</w:t>
                  </w:r>
                </w:p>
              </w:tc>
            </w:tr>
            <w:tr w:rsidR="00351477" w:rsidRPr="00EA720F" w:rsidTr="00351477">
              <w:trPr>
                <w:cantSplit/>
                <w:trHeight w:val="20"/>
              </w:trPr>
              <w:tc>
                <w:tcPr>
                  <w:tcW w:w="1920" w:type="dxa"/>
                  <w:shd w:val="clear" w:color="auto" w:fill="C2D69B"/>
                  <w:noWrap/>
                </w:tcPr>
                <w:p w:rsidR="00351477" w:rsidRPr="00A9366F" w:rsidRDefault="003F0B3E" w:rsidP="00351477">
                  <w:pPr>
                    <w:widowControl w:val="0"/>
                    <w:jc w:val="center"/>
                    <w:rPr>
                      <w:rFonts w:ascii="Calibri" w:hAnsi="Calibri" w:cs="Arial"/>
                      <w:b/>
                      <w:szCs w:val="20"/>
                      <w:lang w:val="en-US"/>
                    </w:rPr>
                  </w:pPr>
                  <w:r w:rsidRPr="00A9366F">
                    <w:rPr>
                      <w:rFonts w:ascii="Calibri" w:hAnsi="Calibri" w:cs="Arial"/>
                      <w:b/>
                      <w:szCs w:val="20"/>
                      <w:lang w:val="en-US"/>
                    </w:rPr>
                    <w:t>Total</w:t>
                  </w:r>
                </w:p>
              </w:tc>
              <w:tc>
                <w:tcPr>
                  <w:tcW w:w="934" w:type="dxa"/>
                  <w:shd w:val="clear" w:color="auto" w:fill="C2D69B"/>
                  <w:noWrap/>
                </w:tcPr>
                <w:p w:rsidR="00351477" w:rsidRPr="00A9366F" w:rsidRDefault="00351477" w:rsidP="00351477">
                  <w:pPr>
                    <w:widowControl w:val="0"/>
                    <w:jc w:val="center"/>
                    <w:rPr>
                      <w:rFonts w:ascii="Calibri" w:hAnsi="Calibri" w:cs="Arial"/>
                      <w:szCs w:val="20"/>
                      <w:lang w:val="en-US"/>
                    </w:rPr>
                  </w:pPr>
                </w:p>
              </w:tc>
            </w:tr>
          </w:tbl>
          <w:p w:rsidR="00351477" w:rsidRPr="00A9366F" w:rsidRDefault="003F0B3E" w:rsidP="003F0B3E">
            <w:pPr>
              <w:widowControl w:val="0"/>
              <w:jc w:val="center"/>
              <w:rPr>
                <w:rFonts w:ascii="Calibri" w:hAnsi="Calibri" w:cs="Arial"/>
                <w:b/>
                <w:spacing w:val="-4"/>
                <w:sz w:val="30"/>
                <w:szCs w:val="30"/>
                <w:lang w:val="en-US"/>
              </w:rPr>
            </w:pPr>
            <w:r w:rsidRPr="00A9366F">
              <w:rPr>
                <w:rFonts w:ascii="Calibri" w:hAnsi="Calibri" w:cs="Arial"/>
                <w:b/>
                <w:lang w:val="en-US"/>
              </w:rPr>
              <w:t>ISMT tariffs</w:t>
            </w:r>
          </w:p>
        </w:tc>
      </w:tr>
    </w:tbl>
    <w:p w:rsidR="009E09D9" w:rsidRPr="00A9366F" w:rsidRDefault="00EF783B" w:rsidP="00DE28E2">
      <w:pPr>
        <w:widowControl w:val="0"/>
        <w:autoSpaceDE w:val="0"/>
        <w:autoSpaceDN w:val="0"/>
        <w:adjustRightInd w:val="0"/>
        <w:jc w:val="both"/>
        <w:rPr>
          <w:rFonts w:ascii="Calibri" w:hAnsi="Calibri" w:cs="Arial"/>
          <w:spacing w:val="-4"/>
          <w:sz w:val="30"/>
          <w:szCs w:val="30"/>
          <w:lang w:val="en-US"/>
        </w:rPr>
      </w:pPr>
      <w:r w:rsidRPr="00A9366F">
        <w:rPr>
          <w:rFonts w:ascii="Calibri" w:hAnsi="Calibri" w:cs="Arial"/>
          <w:spacing w:val="-4"/>
          <w:sz w:val="30"/>
          <w:szCs w:val="30"/>
          <w:lang w:val="en-US"/>
        </w:rPr>
        <w:t>The ISMT capacity is 23 messages per second</w:t>
      </w:r>
      <w:r w:rsidR="009E09D9" w:rsidRPr="00A9366F">
        <w:rPr>
          <w:rFonts w:ascii="Calibri" w:hAnsi="Calibri" w:cs="Arial"/>
          <w:spacing w:val="-4"/>
          <w:sz w:val="30"/>
          <w:szCs w:val="30"/>
          <w:lang w:val="en-US"/>
        </w:rPr>
        <w:t xml:space="preserve">. </w:t>
      </w:r>
    </w:p>
    <w:p w:rsidR="00687214" w:rsidRPr="00A9366F" w:rsidRDefault="00687214" w:rsidP="009E09D9">
      <w:pPr>
        <w:widowControl w:val="0"/>
        <w:rPr>
          <w:sz w:val="30"/>
          <w:szCs w:val="30"/>
          <w:lang w:val="en-US"/>
        </w:rPr>
      </w:pPr>
      <w:bookmarkStart w:id="65" w:name="_Toc470534236"/>
    </w:p>
    <w:p w:rsidR="009E09D9" w:rsidRPr="00A9366F" w:rsidRDefault="00A30B7D" w:rsidP="009E09D9">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bookmarkStart w:id="66" w:name="_Toc485626998"/>
      <w:r w:rsidRPr="00A9366F">
        <w:rPr>
          <w:rFonts w:ascii="Calibri" w:hAnsi="Calibri"/>
          <w:bCs w:val="0"/>
          <w:snapToGrid w:val="0"/>
          <w:color w:val="0E4C28"/>
          <w:spacing w:val="-2"/>
          <w:kern w:val="0"/>
          <w:lang w:val="en-US"/>
        </w:rPr>
        <w:t>1</w:t>
      </w:r>
      <w:r w:rsidR="009E09D9" w:rsidRPr="00A9366F">
        <w:rPr>
          <w:rFonts w:ascii="Calibri" w:hAnsi="Calibri"/>
          <w:bCs w:val="0"/>
          <w:snapToGrid w:val="0"/>
          <w:color w:val="0E4C28"/>
          <w:spacing w:val="-2"/>
          <w:kern w:val="0"/>
          <w:lang w:val="en-US"/>
        </w:rPr>
        <w:t>.</w:t>
      </w:r>
      <w:r w:rsidR="00DE28E2" w:rsidRPr="00A9366F">
        <w:rPr>
          <w:rFonts w:ascii="Calibri" w:hAnsi="Calibri"/>
          <w:bCs w:val="0"/>
          <w:snapToGrid w:val="0"/>
          <w:color w:val="0E4C28"/>
          <w:spacing w:val="-2"/>
          <w:kern w:val="0"/>
          <w:lang w:val="en-US"/>
        </w:rPr>
        <w:t>5</w:t>
      </w:r>
      <w:r w:rsidR="009E09D9" w:rsidRPr="00A9366F">
        <w:rPr>
          <w:rFonts w:ascii="Calibri" w:hAnsi="Calibri"/>
          <w:bCs w:val="0"/>
          <w:snapToGrid w:val="0"/>
          <w:color w:val="0E4C28"/>
          <w:spacing w:val="-2"/>
          <w:kern w:val="0"/>
          <w:lang w:val="en-US"/>
        </w:rPr>
        <w:t xml:space="preserve">. </w:t>
      </w:r>
      <w:bookmarkEnd w:id="65"/>
      <w:r w:rsidR="00EF783B" w:rsidRPr="00A9366F">
        <w:rPr>
          <w:rFonts w:ascii="Calibri" w:hAnsi="Calibri"/>
          <w:bCs w:val="0"/>
          <w:snapToGrid w:val="0"/>
          <w:color w:val="0E4C28"/>
          <w:spacing w:val="-2"/>
          <w:kern w:val="0"/>
          <w:lang w:val="en-US"/>
        </w:rPr>
        <w:t>IC</w:t>
      </w:r>
      <w:r w:rsidR="0098131D" w:rsidRPr="00EA720F">
        <w:rPr>
          <w:rFonts w:ascii="Calibri" w:hAnsi="Calibri"/>
          <w:bCs w:val="0"/>
          <w:snapToGrid w:val="0"/>
          <w:color w:val="0E4C28"/>
          <w:spacing w:val="-2"/>
          <w:kern w:val="0"/>
          <w:lang w:val="en-US"/>
        </w:rPr>
        <w:t>S</w:t>
      </w:r>
      <w:r w:rsidR="00EF783B" w:rsidRPr="00A9366F">
        <w:rPr>
          <w:rFonts w:ascii="Calibri" w:hAnsi="Calibri"/>
          <w:bCs w:val="0"/>
          <w:snapToGrid w:val="0"/>
          <w:color w:val="0E4C28"/>
          <w:spacing w:val="-2"/>
          <w:kern w:val="0"/>
          <w:lang w:val="en-US"/>
        </w:rPr>
        <w:t xml:space="preserve"> performance indicators</w:t>
      </w:r>
      <w:bookmarkEnd w:id="66"/>
      <w:r w:rsidR="00EF783B" w:rsidRPr="00A9366F">
        <w:rPr>
          <w:rFonts w:ascii="Calibri" w:hAnsi="Calibri"/>
          <w:bCs w:val="0"/>
          <w:snapToGrid w:val="0"/>
          <w:color w:val="0E4C28"/>
          <w:spacing w:val="-2"/>
          <w:kern w:val="0"/>
          <w:lang w:val="en-US"/>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580"/>
      </w:tblGrid>
      <w:tr w:rsidR="009E09D9" w:rsidRPr="00A9366F" w:rsidTr="00015E28">
        <w:tc>
          <w:tcPr>
            <w:tcW w:w="4428" w:type="dxa"/>
            <w:tcBorders>
              <w:top w:val="nil"/>
              <w:left w:val="nil"/>
              <w:bottom w:val="nil"/>
              <w:right w:val="nil"/>
            </w:tcBorders>
            <w:shd w:val="clear" w:color="auto" w:fill="auto"/>
          </w:tcPr>
          <w:p w:rsidR="00D96100" w:rsidRPr="00A9366F" w:rsidRDefault="00D96100" w:rsidP="00F03F68">
            <w:pPr>
              <w:widowControl w:val="0"/>
              <w:spacing w:line="235" w:lineRule="auto"/>
              <w:ind w:firstLine="720"/>
              <w:jc w:val="both"/>
              <w:rPr>
                <w:rFonts w:ascii="Calibri" w:hAnsi="Calibri" w:cs="Arial"/>
                <w:sz w:val="30"/>
                <w:szCs w:val="30"/>
                <w:lang w:val="en-US"/>
              </w:rPr>
            </w:pPr>
            <w:r w:rsidRPr="00A9366F">
              <w:rPr>
                <w:rFonts w:ascii="Calibri" w:hAnsi="Calibri" w:cs="Arial"/>
                <w:b/>
                <w:sz w:val="30"/>
                <w:szCs w:val="30"/>
                <w:lang w:val="en-US"/>
              </w:rPr>
              <w:t xml:space="preserve">21.3 million </w:t>
            </w:r>
            <w:proofErr w:type="gramStart"/>
            <w:r w:rsidRPr="00A9366F">
              <w:rPr>
                <w:rFonts w:ascii="Calibri" w:hAnsi="Calibri" w:cs="Arial"/>
                <w:b/>
                <w:sz w:val="30"/>
                <w:szCs w:val="30"/>
                <w:lang w:val="en-US"/>
              </w:rPr>
              <w:t>electronic</w:t>
            </w:r>
            <w:proofErr w:type="gramEnd"/>
            <w:r w:rsidRPr="00A9366F">
              <w:rPr>
                <w:rFonts w:ascii="Calibri" w:hAnsi="Calibri" w:cs="Arial"/>
                <w:b/>
                <w:sz w:val="30"/>
                <w:szCs w:val="30"/>
                <w:lang w:val="en-US"/>
              </w:rPr>
              <w:t xml:space="preserve"> payment messages </w:t>
            </w:r>
            <w:r w:rsidR="00EF783B" w:rsidRPr="00A9366F">
              <w:rPr>
                <w:rFonts w:ascii="Calibri" w:hAnsi="Calibri" w:cs="Arial"/>
                <w:b/>
                <w:sz w:val="30"/>
                <w:szCs w:val="30"/>
                <w:lang w:val="en-US"/>
              </w:rPr>
              <w:t xml:space="preserve">for KZT 6.0 trillion </w:t>
            </w:r>
            <w:r w:rsidRPr="00A9366F">
              <w:rPr>
                <w:rFonts w:ascii="Calibri" w:hAnsi="Calibri" w:cs="Arial"/>
                <w:b/>
                <w:sz w:val="30"/>
                <w:szCs w:val="30"/>
                <w:lang w:val="en-US"/>
              </w:rPr>
              <w:t xml:space="preserve">were processed </w:t>
            </w:r>
            <w:r w:rsidR="00EF783B" w:rsidRPr="00A9366F">
              <w:rPr>
                <w:rFonts w:ascii="Calibri" w:hAnsi="Calibri" w:cs="Arial"/>
                <w:b/>
                <w:sz w:val="30"/>
                <w:szCs w:val="30"/>
                <w:lang w:val="en-US"/>
              </w:rPr>
              <w:t>in ICS during 2016</w:t>
            </w:r>
            <w:r w:rsidRPr="00A9366F">
              <w:rPr>
                <w:lang w:val="en-US"/>
              </w:rPr>
              <w:t xml:space="preserve">. </w:t>
            </w:r>
            <w:r w:rsidRPr="00A9366F">
              <w:rPr>
                <w:rFonts w:ascii="Calibri" w:hAnsi="Calibri" w:cs="Arial"/>
                <w:sz w:val="30"/>
                <w:szCs w:val="30"/>
                <w:lang w:val="en-US"/>
              </w:rPr>
              <w:t xml:space="preserve">Compared </w:t>
            </w:r>
            <w:r w:rsidR="00812573" w:rsidRPr="00A9366F">
              <w:rPr>
                <w:rFonts w:ascii="Calibri" w:hAnsi="Calibri" w:cs="Arial"/>
                <w:sz w:val="30"/>
                <w:szCs w:val="30"/>
                <w:lang w:val="en-US"/>
              </w:rPr>
              <w:t>with</w:t>
            </w:r>
            <w:r w:rsidRPr="00A9366F">
              <w:rPr>
                <w:rFonts w:ascii="Calibri" w:hAnsi="Calibri" w:cs="Arial"/>
                <w:sz w:val="30"/>
                <w:szCs w:val="30"/>
                <w:lang w:val="en-US"/>
              </w:rPr>
              <w:t xml:space="preserve"> 2015, </w:t>
            </w:r>
            <w:r w:rsidR="00EF783B" w:rsidRPr="00A9366F">
              <w:rPr>
                <w:rFonts w:ascii="Calibri" w:hAnsi="Calibri" w:cs="Arial"/>
                <w:sz w:val="30"/>
                <w:szCs w:val="30"/>
                <w:lang w:val="en-US"/>
              </w:rPr>
              <w:t xml:space="preserve">a </w:t>
            </w:r>
            <w:r w:rsidRPr="00A9366F">
              <w:rPr>
                <w:rFonts w:ascii="Calibri" w:hAnsi="Calibri" w:cs="Arial"/>
                <w:sz w:val="30"/>
                <w:szCs w:val="30"/>
                <w:lang w:val="en-US"/>
              </w:rPr>
              <w:t xml:space="preserve">number of payment messages in the clearing system decreased by 1.8%, </w:t>
            </w:r>
            <w:r w:rsidR="00EF783B" w:rsidRPr="00A9366F">
              <w:rPr>
                <w:rFonts w:ascii="Calibri" w:hAnsi="Calibri" w:cs="Arial"/>
                <w:sz w:val="30"/>
                <w:szCs w:val="30"/>
                <w:lang w:val="en-US"/>
              </w:rPr>
              <w:t xml:space="preserve">while </w:t>
            </w:r>
            <w:r w:rsidRPr="00A9366F">
              <w:rPr>
                <w:rFonts w:ascii="Calibri" w:hAnsi="Calibri" w:cs="Arial"/>
                <w:sz w:val="30"/>
                <w:szCs w:val="30"/>
                <w:lang w:val="en-US"/>
              </w:rPr>
              <w:t xml:space="preserve">the amount of payments increased by 8.9%. </w:t>
            </w:r>
            <w:r w:rsidR="00EF783B" w:rsidRPr="00A9366F">
              <w:rPr>
                <w:rFonts w:ascii="Calibri" w:hAnsi="Calibri" w:cs="Arial"/>
                <w:sz w:val="30"/>
                <w:szCs w:val="30"/>
                <w:lang w:val="en-US"/>
              </w:rPr>
              <w:t xml:space="preserve">On average, 86.9 thousand of payment messages for KZT 24.6 billion were </w:t>
            </w:r>
            <w:r w:rsidR="00275EAB" w:rsidRPr="00A9366F">
              <w:rPr>
                <w:rFonts w:ascii="Calibri" w:hAnsi="Calibri" w:cs="Arial"/>
                <w:sz w:val="30"/>
                <w:szCs w:val="30"/>
                <w:lang w:val="en-US"/>
              </w:rPr>
              <w:t xml:space="preserve">settled </w:t>
            </w:r>
            <w:r w:rsidR="00EF783B" w:rsidRPr="00A9366F">
              <w:rPr>
                <w:rFonts w:ascii="Calibri" w:hAnsi="Calibri" w:cs="Arial"/>
                <w:sz w:val="30"/>
                <w:szCs w:val="30"/>
                <w:lang w:val="en-US"/>
              </w:rPr>
              <w:t xml:space="preserve">per day during </w:t>
            </w:r>
            <w:r w:rsidRPr="00A9366F">
              <w:rPr>
                <w:rFonts w:ascii="Calibri" w:hAnsi="Calibri" w:cs="Arial"/>
                <w:sz w:val="30"/>
                <w:szCs w:val="30"/>
                <w:lang w:val="en-US"/>
              </w:rPr>
              <w:t>2016.</w:t>
            </w:r>
          </w:p>
          <w:p w:rsidR="009E09D9" w:rsidRPr="00A9366F" w:rsidRDefault="009E09D9" w:rsidP="00F03F68">
            <w:pPr>
              <w:widowControl w:val="0"/>
              <w:spacing w:line="235" w:lineRule="auto"/>
              <w:ind w:firstLine="720"/>
              <w:jc w:val="both"/>
              <w:rPr>
                <w:rFonts w:ascii="Calibri" w:hAnsi="Calibri" w:cs="Arial"/>
                <w:sz w:val="30"/>
                <w:szCs w:val="30"/>
                <w:lang w:val="en-US"/>
              </w:rPr>
            </w:pPr>
          </w:p>
        </w:tc>
        <w:tc>
          <w:tcPr>
            <w:tcW w:w="5580" w:type="dxa"/>
            <w:tcBorders>
              <w:top w:val="nil"/>
              <w:left w:val="nil"/>
              <w:bottom w:val="nil"/>
              <w:right w:val="nil"/>
            </w:tcBorders>
            <w:shd w:val="clear" w:color="auto" w:fill="auto"/>
          </w:tcPr>
          <w:p w:rsidR="009E09D9" w:rsidRPr="00A9366F" w:rsidRDefault="00DA6A33" w:rsidP="00DA6A33">
            <w:pPr>
              <w:widowControl w:val="0"/>
              <w:spacing w:line="235" w:lineRule="auto"/>
              <w:jc w:val="center"/>
              <w:rPr>
                <w:rFonts w:ascii="Calibri" w:hAnsi="Calibri" w:cs="Arial"/>
                <w:sz w:val="30"/>
                <w:szCs w:val="30"/>
                <w:lang w:val="en-US"/>
              </w:rPr>
            </w:pPr>
            <w:r w:rsidRPr="00A9366F">
              <w:rPr>
                <w:rFonts w:ascii="Calibri" w:hAnsi="Calibri" w:cs="Arial"/>
                <w:b/>
                <w:lang w:val="en-US"/>
              </w:rPr>
              <w:t>Dynamics in payment flows in ICS</w:t>
            </w:r>
            <w:r w:rsidR="00B41594" w:rsidRPr="00A9366F">
              <w:rPr>
                <w:rFonts w:ascii="Calibri" w:hAnsi="Calibri" w:cs="Arial"/>
                <w:noProof/>
                <w:sz w:val="30"/>
                <w:szCs w:val="30"/>
              </w:rPr>
              <w:drawing>
                <wp:inline distT="0" distB="0" distL="0" distR="0" wp14:anchorId="045BE93C" wp14:editId="550F61D0">
                  <wp:extent cx="3304540" cy="1496695"/>
                  <wp:effectExtent l="0" t="0" r="0" b="8255"/>
                  <wp:docPr id="10" name="Диаграмма 6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E09D9" w:rsidRPr="00A9366F" w:rsidRDefault="00B41594" w:rsidP="00015E28">
            <w:pPr>
              <w:widowControl w:val="0"/>
              <w:spacing w:line="235" w:lineRule="auto"/>
              <w:jc w:val="both"/>
              <w:rPr>
                <w:rFonts w:ascii="Calibri" w:hAnsi="Calibri" w:cs="Arial"/>
                <w:sz w:val="30"/>
                <w:szCs w:val="30"/>
                <w:lang w:val="en-US"/>
              </w:rPr>
            </w:pPr>
            <w:r w:rsidRPr="00A9366F">
              <w:rPr>
                <w:rFonts w:ascii="Calibri" w:hAnsi="Calibri" w:cs="Arial"/>
                <w:noProof/>
                <w:sz w:val="30"/>
                <w:szCs w:val="30"/>
              </w:rPr>
              <w:drawing>
                <wp:inline distT="0" distB="0" distL="0" distR="0">
                  <wp:extent cx="3112135" cy="1627505"/>
                  <wp:effectExtent l="0" t="0" r="0" b="0"/>
                  <wp:docPr id="11" name="Диаграмма 6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rsidR="00825442" w:rsidRPr="00A9366F" w:rsidRDefault="00825442" w:rsidP="009E09D9">
      <w:pPr>
        <w:widowControl w:val="0"/>
        <w:spacing w:line="228" w:lineRule="auto"/>
        <w:ind w:firstLine="709"/>
        <w:jc w:val="both"/>
        <w:rPr>
          <w:rFonts w:ascii="Calibri" w:hAnsi="Calibri" w:cs="Arial"/>
          <w:sz w:val="30"/>
          <w:szCs w:val="30"/>
          <w:lang w:val="en-US"/>
        </w:rPr>
      </w:pPr>
      <w:r w:rsidRPr="00A9366F">
        <w:rPr>
          <w:rFonts w:ascii="Calibri" w:hAnsi="Calibri" w:cs="Arial"/>
          <w:sz w:val="30"/>
          <w:szCs w:val="30"/>
          <w:lang w:val="en-US"/>
        </w:rPr>
        <w:t xml:space="preserve">ICS processes mostly </w:t>
      </w:r>
      <w:r w:rsidR="00DA6A33" w:rsidRPr="00A9366F">
        <w:rPr>
          <w:rFonts w:ascii="Calibri" w:hAnsi="Calibri" w:cs="Arial"/>
          <w:sz w:val="30"/>
          <w:szCs w:val="30"/>
          <w:lang w:val="en-US"/>
        </w:rPr>
        <w:t xml:space="preserve">payments of the individuals and economic entities related to </w:t>
      </w:r>
      <w:r w:rsidR="00D96100" w:rsidRPr="00A9366F">
        <w:rPr>
          <w:rFonts w:ascii="Calibri" w:hAnsi="Calibri" w:cs="Arial"/>
          <w:sz w:val="30"/>
          <w:szCs w:val="30"/>
          <w:lang w:val="en-US"/>
        </w:rPr>
        <w:t xml:space="preserve">settlements </w:t>
      </w:r>
      <w:r w:rsidRPr="00A9366F">
        <w:rPr>
          <w:rFonts w:ascii="Calibri" w:hAnsi="Calibri" w:cs="Arial"/>
          <w:sz w:val="30"/>
          <w:szCs w:val="30"/>
          <w:lang w:val="en-US"/>
        </w:rPr>
        <w:t>for the</w:t>
      </w:r>
      <w:r w:rsidR="00D96100" w:rsidRPr="00A9366F">
        <w:rPr>
          <w:rFonts w:ascii="Calibri" w:hAnsi="Calibri" w:cs="Arial"/>
          <w:sz w:val="30"/>
          <w:szCs w:val="30"/>
          <w:lang w:val="en-US"/>
        </w:rPr>
        <w:t xml:space="preserve"> goods and intan</w:t>
      </w:r>
      <w:r w:rsidRPr="00A9366F">
        <w:rPr>
          <w:rFonts w:ascii="Calibri" w:hAnsi="Calibri" w:cs="Arial"/>
          <w:sz w:val="30"/>
          <w:szCs w:val="30"/>
          <w:lang w:val="en-US"/>
        </w:rPr>
        <w:t>gible assets, services provided</w:t>
      </w:r>
      <w:r w:rsidR="00D96100" w:rsidRPr="00A9366F">
        <w:rPr>
          <w:rFonts w:ascii="Calibri" w:hAnsi="Calibri" w:cs="Arial"/>
          <w:sz w:val="30"/>
          <w:szCs w:val="30"/>
          <w:lang w:val="en-US"/>
        </w:rPr>
        <w:t xml:space="preserve"> </w:t>
      </w:r>
      <w:r w:rsidRPr="00A9366F">
        <w:rPr>
          <w:rFonts w:ascii="Calibri" w:hAnsi="Calibri" w:cs="Arial"/>
          <w:sz w:val="30"/>
          <w:szCs w:val="30"/>
          <w:lang w:val="en-US"/>
        </w:rPr>
        <w:t>and</w:t>
      </w:r>
      <w:r w:rsidR="00D96100" w:rsidRPr="00A9366F">
        <w:rPr>
          <w:rFonts w:ascii="Calibri" w:hAnsi="Calibri" w:cs="Arial"/>
          <w:sz w:val="30"/>
          <w:szCs w:val="30"/>
          <w:lang w:val="en-US"/>
        </w:rPr>
        <w:t xml:space="preserve"> payments to the budget (payment of taxes and other mandatory payments to the budget) and payments from the budget.</w:t>
      </w:r>
    </w:p>
    <w:p w:rsidR="00D96100" w:rsidRPr="00A9366F" w:rsidRDefault="00D96100" w:rsidP="009E09D9">
      <w:pPr>
        <w:widowControl w:val="0"/>
        <w:spacing w:line="228" w:lineRule="auto"/>
        <w:ind w:firstLine="709"/>
        <w:jc w:val="both"/>
        <w:rPr>
          <w:rFonts w:ascii="Calibri" w:hAnsi="Calibri" w:cs="Arial"/>
          <w:sz w:val="30"/>
          <w:szCs w:val="30"/>
          <w:lang w:val="en-US"/>
        </w:rPr>
      </w:pPr>
      <w:r w:rsidRPr="00A9366F">
        <w:rPr>
          <w:rFonts w:ascii="Calibri" w:hAnsi="Calibri" w:cs="Arial"/>
          <w:sz w:val="30"/>
          <w:szCs w:val="30"/>
          <w:lang w:val="en-US"/>
        </w:rPr>
        <w:t xml:space="preserve">The main impact on the increase in payments </w:t>
      </w:r>
      <w:r w:rsidR="00825442" w:rsidRPr="00A9366F">
        <w:rPr>
          <w:rFonts w:ascii="Calibri" w:hAnsi="Calibri" w:cs="Arial"/>
          <w:sz w:val="30"/>
          <w:szCs w:val="30"/>
          <w:lang w:val="en-US"/>
        </w:rPr>
        <w:t xml:space="preserve">in ICS has been due to </w:t>
      </w:r>
      <w:r w:rsidRPr="00A9366F">
        <w:rPr>
          <w:rFonts w:ascii="Calibri" w:hAnsi="Calibri" w:cs="Arial"/>
          <w:sz w:val="30"/>
          <w:szCs w:val="30"/>
          <w:lang w:val="en-US"/>
        </w:rPr>
        <w:t>increase in the volume of payments</w:t>
      </w:r>
      <w:r w:rsidR="00825442" w:rsidRPr="00A9366F">
        <w:rPr>
          <w:rFonts w:ascii="Calibri" w:hAnsi="Calibri" w:cs="Arial"/>
          <w:sz w:val="30"/>
          <w:szCs w:val="30"/>
          <w:lang w:val="en-US"/>
        </w:rPr>
        <w:t xml:space="preserve"> for</w:t>
      </w:r>
      <w:r w:rsidRPr="00A9366F">
        <w:rPr>
          <w:rFonts w:ascii="Calibri" w:hAnsi="Calibri" w:cs="Arial"/>
          <w:sz w:val="30"/>
          <w:szCs w:val="30"/>
          <w:lang w:val="en-US"/>
        </w:rPr>
        <w:t xml:space="preserve"> transactions</w:t>
      </w:r>
      <w:r w:rsidR="00825442" w:rsidRPr="00A9366F">
        <w:rPr>
          <w:rFonts w:ascii="Calibri" w:hAnsi="Calibri" w:cs="Arial"/>
          <w:sz w:val="30"/>
          <w:szCs w:val="30"/>
          <w:lang w:val="en-US"/>
        </w:rPr>
        <w:t xml:space="preserve"> related to goods - by</w:t>
      </w:r>
      <w:r w:rsidRPr="00A9366F">
        <w:rPr>
          <w:rFonts w:ascii="Calibri" w:hAnsi="Calibri" w:cs="Arial"/>
          <w:sz w:val="30"/>
          <w:szCs w:val="30"/>
          <w:lang w:val="en-US"/>
        </w:rPr>
        <w:t xml:space="preserve"> 8.6%, services - by 6.0% and </w:t>
      </w:r>
      <w:r w:rsidR="00825442" w:rsidRPr="00A9366F">
        <w:rPr>
          <w:rFonts w:ascii="Calibri" w:hAnsi="Calibri" w:cs="Arial"/>
          <w:sz w:val="30"/>
          <w:szCs w:val="30"/>
          <w:lang w:val="en-US"/>
        </w:rPr>
        <w:t>deposit transactions -</w:t>
      </w:r>
      <w:r w:rsidRPr="00A9366F">
        <w:rPr>
          <w:rFonts w:ascii="Calibri" w:hAnsi="Calibri" w:cs="Arial"/>
          <w:sz w:val="30"/>
          <w:szCs w:val="30"/>
          <w:lang w:val="en-US"/>
        </w:rPr>
        <w:t xml:space="preserve"> by 21.0%.</w:t>
      </w:r>
    </w:p>
    <w:p w:rsidR="00956D7B" w:rsidRPr="002C72D1" w:rsidRDefault="00956D7B" w:rsidP="009E09D9">
      <w:pPr>
        <w:jc w:val="center"/>
        <w:rPr>
          <w:rFonts w:ascii="Calibri" w:hAnsi="Calibri" w:cs="Arial"/>
          <w:b/>
          <w:color w:val="0E4C28"/>
          <w:sz w:val="28"/>
          <w:szCs w:val="28"/>
          <w:lang w:val="en-US"/>
        </w:rPr>
      </w:pPr>
    </w:p>
    <w:p w:rsidR="0098131D" w:rsidRDefault="00267F74" w:rsidP="009E09D9">
      <w:pPr>
        <w:jc w:val="center"/>
        <w:rPr>
          <w:rFonts w:ascii="Calibri" w:hAnsi="Calibri" w:cs="Arial"/>
          <w:noProof/>
          <w:sz w:val="30"/>
          <w:szCs w:val="30"/>
          <w:lang w:val="en-US"/>
        </w:rPr>
      </w:pPr>
      <w:r w:rsidRPr="00A9366F">
        <w:rPr>
          <w:rFonts w:ascii="Calibri" w:hAnsi="Calibri" w:cs="Arial"/>
          <w:b/>
          <w:color w:val="0E4C28"/>
          <w:sz w:val="28"/>
          <w:szCs w:val="28"/>
          <w:lang w:val="en-US"/>
        </w:rPr>
        <w:t xml:space="preserve">Dynamics in payments by types of purposes of payments in ICS </w:t>
      </w:r>
      <w:r w:rsidR="009E09D9" w:rsidRPr="00A9366F">
        <w:rPr>
          <w:rFonts w:ascii="Calibri" w:hAnsi="Calibri" w:cs="Arial"/>
          <w:noProof/>
          <w:sz w:val="30"/>
          <w:szCs w:val="30"/>
          <w:lang w:val="en-US"/>
        </w:rPr>
        <w:t xml:space="preserve"> </w:t>
      </w:r>
    </w:p>
    <w:p w:rsidR="009E09D9" w:rsidRPr="00A9366F" w:rsidRDefault="00FB60A9" w:rsidP="009E09D9">
      <w:pPr>
        <w:jc w:val="center"/>
        <w:rPr>
          <w:rFonts w:ascii="Calibri" w:hAnsi="Calibri" w:cs="Arial"/>
          <w:b/>
          <w:sz w:val="20"/>
          <w:szCs w:val="20"/>
          <w:lang w:val="en-US"/>
        </w:rPr>
      </w:pPr>
      <w:r w:rsidRPr="00A9366F">
        <w:rPr>
          <w:noProof/>
        </w:rPr>
        <mc:AlternateContent>
          <mc:Choice Requires="wps">
            <w:drawing>
              <wp:anchor distT="0" distB="0" distL="114300" distR="114300" simplePos="0" relativeHeight="251654144" behindDoc="0" locked="0" layoutInCell="1" allowOverlap="1">
                <wp:simplePos x="0" y="0"/>
                <wp:positionH relativeFrom="column">
                  <wp:posOffset>5161915</wp:posOffset>
                </wp:positionH>
                <wp:positionV relativeFrom="paragraph">
                  <wp:posOffset>186055</wp:posOffset>
                </wp:positionV>
                <wp:extent cx="723900" cy="215265"/>
                <wp:effectExtent l="0" t="0" r="0" b="444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5265"/>
                        </a:xfrm>
                        <a:prstGeom prst="rect">
                          <a:avLst/>
                        </a:prstGeom>
                        <a:noFill/>
                        <a:ln w="9525">
                          <a:noFill/>
                          <a:miter lim="800000"/>
                          <a:headEnd/>
                          <a:tailEnd/>
                        </a:ln>
                      </wps:spPr>
                      <wps:txbx>
                        <w:txbxContent>
                          <w:p w:rsidR="00541D5F" w:rsidRPr="00267F74" w:rsidRDefault="00541D5F" w:rsidP="009E09D9">
                            <w:pPr>
                              <w:rPr>
                                <w:rFonts w:ascii="Calibri" w:hAnsi="Calibri"/>
                                <w:sz w:val="16"/>
                                <w:lang w:val="en-US"/>
                              </w:rPr>
                            </w:pPr>
                            <w:r>
                              <w:rPr>
                                <w:rFonts w:ascii="Calibri" w:hAnsi="Calibri"/>
                                <w:sz w:val="16"/>
                                <w:lang w:val="en-US"/>
                              </w:rPr>
                              <w:t>KZT billion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Надпись 2" o:spid="_x0000_s1038" type="#_x0000_t202" style="position:absolute;left:0;text-align:left;margin-left:406.45pt;margin-top:14.65pt;width:57pt;height:16.9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" filled="f" stroked="f">
                <v:textbox style="mso-fit-shape-to-text:t">
                  <w:txbxContent>
                    <w:p w:rsidR="00541D5F" w:rsidRPr="00267F74" w:rsidRDefault="00541D5F" w:rsidP="009E09D9">
                      <w:pPr>
                        <w:rPr>
                          <w:rFonts w:ascii="Calibri" w:hAnsi="Calibri"/>
                          <w:sz w:val="16"/>
                          <w:lang w:val="en-US"/>
                        </w:rPr>
                      </w:pPr>
                      <w:r>
                        <w:rPr>
                          <w:rFonts w:ascii="Calibri" w:hAnsi="Calibri"/>
                          <w:sz w:val="16"/>
                          <w:lang w:val="en-US"/>
                        </w:rPr>
                        <w:t>KZT billion</w:t>
                      </w:r>
                    </w:p>
                  </w:txbxContent>
                </v:textbox>
              </v:shape>
            </w:pict>
          </mc:Fallback>
        </mc:AlternateContent>
      </w:r>
      <w:r w:rsidR="002A0184" w:rsidRPr="00A9366F">
        <w:rPr>
          <w:noProof/>
        </w:rPr>
        <mc:AlternateContent>
          <mc:Choice Requires="wps">
            <w:drawing>
              <wp:anchor distT="0" distB="0" distL="114300" distR="114300" simplePos="0" relativeHeight="251651072" behindDoc="0" locked="0" layoutInCell="1" allowOverlap="1" wp14:anchorId="429B9930" wp14:editId="66508CA5">
                <wp:simplePos x="0" y="0"/>
                <wp:positionH relativeFrom="column">
                  <wp:posOffset>4815205</wp:posOffset>
                </wp:positionH>
                <wp:positionV relativeFrom="paragraph">
                  <wp:posOffset>1787525</wp:posOffset>
                </wp:positionV>
                <wp:extent cx="666750" cy="246380"/>
                <wp:effectExtent l="0" t="0" r="0" b="0"/>
                <wp:wrapNone/>
                <wp:docPr id="4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379.15pt;margin-top:140.75pt;width:52.5pt;height:19.4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6,1%</w:t>
                      </w:r>
                    </w:p>
                  </w:txbxContent>
                </v:textbox>
              </v:shape>
            </w:pict>
          </mc:Fallback>
        </mc:AlternateContent>
      </w:r>
      <w:r w:rsidR="002A0184" w:rsidRPr="00A9366F">
        <w:rPr>
          <w:noProof/>
        </w:rPr>
        <mc:AlternateContent>
          <mc:Choice Requires="wps">
            <w:drawing>
              <wp:anchor distT="0" distB="0" distL="114300" distR="114300" simplePos="0" relativeHeight="251652096" behindDoc="0" locked="0" layoutInCell="1" allowOverlap="1" wp14:anchorId="4B776F97" wp14:editId="4000CCCC">
                <wp:simplePos x="0" y="0"/>
                <wp:positionH relativeFrom="column">
                  <wp:posOffset>5561965</wp:posOffset>
                </wp:positionH>
                <wp:positionV relativeFrom="paragraph">
                  <wp:posOffset>2218055</wp:posOffset>
                </wp:positionV>
                <wp:extent cx="666750" cy="246380"/>
                <wp:effectExtent l="0" t="0" r="0" b="0"/>
                <wp:wrapNone/>
                <wp:docPr id="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437.95pt;margin-top:174.65pt;width:52.5pt;height:19.4pt;z-index:251652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6,0%</w:t>
                      </w:r>
                    </w:p>
                  </w:txbxContent>
                </v:textbox>
              </v:shape>
            </w:pict>
          </mc:Fallback>
        </mc:AlternateContent>
      </w:r>
      <w:r w:rsidR="002A0184" w:rsidRPr="00A9366F">
        <w:rPr>
          <w:noProof/>
        </w:rPr>
        <mc:AlternateContent>
          <mc:Choice Requires="wps">
            <w:drawing>
              <wp:anchor distT="0" distB="0" distL="114300" distR="114300" simplePos="0" relativeHeight="251653120" behindDoc="0" locked="0" layoutInCell="1" allowOverlap="1" wp14:anchorId="79BD78E2" wp14:editId="74D380F1">
                <wp:simplePos x="0" y="0"/>
                <wp:positionH relativeFrom="column">
                  <wp:posOffset>5685155</wp:posOffset>
                </wp:positionH>
                <wp:positionV relativeFrom="paragraph">
                  <wp:posOffset>2618105</wp:posOffset>
                </wp:positionV>
                <wp:extent cx="666750" cy="246380"/>
                <wp:effectExtent l="0" t="0" r="0" b="0"/>
                <wp:wrapNone/>
                <wp:docPr id="4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447.65pt;margin-top:206.15pt;width:52.5pt;height:19.4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8,6%</w:t>
                      </w:r>
                    </w:p>
                  </w:txbxContent>
                </v:textbox>
              </v:shape>
            </w:pict>
          </mc:Fallback>
        </mc:AlternateContent>
      </w:r>
      <w:r w:rsidR="002A0184" w:rsidRPr="00A9366F">
        <w:rPr>
          <w:noProof/>
        </w:rPr>
        <mc:AlternateContent>
          <mc:Choice Requires="wps">
            <w:drawing>
              <wp:anchor distT="0" distB="0" distL="114300" distR="114300" simplePos="0" relativeHeight="251650048" behindDoc="0" locked="0" layoutInCell="1" allowOverlap="1" wp14:anchorId="71068DB7" wp14:editId="2377A28A">
                <wp:simplePos x="0" y="0"/>
                <wp:positionH relativeFrom="column">
                  <wp:posOffset>3543935</wp:posOffset>
                </wp:positionH>
                <wp:positionV relativeFrom="paragraph">
                  <wp:posOffset>1351915</wp:posOffset>
                </wp:positionV>
                <wp:extent cx="666750" cy="246380"/>
                <wp:effectExtent l="0" t="0" r="0" b="0"/>
                <wp:wrapNone/>
                <wp:docPr id="4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21,0%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79.05pt;margin-top:106.45pt;width:52.5pt;height:19.4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21,0%</w:t>
                      </w:r>
                    </w:p>
                  </w:txbxContent>
                </v:textbox>
              </v:shape>
            </w:pict>
          </mc:Fallback>
        </mc:AlternateContent>
      </w:r>
      <w:r w:rsidR="002A0184" w:rsidRPr="00A9366F">
        <w:rPr>
          <w:noProof/>
        </w:rPr>
        <mc:AlternateContent>
          <mc:Choice Requires="wps">
            <w:drawing>
              <wp:anchor distT="0" distB="0" distL="114300" distR="114300" simplePos="0" relativeHeight="251649024" behindDoc="0" locked="0" layoutInCell="1" allowOverlap="1" wp14:anchorId="3FA341C1" wp14:editId="751E56BC">
                <wp:simplePos x="0" y="0"/>
                <wp:positionH relativeFrom="column">
                  <wp:posOffset>3548380</wp:posOffset>
                </wp:positionH>
                <wp:positionV relativeFrom="paragraph">
                  <wp:posOffset>924560</wp:posOffset>
                </wp:positionV>
                <wp:extent cx="736600" cy="246380"/>
                <wp:effectExtent l="0" t="0" r="0" b="0"/>
                <wp:wrapNone/>
                <wp:docPr id="4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46380"/>
                        </a:xfrm>
                        <a:prstGeom prst="rect">
                          <a:avLst/>
                        </a:prstGeom>
                        <a:noFill/>
                        <a:ln w="9525">
                          <a:noFill/>
                          <a:miter lim="800000"/>
                          <a:headEnd/>
                          <a:tailEnd/>
                        </a:ln>
                      </wps:spPr>
                      <wps:txbx>
                        <w:txbxContent>
                          <w:p w:rsidR="00541D5F" w:rsidRPr="00DE28E2" w:rsidRDefault="00541D5F" w:rsidP="009E09D9">
                            <w:pPr>
                              <w:rPr>
                                <w:rFonts w:ascii="Calibri" w:hAnsi="Calibri"/>
                                <w:color w:val="00B050"/>
                                <w:sz w:val="20"/>
                              </w:rPr>
                            </w:pPr>
                            <w:r w:rsidRPr="00DE28E2">
                              <w:rPr>
                                <w:rFonts w:ascii="Calibri" w:hAnsi="Calibri"/>
                                <w:color w:val="00B050"/>
                                <w:sz w:val="20"/>
                              </w:rPr>
                              <w:t>↓ 7,1%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279.4pt;margin-top:72.8pt;width:58pt;height:19.4pt;z-index:251649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" filled="f" stroked="f">
                <v:textbox style="mso-fit-shape-to-text:t">
                  <w:txbxContent>
                    <w:p w:rsidR="00541D5F" w:rsidRPr="00DE28E2" w:rsidRDefault="00541D5F" w:rsidP="009E09D9">
                      <w:pPr>
                        <w:rPr>
                          <w:rFonts w:ascii="Calibri" w:hAnsi="Calibri"/>
                          <w:color w:val="00B050"/>
                          <w:sz w:val="20"/>
                        </w:rPr>
                      </w:pPr>
                      <w:r w:rsidRPr="00DE28E2">
                        <w:rPr>
                          <w:rFonts w:ascii="Calibri" w:hAnsi="Calibri"/>
                          <w:color w:val="00B050"/>
                          <w:sz w:val="20"/>
                        </w:rPr>
                        <w:t>↓ 7,1%</w:t>
                      </w:r>
                    </w:p>
                  </w:txbxContent>
                </v:textbox>
              </v:shape>
            </w:pict>
          </mc:Fallback>
        </mc:AlternateContent>
      </w:r>
      <w:r w:rsidR="002A0184" w:rsidRPr="00A9366F">
        <w:rPr>
          <w:noProof/>
        </w:rPr>
        <mc:AlternateContent>
          <mc:Choice Requires="wps">
            <w:drawing>
              <wp:anchor distT="0" distB="0" distL="114300" distR="114300" simplePos="0" relativeHeight="251646976" behindDoc="0" locked="0" layoutInCell="1" allowOverlap="1" wp14:anchorId="27F27165" wp14:editId="1AF4F65A">
                <wp:simplePos x="0" y="0"/>
                <wp:positionH relativeFrom="column">
                  <wp:posOffset>3545205</wp:posOffset>
                </wp:positionH>
                <wp:positionV relativeFrom="paragraph">
                  <wp:posOffset>181610</wp:posOffset>
                </wp:positionV>
                <wp:extent cx="666750" cy="246380"/>
                <wp:effectExtent l="0" t="0" r="0" b="0"/>
                <wp:wrapNone/>
                <wp:docPr id="4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279.15pt;margin-top:14.3pt;width:52.5pt;height:19.4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33,5%</w:t>
                      </w:r>
                    </w:p>
                  </w:txbxContent>
                </v:textbox>
              </v:shape>
            </w:pict>
          </mc:Fallback>
        </mc:AlternateContent>
      </w:r>
      <w:r w:rsidRPr="00A9366F">
        <w:rPr>
          <w:noProof/>
        </w:rPr>
        <mc:AlternateContent>
          <mc:Choice Requires="wps">
            <w:drawing>
              <wp:anchor distT="0" distB="0" distL="114300" distR="114300" simplePos="0" relativeHeight="251648000" behindDoc="0" locked="0" layoutInCell="1" allowOverlap="1" wp14:anchorId="53413987" wp14:editId="0848C996">
                <wp:simplePos x="0" y="0"/>
                <wp:positionH relativeFrom="column">
                  <wp:posOffset>3545840</wp:posOffset>
                </wp:positionH>
                <wp:positionV relativeFrom="paragraph">
                  <wp:posOffset>527685</wp:posOffset>
                </wp:positionV>
                <wp:extent cx="666750" cy="246380"/>
                <wp:effectExtent l="0" t="0" r="0" b="0"/>
                <wp:wrapNone/>
                <wp:docPr id="4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6380"/>
                        </a:xfrm>
                        <a:prstGeom prst="rect">
                          <a:avLst/>
                        </a:prstGeom>
                        <a:noFill/>
                        <a:ln w="9525">
                          <a:noFill/>
                          <a:miter lim="800000"/>
                          <a:headEnd/>
                          <a:tailEnd/>
                        </a:ln>
                      </wps:spPr>
                      <wps:txbx>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left:0;text-align:left;margin-left:279.2pt;margin-top:41.55pt;width:52.5pt;height:19.4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" filled="f" stroked="f">
                <v:textbox style="mso-fit-shape-to-text:t">
                  <w:txbxContent>
                    <w:p w:rsidR="00541D5F" w:rsidRPr="00015E28" w:rsidRDefault="00541D5F" w:rsidP="009E09D9">
                      <w:pPr>
                        <w:rPr>
                          <w:rFonts w:ascii="Calibri" w:hAnsi="Calibri"/>
                          <w:color w:val="00B050"/>
                          <w:sz w:val="20"/>
                        </w:rPr>
                      </w:pPr>
                      <w:r w:rsidRPr="00DE28E2">
                        <w:rPr>
                          <w:rFonts w:ascii="Calibri" w:hAnsi="Calibri"/>
                          <w:color w:val="00B050"/>
                          <w:sz w:val="20"/>
                        </w:rPr>
                        <w:t>↑</w:t>
                      </w:r>
                      <w:r w:rsidRPr="00015E28">
                        <w:rPr>
                          <w:rFonts w:ascii="Calibri" w:hAnsi="Calibri"/>
                          <w:color w:val="00B050"/>
                          <w:sz w:val="20"/>
                        </w:rPr>
                        <w:t xml:space="preserve"> 31,7%</w:t>
                      </w:r>
                    </w:p>
                  </w:txbxContent>
                </v:textbox>
              </v:shape>
            </w:pict>
          </mc:Fallback>
        </mc:AlternateContent>
      </w:r>
      <w:r w:rsidR="002A0184" w:rsidRPr="002A0184">
        <w:rPr>
          <w:noProof/>
          <w:lang w:val="en-US"/>
        </w:rPr>
        <w:t xml:space="preserve"> </w:t>
      </w:r>
      <w:r w:rsidR="002A0184">
        <w:rPr>
          <w:noProof/>
        </w:rPr>
        <w:drawing>
          <wp:inline distT="0" distB="0" distL="0" distR="0" wp14:anchorId="63C30500" wp14:editId="65FF70AC">
            <wp:extent cx="5592535" cy="3310619"/>
            <wp:effectExtent l="0" t="0" r="8255" b="44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7F74" w:rsidRPr="00A9366F" w:rsidRDefault="00267F74" w:rsidP="009E09D9">
      <w:pPr>
        <w:spacing w:line="233" w:lineRule="auto"/>
        <w:ind w:firstLine="720"/>
        <w:jc w:val="both"/>
        <w:rPr>
          <w:rFonts w:ascii="Calibri" w:hAnsi="Calibri" w:cs="Arial"/>
          <w:sz w:val="30"/>
          <w:szCs w:val="30"/>
          <w:lang w:val="en-US"/>
        </w:rPr>
      </w:pPr>
      <w:r w:rsidRPr="00A9366F">
        <w:rPr>
          <w:rFonts w:ascii="Calibri" w:hAnsi="Calibri" w:cs="Arial"/>
          <w:sz w:val="30"/>
          <w:szCs w:val="30"/>
          <w:lang w:val="en-US"/>
        </w:rPr>
        <w:t>P</w:t>
      </w:r>
      <w:r w:rsidR="00D96100" w:rsidRPr="00A9366F">
        <w:rPr>
          <w:rFonts w:ascii="Calibri" w:hAnsi="Calibri" w:cs="Arial"/>
          <w:sz w:val="30"/>
          <w:szCs w:val="30"/>
          <w:lang w:val="en-US"/>
        </w:rPr>
        <w:t xml:space="preserve">ayments made by individuals </w:t>
      </w:r>
      <w:r w:rsidRPr="00A9366F">
        <w:rPr>
          <w:rFonts w:ascii="Calibri" w:hAnsi="Calibri" w:cs="Arial"/>
          <w:sz w:val="30"/>
          <w:szCs w:val="30"/>
          <w:lang w:val="en-US"/>
        </w:rPr>
        <w:t xml:space="preserve">in ICS accounted for </w:t>
      </w:r>
      <w:r w:rsidR="00D96100" w:rsidRPr="00A9366F">
        <w:rPr>
          <w:rFonts w:ascii="Calibri" w:hAnsi="Calibri" w:cs="Arial"/>
          <w:sz w:val="30"/>
          <w:szCs w:val="30"/>
          <w:lang w:val="en-US"/>
        </w:rPr>
        <w:t xml:space="preserve">8.1% of the total amount of payments, </w:t>
      </w:r>
      <w:r w:rsidRPr="00A9366F">
        <w:rPr>
          <w:rFonts w:ascii="Calibri" w:hAnsi="Calibri" w:cs="Arial"/>
          <w:sz w:val="30"/>
          <w:szCs w:val="30"/>
          <w:lang w:val="en-US"/>
        </w:rPr>
        <w:t xml:space="preserve">while payments of the </w:t>
      </w:r>
      <w:r w:rsidR="00D96100" w:rsidRPr="00A9366F">
        <w:rPr>
          <w:rFonts w:ascii="Calibri" w:hAnsi="Calibri" w:cs="Arial"/>
          <w:sz w:val="30"/>
          <w:szCs w:val="30"/>
          <w:lang w:val="en-US"/>
        </w:rPr>
        <w:t>legal entities</w:t>
      </w:r>
      <w:r w:rsidRPr="00A9366F">
        <w:rPr>
          <w:rFonts w:ascii="Calibri" w:hAnsi="Calibri" w:cs="Arial"/>
          <w:sz w:val="30"/>
          <w:szCs w:val="30"/>
          <w:lang w:val="en-US"/>
        </w:rPr>
        <w:t xml:space="preserve"> accounted for</w:t>
      </w:r>
      <w:r w:rsidR="00D96100" w:rsidRPr="00A9366F">
        <w:rPr>
          <w:rFonts w:ascii="Calibri" w:hAnsi="Calibri" w:cs="Arial"/>
          <w:sz w:val="30"/>
          <w:szCs w:val="30"/>
          <w:lang w:val="en-US"/>
        </w:rPr>
        <w:t xml:space="preserve"> 91.9%, respectively. </w:t>
      </w:r>
      <w:r w:rsidRPr="00A9366F">
        <w:rPr>
          <w:rFonts w:ascii="Calibri" w:hAnsi="Calibri" w:cs="Arial"/>
          <w:sz w:val="30"/>
          <w:szCs w:val="30"/>
          <w:lang w:val="en-US"/>
        </w:rPr>
        <w:t>An</w:t>
      </w:r>
      <w:r w:rsidR="00D96100" w:rsidRPr="00A9366F">
        <w:rPr>
          <w:rFonts w:ascii="Calibri" w:hAnsi="Calibri" w:cs="Arial"/>
          <w:sz w:val="30"/>
          <w:szCs w:val="30"/>
          <w:lang w:val="en-US"/>
        </w:rPr>
        <w:t xml:space="preserve"> average amount of one payment message generated on the basis of </w:t>
      </w:r>
      <w:r w:rsidRPr="00A9366F">
        <w:rPr>
          <w:rFonts w:ascii="Calibri" w:hAnsi="Calibri" w:cs="Arial"/>
          <w:sz w:val="30"/>
          <w:szCs w:val="30"/>
          <w:lang w:val="en-US"/>
        </w:rPr>
        <w:t xml:space="preserve">the instructions of </w:t>
      </w:r>
      <w:r w:rsidR="00D96100" w:rsidRPr="00A9366F">
        <w:rPr>
          <w:rFonts w:ascii="Calibri" w:hAnsi="Calibri" w:cs="Arial"/>
          <w:sz w:val="30"/>
          <w:szCs w:val="30"/>
          <w:lang w:val="en-US"/>
        </w:rPr>
        <w:t xml:space="preserve">a legal entity </w:t>
      </w:r>
      <w:r w:rsidRPr="00A9366F">
        <w:rPr>
          <w:rFonts w:ascii="Calibri" w:hAnsi="Calibri" w:cs="Arial"/>
          <w:sz w:val="30"/>
          <w:szCs w:val="30"/>
          <w:lang w:val="en-US"/>
        </w:rPr>
        <w:t>was KZT</w:t>
      </w:r>
      <w:r w:rsidR="00D96100" w:rsidRPr="00A9366F">
        <w:rPr>
          <w:rFonts w:ascii="Calibri" w:hAnsi="Calibri" w:cs="Arial"/>
          <w:sz w:val="30"/>
          <w:szCs w:val="30"/>
          <w:lang w:val="en-US"/>
        </w:rPr>
        <w:t xml:space="preserve"> 38.8 thousand</w:t>
      </w:r>
      <w:r w:rsidRPr="00A9366F">
        <w:rPr>
          <w:rFonts w:ascii="Calibri" w:hAnsi="Calibri" w:cs="Arial"/>
          <w:sz w:val="30"/>
          <w:szCs w:val="30"/>
          <w:lang w:val="en-US"/>
        </w:rPr>
        <w:t>. An</w:t>
      </w:r>
      <w:r w:rsidR="00D96100" w:rsidRPr="00A9366F">
        <w:rPr>
          <w:rFonts w:ascii="Calibri" w:hAnsi="Calibri" w:cs="Arial"/>
          <w:sz w:val="30"/>
          <w:szCs w:val="30"/>
          <w:lang w:val="en-US"/>
        </w:rPr>
        <w:t xml:space="preserve"> average amount of one payment message in </w:t>
      </w:r>
      <w:r w:rsidR="00B65DF1" w:rsidRPr="00A9366F">
        <w:rPr>
          <w:rFonts w:ascii="Calibri" w:hAnsi="Calibri" w:cs="Arial"/>
          <w:sz w:val="30"/>
          <w:szCs w:val="30"/>
          <w:lang w:val="en-US"/>
        </w:rPr>
        <w:t>ICS</w:t>
      </w:r>
      <w:r w:rsidR="00D96100" w:rsidRPr="00A9366F">
        <w:rPr>
          <w:rFonts w:ascii="Calibri" w:hAnsi="Calibri" w:cs="Arial"/>
          <w:sz w:val="30"/>
          <w:szCs w:val="30"/>
          <w:lang w:val="en-US"/>
        </w:rPr>
        <w:t xml:space="preserve"> </w:t>
      </w:r>
      <w:r w:rsidR="00B65DF1" w:rsidRPr="00A9366F">
        <w:rPr>
          <w:rFonts w:ascii="Calibri" w:hAnsi="Calibri" w:cs="Arial"/>
          <w:sz w:val="30"/>
          <w:szCs w:val="30"/>
          <w:lang w:val="en-US"/>
        </w:rPr>
        <w:t xml:space="preserve">generated according to the instructions of </w:t>
      </w:r>
      <w:r w:rsidR="00D96100" w:rsidRPr="00A9366F">
        <w:rPr>
          <w:rFonts w:ascii="Calibri" w:hAnsi="Calibri" w:cs="Arial"/>
          <w:sz w:val="30"/>
          <w:szCs w:val="30"/>
          <w:lang w:val="en-US"/>
        </w:rPr>
        <w:t xml:space="preserve">an individual was </w:t>
      </w:r>
      <w:r w:rsidR="00B65DF1" w:rsidRPr="00A9366F">
        <w:rPr>
          <w:rFonts w:ascii="Calibri" w:hAnsi="Calibri" w:cs="Arial"/>
          <w:sz w:val="30"/>
          <w:szCs w:val="30"/>
          <w:lang w:val="en-US"/>
        </w:rPr>
        <w:t xml:space="preserve">KZT </w:t>
      </w:r>
      <w:r w:rsidR="00D96100" w:rsidRPr="00A9366F">
        <w:rPr>
          <w:rFonts w:ascii="Calibri" w:hAnsi="Calibri" w:cs="Arial"/>
          <w:sz w:val="30"/>
          <w:szCs w:val="30"/>
          <w:lang w:val="en-US"/>
        </w:rPr>
        <w:t xml:space="preserve">26.4 thousand. </w:t>
      </w:r>
      <w:r w:rsidR="00B65DF1" w:rsidRPr="00A9366F">
        <w:rPr>
          <w:rFonts w:ascii="Calibri" w:hAnsi="Calibri" w:cs="Arial"/>
          <w:sz w:val="30"/>
          <w:szCs w:val="30"/>
          <w:lang w:val="en-US"/>
        </w:rPr>
        <w:t>P</w:t>
      </w:r>
      <w:r w:rsidR="00D96100" w:rsidRPr="00A9366F">
        <w:rPr>
          <w:rFonts w:ascii="Calibri" w:hAnsi="Calibri" w:cs="Arial"/>
          <w:sz w:val="30"/>
          <w:szCs w:val="30"/>
          <w:lang w:val="en-US"/>
        </w:rPr>
        <w:t xml:space="preserve">ayments for goods and intangible assets (28.7%), payments to the budget (21.4%) and </w:t>
      </w:r>
      <w:r w:rsidR="00B65DF1" w:rsidRPr="00A9366F">
        <w:rPr>
          <w:rFonts w:ascii="Calibri" w:hAnsi="Calibri" w:cs="Arial"/>
          <w:sz w:val="30"/>
          <w:szCs w:val="30"/>
          <w:lang w:val="en-US"/>
        </w:rPr>
        <w:t xml:space="preserve">payments for the </w:t>
      </w:r>
      <w:r w:rsidR="00D96100" w:rsidRPr="00A9366F">
        <w:rPr>
          <w:rFonts w:ascii="Calibri" w:hAnsi="Calibri" w:cs="Arial"/>
          <w:sz w:val="30"/>
          <w:szCs w:val="30"/>
          <w:lang w:val="en-US"/>
        </w:rPr>
        <w:t xml:space="preserve">services (21%) </w:t>
      </w:r>
      <w:r w:rsidR="00B65DF1" w:rsidRPr="00A9366F">
        <w:rPr>
          <w:rFonts w:ascii="Calibri" w:hAnsi="Calibri" w:cs="Arial"/>
          <w:sz w:val="30"/>
          <w:szCs w:val="30"/>
          <w:lang w:val="en-US"/>
        </w:rPr>
        <w:t>accounted for the bulk of the</w:t>
      </w:r>
      <w:r w:rsidR="00D96100" w:rsidRPr="00A9366F">
        <w:rPr>
          <w:rFonts w:ascii="Calibri" w:hAnsi="Calibri" w:cs="Arial"/>
          <w:sz w:val="30"/>
          <w:szCs w:val="30"/>
          <w:lang w:val="en-US"/>
        </w:rPr>
        <w:t xml:space="preserve"> payment messages sent to the system by participants.</w:t>
      </w:r>
      <w:r w:rsidR="00B65DF1" w:rsidRPr="00A9366F">
        <w:rPr>
          <w:rFonts w:ascii="Calibri" w:hAnsi="Calibri" w:cs="Arial"/>
          <w:sz w:val="30"/>
          <w:szCs w:val="30"/>
          <w:lang w:val="en-US"/>
        </w:rPr>
        <w:t xml:space="preserve"> In</w:t>
      </w:r>
      <w:r w:rsidR="00D96100" w:rsidRPr="00A9366F">
        <w:rPr>
          <w:rFonts w:ascii="Calibri" w:hAnsi="Calibri" w:cs="Arial"/>
          <w:sz w:val="30"/>
          <w:szCs w:val="30"/>
          <w:lang w:val="en-US"/>
        </w:rPr>
        <w:t xml:space="preserve"> 2016, the overall growth </w:t>
      </w:r>
      <w:r w:rsidR="00B65DF1" w:rsidRPr="00A9366F">
        <w:rPr>
          <w:rFonts w:ascii="Calibri" w:hAnsi="Calibri" w:cs="Arial"/>
          <w:sz w:val="30"/>
          <w:szCs w:val="30"/>
          <w:lang w:val="en-US"/>
        </w:rPr>
        <w:t>of</w:t>
      </w:r>
      <w:r w:rsidR="00D96100" w:rsidRPr="00A9366F">
        <w:rPr>
          <w:rFonts w:ascii="Calibri" w:hAnsi="Calibri" w:cs="Arial"/>
          <w:sz w:val="30"/>
          <w:szCs w:val="30"/>
          <w:lang w:val="en-US"/>
        </w:rPr>
        <w:t xml:space="preserve"> payments made by individuals through </w:t>
      </w:r>
      <w:r w:rsidR="00B65DF1" w:rsidRPr="00A9366F">
        <w:rPr>
          <w:rFonts w:ascii="Calibri" w:hAnsi="Calibri" w:cs="Arial"/>
          <w:sz w:val="30"/>
          <w:szCs w:val="30"/>
          <w:lang w:val="en-US"/>
        </w:rPr>
        <w:t xml:space="preserve">ICS was 9.8% as compared </w:t>
      </w:r>
      <w:r w:rsidR="00812573" w:rsidRPr="00A9366F">
        <w:rPr>
          <w:rFonts w:ascii="Calibri" w:hAnsi="Calibri" w:cs="Arial"/>
          <w:sz w:val="30"/>
          <w:szCs w:val="30"/>
          <w:lang w:val="en-US"/>
        </w:rPr>
        <w:t>with</w:t>
      </w:r>
      <w:r w:rsidR="00B65DF1" w:rsidRPr="00A9366F">
        <w:rPr>
          <w:rFonts w:ascii="Calibri" w:hAnsi="Calibri" w:cs="Arial"/>
          <w:sz w:val="30"/>
          <w:szCs w:val="30"/>
          <w:lang w:val="en-US"/>
        </w:rPr>
        <w:t xml:space="preserve"> 2015.</w:t>
      </w:r>
      <w:r w:rsidR="00D96100" w:rsidRPr="00A9366F">
        <w:rPr>
          <w:rFonts w:ascii="Calibri" w:hAnsi="Calibri" w:cs="Arial"/>
          <w:sz w:val="30"/>
          <w:szCs w:val="30"/>
          <w:lang w:val="en-US"/>
        </w:rPr>
        <w:t xml:space="preserve"> </w:t>
      </w:r>
    </w:p>
    <w:p w:rsidR="00B65DF1" w:rsidRPr="00A9366F" w:rsidRDefault="00D96100" w:rsidP="009E09D9">
      <w:pPr>
        <w:spacing w:line="233" w:lineRule="auto"/>
        <w:ind w:firstLine="720"/>
        <w:jc w:val="both"/>
        <w:rPr>
          <w:rFonts w:ascii="Calibri" w:hAnsi="Calibri" w:cs="Arial"/>
          <w:sz w:val="30"/>
          <w:szCs w:val="30"/>
          <w:lang w:val="en-US"/>
        </w:rPr>
      </w:pPr>
      <w:r w:rsidRPr="00A9366F">
        <w:rPr>
          <w:rFonts w:ascii="Calibri" w:hAnsi="Calibri" w:cs="Arial"/>
          <w:sz w:val="30"/>
          <w:szCs w:val="30"/>
          <w:lang w:val="en-US"/>
        </w:rPr>
        <w:t xml:space="preserve">In terms of </w:t>
      </w:r>
      <w:r w:rsidR="00B65DF1" w:rsidRPr="00A9366F">
        <w:rPr>
          <w:rFonts w:ascii="Calibri" w:hAnsi="Calibri" w:cs="Arial"/>
          <w:sz w:val="30"/>
          <w:szCs w:val="30"/>
          <w:lang w:val="en-US"/>
        </w:rPr>
        <w:t xml:space="preserve">the </w:t>
      </w:r>
      <w:r w:rsidRPr="00A9366F">
        <w:rPr>
          <w:rFonts w:ascii="Calibri" w:hAnsi="Calibri" w:cs="Arial"/>
          <w:sz w:val="30"/>
          <w:szCs w:val="30"/>
          <w:lang w:val="en-US"/>
        </w:rPr>
        <w:t xml:space="preserve">payment amounts, </w:t>
      </w:r>
      <w:r w:rsidR="00B65DF1" w:rsidRPr="00A9366F">
        <w:rPr>
          <w:rFonts w:ascii="Calibri" w:hAnsi="Calibri" w:cs="Arial"/>
          <w:sz w:val="30"/>
          <w:szCs w:val="30"/>
          <w:lang w:val="en-US"/>
        </w:rPr>
        <w:t xml:space="preserve">payments below KZT 500 thousand </w:t>
      </w:r>
      <w:proofErr w:type="gramStart"/>
      <w:r w:rsidR="00B65DF1" w:rsidRPr="00A9366F">
        <w:rPr>
          <w:rFonts w:ascii="Calibri" w:hAnsi="Calibri" w:cs="Arial"/>
          <w:sz w:val="30"/>
          <w:szCs w:val="30"/>
          <w:lang w:val="en-US"/>
        </w:rPr>
        <w:t>account</w:t>
      </w:r>
      <w:proofErr w:type="gramEnd"/>
      <w:r w:rsidR="00B65DF1" w:rsidRPr="00A9366F">
        <w:rPr>
          <w:rFonts w:ascii="Calibri" w:hAnsi="Calibri" w:cs="Arial"/>
          <w:sz w:val="30"/>
          <w:szCs w:val="30"/>
          <w:lang w:val="en-US"/>
        </w:rPr>
        <w:t xml:space="preserve"> fo</w:t>
      </w:r>
      <w:r w:rsidR="005576B3" w:rsidRPr="00A9366F">
        <w:rPr>
          <w:rFonts w:ascii="Calibri" w:hAnsi="Calibri" w:cs="Arial"/>
          <w:sz w:val="30"/>
          <w:szCs w:val="30"/>
          <w:lang w:val="en-US"/>
        </w:rPr>
        <w:t>r</w:t>
      </w:r>
      <w:r w:rsidR="00B65DF1" w:rsidRPr="00A9366F">
        <w:rPr>
          <w:rFonts w:ascii="Calibri" w:hAnsi="Calibri" w:cs="Arial"/>
          <w:sz w:val="30"/>
          <w:szCs w:val="30"/>
          <w:lang w:val="en-US"/>
        </w:rPr>
        <w:t xml:space="preserve"> the largest number of transactions in ICS </w:t>
      </w:r>
      <w:r w:rsidR="005576B3" w:rsidRPr="00A9366F">
        <w:rPr>
          <w:rFonts w:ascii="Calibri" w:hAnsi="Calibri" w:cs="Arial"/>
          <w:sz w:val="30"/>
          <w:szCs w:val="30"/>
          <w:lang w:val="en-US"/>
        </w:rPr>
        <w:t>(90%), while</w:t>
      </w:r>
      <w:r w:rsidR="00B65DF1" w:rsidRPr="00A9366F">
        <w:rPr>
          <w:rFonts w:ascii="Calibri" w:hAnsi="Calibri" w:cs="Arial"/>
          <w:sz w:val="30"/>
          <w:szCs w:val="30"/>
          <w:lang w:val="en-US"/>
        </w:rPr>
        <w:t xml:space="preserve"> payment</w:t>
      </w:r>
      <w:r w:rsidR="005576B3" w:rsidRPr="00A9366F">
        <w:rPr>
          <w:rFonts w:ascii="Calibri" w:hAnsi="Calibri" w:cs="Arial"/>
          <w:sz w:val="30"/>
          <w:szCs w:val="30"/>
          <w:lang w:val="en-US"/>
        </w:rPr>
        <w:t>s</w:t>
      </w:r>
      <w:r w:rsidR="00B65DF1" w:rsidRPr="00A9366F">
        <w:rPr>
          <w:rFonts w:ascii="Calibri" w:hAnsi="Calibri" w:cs="Arial"/>
          <w:sz w:val="30"/>
          <w:szCs w:val="30"/>
          <w:lang w:val="en-US"/>
        </w:rPr>
        <w:t xml:space="preserve"> from KZT 500 thousand to KZT 1 billion account for the smallest number of transaction</w:t>
      </w:r>
      <w:r w:rsidR="005576B3" w:rsidRPr="00A9366F">
        <w:rPr>
          <w:rFonts w:ascii="Calibri" w:hAnsi="Calibri" w:cs="Arial"/>
          <w:sz w:val="30"/>
          <w:szCs w:val="30"/>
          <w:lang w:val="en-US"/>
        </w:rPr>
        <w:t>s</w:t>
      </w:r>
      <w:r w:rsidR="00B65DF1" w:rsidRPr="00A9366F">
        <w:rPr>
          <w:rFonts w:ascii="Calibri" w:hAnsi="Calibri" w:cs="Arial"/>
          <w:sz w:val="30"/>
          <w:szCs w:val="30"/>
          <w:lang w:val="en-US"/>
        </w:rPr>
        <w:t xml:space="preserve"> (3%).</w:t>
      </w:r>
      <w:r w:rsidR="005576B3" w:rsidRPr="00A9366F">
        <w:rPr>
          <w:rFonts w:ascii="Calibri" w:hAnsi="Calibri" w:cs="Arial"/>
          <w:sz w:val="30"/>
          <w:szCs w:val="30"/>
          <w:lang w:val="en-US"/>
        </w:rPr>
        <w:t xml:space="preserve"> Payments above KZT 1 million make the bulk of payments (77.6%). </w:t>
      </w:r>
    </w:p>
    <w:p w:rsidR="009E09D9" w:rsidRPr="00A9366F" w:rsidRDefault="005576B3" w:rsidP="009E09D9">
      <w:pPr>
        <w:jc w:val="center"/>
        <w:rPr>
          <w:rFonts w:ascii="Calibri" w:hAnsi="Calibri" w:cs="Arial"/>
          <w:b/>
          <w:sz w:val="30"/>
          <w:szCs w:val="30"/>
          <w:lang w:val="en-US"/>
        </w:rPr>
      </w:pPr>
      <w:r w:rsidRPr="00A9366F">
        <w:rPr>
          <w:rFonts w:ascii="Calibri" w:hAnsi="Calibri" w:cs="Arial"/>
          <w:b/>
          <w:color w:val="0E4C28"/>
          <w:sz w:val="28"/>
          <w:szCs w:val="28"/>
          <w:lang w:val="en-US"/>
        </w:rPr>
        <w:t xml:space="preserve">Payments in ICS by ranges of amounts </w:t>
      </w:r>
    </w:p>
    <w:p w:rsidR="009E09D9" w:rsidRPr="00A9366F" w:rsidRDefault="005576B3" w:rsidP="009E09D9">
      <w:pPr>
        <w:widowControl w:val="0"/>
        <w:jc w:val="center"/>
        <w:rPr>
          <w:rFonts w:ascii="Calibri" w:hAnsi="Calibri" w:cs="Arial"/>
          <w:b/>
          <w:color w:val="0E4C28"/>
          <w:lang w:val="en-US"/>
        </w:rPr>
      </w:pPr>
      <w:r w:rsidRPr="00A9366F">
        <w:rPr>
          <w:rFonts w:ascii="Calibri" w:hAnsi="Calibri" w:cs="Arial"/>
          <w:b/>
          <w:color w:val="0E4C28"/>
          <w:lang w:val="en-US"/>
        </w:rPr>
        <w:t>Number</w:t>
      </w:r>
      <w:r w:rsidR="009E09D9" w:rsidRPr="00A9366F">
        <w:rPr>
          <w:rFonts w:ascii="Calibri" w:hAnsi="Calibri" w:cs="Arial"/>
          <w:b/>
          <w:color w:val="0E4C28"/>
          <w:lang w:val="en-US"/>
        </w:rPr>
        <w:t xml:space="preserve">   </w:t>
      </w:r>
      <w:r w:rsidR="009E09D9" w:rsidRPr="00A9366F">
        <w:rPr>
          <w:rFonts w:ascii="Calibri" w:hAnsi="Calibri" w:cs="Arial"/>
          <w:b/>
          <w:szCs w:val="28"/>
          <w:lang w:val="en-US"/>
        </w:rPr>
        <w:t xml:space="preserve">                                                          </w:t>
      </w:r>
      <w:r w:rsidRPr="00A9366F">
        <w:rPr>
          <w:rFonts w:ascii="Calibri" w:hAnsi="Calibri" w:cs="Arial"/>
          <w:b/>
          <w:color w:val="0E4C28"/>
          <w:lang w:val="en-US"/>
        </w:rPr>
        <w:t>Amount</w:t>
      </w:r>
    </w:p>
    <w:p w:rsidR="009E09D9" w:rsidRPr="00A9366F" w:rsidRDefault="000818B2" w:rsidP="009E09D9">
      <w:pPr>
        <w:widowControl w:val="0"/>
        <w:ind w:left="-142"/>
        <w:rPr>
          <w:rFonts w:ascii="Calibri" w:hAnsi="Calibri"/>
          <w:noProof/>
          <w:lang w:val="en-US"/>
        </w:rPr>
      </w:pPr>
      <w:r>
        <w:rPr>
          <w:noProof/>
        </w:rPr>
        <w:drawing>
          <wp:inline distT="0" distB="0" distL="0" distR="0" wp14:anchorId="136414F3" wp14:editId="4E39BFB3">
            <wp:extent cx="2827020" cy="2049780"/>
            <wp:effectExtent l="0" t="0" r="11430" b="2667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818B2">
        <w:rPr>
          <w:noProof/>
        </w:rPr>
        <w:t xml:space="preserve"> </w:t>
      </w:r>
      <w:r>
        <w:rPr>
          <w:noProof/>
        </w:rPr>
        <w:drawing>
          <wp:inline distT="0" distB="0" distL="0" distR="0" wp14:anchorId="29F9CD40" wp14:editId="1733F72D">
            <wp:extent cx="3032760" cy="2049780"/>
            <wp:effectExtent l="0" t="0" r="15240" b="2667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pPr w:leftFromText="180" w:rightFromText="180" w:vertAnchor="text" w:horzAnchor="margin" w:tblpY="27"/>
        <w:tblW w:w="0" w:type="auto"/>
        <w:tblLook w:val="04A0" w:firstRow="1" w:lastRow="0" w:firstColumn="1" w:lastColumn="0" w:noHBand="0" w:noVBand="1"/>
      </w:tblPr>
      <w:tblGrid>
        <w:gridCol w:w="3888"/>
        <w:gridCol w:w="5326"/>
      </w:tblGrid>
      <w:tr w:rsidR="009E09D9" w:rsidRPr="00956D7B" w:rsidTr="007551E0">
        <w:trPr>
          <w:trHeight w:val="360"/>
        </w:trPr>
        <w:tc>
          <w:tcPr>
            <w:tcW w:w="3888" w:type="dxa"/>
            <w:shd w:val="clear" w:color="auto" w:fill="auto"/>
          </w:tcPr>
          <w:p w:rsidR="007551E0" w:rsidRPr="006954C2" w:rsidRDefault="009E09D9" w:rsidP="007551E0">
            <w:pPr>
              <w:widowControl w:val="0"/>
              <w:autoSpaceDE w:val="0"/>
              <w:autoSpaceDN w:val="0"/>
              <w:adjustRightInd w:val="0"/>
              <w:jc w:val="both"/>
              <w:rPr>
                <w:rFonts w:ascii="Calibri" w:hAnsi="Calibri" w:cs="Arial"/>
                <w:spacing w:val="-4"/>
                <w:sz w:val="18"/>
                <w:szCs w:val="18"/>
                <w:lang w:val="en-US"/>
              </w:rPr>
            </w:pPr>
            <w:r w:rsidRPr="00A9366F">
              <w:rPr>
                <w:rFonts w:ascii="Calibri" w:hAnsi="Calibri" w:cs="Arial"/>
                <w:spacing w:val="-4"/>
                <w:sz w:val="30"/>
                <w:szCs w:val="30"/>
                <w:lang w:val="en-US"/>
              </w:rPr>
              <w:t xml:space="preserve">       </w:t>
            </w:r>
            <w:r w:rsidR="006954C2">
              <w:rPr>
                <w:rFonts w:ascii="Calibri" w:hAnsi="Calibri" w:cs="Arial"/>
                <w:spacing w:val="-4"/>
                <w:sz w:val="30"/>
                <w:szCs w:val="30"/>
                <w:lang w:val="en-US"/>
              </w:rPr>
              <w:t xml:space="preserve">                               </w:t>
            </w:r>
          </w:p>
          <w:p w:rsidR="009E09D9" w:rsidRPr="00A9366F" w:rsidRDefault="005576B3" w:rsidP="005576B3">
            <w:pPr>
              <w:widowControl w:val="0"/>
              <w:autoSpaceDE w:val="0"/>
              <w:autoSpaceDN w:val="0"/>
              <w:adjustRightInd w:val="0"/>
              <w:ind w:firstLine="720"/>
              <w:jc w:val="both"/>
              <w:rPr>
                <w:rFonts w:ascii="Calibri" w:hAnsi="Calibri" w:cs="Arial"/>
                <w:sz w:val="30"/>
                <w:szCs w:val="30"/>
                <w:lang w:val="en-US"/>
              </w:rPr>
            </w:pPr>
            <w:r w:rsidRPr="00A9366F">
              <w:rPr>
                <w:rFonts w:ascii="Calibri" w:hAnsi="Calibri" w:cs="Arial"/>
                <w:spacing w:val="-4"/>
                <w:sz w:val="30"/>
                <w:szCs w:val="30"/>
                <w:lang w:val="en-US"/>
              </w:rPr>
              <w:t>In this regard, tariffs in ICS are differentiated by timing and range from KZT 9 to KZT 22 per payment</w:t>
            </w:r>
            <w:r w:rsidR="009E09D9" w:rsidRPr="00A9366F">
              <w:rPr>
                <w:rFonts w:ascii="Calibri" w:hAnsi="Calibri" w:cs="Arial"/>
                <w:spacing w:val="-4"/>
                <w:sz w:val="30"/>
                <w:szCs w:val="30"/>
                <w:lang w:val="en-US"/>
              </w:rPr>
              <w:t xml:space="preserve">. </w:t>
            </w:r>
          </w:p>
        </w:tc>
        <w:tc>
          <w:tcPr>
            <w:tcW w:w="5326" w:type="dxa"/>
            <w:shd w:val="clear" w:color="auto" w:fill="auto"/>
          </w:tcPr>
          <w:p w:rsidR="006954C2" w:rsidRPr="006954C2" w:rsidRDefault="006954C2" w:rsidP="006954C2">
            <w:pPr>
              <w:widowControl w:val="0"/>
              <w:rPr>
                <w:rFonts w:ascii="Calibri" w:hAnsi="Calibri" w:cs="Arial"/>
                <w:b/>
                <w:color w:val="0E4C28"/>
                <w:sz w:val="18"/>
                <w:szCs w:val="18"/>
                <w:lang w:val="en-US"/>
              </w:rPr>
            </w:pPr>
            <w:r>
              <w:rPr>
                <w:rFonts w:ascii="Calibri" w:hAnsi="Calibri" w:cs="Arial"/>
                <w:b/>
                <w:color w:val="0E4C28"/>
                <w:sz w:val="18"/>
                <w:szCs w:val="18"/>
                <w:lang w:val="en-US"/>
              </w:rPr>
              <w:t xml:space="preserve">                               </w:t>
            </w:r>
          </w:p>
          <w:p w:rsidR="009E09D9" w:rsidRPr="00A9366F" w:rsidRDefault="005576B3" w:rsidP="00015E28">
            <w:pPr>
              <w:widowControl w:val="0"/>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ICS tariffs </w:t>
            </w:r>
          </w:p>
          <w:tbl>
            <w:tblPr>
              <w:tblpPr w:leftFromText="180" w:rightFromText="180" w:vertAnchor="text" w:horzAnchor="margin" w:tblpY="155"/>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24"/>
              <w:gridCol w:w="1276"/>
            </w:tblGrid>
            <w:tr w:rsidR="00AE15B3" w:rsidRPr="00956D7B" w:rsidTr="007D0CC8">
              <w:trPr>
                <w:trHeight w:val="255"/>
              </w:trPr>
              <w:tc>
                <w:tcPr>
                  <w:tcW w:w="3824" w:type="dxa"/>
                  <w:shd w:val="clear" w:color="auto" w:fill="C2D69B"/>
                  <w:vAlign w:val="center"/>
                </w:tcPr>
                <w:p w:rsidR="00AE15B3" w:rsidRPr="00A9366F" w:rsidRDefault="005576B3" w:rsidP="009E09D9">
                  <w:pPr>
                    <w:widowControl w:val="0"/>
                    <w:jc w:val="center"/>
                    <w:rPr>
                      <w:rFonts w:ascii="Calibri" w:hAnsi="Calibri" w:cs="Arial"/>
                      <w:b/>
                      <w:sz w:val="22"/>
                      <w:szCs w:val="22"/>
                      <w:lang w:val="en-US"/>
                    </w:rPr>
                  </w:pPr>
                  <w:r w:rsidRPr="00A9366F">
                    <w:rPr>
                      <w:rFonts w:ascii="Calibri" w:hAnsi="Calibri" w:cs="Arial"/>
                      <w:b/>
                      <w:bCs/>
                      <w:sz w:val="22"/>
                      <w:szCs w:val="22"/>
                      <w:lang w:val="en-US"/>
                    </w:rPr>
                    <w:t>Time of settlements</w:t>
                  </w:r>
                </w:p>
              </w:tc>
              <w:tc>
                <w:tcPr>
                  <w:tcW w:w="1276" w:type="dxa"/>
                  <w:shd w:val="clear" w:color="auto" w:fill="C2D69B"/>
                  <w:vAlign w:val="center"/>
                </w:tcPr>
                <w:p w:rsidR="00AE15B3" w:rsidRPr="00A9366F" w:rsidRDefault="005576B3" w:rsidP="009E09D9">
                  <w:pPr>
                    <w:widowControl w:val="0"/>
                    <w:jc w:val="center"/>
                    <w:rPr>
                      <w:rFonts w:ascii="Calibri" w:hAnsi="Calibri" w:cs="Arial"/>
                      <w:b/>
                      <w:sz w:val="22"/>
                      <w:szCs w:val="22"/>
                      <w:lang w:val="en-US"/>
                    </w:rPr>
                  </w:pPr>
                  <w:r w:rsidRPr="00A9366F">
                    <w:rPr>
                      <w:rFonts w:ascii="Calibri" w:hAnsi="Calibri" w:cs="Arial"/>
                      <w:b/>
                      <w:sz w:val="22"/>
                      <w:szCs w:val="22"/>
                      <w:lang w:val="en-US"/>
                    </w:rPr>
                    <w:t>Tariff</w:t>
                  </w:r>
                </w:p>
              </w:tc>
            </w:tr>
            <w:tr w:rsidR="00AE15B3" w:rsidRPr="00956D7B" w:rsidTr="007D0CC8">
              <w:trPr>
                <w:trHeight w:val="255"/>
              </w:trPr>
              <w:tc>
                <w:tcPr>
                  <w:tcW w:w="3824" w:type="dxa"/>
                  <w:shd w:val="clear" w:color="auto" w:fill="EAF1DD"/>
                  <w:vAlign w:val="bottom"/>
                </w:tcPr>
                <w:p w:rsidR="00AE15B3" w:rsidRPr="00A9366F" w:rsidRDefault="005576B3" w:rsidP="005576B3">
                  <w:pPr>
                    <w:widowControl w:val="0"/>
                    <w:rPr>
                      <w:rFonts w:ascii="Calibri" w:hAnsi="Calibri" w:cs="Arial"/>
                      <w:sz w:val="22"/>
                      <w:szCs w:val="22"/>
                      <w:lang w:val="en-US"/>
                    </w:rPr>
                  </w:pPr>
                  <w:r w:rsidRPr="00A9366F">
                    <w:rPr>
                      <w:rFonts w:ascii="Calibri" w:hAnsi="Calibri" w:cs="Arial"/>
                      <w:sz w:val="22"/>
                      <w:szCs w:val="22"/>
                      <w:lang w:val="en-US"/>
                    </w:rPr>
                    <w:t>From 4.00 pm to 9.00 am</w:t>
                  </w:r>
                </w:p>
              </w:tc>
              <w:tc>
                <w:tcPr>
                  <w:tcW w:w="1276" w:type="dxa"/>
                  <w:vAlign w:val="bottom"/>
                </w:tcPr>
                <w:p w:rsidR="00AE15B3" w:rsidRPr="00A9366F" w:rsidRDefault="005576B3" w:rsidP="005576B3">
                  <w:pPr>
                    <w:widowControl w:val="0"/>
                    <w:jc w:val="right"/>
                    <w:rPr>
                      <w:rFonts w:ascii="Calibri" w:hAnsi="Calibri" w:cs="Arial"/>
                      <w:sz w:val="22"/>
                      <w:szCs w:val="22"/>
                      <w:lang w:val="en-US"/>
                    </w:rPr>
                  </w:pPr>
                  <w:r w:rsidRPr="00A9366F">
                    <w:rPr>
                      <w:rFonts w:ascii="Calibri" w:hAnsi="Calibri" w:cs="Arial"/>
                      <w:sz w:val="22"/>
                      <w:szCs w:val="22"/>
                      <w:lang w:val="en-US"/>
                    </w:rPr>
                    <w:t xml:space="preserve">KZT </w:t>
                  </w:r>
                  <w:r w:rsidR="00AE15B3" w:rsidRPr="00A9366F">
                    <w:rPr>
                      <w:rFonts w:ascii="Calibri" w:hAnsi="Calibri" w:cs="Arial"/>
                      <w:sz w:val="22"/>
                      <w:szCs w:val="22"/>
                      <w:lang w:val="en-US"/>
                    </w:rPr>
                    <w:t>9</w:t>
                  </w:r>
                </w:p>
              </w:tc>
            </w:tr>
            <w:tr w:rsidR="00AE15B3" w:rsidRPr="00956D7B" w:rsidTr="007D0CC8">
              <w:trPr>
                <w:trHeight w:val="255"/>
              </w:trPr>
              <w:tc>
                <w:tcPr>
                  <w:tcW w:w="3824" w:type="dxa"/>
                  <w:shd w:val="clear" w:color="auto" w:fill="EAF1DD"/>
                  <w:vAlign w:val="bottom"/>
                </w:tcPr>
                <w:p w:rsidR="00AE15B3" w:rsidRPr="00A9366F" w:rsidRDefault="005576B3" w:rsidP="005576B3">
                  <w:pPr>
                    <w:widowControl w:val="0"/>
                    <w:rPr>
                      <w:rFonts w:ascii="Calibri" w:hAnsi="Calibri" w:cs="Arial"/>
                      <w:sz w:val="22"/>
                      <w:szCs w:val="22"/>
                      <w:lang w:val="en-US"/>
                    </w:rPr>
                  </w:pPr>
                  <w:r w:rsidRPr="00A9366F">
                    <w:rPr>
                      <w:rFonts w:ascii="Calibri" w:hAnsi="Calibri" w:cs="Arial"/>
                      <w:sz w:val="22"/>
                      <w:szCs w:val="22"/>
                      <w:lang w:val="en-US"/>
                    </w:rPr>
                    <w:t xml:space="preserve">From </w:t>
                  </w:r>
                  <w:r w:rsidR="00AE15B3" w:rsidRPr="00A9366F">
                    <w:rPr>
                      <w:rFonts w:ascii="Calibri" w:hAnsi="Calibri" w:cs="Arial"/>
                      <w:sz w:val="22"/>
                      <w:szCs w:val="22"/>
                      <w:lang w:val="en-US"/>
                    </w:rPr>
                    <w:t>9</w:t>
                  </w:r>
                  <w:r w:rsidRPr="00A9366F">
                    <w:rPr>
                      <w:rFonts w:ascii="Calibri" w:hAnsi="Calibri" w:cs="Arial"/>
                      <w:sz w:val="22"/>
                      <w:szCs w:val="22"/>
                      <w:lang w:val="en-US"/>
                    </w:rPr>
                    <w:t>.00 am to 1.00 pm</w:t>
                  </w:r>
                </w:p>
              </w:tc>
              <w:tc>
                <w:tcPr>
                  <w:tcW w:w="1276" w:type="dxa"/>
                  <w:vAlign w:val="bottom"/>
                </w:tcPr>
                <w:p w:rsidR="00AE15B3" w:rsidRPr="00A9366F" w:rsidRDefault="005576B3" w:rsidP="005576B3">
                  <w:pPr>
                    <w:widowControl w:val="0"/>
                    <w:jc w:val="right"/>
                    <w:rPr>
                      <w:rFonts w:ascii="Calibri" w:hAnsi="Calibri" w:cs="Arial"/>
                      <w:sz w:val="22"/>
                      <w:szCs w:val="22"/>
                      <w:lang w:val="en-US"/>
                    </w:rPr>
                  </w:pPr>
                  <w:r w:rsidRPr="00A9366F">
                    <w:rPr>
                      <w:rFonts w:ascii="Calibri" w:hAnsi="Calibri" w:cs="Arial"/>
                      <w:sz w:val="22"/>
                      <w:szCs w:val="22"/>
                      <w:lang w:val="en-US"/>
                    </w:rPr>
                    <w:t xml:space="preserve">KZT </w:t>
                  </w:r>
                  <w:r w:rsidR="00AE15B3" w:rsidRPr="00A9366F">
                    <w:rPr>
                      <w:rFonts w:ascii="Calibri" w:hAnsi="Calibri" w:cs="Arial"/>
                      <w:sz w:val="22"/>
                      <w:szCs w:val="22"/>
                      <w:lang w:val="en-US"/>
                    </w:rPr>
                    <w:t>11</w:t>
                  </w:r>
                </w:p>
              </w:tc>
            </w:tr>
            <w:tr w:rsidR="00AE15B3" w:rsidRPr="00956D7B" w:rsidTr="007D0CC8">
              <w:trPr>
                <w:trHeight w:val="255"/>
              </w:trPr>
              <w:tc>
                <w:tcPr>
                  <w:tcW w:w="3824" w:type="dxa"/>
                  <w:shd w:val="clear" w:color="auto" w:fill="EAF1DD"/>
                  <w:vAlign w:val="bottom"/>
                </w:tcPr>
                <w:p w:rsidR="00AE15B3" w:rsidRPr="00A9366F" w:rsidRDefault="005576B3" w:rsidP="005576B3">
                  <w:pPr>
                    <w:widowControl w:val="0"/>
                    <w:rPr>
                      <w:rFonts w:ascii="Calibri" w:hAnsi="Calibri" w:cs="Arial"/>
                      <w:sz w:val="22"/>
                      <w:szCs w:val="22"/>
                      <w:lang w:val="en-US"/>
                    </w:rPr>
                  </w:pPr>
                  <w:r w:rsidRPr="00A9366F">
                    <w:rPr>
                      <w:rFonts w:ascii="Calibri" w:hAnsi="Calibri" w:cs="Arial"/>
                      <w:sz w:val="22"/>
                      <w:szCs w:val="22"/>
                      <w:lang w:val="en-US"/>
                    </w:rPr>
                    <w:t>From 1.00 pm to 4.00 pm</w:t>
                  </w:r>
                </w:p>
              </w:tc>
              <w:tc>
                <w:tcPr>
                  <w:tcW w:w="1276" w:type="dxa"/>
                  <w:vAlign w:val="bottom"/>
                </w:tcPr>
                <w:p w:rsidR="00AE15B3" w:rsidRPr="00A9366F" w:rsidRDefault="005576B3" w:rsidP="005576B3">
                  <w:pPr>
                    <w:widowControl w:val="0"/>
                    <w:jc w:val="right"/>
                    <w:rPr>
                      <w:rFonts w:ascii="Calibri" w:hAnsi="Calibri" w:cs="Arial"/>
                      <w:sz w:val="22"/>
                      <w:szCs w:val="22"/>
                      <w:lang w:val="en-US"/>
                    </w:rPr>
                  </w:pPr>
                  <w:r w:rsidRPr="00A9366F">
                    <w:rPr>
                      <w:rFonts w:ascii="Calibri" w:hAnsi="Calibri" w:cs="Arial"/>
                      <w:sz w:val="22"/>
                      <w:szCs w:val="22"/>
                      <w:lang w:val="en-US"/>
                    </w:rPr>
                    <w:t xml:space="preserve">KZT </w:t>
                  </w:r>
                  <w:r w:rsidR="00AE15B3" w:rsidRPr="00A9366F">
                    <w:rPr>
                      <w:rFonts w:ascii="Calibri" w:hAnsi="Calibri" w:cs="Arial"/>
                      <w:sz w:val="22"/>
                      <w:szCs w:val="22"/>
                      <w:lang w:val="en-US"/>
                    </w:rPr>
                    <w:t>22</w:t>
                  </w:r>
                </w:p>
              </w:tc>
            </w:tr>
            <w:tr w:rsidR="00AE15B3" w:rsidRPr="00956D7B" w:rsidTr="007D0CC8">
              <w:trPr>
                <w:trHeight w:val="255"/>
              </w:trPr>
              <w:tc>
                <w:tcPr>
                  <w:tcW w:w="3824" w:type="dxa"/>
                  <w:shd w:val="clear" w:color="auto" w:fill="C2D69B"/>
                  <w:vAlign w:val="bottom"/>
                </w:tcPr>
                <w:p w:rsidR="00AE15B3" w:rsidRPr="00A9366F" w:rsidRDefault="005576B3" w:rsidP="009E09D9">
                  <w:pPr>
                    <w:widowControl w:val="0"/>
                    <w:rPr>
                      <w:rFonts w:ascii="Calibri" w:hAnsi="Calibri" w:cs="Arial"/>
                      <w:b/>
                      <w:sz w:val="20"/>
                      <w:szCs w:val="20"/>
                      <w:lang w:val="en-US"/>
                    </w:rPr>
                  </w:pPr>
                  <w:r w:rsidRPr="00A9366F">
                    <w:rPr>
                      <w:rFonts w:ascii="Calibri" w:hAnsi="Calibri" w:cs="Arial"/>
                      <w:b/>
                      <w:sz w:val="20"/>
                      <w:szCs w:val="20"/>
                      <w:lang w:val="en-US"/>
                    </w:rPr>
                    <w:t>Total</w:t>
                  </w:r>
                </w:p>
              </w:tc>
              <w:tc>
                <w:tcPr>
                  <w:tcW w:w="1276" w:type="dxa"/>
                  <w:shd w:val="clear" w:color="auto" w:fill="C2D69B"/>
                  <w:vAlign w:val="bottom"/>
                </w:tcPr>
                <w:p w:rsidR="00AE15B3" w:rsidRPr="00A9366F" w:rsidRDefault="00AE15B3" w:rsidP="009E09D9">
                  <w:pPr>
                    <w:widowControl w:val="0"/>
                    <w:jc w:val="right"/>
                    <w:rPr>
                      <w:rFonts w:ascii="Calibri" w:hAnsi="Calibri" w:cs="Arial"/>
                      <w:sz w:val="20"/>
                      <w:szCs w:val="20"/>
                      <w:lang w:val="en-US"/>
                    </w:rPr>
                  </w:pPr>
                </w:p>
              </w:tc>
            </w:tr>
          </w:tbl>
          <w:p w:rsidR="009E09D9" w:rsidRPr="00A9366F" w:rsidRDefault="009E09D9" w:rsidP="00015E28">
            <w:pPr>
              <w:widowControl w:val="0"/>
              <w:jc w:val="both"/>
              <w:rPr>
                <w:rFonts w:ascii="Calibri" w:hAnsi="Calibri"/>
                <w:sz w:val="28"/>
                <w:szCs w:val="28"/>
                <w:lang w:val="en-US"/>
              </w:rPr>
            </w:pPr>
          </w:p>
        </w:tc>
      </w:tr>
      <w:tr w:rsidR="006954C2" w:rsidRPr="00956D7B" w:rsidTr="007551E0">
        <w:trPr>
          <w:trHeight w:val="360"/>
        </w:trPr>
        <w:tc>
          <w:tcPr>
            <w:tcW w:w="3888" w:type="dxa"/>
            <w:shd w:val="clear" w:color="auto" w:fill="auto"/>
          </w:tcPr>
          <w:p w:rsidR="006954C2" w:rsidRPr="00A9366F" w:rsidRDefault="006954C2" w:rsidP="007551E0">
            <w:pPr>
              <w:widowControl w:val="0"/>
              <w:autoSpaceDE w:val="0"/>
              <w:autoSpaceDN w:val="0"/>
              <w:adjustRightInd w:val="0"/>
              <w:jc w:val="both"/>
              <w:rPr>
                <w:rFonts w:ascii="Calibri" w:hAnsi="Calibri" w:cs="Arial"/>
                <w:spacing w:val="-4"/>
                <w:sz w:val="30"/>
                <w:szCs w:val="30"/>
                <w:lang w:val="en-US"/>
              </w:rPr>
            </w:pPr>
          </w:p>
        </w:tc>
        <w:tc>
          <w:tcPr>
            <w:tcW w:w="5326" w:type="dxa"/>
            <w:shd w:val="clear" w:color="auto" w:fill="auto"/>
          </w:tcPr>
          <w:p w:rsidR="006954C2" w:rsidRDefault="006954C2" w:rsidP="00015E28">
            <w:pPr>
              <w:widowControl w:val="0"/>
              <w:jc w:val="center"/>
              <w:rPr>
                <w:rFonts w:ascii="Calibri" w:hAnsi="Calibri" w:cs="Arial"/>
                <w:b/>
                <w:color w:val="0E4C28"/>
                <w:sz w:val="28"/>
                <w:szCs w:val="28"/>
                <w:lang w:val="en-US"/>
              </w:rPr>
            </w:pPr>
          </w:p>
        </w:tc>
      </w:tr>
    </w:tbl>
    <w:p w:rsidR="00E909F9" w:rsidRPr="00A9366F" w:rsidRDefault="00A30B7D" w:rsidP="00E909F9">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bookmarkStart w:id="67" w:name="_Toc485626999"/>
      <w:r w:rsidRPr="00A9366F">
        <w:rPr>
          <w:rFonts w:ascii="Calibri" w:hAnsi="Calibri"/>
          <w:bCs w:val="0"/>
          <w:snapToGrid w:val="0"/>
          <w:color w:val="0E4C28"/>
          <w:spacing w:val="-2"/>
          <w:kern w:val="0"/>
          <w:lang w:val="en-US"/>
        </w:rPr>
        <w:t>1</w:t>
      </w:r>
      <w:r w:rsidR="00E909F9" w:rsidRPr="00A9366F">
        <w:rPr>
          <w:rFonts w:ascii="Calibri" w:hAnsi="Calibri"/>
          <w:bCs w:val="0"/>
          <w:snapToGrid w:val="0"/>
          <w:color w:val="0E4C28"/>
          <w:spacing w:val="-2"/>
          <w:kern w:val="0"/>
          <w:lang w:val="en-US"/>
        </w:rPr>
        <w:t>.</w:t>
      </w:r>
      <w:r w:rsidR="00141516" w:rsidRPr="00A9366F">
        <w:rPr>
          <w:rFonts w:ascii="Calibri" w:hAnsi="Calibri"/>
          <w:bCs w:val="0"/>
          <w:snapToGrid w:val="0"/>
          <w:color w:val="0E4C28"/>
          <w:spacing w:val="-2"/>
          <w:kern w:val="0"/>
          <w:lang w:val="en-US"/>
        </w:rPr>
        <w:t>6</w:t>
      </w:r>
      <w:r w:rsidR="00E909F9" w:rsidRPr="00A9366F">
        <w:rPr>
          <w:rFonts w:ascii="Calibri" w:hAnsi="Calibri"/>
          <w:bCs w:val="0"/>
          <w:snapToGrid w:val="0"/>
          <w:color w:val="0E4C28"/>
          <w:spacing w:val="-2"/>
          <w:kern w:val="0"/>
          <w:lang w:val="en-US"/>
        </w:rPr>
        <w:t xml:space="preserve">. </w:t>
      </w:r>
      <w:r w:rsidR="00122C18" w:rsidRPr="00A9366F">
        <w:rPr>
          <w:rFonts w:ascii="Calibri" w:hAnsi="Calibri"/>
          <w:bCs w:val="0"/>
          <w:snapToGrid w:val="0"/>
          <w:color w:val="0E4C28"/>
          <w:spacing w:val="-2"/>
          <w:kern w:val="0"/>
          <w:lang w:val="en-US"/>
        </w:rPr>
        <w:t>Money liquidity and turnover in payment systems</w:t>
      </w:r>
      <w:bookmarkEnd w:id="67"/>
      <w:r w:rsidR="00122C18" w:rsidRPr="00A9366F">
        <w:rPr>
          <w:rFonts w:ascii="Calibri" w:hAnsi="Calibri"/>
          <w:bCs w:val="0"/>
          <w:snapToGrid w:val="0"/>
          <w:color w:val="0E4C28"/>
          <w:spacing w:val="-2"/>
          <w:kern w:val="0"/>
          <w:lang w:val="en-US"/>
        </w:rPr>
        <w:t xml:space="preserve"> </w:t>
      </w:r>
    </w:p>
    <w:p w:rsidR="00122C18" w:rsidRPr="00A9366F" w:rsidRDefault="00122C18" w:rsidP="00071E84">
      <w:pPr>
        <w:ind w:firstLine="709"/>
        <w:jc w:val="both"/>
        <w:rPr>
          <w:rFonts w:ascii="Calibri" w:hAnsi="Calibri"/>
          <w:sz w:val="30"/>
          <w:szCs w:val="30"/>
          <w:lang w:val="en-US"/>
        </w:rPr>
      </w:pPr>
      <w:r w:rsidRPr="00A9366F">
        <w:rPr>
          <w:rFonts w:ascii="Calibri" w:hAnsi="Calibri"/>
          <w:sz w:val="30"/>
          <w:szCs w:val="30"/>
          <w:lang w:val="en-US"/>
        </w:rPr>
        <w:t>T</w:t>
      </w:r>
      <w:r w:rsidR="00D96100" w:rsidRPr="00A9366F">
        <w:rPr>
          <w:rFonts w:ascii="Calibri" w:hAnsi="Calibri"/>
          <w:sz w:val="30"/>
          <w:szCs w:val="30"/>
          <w:lang w:val="en-US"/>
        </w:rPr>
        <w:t xml:space="preserve">o manage liquidity risk and systemic risk </w:t>
      </w:r>
      <w:r w:rsidRPr="00A9366F">
        <w:rPr>
          <w:rFonts w:ascii="Calibri" w:hAnsi="Calibri"/>
          <w:sz w:val="30"/>
          <w:szCs w:val="30"/>
          <w:lang w:val="en-US"/>
        </w:rPr>
        <w:t>in the payment systems, which, if realized, may</w:t>
      </w:r>
      <w:r w:rsidR="00D96100" w:rsidRPr="00A9366F">
        <w:rPr>
          <w:rFonts w:ascii="Calibri" w:hAnsi="Calibri"/>
          <w:sz w:val="30"/>
          <w:szCs w:val="30"/>
          <w:lang w:val="en-US"/>
        </w:rPr>
        <w:t xml:space="preserve"> significantly affect the financial stability of the country, the National Bank of Kazakhstan and participants of payment systems </w:t>
      </w:r>
      <w:r w:rsidRPr="00A9366F">
        <w:rPr>
          <w:rFonts w:ascii="Calibri" w:hAnsi="Calibri"/>
          <w:sz w:val="30"/>
          <w:szCs w:val="30"/>
          <w:lang w:val="en-US"/>
        </w:rPr>
        <w:t xml:space="preserve">exercise ongoing </w:t>
      </w:r>
      <w:r w:rsidR="00D96100" w:rsidRPr="00A9366F">
        <w:rPr>
          <w:rFonts w:ascii="Calibri" w:hAnsi="Calibri"/>
          <w:sz w:val="30"/>
          <w:szCs w:val="30"/>
          <w:lang w:val="en-US"/>
        </w:rPr>
        <w:t>monitor</w:t>
      </w:r>
      <w:r w:rsidRPr="00A9366F">
        <w:rPr>
          <w:rFonts w:ascii="Calibri" w:hAnsi="Calibri"/>
          <w:sz w:val="30"/>
          <w:szCs w:val="30"/>
          <w:lang w:val="en-US"/>
        </w:rPr>
        <w:t>ing and control over the</w:t>
      </w:r>
      <w:r w:rsidR="00D96100" w:rsidRPr="00A9366F">
        <w:rPr>
          <w:rFonts w:ascii="Calibri" w:hAnsi="Calibri"/>
          <w:sz w:val="30"/>
          <w:szCs w:val="30"/>
          <w:lang w:val="en-US"/>
        </w:rPr>
        <w:t xml:space="preserve"> participants' positions in the systems.</w:t>
      </w:r>
    </w:p>
    <w:p w:rsidR="00D96100" w:rsidRPr="00A9366F" w:rsidRDefault="00122C18" w:rsidP="00071E84">
      <w:pPr>
        <w:ind w:firstLine="709"/>
        <w:jc w:val="both"/>
        <w:rPr>
          <w:rFonts w:ascii="Calibri" w:hAnsi="Calibri"/>
          <w:sz w:val="30"/>
          <w:szCs w:val="30"/>
          <w:lang w:val="en-US"/>
        </w:rPr>
      </w:pPr>
      <w:r w:rsidRPr="00A9366F">
        <w:rPr>
          <w:rFonts w:ascii="Calibri" w:hAnsi="Calibri"/>
          <w:sz w:val="30"/>
          <w:szCs w:val="30"/>
          <w:lang w:val="en-US"/>
        </w:rPr>
        <w:t>An</w:t>
      </w:r>
      <w:r w:rsidR="00D96100" w:rsidRPr="00A9366F">
        <w:rPr>
          <w:rFonts w:ascii="Calibri" w:hAnsi="Calibri"/>
          <w:sz w:val="30"/>
          <w:szCs w:val="30"/>
          <w:lang w:val="en-US"/>
        </w:rPr>
        <w:t xml:space="preserve"> average daily volume of liquidity in ISMT (the amount of money </w:t>
      </w:r>
      <w:r w:rsidRPr="00A9366F">
        <w:rPr>
          <w:rFonts w:ascii="Calibri" w:hAnsi="Calibri"/>
          <w:sz w:val="30"/>
          <w:szCs w:val="30"/>
          <w:lang w:val="en-US"/>
        </w:rPr>
        <w:t xml:space="preserve">that the users </w:t>
      </w:r>
      <w:r w:rsidR="00D96100" w:rsidRPr="00A9366F">
        <w:rPr>
          <w:rFonts w:ascii="Calibri" w:hAnsi="Calibri"/>
          <w:sz w:val="30"/>
          <w:szCs w:val="30"/>
          <w:lang w:val="en-US"/>
        </w:rPr>
        <w:t xml:space="preserve">transfer to the system </w:t>
      </w:r>
      <w:r w:rsidRPr="00A9366F">
        <w:rPr>
          <w:rFonts w:ascii="Calibri" w:hAnsi="Calibri"/>
          <w:sz w:val="30"/>
          <w:szCs w:val="30"/>
          <w:lang w:val="en-US"/>
        </w:rPr>
        <w:t xml:space="preserve">to make </w:t>
      </w:r>
      <w:r w:rsidR="00D96100" w:rsidRPr="00A9366F">
        <w:rPr>
          <w:rFonts w:ascii="Calibri" w:hAnsi="Calibri"/>
          <w:sz w:val="30"/>
          <w:szCs w:val="30"/>
          <w:lang w:val="en-US"/>
        </w:rPr>
        <w:t xml:space="preserve">payments and money transfers) was </w:t>
      </w:r>
      <w:r w:rsidRPr="00A9366F">
        <w:rPr>
          <w:rFonts w:ascii="Calibri" w:hAnsi="Calibri"/>
          <w:b/>
          <w:sz w:val="30"/>
          <w:szCs w:val="30"/>
          <w:lang w:val="en-US"/>
        </w:rPr>
        <w:t xml:space="preserve">KZT 1,072.8 billion in </w:t>
      </w:r>
      <w:r w:rsidR="00D96100" w:rsidRPr="00A9366F">
        <w:rPr>
          <w:rFonts w:ascii="Calibri" w:hAnsi="Calibri"/>
          <w:b/>
          <w:sz w:val="30"/>
          <w:szCs w:val="30"/>
          <w:lang w:val="en-US"/>
        </w:rPr>
        <w:t>2016, having increa</w:t>
      </w:r>
      <w:r w:rsidRPr="00A9366F">
        <w:rPr>
          <w:rFonts w:ascii="Calibri" w:hAnsi="Calibri"/>
          <w:b/>
          <w:sz w:val="30"/>
          <w:szCs w:val="30"/>
          <w:lang w:val="en-US"/>
        </w:rPr>
        <w:t xml:space="preserve">sed by 24.7% (KZT 212.5 billion) compared </w:t>
      </w:r>
      <w:r w:rsidR="00812573" w:rsidRPr="00A9366F">
        <w:rPr>
          <w:rFonts w:ascii="Calibri" w:hAnsi="Calibri"/>
          <w:b/>
          <w:sz w:val="30"/>
          <w:szCs w:val="30"/>
          <w:lang w:val="en-US"/>
        </w:rPr>
        <w:t>with</w:t>
      </w:r>
      <w:r w:rsidRPr="00A9366F">
        <w:rPr>
          <w:rFonts w:ascii="Calibri" w:hAnsi="Calibri"/>
          <w:b/>
          <w:sz w:val="30"/>
          <w:szCs w:val="30"/>
          <w:lang w:val="en-US"/>
        </w:rPr>
        <w:t xml:space="preserve"> 2015.</w:t>
      </w:r>
      <w:r w:rsidR="00D96100" w:rsidRPr="00A9366F">
        <w:rPr>
          <w:rFonts w:ascii="Calibri" w:hAnsi="Calibri"/>
          <w:sz w:val="30"/>
          <w:szCs w:val="30"/>
          <w:lang w:val="en-US"/>
        </w:rPr>
        <w:t xml:space="preserve"> </w:t>
      </w:r>
      <w:r w:rsidRPr="00A9366F">
        <w:rPr>
          <w:rFonts w:ascii="Calibri" w:hAnsi="Calibri"/>
          <w:sz w:val="30"/>
          <w:szCs w:val="30"/>
          <w:lang w:val="en-US"/>
        </w:rPr>
        <w:t xml:space="preserve">Compared </w:t>
      </w:r>
      <w:r w:rsidR="00812573" w:rsidRPr="00A9366F">
        <w:rPr>
          <w:rFonts w:ascii="Calibri" w:hAnsi="Calibri"/>
          <w:sz w:val="30"/>
          <w:szCs w:val="30"/>
          <w:lang w:val="en-US"/>
        </w:rPr>
        <w:t xml:space="preserve">with </w:t>
      </w:r>
      <w:r w:rsidRPr="00A9366F">
        <w:rPr>
          <w:rFonts w:ascii="Calibri" w:hAnsi="Calibri"/>
          <w:sz w:val="30"/>
          <w:szCs w:val="30"/>
          <w:lang w:val="en-US"/>
        </w:rPr>
        <w:t>2007, liquidity in</w:t>
      </w:r>
      <w:r w:rsidR="00D96100" w:rsidRPr="00A9366F">
        <w:rPr>
          <w:rFonts w:ascii="Calibri" w:hAnsi="Calibri"/>
          <w:sz w:val="30"/>
          <w:szCs w:val="30"/>
          <w:lang w:val="en-US"/>
        </w:rPr>
        <w:t xml:space="preserve"> ISMT </w:t>
      </w:r>
      <w:r w:rsidRPr="00A9366F">
        <w:rPr>
          <w:rFonts w:ascii="Calibri" w:hAnsi="Calibri"/>
          <w:sz w:val="30"/>
          <w:szCs w:val="30"/>
          <w:lang w:val="en-US"/>
        </w:rPr>
        <w:t xml:space="preserve">has </w:t>
      </w:r>
      <w:r w:rsidR="00D96100" w:rsidRPr="00A9366F">
        <w:rPr>
          <w:rFonts w:ascii="Calibri" w:hAnsi="Calibri"/>
          <w:sz w:val="30"/>
          <w:szCs w:val="30"/>
          <w:lang w:val="en-US"/>
        </w:rPr>
        <w:t xml:space="preserve">increased by 84.9%, which </w:t>
      </w:r>
      <w:r w:rsidRPr="00A9366F">
        <w:rPr>
          <w:rFonts w:ascii="Calibri" w:hAnsi="Calibri"/>
          <w:sz w:val="30"/>
          <w:szCs w:val="30"/>
          <w:lang w:val="en-US"/>
        </w:rPr>
        <w:t>contributed to the</w:t>
      </w:r>
      <w:r w:rsidR="00D96100" w:rsidRPr="00A9366F">
        <w:rPr>
          <w:rFonts w:ascii="Calibri" w:hAnsi="Calibri"/>
          <w:sz w:val="30"/>
          <w:szCs w:val="30"/>
          <w:lang w:val="en-US"/>
        </w:rPr>
        <w:t xml:space="preserve"> significant reduction in credit and liquidity risks.</w:t>
      </w:r>
    </w:p>
    <w:p w:rsidR="00E909F9" w:rsidRPr="00A9366F" w:rsidRDefault="00122C18" w:rsidP="00E909F9">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ISMT liquidity ratios </w:t>
      </w:r>
    </w:p>
    <w:p w:rsidR="00122C18" w:rsidRPr="00A9366F" w:rsidRDefault="00B41594" w:rsidP="00E909F9">
      <w:pPr>
        <w:tabs>
          <w:tab w:val="left" w:pos="993"/>
        </w:tabs>
        <w:jc w:val="both"/>
        <w:rPr>
          <w:rFonts w:ascii="Calibri" w:hAnsi="Calibri"/>
          <w:sz w:val="30"/>
          <w:szCs w:val="30"/>
          <w:lang w:val="en-US"/>
        </w:rPr>
      </w:pPr>
      <w:r w:rsidRPr="00A9366F">
        <w:rPr>
          <w:rFonts w:ascii="Calibri" w:hAnsi="Calibri"/>
          <w:noProof/>
          <w:sz w:val="30"/>
          <w:szCs w:val="30"/>
        </w:rPr>
        <w:drawing>
          <wp:inline distT="0" distB="0" distL="0" distR="0">
            <wp:extent cx="5943600" cy="1904654"/>
            <wp:effectExtent l="0" t="0" r="0" b="635"/>
            <wp:docPr id="1" name="Объе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E909F9" w:rsidRPr="002C72D1">
        <w:rPr>
          <w:rFonts w:ascii="Calibri" w:hAnsi="Calibri"/>
          <w:sz w:val="30"/>
          <w:szCs w:val="30"/>
          <w:lang w:val="en-US"/>
        </w:rPr>
        <w:t xml:space="preserve"> </w:t>
      </w:r>
      <w:r w:rsidR="00E909F9" w:rsidRPr="002C72D1">
        <w:rPr>
          <w:rFonts w:ascii="Calibri" w:hAnsi="Calibri"/>
          <w:sz w:val="30"/>
          <w:szCs w:val="30"/>
          <w:lang w:val="en-US"/>
        </w:rPr>
        <w:tab/>
      </w:r>
      <w:r w:rsidR="00122C18" w:rsidRPr="002C72D1">
        <w:rPr>
          <w:rFonts w:ascii="Calibri" w:hAnsi="Calibri"/>
          <w:sz w:val="30"/>
          <w:szCs w:val="30"/>
          <w:lang w:val="en-US"/>
        </w:rPr>
        <w:t xml:space="preserve">In 2016 an average annual liquidity volume of the </w:t>
      </w:r>
      <w:r w:rsidR="0098131D" w:rsidRPr="002C72D1">
        <w:rPr>
          <w:rFonts w:ascii="Calibri" w:hAnsi="Calibri"/>
          <w:sz w:val="30"/>
          <w:szCs w:val="30"/>
          <w:lang w:val="en-US"/>
        </w:rPr>
        <w:t xml:space="preserve">participants </w:t>
      </w:r>
      <w:r w:rsidR="00122C18" w:rsidRPr="002C72D1">
        <w:rPr>
          <w:rFonts w:ascii="Calibri" w:hAnsi="Calibri"/>
          <w:sz w:val="30"/>
          <w:szCs w:val="30"/>
          <w:lang w:val="en-US"/>
        </w:rPr>
        <w:t xml:space="preserve">in </w:t>
      </w:r>
      <w:r w:rsidR="00122C18" w:rsidRPr="00A9366F">
        <w:rPr>
          <w:rFonts w:ascii="Calibri" w:hAnsi="Calibri"/>
          <w:sz w:val="30"/>
          <w:szCs w:val="30"/>
          <w:lang w:val="en-US"/>
        </w:rPr>
        <w:t xml:space="preserve">ISMT was 45.0% of the average daily amount of payments. </w:t>
      </w:r>
    </w:p>
    <w:p w:rsidR="0098131D" w:rsidRDefault="0098131D" w:rsidP="00E909F9">
      <w:pPr>
        <w:jc w:val="center"/>
        <w:rPr>
          <w:rFonts w:ascii="Calibri" w:hAnsi="Calibri" w:cs="Arial"/>
          <w:b/>
          <w:color w:val="0E4C28"/>
          <w:sz w:val="28"/>
          <w:szCs w:val="28"/>
          <w:lang w:val="en-US"/>
        </w:rPr>
      </w:pPr>
    </w:p>
    <w:p w:rsidR="00E909F9" w:rsidRDefault="00122C18" w:rsidP="00E909F9">
      <w:pPr>
        <w:jc w:val="center"/>
        <w:rPr>
          <w:rFonts w:ascii="Calibri" w:hAnsi="Calibri" w:cs="Arial"/>
          <w:b/>
          <w:color w:val="0E4C28"/>
          <w:sz w:val="28"/>
          <w:szCs w:val="28"/>
          <w:lang w:val="en-US"/>
        </w:rPr>
      </w:pPr>
      <w:r w:rsidRPr="00A9366F">
        <w:rPr>
          <w:rFonts w:ascii="Calibri" w:hAnsi="Calibri" w:cs="Arial"/>
          <w:b/>
          <w:color w:val="0E4C28"/>
          <w:sz w:val="28"/>
          <w:szCs w:val="28"/>
          <w:lang w:val="en-US"/>
        </w:rPr>
        <w:t>Dynamics in change of liquidity of ISMT participants in 2016</w:t>
      </w:r>
    </w:p>
    <w:p w:rsidR="00E909F9" w:rsidRPr="00A9366F" w:rsidRDefault="00B41594" w:rsidP="00141516">
      <w:pPr>
        <w:jc w:val="both"/>
        <w:rPr>
          <w:rFonts w:ascii="Calibri" w:hAnsi="Calibri"/>
          <w:sz w:val="30"/>
          <w:szCs w:val="30"/>
          <w:lang w:val="en-US"/>
        </w:rPr>
      </w:pPr>
      <w:r w:rsidRPr="00A9366F">
        <w:rPr>
          <w:rFonts w:ascii="Calibri" w:hAnsi="Calibri"/>
          <w:noProof/>
          <w:sz w:val="30"/>
          <w:szCs w:val="30"/>
        </w:rPr>
        <w:drawing>
          <wp:inline distT="0" distB="0" distL="0" distR="0">
            <wp:extent cx="6057900" cy="1946217"/>
            <wp:effectExtent l="0" t="0" r="0" b="0"/>
            <wp:docPr id="16"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22C18" w:rsidRPr="00A9366F" w:rsidRDefault="00122C18" w:rsidP="0035454E">
      <w:pPr>
        <w:ind w:firstLine="708"/>
        <w:jc w:val="both"/>
        <w:rPr>
          <w:rFonts w:ascii="Calibri" w:hAnsi="Calibri"/>
          <w:sz w:val="20"/>
          <w:szCs w:val="20"/>
          <w:lang w:val="en-US"/>
        </w:rPr>
      </w:pPr>
    </w:p>
    <w:p w:rsidR="008C4E63" w:rsidRPr="00A9366F" w:rsidRDefault="00122C18" w:rsidP="00122C18">
      <w:pPr>
        <w:ind w:firstLine="708"/>
        <w:jc w:val="both"/>
        <w:rPr>
          <w:rFonts w:ascii="Calibri" w:hAnsi="Calibri"/>
          <w:sz w:val="30"/>
          <w:szCs w:val="30"/>
          <w:lang w:val="en-US"/>
        </w:rPr>
      </w:pPr>
      <w:r w:rsidRPr="00A9366F">
        <w:rPr>
          <w:rFonts w:ascii="Calibri" w:hAnsi="Calibri"/>
          <w:sz w:val="30"/>
          <w:szCs w:val="30"/>
          <w:lang w:val="en-US"/>
        </w:rPr>
        <w:t xml:space="preserve">Calculation of the money turnover ratio is used in ICS to </w:t>
      </w:r>
      <w:r w:rsidR="00550E0F" w:rsidRPr="00A9366F">
        <w:rPr>
          <w:rFonts w:ascii="Calibri" w:hAnsi="Calibri"/>
          <w:sz w:val="30"/>
          <w:szCs w:val="30"/>
          <w:lang w:val="en-US"/>
        </w:rPr>
        <w:t>analyze</w:t>
      </w:r>
      <w:r w:rsidRPr="00A9366F">
        <w:rPr>
          <w:rFonts w:ascii="Calibri" w:hAnsi="Calibri"/>
          <w:sz w:val="30"/>
          <w:szCs w:val="30"/>
          <w:lang w:val="en-US"/>
        </w:rPr>
        <w:t xml:space="preserve"> efficiency, which </w:t>
      </w:r>
      <w:r w:rsidR="00D96100" w:rsidRPr="00A9366F">
        <w:rPr>
          <w:rFonts w:ascii="Calibri" w:hAnsi="Calibri"/>
          <w:sz w:val="30"/>
          <w:szCs w:val="30"/>
          <w:lang w:val="en-US"/>
        </w:rPr>
        <w:t xml:space="preserve">shows how many times the </w:t>
      </w:r>
      <w:r w:rsidRPr="00A9366F">
        <w:rPr>
          <w:rFonts w:ascii="Calibri" w:hAnsi="Calibri"/>
          <w:sz w:val="30"/>
          <w:szCs w:val="30"/>
          <w:lang w:val="en-US"/>
        </w:rPr>
        <w:t>money counter-</w:t>
      </w:r>
      <w:r w:rsidR="00D96100" w:rsidRPr="00A9366F">
        <w:rPr>
          <w:rFonts w:ascii="Calibri" w:hAnsi="Calibri"/>
          <w:sz w:val="30"/>
          <w:szCs w:val="30"/>
          <w:lang w:val="en-US"/>
        </w:rPr>
        <w:t xml:space="preserve">flow </w:t>
      </w:r>
      <w:r w:rsidRPr="00A9366F">
        <w:rPr>
          <w:rFonts w:ascii="Calibri" w:hAnsi="Calibri"/>
          <w:sz w:val="30"/>
          <w:szCs w:val="30"/>
          <w:lang w:val="en-US"/>
        </w:rPr>
        <w:t xml:space="preserve">has been </w:t>
      </w:r>
      <w:r w:rsidR="00D96100" w:rsidRPr="00A9366F">
        <w:rPr>
          <w:rFonts w:ascii="Calibri" w:hAnsi="Calibri"/>
          <w:sz w:val="30"/>
          <w:szCs w:val="30"/>
          <w:lang w:val="en-US"/>
        </w:rPr>
        <w:t xml:space="preserve">used </w:t>
      </w:r>
      <w:r w:rsidRPr="00A9366F">
        <w:rPr>
          <w:rFonts w:ascii="Calibri" w:hAnsi="Calibri"/>
          <w:sz w:val="30"/>
          <w:szCs w:val="30"/>
          <w:lang w:val="en-US"/>
        </w:rPr>
        <w:t>to make</w:t>
      </w:r>
      <w:r w:rsidR="00D96100" w:rsidRPr="00A9366F">
        <w:rPr>
          <w:rFonts w:ascii="Calibri" w:hAnsi="Calibri"/>
          <w:sz w:val="30"/>
          <w:szCs w:val="30"/>
          <w:lang w:val="en-US"/>
        </w:rPr>
        <w:t xml:space="preserve"> </w:t>
      </w:r>
      <w:r w:rsidRPr="00A9366F">
        <w:rPr>
          <w:rFonts w:ascii="Calibri" w:hAnsi="Calibri"/>
          <w:sz w:val="30"/>
          <w:szCs w:val="30"/>
          <w:lang w:val="en-US"/>
        </w:rPr>
        <w:t xml:space="preserve">payments, as well as </w:t>
      </w:r>
      <w:r w:rsidR="00D96100" w:rsidRPr="00A9366F">
        <w:rPr>
          <w:rFonts w:ascii="Calibri" w:hAnsi="Calibri"/>
          <w:sz w:val="30"/>
          <w:szCs w:val="30"/>
          <w:lang w:val="en-US"/>
        </w:rPr>
        <w:t xml:space="preserve">analysis of the net position of </w:t>
      </w:r>
      <w:r w:rsidR="008C4E63" w:rsidRPr="00A9366F">
        <w:rPr>
          <w:rFonts w:ascii="Calibri" w:hAnsi="Calibri"/>
          <w:sz w:val="30"/>
          <w:szCs w:val="30"/>
          <w:lang w:val="en-US"/>
        </w:rPr>
        <w:t xml:space="preserve">the system </w:t>
      </w:r>
      <w:r w:rsidR="00D96100" w:rsidRPr="00A9366F">
        <w:rPr>
          <w:rFonts w:ascii="Calibri" w:hAnsi="Calibri"/>
          <w:sz w:val="30"/>
          <w:szCs w:val="30"/>
          <w:lang w:val="en-US"/>
        </w:rPr>
        <w:t xml:space="preserve">participants. </w:t>
      </w:r>
      <w:r w:rsidR="008C4E63" w:rsidRPr="00A9366F">
        <w:rPr>
          <w:rFonts w:ascii="Calibri" w:hAnsi="Calibri"/>
          <w:sz w:val="30"/>
          <w:szCs w:val="30"/>
          <w:lang w:val="en-US"/>
        </w:rPr>
        <w:t xml:space="preserve">Thus, in 2016 an </w:t>
      </w:r>
      <w:r w:rsidR="00D96100" w:rsidRPr="00A9366F">
        <w:rPr>
          <w:rFonts w:ascii="Calibri" w:hAnsi="Calibri"/>
          <w:sz w:val="30"/>
          <w:szCs w:val="30"/>
          <w:lang w:val="en-US"/>
        </w:rPr>
        <w:t>average daily</w:t>
      </w:r>
      <w:r w:rsidR="00D96100" w:rsidRPr="00A9366F">
        <w:rPr>
          <w:rFonts w:ascii="Calibri" w:hAnsi="Calibri"/>
          <w:b/>
          <w:sz w:val="30"/>
          <w:szCs w:val="30"/>
          <w:lang w:val="en-US"/>
        </w:rPr>
        <w:t xml:space="preserve"> </w:t>
      </w:r>
      <w:r w:rsidR="008C4E63" w:rsidRPr="00A9366F">
        <w:rPr>
          <w:rFonts w:ascii="Calibri" w:hAnsi="Calibri"/>
          <w:b/>
          <w:sz w:val="30"/>
          <w:szCs w:val="30"/>
          <w:lang w:val="en-US"/>
        </w:rPr>
        <w:t xml:space="preserve">MTR (Money Turnover Ratio) </w:t>
      </w:r>
      <w:r w:rsidR="00D96100" w:rsidRPr="00A9366F">
        <w:rPr>
          <w:rFonts w:ascii="Calibri" w:hAnsi="Calibri"/>
          <w:b/>
          <w:sz w:val="30"/>
          <w:szCs w:val="30"/>
          <w:lang w:val="en-US"/>
        </w:rPr>
        <w:t xml:space="preserve">was </w:t>
      </w:r>
      <w:r w:rsidR="008C4E63" w:rsidRPr="00A9366F">
        <w:rPr>
          <w:rFonts w:ascii="Calibri" w:hAnsi="Calibri"/>
          <w:b/>
          <w:sz w:val="30"/>
          <w:szCs w:val="30"/>
          <w:lang w:val="en-US"/>
        </w:rPr>
        <w:t xml:space="preserve">equal to </w:t>
      </w:r>
      <w:r w:rsidR="00D96100" w:rsidRPr="00A9366F">
        <w:rPr>
          <w:rFonts w:ascii="Calibri" w:hAnsi="Calibri"/>
          <w:b/>
          <w:sz w:val="30"/>
          <w:szCs w:val="30"/>
          <w:lang w:val="en-US"/>
        </w:rPr>
        <w:t>5.0</w:t>
      </w:r>
      <w:r w:rsidR="00D96100" w:rsidRPr="00A9366F">
        <w:rPr>
          <w:rFonts w:ascii="Calibri" w:hAnsi="Calibri"/>
          <w:sz w:val="30"/>
          <w:szCs w:val="30"/>
          <w:lang w:val="en-US"/>
        </w:rPr>
        <w:t xml:space="preserve"> (for example, if there is </w:t>
      </w:r>
      <w:r w:rsidR="008C4E63" w:rsidRPr="00A9366F">
        <w:rPr>
          <w:rFonts w:ascii="Calibri" w:hAnsi="Calibri"/>
          <w:sz w:val="30"/>
          <w:szCs w:val="30"/>
          <w:lang w:val="en-US"/>
        </w:rPr>
        <w:t xml:space="preserve">1 unit of </w:t>
      </w:r>
      <w:r w:rsidR="00D96100" w:rsidRPr="00A9366F">
        <w:rPr>
          <w:rFonts w:ascii="Calibri" w:hAnsi="Calibri"/>
          <w:sz w:val="30"/>
          <w:szCs w:val="30"/>
          <w:lang w:val="en-US"/>
        </w:rPr>
        <w:t xml:space="preserve">liquidity in </w:t>
      </w:r>
      <w:r w:rsidR="008C4E63" w:rsidRPr="00A9366F">
        <w:rPr>
          <w:rFonts w:ascii="Calibri" w:hAnsi="Calibri"/>
          <w:sz w:val="30"/>
          <w:szCs w:val="30"/>
          <w:lang w:val="en-US"/>
        </w:rPr>
        <w:t xml:space="preserve">the </w:t>
      </w:r>
      <w:r w:rsidR="00D96100" w:rsidRPr="00A9366F">
        <w:rPr>
          <w:rFonts w:ascii="Calibri" w:hAnsi="Calibri"/>
          <w:sz w:val="30"/>
          <w:szCs w:val="30"/>
          <w:lang w:val="en-US"/>
        </w:rPr>
        <w:t xml:space="preserve">payment systems, </w:t>
      </w:r>
      <w:r w:rsidR="008C4E63" w:rsidRPr="00A9366F">
        <w:rPr>
          <w:rFonts w:ascii="Calibri" w:hAnsi="Calibri"/>
          <w:sz w:val="30"/>
          <w:szCs w:val="30"/>
          <w:lang w:val="en-US"/>
        </w:rPr>
        <w:t>5 units are transacted in the system at the expense of turnover of counter-payments</w:t>
      </w:r>
      <w:r w:rsidR="00D96100" w:rsidRPr="00A9366F">
        <w:rPr>
          <w:rFonts w:ascii="Calibri" w:hAnsi="Calibri"/>
          <w:sz w:val="30"/>
          <w:szCs w:val="30"/>
          <w:lang w:val="en-US"/>
        </w:rPr>
        <w:t>).</w:t>
      </w:r>
    </w:p>
    <w:p w:rsidR="008C4E63" w:rsidRPr="00A9366F" w:rsidRDefault="008C4E63" w:rsidP="00122C18">
      <w:pPr>
        <w:ind w:firstLine="708"/>
        <w:jc w:val="both"/>
        <w:rPr>
          <w:rFonts w:ascii="Calibri" w:hAnsi="Calibri"/>
          <w:sz w:val="30"/>
          <w:szCs w:val="30"/>
          <w:lang w:val="en-US"/>
        </w:rPr>
      </w:pPr>
      <w:r w:rsidRPr="00A9366F">
        <w:rPr>
          <w:rFonts w:ascii="Calibri" w:hAnsi="Calibri"/>
          <w:sz w:val="30"/>
          <w:szCs w:val="30"/>
          <w:lang w:val="en-US"/>
        </w:rPr>
        <w:t>At the same time, an</w:t>
      </w:r>
      <w:r w:rsidR="00D96100" w:rsidRPr="00A9366F">
        <w:rPr>
          <w:rFonts w:ascii="Calibri" w:hAnsi="Calibri"/>
          <w:sz w:val="30"/>
          <w:szCs w:val="30"/>
          <w:lang w:val="en-US"/>
        </w:rPr>
        <w:t xml:space="preserve"> average daily </w:t>
      </w:r>
      <w:r w:rsidRPr="00A9366F">
        <w:rPr>
          <w:rFonts w:ascii="Calibri" w:hAnsi="Calibri"/>
          <w:sz w:val="30"/>
          <w:szCs w:val="30"/>
          <w:lang w:val="en-US"/>
        </w:rPr>
        <w:t xml:space="preserve">amount of </w:t>
      </w:r>
      <w:r w:rsidR="00D96100" w:rsidRPr="00A9366F">
        <w:rPr>
          <w:rFonts w:ascii="Calibri" w:hAnsi="Calibri"/>
          <w:sz w:val="30"/>
          <w:szCs w:val="30"/>
          <w:lang w:val="en-US"/>
        </w:rPr>
        <w:t xml:space="preserve">net </w:t>
      </w:r>
      <w:r w:rsidRPr="00A9366F">
        <w:rPr>
          <w:rFonts w:ascii="Calibri" w:hAnsi="Calibri"/>
          <w:sz w:val="30"/>
          <w:szCs w:val="30"/>
          <w:lang w:val="en-US"/>
        </w:rPr>
        <w:t xml:space="preserve">positions of the users, based on the </w:t>
      </w:r>
      <w:r w:rsidR="00D96100" w:rsidRPr="00A9366F">
        <w:rPr>
          <w:rFonts w:ascii="Calibri" w:hAnsi="Calibri"/>
          <w:sz w:val="30"/>
          <w:szCs w:val="30"/>
          <w:lang w:val="en-US"/>
        </w:rPr>
        <w:t>clearing results</w:t>
      </w:r>
      <w:r w:rsidRPr="00A9366F">
        <w:rPr>
          <w:rFonts w:ascii="Calibri" w:hAnsi="Calibri"/>
          <w:sz w:val="30"/>
          <w:szCs w:val="30"/>
          <w:lang w:val="en-US"/>
        </w:rPr>
        <w:t xml:space="preserve">, was </w:t>
      </w:r>
      <w:r w:rsidR="00D96100" w:rsidRPr="00A9366F">
        <w:rPr>
          <w:rFonts w:ascii="Calibri" w:hAnsi="Calibri"/>
          <w:sz w:val="30"/>
          <w:szCs w:val="30"/>
          <w:lang w:val="en-US"/>
        </w:rPr>
        <w:t xml:space="preserve">KZT </w:t>
      </w:r>
      <w:r w:rsidRPr="00A9366F">
        <w:rPr>
          <w:rFonts w:ascii="Calibri" w:hAnsi="Calibri"/>
          <w:sz w:val="30"/>
          <w:szCs w:val="30"/>
          <w:lang w:val="en-US"/>
        </w:rPr>
        <w:t>5.1 billion, which exceeds the same value for</w:t>
      </w:r>
      <w:r w:rsidR="00D96100" w:rsidRPr="00A9366F">
        <w:rPr>
          <w:rFonts w:ascii="Calibri" w:hAnsi="Calibri"/>
          <w:sz w:val="30"/>
          <w:szCs w:val="30"/>
          <w:lang w:val="en-US"/>
        </w:rPr>
        <w:t xml:space="preserve"> 2015 by 8.6%. </w:t>
      </w:r>
      <w:r w:rsidR="0033456F" w:rsidRPr="00A9366F">
        <w:rPr>
          <w:rFonts w:ascii="Calibri" w:hAnsi="Calibri"/>
          <w:sz w:val="30"/>
          <w:szCs w:val="30"/>
          <w:lang w:val="en-US"/>
        </w:rPr>
        <w:t>A proportion</w:t>
      </w:r>
      <w:r w:rsidR="00D96100" w:rsidRPr="00A9366F">
        <w:rPr>
          <w:rFonts w:ascii="Calibri" w:hAnsi="Calibri"/>
          <w:sz w:val="30"/>
          <w:szCs w:val="30"/>
          <w:lang w:val="en-US"/>
        </w:rPr>
        <w:t xml:space="preserve"> of the net positions of the participants in </w:t>
      </w:r>
      <w:r w:rsidRPr="00A9366F">
        <w:rPr>
          <w:rFonts w:ascii="Calibri" w:hAnsi="Calibri"/>
          <w:sz w:val="30"/>
          <w:szCs w:val="30"/>
          <w:lang w:val="en-US"/>
        </w:rPr>
        <w:t>ICS i</w:t>
      </w:r>
      <w:r w:rsidR="00D96100" w:rsidRPr="00A9366F">
        <w:rPr>
          <w:rFonts w:ascii="Calibri" w:hAnsi="Calibri"/>
          <w:sz w:val="30"/>
          <w:szCs w:val="30"/>
          <w:lang w:val="en-US"/>
        </w:rPr>
        <w:t>n relation to the average daily turn</w:t>
      </w:r>
      <w:r w:rsidRPr="00A9366F">
        <w:rPr>
          <w:rFonts w:ascii="Calibri" w:hAnsi="Calibri"/>
          <w:sz w:val="30"/>
          <w:szCs w:val="30"/>
          <w:lang w:val="en-US"/>
        </w:rPr>
        <w:t xml:space="preserve">over of the participants in </w:t>
      </w:r>
      <w:r w:rsidR="00D96100" w:rsidRPr="00A9366F">
        <w:rPr>
          <w:rFonts w:ascii="Calibri" w:hAnsi="Calibri"/>
          <w:sz w:val="30"/>
          <w:szCs w:val="30"/>
          <w:lang w:val="en-US"/>
        </w:rPr>
        <w:t>ISMT</w:t>
      </w:r>
      <w:r w:rsidRPr="00A9366F">
        <w:rPr>
          <w:rFonts w:ascii="Calibri" w:hAnsi="Calibri"/>
          <w:sz w:val="30"/>
          <w:szCs w:val="30"/>
          <w:vertAlign w:val="superscript"/>
          <w:lang w:val="en-US"/>
        </w:rPr>
        <w:footnoteReference w:id="4"/>
      </w:r>
      <w:r w:rsidR="00D96100" w:rsidRPr="00A9366F">
        <w:rPr>
          <w:rFonts w:ascii="Calibri" w:hAnsi="Calibri"/>
          <w:sz w:val="30"/>
          <w:szCs w:val="30"/>
          <w:lang w:val="en-US"/>
        </w:rPr>
        <w:t xml:space="preserve"> </w:t>
      </w:r>
      <w:proofErr w:type="gramStart"/>
      <w:r w:rsidR="00D96100" w:rsidRPr="00A9366F">
        <w:rPr>
          <w:rFonts w:ascii="Calibri" w:hAnsi="Calibri"/>
          <w:sz w:val="30"/>
          <w:szCs w:val="30"/>
          <w:lang w:val="en-US"/>
        </w:rPr>
        <w:t>is</w:t>
      </w:r>
      <w:proofErr w:type="gramEnd"/>
      <w:r w:rsidR="00D96100" w:rsidRPr="00A9366F">
        <w:rPr>
          <w:rFonts w:ascii="Calibri" w:hAnsi="Calibri"/>
          <w:sz w:val="30"/>
          <w:szCs w:val="30"/>
          <w:lang w:val="en-US"/>
        </w:rPr>
        <w:t xml:space="preserve"> 0.2%, which </w:t>
      </w:r>
      <w:r w:rsidRPr="00A9366F">
        <w:rPr>
          <w:rFonts w:ascii="Calibri" w:hAnsi="Calibri"/>
          <w:sz w:val="30"/>
          <w:szCs w:val="30"/>
          <w:lang w:val="en-US"/>
        </w:rPr>
        <w:t xml:space="preserve">indicates that in case of failure to calculate the net positions of the ICS participants in ISMT, the risk is insignificant. </w:t>
      </w:r>
    </w:p>
    <w:p w:rsidR="0098131D" w:rsidRDefault="0098131D" w:rsidP="0035454E">
      <w:pPr>
        <w:jc w:val="center"/>
        <w:rPr>
          <w:rFonts w:ascii="Calibri" w:hAnsi="Calibri" w:cs="Arial"/>
          <w:b/>
          <w:color w:val="0E4C28"/>
          <w:sz w:val="28"/>
          <w:szCs w:val="28"/>
          <w:lang w:val="en-US"/>
        </w:rPr>
      </w:pPr>
    </w:p>
    <w:p w:rsidR="00E909F9" w:rsidRPr="00A9366F" w:rsidRDefault="00970C66" w:rsidP="0035454E">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Liquidity and turnover ratios in ICS for 2016 </w:t>
      </w:r>
    </w:p>
    <w:p w:rsidR="009E09D9" w:rsidRPr="00A9366F" w:rsidRDefault="00B41594" w:rsidP="0035454E">
      <w:pPr>
        <w:widowControl w:val="0"/>
        <w:rPr>
          <w:lang w:val="en-US"/>
        </w:rPr>
      </w:pPr>
      <w:r w:rsidRPr="00A9366F">
        <w:rPr>
          <w:rFonts w:ascii="Calibri" w:hAnsi="Calibri"/>
          <w:noProof/>
          <w:sz w:val="30"/>
          <w:szCs w:val="30"/>
        </w:rPr>
        <w:drawing>
          <wp:inline distT="0" distB="0" distL="0" distR="0">
            <wp:extent cx="6122020" cy="2819307"/>
            <wp:effectExtent l="0" t="0" r="0" b="0"/>
            <wp:docPr id="17"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E09D9" w:rsidRPr="00A9366F" w:rsidRDefault="00A30B7D" w:rsidP="0035454E">
      <w:pPr>
        <w:pStyle w:val="1"/>
        <w:widowControl w:val="0"/>
        <w:pBdr>
          <w:bottom w:val="single" w:sz="12" w:space="1" w:color="auto"/>
        </w:pBdr>
        <w:tabs>
          <w:tab w:val="left" w:pos="561"/>
        </w:tabs>
        <w:spacing w:before="0" w:after="0"/>
        <w:rPr>
          <w:rFonts w:ascii="Calibri" w:hAnsi="Calibri"/>
          <w:bCs w:val="0"/>
          <w:snapToGrid w:val="0"/>
          <w:color w:val="0E4C28"/>
          <w:spacing w:val="-2"/>
          <w:kern w:val="0"/>
          <w:lang w:val="en-US"/>
        </w:rPr>
      </w:pPr>
      <w:bookmarkStart w:id="68" w:name="_Toc485627000"/>
      <w:bookmarkStart w:id="69" w:name="OLE_LINK9"/>
      <w:bookmarkStart w:id="70" w:name="OLE_LINK10"/>
      <w:r w:rsidRPr="00A9366F">
        <w:rPr>
          <w:rFonts w:ascii="Calibri" w:hAnsi="Calibri"/>
          <w:bCs w:val="0"/>
          <w:snapToGrid w:val="0"/>
          <w:color w:val="0E4C28"/>
          <w:spacing w:val="-2"/>
          <w:kern w:val="0"/>
          <w:lang w:val="en-US"/>
        </w:rPr>
        <w:t>1</w:t>
      </w:r>
      <w:r w:rsidR="009E09D9" w:rsidRPr="00A9366F">
        <w:rPr>
          <w:rFonts w:ascii="Calibri" w:hAnsi="Calibri"/>
          <w:bCs w:val="0"/>
          <w:snapToGrid w:val="0"/>
          <w:color w:val="0E4C28"/>
          <w:spacing w:val="-2"/>
          <w:kern w:val="0"/>
          <w:lang w:val="en-US"/>
        </w:rPr>
        <w:t>.</w:t>
      </w:r>
      <w:r w:rsidR="00C91738" w:rsidRPr="00A9366F">
        <w:rPr>
          <w:rFonts w:ascii="Calibri" w:hAnsi="Calibri"/>
          <w:bCs w:val="0"/>
          <w:snapToGrid w:val="0"/>
          <w:color w:val="0E4C28"/>
          <w:spacing w:val="-2"/>
          <w:kern w:val="0"/>
          <w:lang w:val="en-US"/>
        </w:rPr>
        <w:t>7</w:t>
      </w:r>
      <w:r w:rsidR="009E09D9" w:rsidRPr="00A9366F">
        <w:rPr>
          <w:rFonts w:ascii="Calibri" w:hAnsi="Calibri"/>
          <w:bCs w:val="0"/>
          <w:snapToGrid w:val="0"/>
          <w:color w:val="0E4C28"/>
          <w:spacing w:val="-2"/>
          <w:kern w:val="0"/>
          <w:lang w:val="en-US"/>
        </w:rPr>
        <w:t xml:space="preserve">. </w:t>
      </w:r>
      <w:r w:rsidR="00970C66" w:rsidRPr="00A9366F">
        <w:rPr>
          <w:rFonts w:ascii="Calibri" w:hAnsi="Calibri"/>
          <w:bCs w:val="0"/>
          <w:snapToGrid w:val="0"/>
          <w:color w:val="0E4C28"/>
          <w:spacing w:val="-2"/>
          <w:kern w:val="0"/>
          <w:lang w:val="en-US"/>
        </w:rPr>
        <w:t>Payment system operability indices</w:t>
      </w:r>
      <w:bookmarkEnd w:id="68"/>
    </w:p>
    <w:bookmarkEnd w:id="69"/>
    <w:bookmarkEnd w:id="70"/>
    <w:p w:rsidR="009E09D9" w:rsidRPr="00541D5F" w:rsidRDefault="00970C66" w:rsidP="0035454E">
      <w:pPr>
        <w:widowControl w:val="0"/>
        <w:autoSpaceDE w:val="0"/>
        <w:autoSpaceDN w:val="0"/>
        <w:adjustRightInd w:val="0"/>
        <w:ind w:firstLine="720"/>
        <w:jc w:val="both"/>
        <w:rPr>
          <w:rFonts w:ascii="Calibri" w:hAnsi="Calibri" w:cs="Arial"/>
          <w:spacing w:val="-4"/>
          <w:sz w:val="30"/>
          <w:szCs w:val="30"/>
          <w:lang w:val="en-US"/>
        </w:rPr>
      </w:pPr>
      <w:r w:rsidRPr="00A9366F">
        <w:rPr>
          <w:rFonts w:ascii="Calibri" w:hAnsi="Calibri" w:cs="Arial"/>
          <w:spacing w:val="-4"/>
          <w:sz w:val="30"/>
          <w:szCs w:val="30"/>
          <w:lang w:val="en-US"/>
        </w:rPr>
        <w:t>Up-to-date</w:t>
      </w:r>
      <w:r w:rsidR="00D96100" w:rsidRPr="00A9366F">
        <w:rPr>
          <w:rFonts w:ascii="Calibri" w:hAnsi="Calibri" w:cs="Arial"/>
          <w:spacing w:val="-4"/>
          <w:sz w:val="30"/>
          <w:szCs w:val="30"/>
          <w:lang w:val="en-US"/>
        </w:rPr>
        <w:t xml:space="preserve"> ISMT and </w:t>
      </w:r>
      <w:r w:rsidRPr="00A9366F">
        <w:rPr>
          <w:rFonts w:ascii="Calibri" w:hAnsi="Calibri" w:cs="Arial"/>
          <w:spacing w:val="-4"/>
          <w:sz w:val="30"/>
          <w:szCs w:val="30"/>
          <w:lang w:val="en-US"/>
        </w:rPr>
        <w:t xml:space="preserve">ICS, </w:t>
      </w:r>
      <w:r w:rsidR="00D96100" w:rsidRPr="00A9366F">
        <w:rPr>
          <w:rFonts w:ascii="Calibri" w:hAnsi="Calibri" w:cs="Arial"/>
          <w:spacing w:val="-4"/>
          <w:sz w:val="30"/>
          <w:szCs w:val="30"/>
          <w:lang w:val="en-US"/>
        </w:rPr>
        <w:t xml:space="preserve">through which the main flow of payments </w:t>
      </w:r>
      <w:r w:rsidRPr="00A9366F">
        <w:rPr>
          <w:rFonts w:ascii="Calibri" w:hAnsi="Calibri" w:cs="Arial"/>
          <w:spacing w:val="-4"/>
          <w:sz w:val="30"/>
          <w:szCs w:val="30"/>
          <w:lang w:val="en-US"/>
        </w:rPr>
        <w:t>in the country runs</w:t>
      </w:r>
      <w:r w:rsidR="00D96100" w:rsidRPr="00A9366F">
        <w:rPr>
          <w:rFonts w:ascii="Calibri" w:hAnsi="Calibri" w:cs="Arial"/>
          <w:spacing w:val="-4"/>
          <w:sz w:val="30"/>
          <w:szCs w:val="30"/>
          <w:lang w:val="en-US"/>
        </w:rPr>
        <w:t xml:space="preserve">, </w:t>
      </w:r>
      <w:r w:rsidRPr="00A9366F">
        <w:rPr>
          <w:rFonts w:ascii="Calibri" w:hAnsi="Calibri" w:cs="Arial"/>
          <w:spacing w:val="-4"/>
          <w:sz w:val="30"/>
          <w:szCs w:val="30"/>
          <w:lang w:val="en-US"/>
        </w:rPr>
        <w:t>play a prominent role in promoting</w:t>
      </w:r>
      <w:r w:rsidR="00D96100" w:rsidRPr="00A9366F">
        <w:rPr>
          <w:rFonts w:ascii="Calibri" w:hAnsi="Calibri" w:cs="Arial"/>
          <w:spacing w:val="-4"/>
          <w:sz w:val="30"/>
          <w:szCs w:val="30"/>
          <w:lang w:val="en-US"/>
        </w:rPr>
        <w:t xml:space="preserve"> development of </w:t>
      </w:r>
      <w:r w:rsidRPr="00A9366F">
        <w:rPr>
          <w:rFonts w:ascii="Calibri" w:hAnsi="Calibri" w:cs="Arial"/>
          <w:spacing w:val="-4"/>
          <w:sz w:val="30"/>
          <w:szCs w:val="30"/>
          <w:lang w:val="en-US"/>
        </w:rPr>
        <w:t xml:space="preserve">Kazakhstan </w:t>
      </w:r>
      <w:r w:rsidR="00D96100" w:rsidRPr="00A9366F">
        <w:rPr>
          <w:rFonts w:ascii="Calibri" w:hAnsi="Calibri" w:cs="Arial"/>
          <w:spacing w:val="-4"/>
          <w:sz w:val="30"/>
          <w:szCs w:val="30"/>
          <w:lang w:val="en-US"/>
        </w:rPr>
        <w:t xml:space="preserve">economy. One of the important functions of the National Bank of Kazakhstan in this regard is </w:t>
      </w:r>
      <w:r w:rsidRPr="00A9366F">
        <w:rPr>
          <w:rFonts w:ascii="Calibri" w:hAnsi="Calibri" w:cs="Arial"/>
          <w:spacing w:val="-4"/>
          <w:sz w:val="30"/>
          <w:szCs w:val="30"/>
          <w:lang w:val="en-US"/>
        </w:rPr>
        <w:t xml:space="preserve">to exercise </w:t>
      </w:r>
      <w:r w:rsidR="00D96100" w:rsidRPr="00A9366F">
        <w:rPr>
          <w:rFonts w:ascii="Calibri" w:hAnsi="Calibri" w:cs="Arial"/>
          <w:spacing w:val="-4"/>
          <w:sz w:val="30"/>
          <w:szCs w:val="30"/>
          <w:lang w:val="en-US"/>
        </w:rPr>
        <w:t xml:space="preserve">oversight of </w:t>
      </w:r>
      <w:r w:rsidRPr="00A9366F">
        <w:rPr>
          <w:rFonts w:ascii="Calibri" w:hAnsi="Calibri" w:cs="Arial"/>
          <w:spacing w:val="-4"/>
          <w:sz w:val="30"/>
          <w:szCs w:val="30"/>
          <w:lang w:val="en-US"/>
        </w:rPr>
        <w:t xml:space="preserve">the </w:t>
      </w:r>
      <w:r w:rsidR="00D96100" w:rsidRPr="00A9366F">
        <w:rPr>
          <w:rFonts w:ascii="Calibri" w:hAnsi="Calibri" w:cs="Arial"/>
          <w:spacing w:val="-4"/>
          <w:sz w:val="30"/>
          <w:szCs w:val="30"/>
          <w:lang w:val="en-US"/>
        </w:rPr>
        <w:t xml:space="preserve">payment systems, which includes a whole </w:t>
      </w:r>
      <w:r w:rsidRPr="00A9366F">
        <w:rPr>
          <w:rFonts w:ascii="Calibri" w:hAnsi="Calibri" w:cs="Arial"/>
          <w:spacing w:val="-4"/>
          <w:sz w:val="30"/>
          <w:szCs w:val="30"/>
          <w:lang w:val="en-US"/>
        </w:rPr>
        <w:t>package of arrangements</w:t>
      </w:r>
      <w:r w:rsidR="00D96100" w:rsidRPr="00A9366F">
        <w:rPr>
          <w:rFonts w:ascii="Calibri" w:hAnsi="Calibri" w:cs="Arial"/>
          <w:spacing w:val="-4"/>
          <w:sz w:val="30"/>
          <w:szCs w:val="30"/>
          <w:lang w:val="en-US"/>
        </w:rPr>
        <w:t xml:space="preserve">, including monitoring </w:t>
      </w:r>
      <w:r w:rsidR="0003126B" w:rsidRPr="00A9366F">
        <w:rPr>
          <w:rFonts w:ascii="Calibri" w:hAnsi="Calibri" w:cs="Arial"/>
          <w:spacing w:val="-4"/>
          <w:sz w:val="30"/>
          <w:szCs w:val="30"/>
          <w:lang w:val="en-US"/>
        </w:rPr>
        <w:t xml:space="preserve">of </w:t>
      </w:r>
      <w:r w:rsidR="00D96100" w:rsidRPr="00A9366F">
        <w:rPr>
          <w:rFonts w:ascii="Calibri" w:hAnsi="Calibri" w:cs="Arial"/>
          <w:spacing w:val="-4"/>
          <w:sz w:val="30"/>
          <w:szCs w:val="30"/>
          <w:lang w:val="en-US"/>
        </w:rPr>
        <w:t>functioning of these payment systems and evaluati</w:t>
      </w:r>
      <w:r w:rsidR="0003126B" w:rsidRPr="00A9366F">
        <w:rPr>
          <w:rFonts w:ascii="Calibri" w:hAnsi="Calibri" w:cs="Arial"/>
          <w:spacing w:val="-4"/>
          <w:sz w:val="30"/>
          <w:szCs w:val="30"/>
          <w:lang w:val="en-US"/>
        </w:rPr>
        <w:t xml:space="preserve">on of </w:t>
      </w:r>
      <w:r w:rsidR="00D96100" w:rsidRPr="00A9366F">
        <w:rPr>
          <w:rFonts w:ascii="Calibri" w:hAnsi="Calibri" w:cs="Arial"/>
          <w:spacing w:val="-4"/>
          <w:sz w:val="30"/>
          <w:szCs w:val="30"/>
          <w:lang w:val="en-US"/>
        </w:rPr>
        <w:t>their performance for reliability and efficiency.</w:t>
      </w:r>
      <w:r w:rsidR="009E09D9" w:rsidRPr="00A9366F">
        <w:rPr>
          <w:rFonts w:ascii="Calibri" w:hAnsi="Calibri" w:cs="Arial"/>
          <w:spacing w:val="-4"/>
          <w:sz w:val="30"/>
          <w:szCs w:val="30"/>
          <w:lang w:val="en-US"/>
        </w:rPr>
        <w:t xml:space="preserve"> </w:t>
      </w:r>
    </w:p>
    <w:p w:rsidR="004E2977" w:rsidRPr="00541D5F" w:rsidRDefault="004E2977" w:rsidP="0035454E">
      <w:pPr>
        <w:widowControl w:val="0"/>
        <w:autoSpaceDE w:val="0"/>
        <w:autoSpaceDN w:val="0"/>
        <w:adjustRightInd w:val="0"/>
        <w:ind w:firstLine="720"/>
        <w:jc w:val="both"/>
        <w:rPr>
          <w:rFonts w:ascii="Calibri" w:hAnsi="Calibri" w:cs="Arial"/>
          <w:spacing w:val="-4"/>
          <w:sz w:val="30"/>
          <w:szCs w:val="30"/>
          <w:lang w:val="en-US"/>
        </w:rPr>
      </w:pPr>
    </w:p>
    <w:p w:rsidR="004E2977" w:rsidRPr="00541D5F" w:rsidRDefault="004E2977" w:rsidP="0035454E">
      <w:pPr>
        <w:widowControl w:val="0"/>
        <w:autoSpaceDE w:val="0"/>
        <w:autoSpaceDN w:val="0"/>
        <w:adjustRightInd w:val="0"/>
        <w:ind w:firstLine="720"/>
        <w:jc w:val="both"/>
        <w:rPr>
          <w:rFonts w:ascii="Calibri" w:hAnsi="Calibri" w:cs="Arial"/>
          <w:spacing w:val="-4"/>
          <w:sz w:val="30"/>
          <w:szCs w:val="30"/>
          <w:lang w:val="en-US"/>
        </w:rPr>
      </w:pPr>
    </w:p>
    <w:p w:rsidR="00D96100" w:rsidRPr="004E2977" w:rsidRDefault="004E2977" w:rsidP="004E2977">
      <w:pPr>
        <w:widowControl w:val="0"/>
        <w:autoSpaceDE w:val="0"/>
        <w:autoSpaceDN w:val="0"/>
        <w:adjustRightInd w:val="0"/>
        <w:ind w:right="5385" w:firstLine="720"/>
        <w:jc w:val="both"/>
        <w:rPr>
          <w:lang w:val="en-US"/>
        </w:rPr>
      </w:pPr>
      <w:r w:rsidRPr="00A9366F">
        <w:rPr>
          <w:b/>
          <w:noProof/>
        </w:rPr>
        <w:drawing>
          <wp:anchor distT="0" distB="0" distL="114300" distR="114300" simplePos="0" relativeHeight="251656192" behindDoc="0" locked="0" layoutInCell="1" allowOverlap="1" wp14:anchorId="1416E445" wp14:editId="4D3FECEE">
            <wp:simplePos x="0" y="0"/>
            <wp:positionH relativeFrom="column">
              <wp:posOffset>2733040</wp:posOffset>
            </wp:positionH>
            <wp:positionV relativeFrom="paragraph">
              <wp:posOffset>50165</wp:posOffset>
            </wp:positionV>
            <wp:extent cx="3222625" cy="2002155"/>
            <wp:effectExtent l="0" t="0" r="0" b="0"/>
            <wp:wrapSquare wrapText="bothSides"/>
            <wp:docPr id="471" name="Диаграмма 4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03126B" w:rsidRPr="00A9366F">
        <w:rPr>
          <w:rFonts w:ascii="Calibri" w:hAnsi="Calibri" w:cs="Arial"/>
          <w:b/>
          <w:spacing w:val="-4"/>
          <w:sz w:val="30"/>
          <w:szCs w:val="30"/>
          <w:lang w:val="en-US"/>
        </w:rPr>
        <w:t xml:space="preserve">ISMT business continuity ratio (operability) for 2016 </w:t>
      </w:r>
      <w:r w:rsidR="00D96100" w:rsidRPr="00A9366F">
        <w:rPr>
          <w:rFonts w:ascii="Calibri" w:hAnsi="Calibri" w:cs="Arial"/>
          <w:b/>
          <w:spacing w:val="-4"/>
          <w:sz w:val="30"/>
          <w:szCs w:val="30"/>
          <w:lang w:val="en-US"/>
        </w:rPr>
        <w:t xml:space="preserve">was 99.803%, </w:t>
      </w:r>
      <w:r w:rsidR="0003126B" w:rsidRPr="00A9366F">
        <w:rPr>
          <w:rFonts w:ascii="Calibri" w:hAnsi="Calibri" w:cs="Arial"/>
          <w:b/>
          <w:spacing w:val="-4"/>
          <w:sz w:val="30"/>
          <w:szCs w:val="30"/>
          <w:lang w:val="en-US"/>
        </w:rPr>
        <w:t xml:space="preserve">and that of ICS </w:t>
      </w:r>
      <w:r w:rsidR="00D96100" w:rsidRPr="00A9366F">
        <w:rPr>
          <w:rFonts w:ascii="Calibri" w:hAnsi="Calibri" w:cs="Arial"/>
          <w:b/>
          <w:spacing w:val="-4"/>
          <w:sz w:val="30"/>
          <w:szCs w:val="30"/>
          <w:lang w:val="en-US"/>
        </w:rPr>
        <w:t>- 99.976%, which exceeds</w:t>
      </w:r>
      <w:r w:rsidR="0003126B" w:rsidRPr="00A9366F">
        <w:rPr>
          <w:rFonts w:ascii="Calibri" w:hAnsi="Calibri" w:cs="Arial"/>
          <w:b/>
          <w:spacing w:val="-4"/>
          <w:sz w:val="30"/>
          <w:szCs w:val="30"/>
          <w:lang w:val="en-US"/>
        </w:rPr>
        <w:t>, in general,</w:t>
      </w:r>
      <w:r w:rsidR="00D96100" w:rsidRPr="00A9366F">
        <w:rPr>
          <w:rFonts w:ascii="Calibri" w:hAnsi="Calibri" w:cs="Arial"/>
          <w:b/>
          <w:spacing w:val="-4"/>
          <w:sz w:val="30"/>
          <w:szCs w:val="30"/>
          <w:lang w:val="en-US"/>
        </w:rPr>
        <w:t xml:space="preserve"> the established targets</w:t>
      </w:r>
      <w:r w:rsidR="0003126B" w:rsidRPr="00A9366F">
        <w:rPr>
          <w:rStyle w:val="a6"/>
          <w:rFonts w:ascii="Calibri" w:hAnsi="Calibri" w:cs="Arial"/>
          <w:b/>
          <w:spacing w:val="-4"/>
          <w:sz w:val="30"/>
          <w:szCs w:val="30"/>
          <w:lang w:val="en-US"/>
        </w:rPr>
        <w:footnoteReference w:id="5"/>
      </w:r>
      <w:r w:rsidR="00D96100" w:rsidRPr="00A9366F">
        <w:rPr>
          <w:rFonts w:ascii="Calibri" w:hAnsi="Calibri" w:cs="Arial"/>
          <w:b/>
          <w:spacing w:val="-4"/>
          <w:sz w:val="30"/>
          <w:szCs w:val="30"/>
          <w:lang w:val="en-US"/>
        </w:rPr>
        <w:t xml:space="preserve"> and </w:t>
      </w:r>
      <w:r w:rsidR="0003126B" w:rsidRPr="00A9366F">
        <w:rPr>
          <w:rFonts w:ascii="Calibri" w:hAnsi="Calibri" w:cs="Arial"/>
          <w:b/>
          <w:spacing w:val="-4"/>
          <w:sz w:val="30"/>
          <w:szCs w:val="30"/>
          <w:lang w:val="en-US"/>
        </w:rPr>
        <w:t>is characteristic of</w:t>
      </w:r>
      <w:r w:rsidR="00D96100" w:rsidRPr="00A9366F">
        <w:rPr>
          <w:rFonts w:ascii="Calibri" w:hAnsi="Calibri" w:cs="Arial"/>
          <w:b/>
          <w:spacing w:val="-4"/>
          <w:sz w:val="30"/>
          <w:szCs w:val="30"/>
          <w:lang w:val="en-US"/>
        </w:rPr>
        <w:t xml:space="preserve"> the high efficiency of the systems </w:t>
      </w:r>
      <w:r w:rsidR="0003126B" w:rsidRPr="00A9366F">
        <w:rPr>
          <w:rFonts w:ascii="Calibri" w:hAnsi="Calibri" w:cs="Arial"/>
          <w:b/>
          <w:spacing w:val="-4"/>
          <w:sz w:val="30"/>
          <w:szCs w:val="30"/>
          <w:lang w:val="en-US"/>
        </w:rPr>
        <w:t>operating</w:t>
      </w:r>
      <w:r w:rsidR="00D96100" w:rsidRPr="00A9366F">
        <w:rPr>
          <w:rFonts w:ascii="Calibri" w:hAnsi="Calibri" w:cs="Arial"/>
          <w:b/>
          <w:spacing w:val="-4"/>
          <w:sz w:val="30"/>
          <w:szCs w:val="30"/>
          <w:lang w:val="en-US"/>
        </w:rPr>
        <w:t xml:space="preserve"> in the country</w:t>
      </w:r>
      <w:r w:rsidR="00D96100" w:rsidRPr="00A9366F">
        <w:rPr>
          <w:lang w:val="en-US"/>
        </w:rPr>
        <w:t>.</w:t>
      </w:r>
    </w:p>
    <w:p w:rsidR="004E2977" w:rsidRPr="004E2977" w:rsidRDefault="004E2977" w:rsidP="004E2977">
      <w:pPr>
        <w:widowControl w:val="0"/>
        <w:autoSpaceDE w:val="0"/>
        <w:autoSpaceDN w:val="0"/>
        <w:adjustRightInd w:val="0"/>
        <w:ind w:right="4959" w:firstLine="720"/>
        <w:jc w:val="both"/>
        <w:rPr>
          <w:lang w:val="en-US"/>
        </w:rPr>
      </w:pPr>
    </w:p>
    <w:p w:rsidR="00BF2D40" w:rsidRPr="00A9366F" w:rsidRDefault="00BF2D40" w:rsidP="0003126B">
      <w:pPr>
        <w:widowControl w:val="0"/>
        <w:autoSpaceDE w:val="0"/>
        <w:autoSpaceDN w:val="0"/>
        <w:adjustRightInd w:val="0"/>
        <w:ind w:firstLine="720"/>
        <w:jc w:val="both"/>
        <w:rPr>
          <w:rFonts w:ascii="Calibri" w:hAnsi="Calibri" w:cs="Arial"/>
          <w:spacing w:val="-4"/>
          <w:sz w:val="22"/>
          <w:szCs w:val="30"/>
          <w:lang w:val="en-US"/>
        </w:rPr>
      </w:pPr>
    </w:p>
    <w:p w:rsidR="003874CE" w:rsidRPr="00A9366F" w:rsidRDefault="003E1657" w:rsidP="003874CE">
      <w:pPr>
        <w:pStyle w:val="1"/>
        <w:widowControl w:val="0"/>
        <w:pBdr>
          <w:bottom w:val="single" w:sz="12" w:space="1" w:color="auto"/>
        </w:pBdr>
        <w:tabs>
          <w:tab w:val="left" w:pos="561"/>
        </w:tabs>
        <w:spacing w:before="0" w:after="0" w:line="233" w:lineRule="auto"/>
        <w:rPr>
          <w:rFonts w:ascii="Calibri" w:hAnsi="Calibri"/>
          <w:bCs w:val="0"/>
          <w:snapToGrid w:val="0"/>
          <w:color w:val="0E4C28"/>
          <w:spacing w:val="-2"/>
          <w:kern w:val="0"/>
          <w:lang w:val="en-US"/>
        </w:rPr>
      </w:pPr>
      <w:bookmarkStart w:id="71" w:name="_Toc485627001"/>
      <w:r w:rsidRPr="00A9366F">
        <w:rPr>
          <w:rFonts w:ascii="Calibri" w:hAnsi="Calibri"/>
          <w:bCs w:val="0"/>
          <w:snapToGrid w:val="0"/>
          <w:color w:val="0E4C28"/>
          <w:spacing w:val="-2"/>
          <w:kern w:val="0"/>
          <w:lang w:val="en-US"/>
        </w:rPr>
        <w:t>1.</w:t>
      </w:r>
      <w:r w:rsidR="001D3002" w:rsidRPr="00A9366F">
        <w:rPr>
          <w:rFonts w:ascii="Calibri" w:hAnsi="Calibri"/>
          <w:bCs w:val="0"/>
          <w:snapToGrid w:val="0"/>
          <w:color w:val="0E4C28"/>
          <w:spacing w:val="-2"/>
          <w:kern w:val="0"/>
          <w:lang w:val="en-US"/>
        </w:rPr>
        <w:t>8</w:t>
      </w:r>
      <w:r w:rsidR="003874CE" w:rsidRPr="00A9366F">
        <w:rPr>
          <w:rFonts w:ascii="Calibri" w:hAnsi="Calibri"/>
          <w:bCs w:val="0"/>
          <w:snapToGrid w:val="0"/>
          <w:color w:val="0E4C28"/>
          <w:spacing w:val="-2"/>
          <w:kern w:val="0"/>
          <w:lang w:val="en-US"/>
        </w:rPr>
        <w:t xml:space="preserve">. </w:t>
      </w:r>
      <w:r w:rsidR="0003126B" w:rsidRPr="00A9366F">
        <w:rPr>
          <w:rFonts w:ascii="Calibri" w:hAnsi="Calibri"/>
          <w:bCs w:val="0"/>
          <w:snapToGrid w:val="0"/>
          <w:color w:val="0E4C28"/>
          <w:spacing w:val="-2"/>
          <w:kern w:val="0"/>
          <w:lang w:val="en-US"/>
        </w:rPr>
        <w:t>System of Mass Electronic Payments</w:t>
      </w:r>
      <w:bookmarkEnd w:id="71"/>
      <w:r w:rsidR="0003126B" w:rsidRPr="00A9366F">
        <w:rPr>
          <w:rFonts w:ascii="Calibri" w:hAnsi="Calibri"/>
          <w:bCs w:val="0"/>
          <w:snapToGrid w:val="0"/>
          <w:color w:val="0E4C28"/>
          <w:spacing w:val="-2"/>
          <w:kern w:val="0"/>
          <w:lang w:val="en-US"/>
        </w:rPr>
        <w:t xml:space="preserve"> </w:t>
      </w:r>
    </w:p>
    <w:p w:rsidR="003874CE" w:rsidRPr="00A9366F" w:rsidRDefault="003874CE" w:rsidP="003874CE">
      <w:pPr>
        <w:widowControl w:val="0"/>
        <w:ind w:firstLine="709"/>
        <w:jc w:val="both"/>
        <w:rPr>
          <w:rFonts w:ascii="Calibri" w:hAnsi="Calibri" w:cs="Arial"/>
          <w:sz w:val="8"/>
          <w:szCs w:val="30"/>
          <w:lang w:val="en-US"/>
        </w:rPr>
      </w:pPr>
    </w:p>
    <w:p w:rsidR="00716687" w:rsidRPr="00A9366F" w:rsidRDefault="00D96100" w:rsidP="00BF2D40">
      <w:pPr>
        <w:widowControl w:val="0"/>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With the development of inno</w:t>
      </w:r>
      <w:r w:rsidR="0003126B" w:rsidRPr="00A9366F">
        <w:rPr>
          <w:rFonts w:ascii="Calibri" w:hAnsi="Calibri" w:cs="Arial"/>
          <w:sz w:val="30"/>
          <w:szCs w:val="30"/>
          <w:lang w:val="en-US"/>
        </w:rPr>
        <w:t xml:space="preserve">vative technical solutions, the needs have arisen in the existence of </w:t>
      </w:r>
      <w:r w:rsidRPr="00A9366F">
        <w:rPr>
          <w:rFonts w:ascii="Calibri" w:hAnsi="Calibri" w:cs="Arial"/>
          <w:sz w:val="30"/>
          <w:szCs w:val="30"/>
          <w:lang w:val="en-US"/>
        </w:rPr>
        <w:t>retail payme</w:t>
      </w:r>
      <w:r w:rsidR="00716687" w:rsidRPr="00A9366F">
        <w:rPr>
          <w:rFonts w:ascii="Calibri" w:hAnsi="Calibri" w:cs="Arial"/>
          <w:sz w:val="30"/>
          <w:szCs w:val="30"/>
          <w:lang w:val="en-US"/>
        </w:rPr>
        <w:t>nt systems that provide instant payment</w:t>
      </w:r>
      <w:r w:rsidRPr="00A9366F">
        <w:rPr>
          <w:rFonts w:ascii="Calibri" w:hAnsi="Calibri" w:cs="Arial"/>
          <w:sz w:val="30"/>
          <w:szCs w:val="30"/>
          <w:lang w:val="en-US"/>
        </w:rPr>
        <w:t xml:space="preserve"> </w:t>
      </w:r>
      <w:r w:rsidR="00716687" w:rsidRPr="00A9366F">
        <w:rPr>
          <w:rFonts w:ascii="Calibri" w:hAnsi="Calibri" w:cs="Arial"/>
          <w:sz w:val="30"/>
          <w:szCs w:val="30"/>
          <w:lang w:val="en-US"/>
        </w:rPr>
        <w:t xml:space="preserve">settlement or on-line transfer of information </w:t>
      </w:r>
      <w:r w:rsidRPr="00A9366F">
        <w:rPr>
          <w:rFonts w:ascii="Calibri" w:hAnsi="Calibri" w:cs="Arial"/>
          <w:sz w:val="30"/>
          <w:szCs w:val="30"/>
          <w:lang w:val="en-US"/>
        </w:rPr>
        <w:t xml:space="preserve">on payments made to the service provider. </w:t>
      </w:r>
      <w:r w:rsidR="00716687" w:rsidRPr="00A9366F">
        <w:rPr>
          <w:rFonts w:ascii="Calibri" w:hAnsi="Calibri" w:cs="Arial"/>
          <w:sz w:val="30"/>
          <w:szCs w:val="30"/>
          <w:lang w:val="en-US"/>
        </w:rPr>
        <w:t>Therefore</w:t>
      </w:r>
      <w:r w:rsidRPr="00A9366F">
        <w:rPr>
          <w:rFonts w:ascii="Calibri" w:hAnsi="Calibri" w:cs="Arial"/>
          <w:sz w:val="30"/>
          <w:szCs w:val="30"/>
          <w:lang w:val="en-US"/>
        </w:rPr>
        <w:t xml:space="preserve">, in August 2016 the System of Mass Electronic Payments (SMES) was put into operation, </w:t>
      </w:r>
      <w:r w:rsidR="00716687" w:rsidRPr="00A9366F">
        <w:rPr>
          <w:rFonts w:ascii="Calibri" w:hAnsi="Calibri" w:cs="Arial"/>
          <w:sz w:val="30"/>
          <w:szCs w:val="30"/>
          <w:lang w:val="en-US"/>
        </w:rPr>
        <w:t xml:space="preserve">and </w:t>
      </w:r>
      <w:r w:rsidRPr="00A9366F">
        <w:rPr>
          <w:rFonts w:ascii="Calibri" w:hAnsi="Calibri" w:cs="Arial"/>
          <w:sz w:val="30"/>
          <w:szCs w:val="30"/>
          <w:lang w:val="en-US"/>
        </w:rPr>
        <w:t>the</w:t>
      </w:r>
      <w:r w:rsidR="00716687" w:rsidRPr="00A9366F">
        <w:rPr>
          <w:rFonts w:ascii="Calibri" w:hAnsi="Calibri" w:cs="Arial"/>
          <w:sz w:val="30"/>
          <w:szCs w:val="30"/>
          <w:lang w:val="en-US"/>
        </w:rPr>
        <w:t xml:space="preserve"> SMES </w:t>
      </w:r>
      <w:r w:rsidRPr="00A9366F">
        <w:rPr>
          <w:rFonts w:ascii="Calibri" w:hAnsi="Calibri" w:cs="Arial"/>
          <w:sz w:val="30"/>
          <w:szCs w:val="30"/>
          <w:lang w:val="en-US"/>
        </w:rPr>
        <w:t>operator is KISC.</w:t>
      </w:r>
    </w:p>
    <w:p w:rsidR="00D96100" w:rsidRPr="00A9366F" w:rsidRDefault="00716687" w:rsidP="00BF2D40">
      <w:pPr>
        <w:widowControl w:val="0"/>
        <w:spacing w:line="233" w:lineRule="auto"/>
        <w:ind w:firstLine="709"/>
        <w:jc w:val="both"/>
        <w:rPr>
          <w:rFonts w:ascii="Calibri" w:hAnsi="Calibri" w:cs="Arial"/>
          <w:sz w:val="30"/>
          <w:szCs w:val="30"/>
          <w:lang w:val="en-US"/>
        </w:rPr>
      </w:pPr>
      <w:r w:rsidRPr="00A9366F">
        <w:rPr>
          <w:rFonts w:ascii="Calibri" w:hAnsi="Calibri" w:cs="Arial"/>
          <w:sz w:val="30"/>
          <w:szCs w:val="30"/>
          <w:lang w:val="en-US"/>
        </w:rPr>
        <w:t>This system has been designed to make the</w:t>
      </w:r>
      <w:r w:rsidR="00D96100" w:rsidRPr="00A9366F">
        <w:rPr>
          <w:rFonts w:ascii="Calibri" w:hAnsi="Calibri" w:cs="Arial"/>
          <w:sz w:val="30"/>
          <w:szCs w:val="30"/>
          <w:lang w:val="en-US"/>
        </w:rPr>
        <w:t xml:space="preserve"> guaranteed </w:t>
      </w:r>
      <w:r w:rsidRPr="00A9366F">
        <w:rPr>
          <w:rFonts w:ascii="Calibri" w:hAnsi="Calibri" w:cs="Arial"/>
          <w:sz w:val="30"/>
          <w:szCs w:val="30"/>
          <w:lang w:val="en-US"/>
        </w:rPr>
        <w:t xml:space="preserve">immediate </w:t>
      </w:r>
      <w:r w:rsidR="00D96100" w:rsidRPr="00A9366F">
        <w:rPr>
          <w:rFonts w:ascii="Calibri" w:hAnsi="Calibri" w:cs="Arial"/>
          <w:sz w:val="30"/>
          <w:szCs w:val="30"/>
          <w:lang w:val="en-US"/>
        </w:rPr>
        <w:t xml:space="preserve">payments for small amounts with transfer of information </w:t>
      </w:r>
      <w:r w:rsidRPr="00A9366F">
        <w:rPr>
          <w:rFonts w:ascii="Calibri" w:hAnsi="Calibri" w:cs="Arial"/>
          <w:sz w:val="30"/>
          <w:szCs w:val="30"/>
          <w:lang w:val="en-US"/>
        </w:rPr>
        <w:t>on</w:t>
      </w:r>
      <w:r w:rsidR="00D96100" w:rsidRPr="00A9366F">
        <w:rPr>
          <w:rFonts w:ascii="Calibri" w:hAnsi="Calibri" w:cs="Arial"/>
          <w:sz w:val="30"/>
          <w:szCs w:val="30"/>
          <w:lang w:val="en-US"/>
        </w:rPr>
        <w:t xml:space="preserve"> the payments </w:t>
      </w:r>
      <w:r w:rsidR="00D96100" w:rsidRPr="002C72D1">
        <w:rPr>
          <w:rFonts w:ascii="Calibri" w:hAnsi="Calibri" w:cs="Arial"/>
          <w:sz w:val="30"/>
          <w:szCs w:val="30"/>
          <w:lang w:val="en-US"/>
        </w:rPr>
        <w:t xml:space="preserve">made and </w:t>
      </w:r>
      <w:r w:rsidRPr="002C72D1">
        <w:rPr>
          <w:rFonts w:ascii="Calibri" w:hAnsi="Calibri" w:cs="Arial"/>
          <w:sz w:val="30"/>
          <w:szCs w:val="30"/>
          <w:lang w:val="en-US"/>
        </w:rPr>
        <w:t xml:space="preserve">function of </w:t>
      </w:r>
      <w:r w:rsidR="00804E09" w:rsidRPr="002C72D1">
        <w:rPr>
          <w:rFonts w:ascii="Calibri" w:hAnsi="Calibri" w:cs="Arial"/>
          <w:sz w:val="30"/>
          <w:szCs w:val="30"/>
          <w:lang w:val="en-US"/>
        </w:rPr>
        <w:t xml:space="preserve">settlement </w:t>
      </w:r>
      <w:r w:rsidRPr="002C72D1">
        <w:rPr>
          <w:rFonts w:ascii="Calibri" w:hAnsi="Calibri" w:cs="Arial"/>
          <w:sz w:val="30"/>
          <w:szCs w:val="30"/>
          <w:lang w:val="en-US"/>
        </w:rPr>
        <w:t>of</w:t>
      </w:r>
      <w:r w:rsidR="00D96100" w:rsidRPr="002C72D1">
        <w:rPr>
          <w:rFonts w:ascii="Calibri" w:hAnsi="Calibri" w:cs="Arial"/>
          <w:sz w:val="30"/>
          <w:szCs w:val="30"/>
          <w:lang w:val="en-US"/>
        </w:rPr>
        <w:t xml:space="preserve"> the multilateral clearing position once a </w:t>
      </w:r>
      <w:r w:rsidR="00D96100" w:rsidRPr="00A9366F">
        <w:rPr>
          <w:rFonts w:ascii="Calibri" w:hAnsi="Calibri" w:cs="Arial"/>
          <w:sz w:val="30"/>
          <w:szCs w:val="30"/>
          <w:lang w:val="en-US"/>
        </w:rPr>
        <w:t xml:space="preserve">day. The </w:t>
      </w:r>
      <w:r w:rsidRPr="00A9366F">
        <w:rPr>
          <w:rFonts w:ascii="Calibri" w:hAnsi="Calibri" w:cs="Arial"/>
          <w:sz w:val="30"/>
          <w:szCs w:val="30"/>
          <w:lang w:val="en-US"/>
        </w:rPr>
        <w:t xml:space="preserve">money is </w:t>
      </w:r>
      <w:r w:rsidR="00D96100" w:rsidRPr="00A9366F">
        <w:rPr>
          <w:rFonts w:ascii="Calibri" w:hAnsi="Calibri" w:cs="Arial"/>
          <w:sz w:val="30"/>
          <w:szCs w:val="30"/>
          <w:lang w:val="en-US"/>
        </w:rPr>
        <w:t>transfer</w:t>
      </w:r>
      <w:r w:rsidRPr="00A9366F">
        <w:rPr>
          <w:rFonts w:ascii="Calibri" w:hAnsi="Calibri" w:cs="Arial"/>
          <w:sz w:val="30"/>
          <w:szCs w:val="30"/>
          <w:lang w:val="en-US"/>
        </w:rPr>
        <w:t>red t</w:t>
      </w:r>
      <w:r w:rsidR="00D96100" w:rsidRPr="00A9366F">
        <w:rPr>
          <w:rFonts w:ascii="Calibri" w:hAnsi="Calibri" w:cs="Arial"/>
          <w:sz w:val="30"/>
          <w:szCs w:val="30"/>
          <w:lang w:val="en-US"/>
        </w:rPr>
        <w:t xml:space="preserve">o SMEP using the money of its participants </w:t>
      </w:r>
      <w:r w:rsidRPr="00A9366F">
        <w:rPr>
          <w:rFonts w:ascii="Calibri" w:hAnsi="Calibri" w:cs="Arial"/>
          <w:sz w:val="30"/>
          <w:szCs w:val="30"/>
          <w:lang w:val="en-US"/>
        </w:rPr>
        <w:t xml:space="preserve">available </w:t>
      </w:r>
      <w:r w:rsidR="00D96100" w:rsidRPr="00A9366F">
        <w:rPr>
          <w:rFonts w:ascii="Calibri" w:hAnsi="Calibri" w:cs="Arial"/>
          <w:sz w:val="30"/>
          <w:szCs w:val="30"/>
          <w:lang w:val="en-US"/>
        </w:rPr>
        <w:t xml:space="preserve">in IMTS and </w:t>
      </w:r>
      <w:r w:rsidRPr="00A9366F">
        <w:rPr>
          <w:rFonts w:ascii="Calibri" w:hAnsi="Calibri" w:cs="Arial"/>
          <w:sz w:val="30"/>
          <w:szCs w:val="30"/>
          <w:lang w:val="en-US"/>
        </w:rPr>
        <w:t xml:space="preserve">it is not necessary to raise </w:t>
      </w:r>
      <w:r w:rsidR="00D96100" w:rsidRPr="00A9366F">
        <w:rPr>
          <w:rFonts w:ascii="Calibri" w:hAnsi="Calibri" w:cs="Arial"/>
          <w:sz w:val="30"/>
          <w:szCs w:val="30"/>
          <w:lang w:val="en-US"/>
        </w:rPr>
        <w:t xml:space="preserve">additional liquidity to start </w:t>
      </w:r>
      <w:r w:rsidRPr="00A9366F">
        <w:rPr>
          <w:rFonts w:ascii="Calibri" w:hAnsi="Calibri" w:cs="Arial"/>
          <w:sz w:val="30"/>
          <w:szCs w:val="30"/>
          <w:lang w:val="en-US"/>
        </w:rPr>
        <w:t>operating</w:t>
      </w:r>
      <w:r w:rsidR="00D96100" w:rsidRPr="00A9366F">
        <w:rPr>
          <w:rFonts w:ascii="Calibri" w:hAnsi="Calibri" w:cs="Arial"/>
          <w:sz w:val="30"/>
          <w:szCs w:val="30"/>
          <w:lang w:val="en-US"/>
        </w:rPr>
        <w:t xml:space="preserve"> in </w:t>
      </w:r>
      <w:r w:rsidRPr="00A9366F">
        <w:rPr>
          <w:rFonts w:ascii="Calibri" w:hAnsi="Calibri" w:cs="Arial"/>
          <w:sz w:val="30"/>
          <w:szCs w:val="30"/>
          <w:lang w:val="en-US"/>
        </w:rPr>
        <w:t>SMEP</w:t>
      </w:r>
      <w:r w:rsidR="00D96100" w:rsidRPr="00A9366F">
        <w:rPr>
          <w:rFonts w:ascii="Calibri" w:hAnsi="Calibri" w:cs="Arial"/>
          <w:sz w:val="30"/>
          <w:szCs w:val="30"/>
          <w:lang w:val="en-US"/>
        </w:rPr>
        <w:t>. The system</w:t>
      </w:r>
      <w:r w:rsidRPr="00A9366F">
        <w:rPr>
          <w:rFonts w:ascii="Calibri" w:hAnsi="Calibri" w:cs="Arial"/>
          <w:sz w:val="30"/>
          <w:szCs w:val="30"/>
          <w:lang w:val="en-US"/>
        </w:rPr>
        <w:t xml:space="preserve"> is functioning</w:t>
      </w:r>
      <w:r w:rsidR="00D96100" w:rsidRPr="00A9366F">
        <w:rPr>
          <w:rFonts w:ascii="Calibri" w:hAnsi="Calibri" w:cs="Arial"/>
          <w:sz w:val="30"/>
          <w:szCs w:val="30"/>
          <w:lang w:val="en-US"/>
        </w:rPr>
        <w:t xml:space="preserve"> in a round-the-clock mode without days off and </w:t>
      </w:r>
      <w:r w:rsidRPr="00A9366F">
        <w:rPr>
          <w:rFonts w:ascii="Calibri" w:hAnsi="Calibri" w:cs="Arial"/>
          <w:sz w:val="30"/>
          <w:szCs w:val="30"/>
          <w:lang w:val="en-US"/>
        </w:rPr>
        <w:t>ha</w:t>
      </w:r>
      <w:r w:rsidR="005E4DC0" w:rsidRPr="00A9366F">
        <w:rPr>
          <w:rFonts w:ascii="Calibri" w:hAnsi="Calibri" w:cs="Arial"/>
          <w:sz w:val="30"/>
          <w:szCs w:val="30"/>
          <w:lang w:val="en-US"/>
        </w:rPr>
        <w:t>s</w:t>
      </w:r>
      <w:r w:rsidRPr="00A9366F">
        <w:rPr>
          <w:rFonts w:ascii="Calibri" w:hAnsi="Calibri" w:cs="Arial"/>
          <w:sz w:val="30"/>
          <w:szCs w:val="30"/>
          <w:lang w:val="en-US"/>
        </w:rPr>
        <w:t xml:space="preserve"> lower </w:t>
      </w:r>
      <w:r w:rsidR="00D96100" w:rsidRPr="00A9366F">
        <w:rPr>
          <w:rFonts w:ascii="Calibri" w:hAnsi="Calibri" w:cs="Arial"/>
          <w:sz w:val="30"/>
          <w:szCs w:val="30"/>
          <w:lang w:val="en-US"/>
        </w:rPr>
        <w:t xml:space="preserve">tariffs </w:t>
      </w:r>
      <w:r w:rsidRPr="00A9366F">
        <w:rPr>
          <w:rFonts w:ascii="Calibri" w:hAnsi="Calibri" w:cs="Arial"/>
          <w:sz w:val="30"/>
          <w:szCs w:val="30"/>
          <w:lang w:val="en-US"/>
        </w:rPr>
        <w:t xml:space="preserve">compared </w:t>
      </w:r>
      <w:r w:rsidR="00812573" w:rsidRPr="00A9366F">
        <w:rPr>
          <w:rFonts w:ascii="Calibri" w:hAnsi="Calibri" w:cs="Arial"/>
          <w:sz w:val="30"/>
          <w:szCs w:val="30"/>
          <w:lang w:val="en-US"/>
        </w:rPr>
        <w:t>with</w:t>
      </w:r>
      <w:r w:rsidR="005E4DC0" w:rsidRPr="00A9366F">
        <w:rPr>
          <w:rFonts w:ascii="Calibri" w:hAnsi="Calibri" w:cs="Arial"/>
          <w:sz w:val="30"/>
          <w:szCs w:val="30"/>
          <w:lang w:val="en-US"/>
        </w:rPr>
        <w:t xml:space="preserve"> those of</w:t>
      </w:r>
      <w:r w:rsidRPr="00A9366F">
        <w:rPr>
          <w:rFonts w:ascii="Calibri" w:hAnsi="Calibri" w:cs="Arial"/>
          <w:sz w:val="30"/>
          <w:szCs w:val="30"/>
          <w:lang w:val="en-US"/>
        </w:rPr>
        <w:t xml:space="preserve"> ICS.</w:t>
      </w:r>
    </w:p>
    <w:p w:rsidR="007D1D6C" w:rsidRPr="00A9366F" w:rsidRDefault="007D1D6C" w:rsidP="00B73D05">
      <w:pPr>
        <w:widowControl w:val="0"/>
        <w:spacing w:line="235" w:lineRule="auto"/>
        <w:ind w:firstLine="709"/>
        <w:jc w:val="both"/>
        <w:rPr>
          <w:rFonts w:ascii="Calibri" w:hAnsi="Calibri" w:cs="Arial"/>
          <w:sz w:val="30"/>
          <w:szCs w:val="30"/>
          <w:lang w:val="en-US"/>
        </w:rPr>
      </w:pPr>
      <w:r w:rsidRPr="00A9366F">
        <w:rPr>
          <w:rFonts w:ascii="Calibri" w:hAnsi="Calibri" w:cs="Arial"/>
          <w:sz w:val="30"/>
          <w:szCs w:val="30"/>
          <w:lang w:val="en-US"/>
        </w:rPr>
        <w:t xml:space="preserve">As </w:t>
      </w:r>
      <w:r w:rsidR="005E4DC0" w:rsidRPr="00A9366F">
        <w:rPr>
          <w:rFonts w:ascii="Calibri" w:hAnsi="Calibri" w:cs="Arial"/>
          <w:sz w:val="30"/>
          <w:szCs w:val="30"/>
          <w:lang w:val="en-US"/>
        </w:rPr>
        <w:t>at</w:t>
      </w:r>
      <w:r w:rsidRPr="00A9366F">
        <w:rPr>
          <w:rFonts w:ascii="Calibri" w:hAnsi="Calibri" w:cs="Arial"/>
          <w:sz w:val="30"/>
          <w:szCs w:val="30"/>
          <w:lang w:val="en-US"/>
        </w:rPr>
        <w:t xml:space="preserve"> </w:t>
      </w:r>
      <w:r w:rsidR="005E4DC0" w:rsidRPr="00A9366F">
        <w:rPr>
          <w:rFonts w:ascii="Calibri" w:hAnsi="Calibri" w:cs="Arial"/>
          <w:sz w:val="30"/>
          <w:szCs w:val="30"/>
          <w:lang w:val="en-US"/>
        </w:rPr>
        <w:t xml:space="preserve">1 </w:t>
      </w:r>
      <w:r w:rsidRPr="00A9366F">
        <w:rPr>
          <w:rFonts w:ascii="Calibri" w:hAnsi="Calibri" w:cs="Arial"/>
          <w:sz w:val="30"/>
          <w:szCs w:val="30"/>
          <w:lang w:val="en-US"/>
        </w:rPr>
        <w:t>J</w:t>
      </w:r>
      <w:r w:rsidR="005E4DC0" w:rsidRPr="00A9366F">
        <w:rPr>
          <w:rFonts w:ascii="Calibri" w:hAnsi="Calibri" w:cs="Arial"/>
          <w:sz w:val="30"/>
          <w:szCs w:val="30"/>
          <w:lang w:val="en-US"/>
        </w:rPr>
        <w:t>anuary</w:t>
      </w:r>
      <w:r w:rsidRPr="00A9366F">
        <w:rPr>
          <w:rFonts w:ascii="Calibri" w:hAnsi="Calibri" w:cs="Arial"/>
          <w:sz w:val="30"/>
          <w:szCs w:val="30"/>
          <w:lang w:val="en-US"/>
        </w:rPr>
        <w:t xml:space="preserve"> 2017, </w:t>
      </w:r>
      <w:r w:rsidR="005E4DC0" w:rsidRPr="00A9366F">
        <w:rPr>
          <w:rFonts w:ascii="Calibri" w:hAnsi="Calibri" w:cs="Arial"/>
          <w:sz w:val="30"/>
          <w:szCs w:val="30"/>
          <w:lang w:val="en-US"/>
        </w:rPr>
        <w:t xml:space="preserve">4 participants </w:t>
      </w:r>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Halyk</w:t>
      </w:r>
      <w:proofErr w:type="spellEnd"/>
      <w:r w:rsidRPr="00A9366F">
        <w:rPr>
          <w:rFonts w:ascii="Calibri" w:hAnsi="Calibri" w:cs="Arial"/>
          <w:sz w:val="30"/>
          <w:szCs w:val="30"/>
          <w:lang w:val="en-US"/>
        </w:rPr>
        <w:t xml:space="preserve"> Bank of Kazakhstan</w:t>
      </w:r>
      <w:r w:rsidR="005E4DC0" w:rsidRPr="00A9366F">
        <w:rPr>
          <w:rFonts w:ascii="Calibri" w:hAnsi="Calibri" w:cs="Arial"/>
          <w:sz w:val="30"/>
          <w:szCs w:val="30"/>
          <w:lang w:val="en-US"/>
        </w:rPr>
        <w:t xml:space="preserve"> JSC</w:t>
      </w:r>
      <w:r w:rsidRPr="00A9366F">
        <w:rPr>
          <w:rFonts w:ascii="Calibri" w:hAnsi="Calibri" w:cs="Arial"/>
          <w:sz w:val="30"/>
          <w:szCs w:val="30"/>
          <w:lang w:val="en-US"/>
        </w:rPr>
        <w:t>, VTB Bank</w:t>
      </w:r>
      <w:r w:rsidR="005E4DC0" w:rsidRPr="00A9366F">
        <w:rPr>
          <w:rFonts w:ascii="Calibri" w:hAnsi="Calibri" w:cs="Arial"/>
          <w:sz w:val="30"/>
          <w:szCs w:val="30"/>
          <w:lang w:val="en-US"/>
        </w:rPr>
        <w:t xml:space="preserve"> JSC</w:t>
      </w:r>
      <w:r w:rsidRPr="00A9366F">
        <w:rPr>
          <w:rFonts w:ascii="Calibri" w:hAnsi="Calibri" w:cs="Arial"/>
          <w:sz w:val="30"/>
          <w:szCs w:val="30"/>
          <w:lang w:val="en-US"/>
        </w:rPr>
        <w:t xml:space="preserve">, Subsidiary Bank </w:t>
      </w:r>
      <w:r w:rsidR="005E4DC0" w:rsidRPr="00A9366F">
        <w:rPr>
          <w:rFonts w:ascii="Calibri" w:hAnsi="Calibri" w:cs="Arial"/>
          <w:sz w:val="30"/>
          <w:szCs w:val="30"/>
          <w:lang w:val="en-US"/>
        </w:rPr>
        <w:t>“</w:t>
      </w:r>
      <w:r w:rsidRPr="00A9366F">
        <w:rPr>
          <w:rFonts w:ascii="Calibri" w:hAnsi="Calibri" w:cs="Arial"/>
          <w:sz w:val="30"/>
          <w:szCs w:val="30"/>
          <w:lang w:val="en-US"/>
        </w:rPr>
        <w:t>Alfa-Bank</w:t>
      </w:r>
      <w:r w:rsidR="005E4DC0" w:rsidRPr="00A9366F">
        <w:rPr>
          <w:rFonts w:ascii="Calibri" w:hAnsi="Calibri" w:cs="Arial"/>
          <w:sz w:val="30"/>
          <w:szCs w:val="30"/>
          <w:lang w:val="en-US"/>
        </w:rPr>
        <w:t>”</w:t>
      </w:r>
      <w:r w:rsidRPr="00A9366F">
        <w:rPr>
          <w:rFonts w:ascii="Calibri" w:hAnsi="Calibri" w:cs="Arial"/>
          <w:sz w:val="30"/>
          <w:szCs w:val="30"/>
          <w:lang w:val="en-US"/>
        </w:rPr>
        <w:t xml:space="preserve"> </w:t>
      </w:r>
      <w:r w:rsidR="005E4DC0" w:rsidRPr="00A9366F">
        <w:rPr>
          <w:rFonts w:ascii="Calibri" w:hAnsi="Calibri" w:cs="Arial"/>
          <w:sz w:val="30"/>
          <w:szCs w:val="30"/>
          <w:lang w:val="en-US"/>
        </w:rPr>
        <w:t xml:space="preserve">JSC </w:t>
      </w:r>
      <w:r w:rsidRPr="00A9366F">
        <w:rPr>
          <w:rFonts w:ascii="Calibri" w:hAnsi="Calibri" w:cs="Arial"/>
          <w:sz w:val="30"/>
          <w:szCs w:val="30"/>
          <w:lang w:val="en-US"/>
        </w:rPr>
        <w:t>and Treasury Committee of the Ministry of Finance of the Republic of Kazakhstan</w:t>
      </w:r>
      <w:r w:rsidR="005E4DC0" w:rsidRPr="00A9366F">
        <w:rPr>
          <w:rFonts w:ascii="Calibri" w:hAnsi="Calibri" w:cs="Arial"/>
          <w:sz w:val="30"/>
          <w:szCs w:val="30"/>
          <w:lang w:val="en-US"/>
        </w:rPr>
        <w:t xml:space="preserve"> – were the users of SMEP</w:t>
      </w:r>
      <w:r w:rsidRPr="00A9366F">
        <w:rPr>
          <w:rFonts w:ascii="Calibri" w:hAnsi="Calibri" w:cs="Arial"/>
          <w:sz w:val="30"/>
          <w:szCs w:val="30"/>
          <w:lang w:val="en-US"/>
        </w:rPr>
        <w:t>.</w:t>
      </w:r>
    </w:p>
    <w:tbl>
      <w:tblPr>
        <w:tblStyle w:val="a3"/>
        <w:tblW w:w="9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5862"/>
      </w:tblGrid>
      <w:tr w:rsidR="00B73D05" w:rsidRPr="00EA720F" w:rsidTr="008E3F25">
        <w:tc>
          <w:tcPr>
            <w:tcW w:w="3888" w:type="dxa"/>
          </w:tcPr>
          <w:p w:rsidR="005E4DC0" w:rsidRPr="00A9366F" w:rsidRDefault="005E4DC0" w:rsidP="00071E84">
            <w:pPr>
              <w:spacing w:line="235" w:lineRule="auto"/>
              <w:jc w:val="both"/>
              <w:rPr>
                <w:rFonts w:ascii="Calibri" w:hAnsi="Calibri" w:cs="Arial"/>
                <w:sz w:val="30"/>
                <w:szCs w:val="30"/>
                <w:lang w:val="en-US"/>
              </w:rPr>
            </w:pPr>
            <w:r w:rsidRPr="00A9366F">
              <w:rPr>
                <w:rFonts w:ascii="Calibri" w:hAnsi="Calibri" w:cs="Arial"/>
                <w:sz w:val="30"/>
                <w:szCs w:val="30"/>
                <w:lang w:val="en-US"/>
              </w:rPr>
              <w:t xml:space="preserve">During the period from September to December 2016, 690.9 thousand payments for KZT 65.0 billion were </w:t>
            </w:r>
            <w:r w:rsidR="00F853A9" w:rsidRPr="00A9366F">
              <w:rPr>
                <w:rFonts w:ascii="Calibri" w:hAnsi="Calibri" w:cs="Arial"/>
                <w:sz w:val="30"/>
                <w:szCs w:val="30"/>
                <w:lang w:val="en-US"/>
              </w:rPr>
              <w:t>settled</w:t>
            </w:r>
            <w:r w:rsidRPr="00A9366F">
              <w:rPr>
                <w:rFonts w:ascii="Calibri" w:hAnsi="Calibri" w:cs="Arial"/>
                <w:sz w:val="30"/>
                <w:szCs w:val="30"/>
                <w:lang w:val="en-US"/>
              </w:rPr>
              <w:t xml:space="preserve"> through the system, which is 3.2% of payments made in ICS during 2016.  </w:t>
            </w:r>
          </w:p>
          <w:p w:rsidR="00B73D05" w:rsidRPr="00A9366F" w:rsidRDefault="00B73D05" w:rsidP="005E4DC0">
            <w:pPr>
              <w:spacing w:line="235" w:lineRule="auto"/>
              <w:jc w:val="both"/>
              <w:rPr>
                <w:rFonts w:ascii="Calibri" w:hAnsi="Calibri" w:cs="Arial"/>
                <w:sz w:val="30"/>
                <w:szCs w:val="30"/>
                <w:lang w:val="en-US"/>
              </w:rPr>
            </w:pPr>
          </w:p>
        </w:tc>
        <w:tc>
          <w:tcPr>
            <w:tcW w:w="5862" w:type="dxa"/>
          </w:tcPr>
          <w:p w:rsidR="00C55900" w:rsidRPr="00A9366F" w:rsidRDefault="00C55900" w:rsidP="00C55900">
            <w:pPr>
              <w:spacing w:line="235" w:lineRule="auto"/>
              <w:rPr>
                <w:rFonts w:ascii="Calibri" w:hAnsi="Calibri" w:cs="Arial"/>
                <w:sz w:val="30"/>
                <w:szCs w:val="30"/>
                <w:lang w:val="en-US"/>
              </w:rPr>
            </w:pPr>
            <w:r w:rsidRPr="00A9366F">
              <w:rPr>
                <w:rFonts w:ascii="Calibri" w:hAnsi="Calibri" w:cs="Arial"/>
                <w:b/>
                <w:color w:val="0E4C28"/>
                <w:sz w:val="28"/>
                <w:szCs w:val="28"/>
                <w:lang w:val="en-US"/>
              </w:rPr>
              <w:t xml:space="preserve">Volumes of payments through SMEP in 2016 </w:t>
            </w:r>
            <w:r w:rsidRPr="00A9366F">
              <w:rPr>
                <w:noProof/>
                <w:sz w:val="20"/>
                <w:szCs w:val="20"/>
              </w:rPr>
              <w:drawing>
                <wp:inline distT="0" distB="0" distL="0" distR="0" wp14:anchorId="2F4AC5E2" wp14:editId="629632C3">
                  <wp:extent cx="3536830" cy="1664898"/>
                  <wp:effectExtent l="0" t="0" r="0" b="0"/>
                  <wp:docPr id="78" name="Диаграмма 4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73D05" w:rsidRPr="00A9366F" w:rsidRDefault="00B73D05" w:rsidP="005E4DC0">
            <w:pPr>
              <w:spacing w:line="235" w:lineRule="auto"/>
              <w:jc w:val="center"/>
              <w:rPr>
                <w:rFonts w:ascii="Calibri" w:hAnsi="Calibri" w:cs="Arial"/>
                <w:sz w:val="30"/>
                <w:szCs w:val="30"/>
                <w:lang w:val="en-US"/>
              </w:rPr>
            </w:pPr>
          </w:p>
        </w:tc>
      </w:tr>
    </w:tbl>
    <w:p w:rsidR="00EB5068" w:rsidRPr="00A9366F" w:rsidRDefault="00FB60A9" w:rsidP="00EB5068">
      <w:pPr>
        <w:widowControl w:val="0"/>
        <w:autoSpaceDE w:val="0"/>
        <w:autoSpaceDN w:val="0"/>
        <w:adjustRightInd w:val="0"/>
        <w:jc w:val="both"/>
        <w:rPr>
          <w:rFonts w:ascii="Calibri" w:hAnsi="Calibri" w:cs="Arial"/>
          <w:spacing w:val="-4"/>
          <w:sz w:val="30"/>
          <w:szCs w:val="30"/>
          <w:lang w:val="en-US"/>
        </w:rPr>
      </w:pPr>
      <w:r w:rsidRPr="00A9366F">
        <w:rPr>
          <w:rFonts w:ascii="Calibri" w:hAnsi="Calibri" w:cs="Arial"/>
          <w:noProof/>
          <w:spacing w:val="-4"/>
          <w:sz w:val="30"/>
          <w:szCs w:val="30"/>
        </w:rPr>
        <mc:AlternateContent>
          <mc:Choice Requires="wps">
            <w:drawing>
              <wp:inline distT="0" distB="0" distL="0" distR="0">
                <wp:extent cx="6052820" cy="6245225"/>
                <wp:effectExtent l="13335" t="5715" r="10795" b="11430"/>
                <wp:docPr id="45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4335780"/>
                        </a:xfrm>
                        <a:prstGeom prst="roundRect">
                          <a:avLst>
                            <a:gd name="adj" fmla="val 3079"/>
                          </a:avLst>
                        </a:prstGeom>
                        <a:solidFill>
                          <a:srgbClr val="CCFFCC">
                            <a:alpha val="27058"/>
                          </a:srgbClr>
                        </a:solidFill>
                        <a:ln w="9525">
                          <a:solidFill>
                            <a:srgbClr val="000000"/>
                          </a:solidFill>
                          <a:round/>
                          <a:headEnd/>
                          <a:tailEnd/>
                        </a:ln>
                      </wps:spPr>
                      <wps:txbx>
                        <w:txbxContent>
                          <w:p w:rsidR="00541D5F" w:rsidRPr="008226E3" w:rsidRDefault="00541D5F" w:rsidP="00EB5068">
                            <w:pPr>
                              <w:widowControl w:val="0"/>
                              <w:autoSpaceDE w:val="0"/>
                              <w:autoSpaceDN w:val="0"/>
                              <w:adjustRightInd w:val="0"/>
                              <w:ind w:firstLine="720"/>
                              <w:jc w:val="both"/>
                              <w:rPr>
                                <w:rFonts w:ascii="Calibri" w:hAnsi="Calibri" w:cs="Arial"/>
                                <w:spacing w:val="-4"/>
                                <w:sz w:val="30"/>
                                <w:szCs w:val="30"/>
                                <w:lang w:val="en-US"/>
                              </w:rPr>
                            </w:pPr>
                            <w:r w:rsidRPr="008226E3">
                              <w:rPr>
                                <w:rFonts w:ascii="Calibri" w:hAnsi="Calibri" w:cs="Arial"/>
                                <w:spacing w:val="-4"/>
                                <w:sz w:val="30"/>
                                <w:szCs w:val="30"/>
                                <w:lang w:val="en-US"/>
                              </w:rPr>
                              <w:t xml:space="preserve">Payment systems of the National Bank of Kazakhstan (ISMT and ICS) comply with the established international standards (the Principles for FMI), are characterized by high level of efficiency and </w:t>
                            </w:r>
                            <w:r>
                              <w:rPr>
                                <w:rFonts w:ascii="Calibri" w:hAnsi="Calibri" w:cs="Arial"/>
                                <w:spacing w:val="-4"/>
                                <w:sz w:val="30"/>
                                <w:szCs w:val="30"/>
                                <w:lang w:val="en-US"/>
                              </w:rPr>
                              <w:t xml:space="preserve">business </w:t>
                            </w:r>
                            <w:r w:rsidRPr="008226E3">
                              <w:rPr>
                                <w:rFonts w:ascii="Calibri" w:hAnsi="Calibri" w:cs="Arial"/>
                                <w:spacing w:val="-4"/>
                                <w:sz w:val="30"/>
                                <w:szCs w:val="30"/>
                                <w:lang w:val="en-US"/>
                              </w:rPr>
                              <w:t xml:space="preserve">continuity, </w:t>
                            </w:r>
                            <w:r>
                              <w:rPr>
                                <w:rFonts w:ascii="Calibri" w:hAnsi="Calibri" w:cs="Arial"/>
                                <w:spacing w:val="-4"/>
                                <w:sz w:val="30"/>
                                <w:szCs w:val="30"/>
                                <w:lang w:val="en-US"/>
                              </w:rPr>
                              <w:t xml:space="preserve">and </w:t>
                            </w:r>
                            <w:r w:rsidRPr="008226E3">
                              <w:rPr>
                                <w:rFonts w:ascii="Calibri" w:hAnsi="Calibri" w:cs="Arial"/>
                                <w:spacing w:val="-4"/>
                                <w:sz w:val="30"/>
                                <w:szCs w:val="30"/>
                                <w:lang w:val="en-US"/>
                              </w:rPr>
                              <w:t>ensur</w:t>
                            </w:r>
                            <w:r>
                              <w:rPr>
                                <w:rFonts w:ascii="Calibri" w:hAnsi="Calibri" w:cs="Arial"/>
                                <w:spacing w:val="-4"/>
                                <w:sz w:val="30"/>
                                <w:szCs w:val="30"/>
                                <w:lang w:val="en-US"/>
                              </w:rPr>
                              <w:t>e</w:t>
                            </w:r>
                            <w:r w:rsidRPr="008226E3">
                              <w:rPr>
                                <w:rFonts w:ascii="Calibri" w:hAnsi="Calibri" w:cs="Arial"/>
                                <w:spacing w:val="-4"/>
                                <w:sz w:val="30"/>
                                <w:szCs w:val="30"/>
                                <w:lang w:val="en-US"/>
                              </w:rPr>
                              <w:t xml:space="preserve"> processing of the ma</w:t>
                            </w:r>
                            <w:r>
                              <w:rPr>
                                <w:rFonts w:ascii="Calibri" w:hAnsi="Calibri" w:cs="Arial"/>
                                <w:spacing w:val="-4"/>
                                <w:sz w:val="30"/>
                                <w:szCs w:val="30"/>
                                <w:lang w:val="en-US"/>
                              </w:rPr>
                              <w:t xml:space="preserve">jor </w:t>
                            </w:r>
                            <w:r w:rsidRPr="008226E3">
                              <w:rPr>
                                <w:rFonts w:ascii="Calibri" w:hAnsi="Calibri" w:cs="Arial"/>
                                <w:spacing w:val="-4"/>
                                <w:sz w:val="30"/>
                                <w:szCs w:val="30"/>
                                <w:lang w:val="en-US"/>
                              </w:rPr>
                              <w:t>volume of payments in</w:t>
                            </w:r>
                            <w:r>
                              <w:rPr>
                                <w:rFonts w:ascii="Calibri" w:hAnsi="Calibri" w:cs="Arial"/>
                                <w:spacing w:val="-4"/>
                                <w:sz w:val="30"/>
                                <w:szCs w:val="30"/>
                                <w:lang w:val="en-US"/>
                              </w:rPr>
                              <w:t xml:space="preserve"> the</w:t>
                            </w:r>
                            <w:r w:rsidRPr="008226E3">
                              <w:rPr>
                                <w:rFonts w:ascii="Calibri" w:hAnsi="Calibri" w:cs="Arial"/>
                                <w:spacing w:val="-4"/>
                                <w:sz w:val="30"/>
                                <w:szCs w:val="30"/>
                                <w:lang w:val="en-US"/>
                              </w:rPr>
                              <w:t xml:space="preserve"> national currency in </w:t>
                            </w:r>
                            <w:r>
                              <w:rPr>
                                <w:rFonts w:ascii="Calibri" w:hAnsi="Calibri" w:cs="Arial"/>
                                <w:spacing w:val="-4"/>
                                <w:sz w:val="30"/>
                                <w:szCs w:val="30"/>
                                <w:lang w:val="en-US"/>
                              </w:rPr>
                              <w:t>Kazakhstan</w:t>
                            </w:r>
                            <w:r w:rsidRPr="008226E3">
                              <w:rPr>
                                <w:rFonts w:ascii="Calibri" w:hAnsi="Calibri" w:cs="Arial"/>
                                <w:spacing w:val="-4"/>
                                <w:sz w:val="30"/>
                                <w:szCs w:val="30"/>
                                <w:lang w:val="en-US"/>
                              </w:rPr>
                              <w:t xml:space="preserve">. The volume of payments in </w:t>
                            </w:r>
                            <w:r>
                              <w:rPr>
                                <w:rFonts w:ascii="Calibri" w:hAnsi="Calibri" w:cs="Arial"/>
                                <w:spacing w:val="-4"/>
                                <w:sz w:val="30"/>
                                <w:szCs w:val="30"/>
                                <w:lang w:val="en-US"/>
                              </w:rPr>
                              <w:t xml:space="preserve">the </w:t>
                            </w:r>
                            <w:r w:rsidRPr="008226E3">
                              <w:rPr>
                                <w:rFonts w:ascii="Calibri" w:hAnsi="Calibri" w:cs="Arial"/>
                                <w:spacing w:val="-4"/>
                                <w:sz w:val="30"/>
                                <w:szCs w:val="30"/>
                                <w:lang w:val="en-US"/>
                              </w:rPr>
                              <w:t xml:space="preserve">payment systems </w:t>
                            </w:r>
                            <w:r>
                              <w:rPr>
                                <w:rFonts w:ascii="Calibri" w:hAnsi="Calibri" w:cs="Arial"/>
                                <w:spacing w:val="-4"/>
                                <w:sz w:val="30"/>
                                <w:szCs w:val="30"/>
                                <w:lang w:val="en-US"/>
                              </w:rPr>
                              <w:t xml:space="preserve">keeps </w:t>
                            </w:r>
                            <w:r w:rsidRPr="008226E3">
                              <w:rPr>
                                <w:rFonts w:ascii="Calibri" w:hAnsi="Calibri" w:cs="Arial"/>
                                <w:spacing w:val="-4"/>
                                <w:sz w:val="30"/>
                                <w:szCs w:val="30"/>
                                <w:lang w:val="en-US"/>
                              </w:rPr>
                              <w:t xml:space="preserve">grows </w:t>
                            </w:r>
                            <w:r>
                              <w:rPr>
                                <w:rFonts w:ascii="Calibri" w:hAnsi="Calibri" w:cs="Arial"/>
                                <w:spacing w:val="-4"/>
                                <w:sz w:val="30"/>
                                <w:szCs w:val="30"/>
                                <w:lang w:val="en-US"/>
                              </w:rPr>
                              <w:t>from year to year.</w:t>
                            </w:r>
                          </w:p>
                          <w:p w:rsidR="00541D5F" w:rsidRPr="00F7641B" w:rsidRDefault="00541D5F" w:rsidP="00F7641B">
                            <w:pPr>
                              <w:widowControl w:val="0"/>
                              <w:autoSpaceDE w:val="0"/>
                              <w:autoSpaceDN w:val="0"/>
                              <w:adjustRightInd w:val="0"/>
                              <w:ind w:firstLine="720"/>
                              <w:jc w:val="both"/>
                              <w:rPr>
                                <w:rFonts w:ascii="Calibri" w:hAnsi="Calibri" w:cs="Arial"/>
                                <w:spacing w:val="-4"/>
                                <w:sz w:val="30"/>
                                <w:szCs w:val="30"/>
                                <w:lang w:val="en-US"/>
                              </w:rPr>
                            </w:pPr>
                            <w:r w:rsidRPr="00F7641B">
                              <w:rPr>
                                <w:rFonts w:ascii="Calibri" w:hAnsi="Calibri" w:cs="Arial"/>
                                <w:spacing w:val="-4"/>
                                <w:sz w:val="30"/>
                                <w:szCs w:val="30"/>
                                <w:lang w:val="en-US"/>
                              </w:rPr>
                              <w:t xml:space="preserve">At the same time, each system has its own target audience and its functional purpose. ISMT is a systemically important payment system of the country and is intended to make the high-priority and urgent payments of the financial sector and business entities (an average amount of one payment is </w:t>
                            </w:r>
                            <w:r>
                              <w:rPr>
                                <w:rFonts w:ascii="Calibri" w:hAnsi="Calibri" w:cs="Arial"/>
                                <w:spacing w:val="-4"/>
                                <w:sz w:val="30"/>
                                <w:szCs w:val="30"/>
                                <w:lang w:val="en-US"/>
                              </w:rPr>
                              <w:t xml:space="preserve">KZT </w:t>
                            </w:r>
                            <w:r w:rsidRPr="00F7641B">
                              <w:rPr>
                                <w:rFonts w:ascii="Calibri" w:hAnsi="Calibri" w:cs="Arial"/>
                                <w:spacing w:val="-4"/>
                                <w:sz w:val="30"/>
                                <w:szCs w:val="30"/>
                                <w:lang w:val="en-US"/>
                              </w:rPr>
                              <w:t xml:space="preserve">41.7 million), due to this fact this system accounts for the major portion of the payments. ICS is oriented at making the retail payments of the </w:t>
                            </w:r>
                            <w:r>
                              <w:rPr>
                                <w:rFonts w:ascii="Calibri" w:hAnsi="Calibri" w:cs="Arial"/>
                                <w:spacing w:val="-4"/>
                                <w:sz w:val="30"/>
                                <w:szCs w:val="30"/>
                                <w:lang w:val="en-US"/>
                              </w:rPr>
                              <w:t xml:space="preserve">general public </w:t>
                            </w:r>
                            <w:r w:rsidRPr="00F7641B">
                              <w:rPr>
                                <w:rFonts w:ascii="Calibri" w:hAnsi="Calibri" w:cs="Arial"/>
                                <w:spacing w:val="-4"/>
                                <w:sz w:val="30"/>
                                <w:szCs w:val="30"/>
                                <w:lang w:val="en-US"/>
                              </w:rPr>
                              <w:t xml:space="preserve">for small amounts (the amount is limited by KZT 5 million, an average amount of one payment is KZT 282.4 thousand), in particular, these are the payments of </w:t>
                            </w:r>
                            <w:r>
                              <w:rPr>
                                <w:rFonts w:ascii="Calibri" w:hAnsi="Calibri" w:cs="Arial"/>
                                <w:spacing w:val="-4"/>
                                <w:sz w:val="30"/>
                                <w:szCs w:val="30"/>
                                <w:lang w:val="en-US"/>
                              </w:rPr>
                              <w:t>the general public</w:t>
                            </w:r>
                            <w:r w:rsidRPr="00F7641B">
                              <w:rPr>
                                <w:rFonts w:ascii="Calibri" w:hAnsi="Calibri" w:cs="Arial"/>
                                <w:spacing w:val="-4"/>
                                <w:sz w:val="30"/>
                                <w:szCs w:val="30"/>
                                <w:lang w:val="en-US"/>
                              </w:rPr>
                              <w:t xml:space="preserve"> in the sector C2B, C2G (utilities, tax payments, payments for goods and services); ICS ensures settlements of the most of payments between the </w:t>
                            </w:r>
                            <w:r>
                              <w:rPr>
                                <w:rFonts w:ascii="Calibri" w:hAnsi="Calibri" w:cs="Arial"/>
                                <w:spacing w:val="-4"/>
                                <w:sz w:val="30"/>
                                <w:szCs w:val="30"/>
                                <w:lang w:val="en-US"/>
                              </w:rPr>
                              <w:t>financial organizations.</w:t>
                            </w:r>
                            <w:r w:rsidRPr="008574B0">
                              <w:rPr>
                                <w:rFonts w:ascii="Calibri" w:hAnsi="Calibri" w:cs="Arial"/>
                                <w:spacing w:val="-4"/>
                                <w:sz w:val="30"/>
                                <w:szCs w:val="30"/>
                                <w:lang w:val="en-US"/>
                              </w:rPr>
                              <w:t xml:space="preserve"> </w:t>
                            </w:r>
                          </w:p>
                          <w:p w:rsidR="00541D5F" w:rsidRPr="008574B0" w:rsidRDefault="00541D5F">
                            <w:pPr>
                              <w:rPr>
                                <w:lang w:val="en-US"/>
                              </w:rPr>
                            </w:pPr>
                          </w:p>
                        </w:txbxContent>
                      </wps:txbx>
                      <wps:bodyPr rot="0" vert="horz" wrap="square" lIns="91440" tIns="45720" rIns="91440" bIns="45720" anchor="t" anchorCtr="0" upright="1">
                        <a:spAutoFit/>
                      </wps:bodyPr>
                    </wps:wsp>
                  </a:graphicData>
                </a:graphic>
              </wp:inline>
            </w:drawing>
          </mc:Choice>
          <mc:Fallback>
            <w:pict>
              <v:roundrect id="AutoShape 71" o:spid="_x0000_s1046" style="width:476.6pt;height:491.7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" fillcolor="#cfc">
                <v:fill opacity="17733f"/>
                <v:textbox style="mso-fit-shape-to-text:t">
                  <w:txbxContent>
                    <w:p w:rsidR="00541D5F" w:rsidRPr="008226E3" w:rsidRDefault="00541D5F" w:rsidP="00EB5068">
                      <w:pPr>
                        <w:widowControl w:val="0"/>
                        <w:autoSpaceDE w:val="0"/>
                        <w:autoSpaceDN w:val="0"/>
                        <w:adjustRightInd w:val="0"/>
                        <w:ind w:firstLine="720"/>
                        <w:jc w:val="both"/>
                        <w:rPr>
                          <w:rFonts w:ascii="Calibri" w:hAnsi="Calibri" w:cs="Arial"/>
                          <w:spacing w:val="-4"/>
                          <w:sz w:val="30"/>
                          <w:szCs w:val="30"/>
                          <w:lang w:val="en-US"/>
                        </w:rPr>
                      </w:pPr>
                      <w:r w:rsidRPr="008226E3">
                        <w:rPr>
                          <w:rFonts w:ascii="Calibri" w:hAnsi="Calibri" w:cs="Arial"/>
                          <w:spacing w:val="-4"/>
                          <w:sz w:val="30"/>
                          <w:szCs w:val="30"/>
                          <w:lang w:val="en-US"/>
                        </w:rPr>
                        <w:t xml:space="preserve">Payment systems of the National Bank of Kazakhstan (ISMT and ICS) comply with the established international standards (the Principles for FMI), are characterized by high level of efficiency and </w:t>
                      </w:r>
                      <w:r>
                        <w:rPr>
                          <w:rFonts w:ascii="Calibri" w:hAnsi="Calibri" w:cs="Arial"/>
                          <w:spacing w:val="-4"/>
                          <w:sz w:val="30"/>
                          <w:szCs w:val="30"/>
                          <w:lang w:val="en-US"/>
                        </w:rPr>
                        <w:t xml:space="preserve">business </w:t>
                      </w:r>
                      <w:r w:rsidRPr="008226E3">
                        <w:rPr>
                          <w:rFonts w:ascii="Calibri" w:hAnsi="Calibri" w:cs="Arial"/>
                          <w:spacing w:val="-4"/>
                          <w:sz w:val="30"/>
                          <w:szCs w:val="30"/>
                          <w:lang w:val="en-US"/>
                        </w:rPr>
                        <w:t xml:space="preserve">continuity, </w:t>
                      </w:r>
                      <w:r>
                        <w:rPr>
                          <w:rFonts w:ascii="Calibri" w:hAnsi="Calibri" w:cs="Arial"/>
                          <w:spacing w:val="-4"/>
                          <w:sz w:val="30"/>
                          <w:szCs w:val="30"/>
                          <w:lang w:val="en-US"/>
                        </w:rPr>
                        <w:t xml:space="preserve">and </w:t>
                      </w:r>
                      <w:r w:rsidRPr="008226E3">
                        <w:rPr>
                          <w:rFonts w:ascii="Calibri" w:hAnsi="Calibri" w:cs="Arial"/>
                          <w:spacing w:val="-4"/>
                          <w:sz w:val="30"/>
                          <w:szCs w:val="30"/>
                          <w:lang w:val="en-US"/>
                        </w:rPr>
                        <w:t>ensur</w:t>
                      </w:r>
                      <w:r>
                        <w:rPr>
                          <w:rFonts w:ascii="Calibri" w:hAnsi="Calibri" w:cs="Arial"/>
                          <w:spacing w:val="-4"/>
                          <w:sz w:val="30"/>
                          <w:szCs w:val="30"/>
                          <w:lang w:val="en-US"/>
                        </w:rPr>
                        <w:t>e</w:t>
                      </w:r>
                      <w:r w:rsidRPr="008226E3">
                        <w:rPr>
                          <w:rFonts w:ascii="Calibri" w:hAnsi="Calibri" w:cs="Arial"/>
                          <w:spacing w:val="-4"/>
                          <w:sz w:val="30"/>
                          <w:szCs w:val="30"/>
                          <w:lang w:val="en-US"/>
                        </w:rPr>
                        <w:t xml:space="preserve"> processing of the ma</w:t>
                      </w:r>
                      <w:r>
                        <w:rPr>
                          <w:rFonts w:ascii="Calibri" w:hAnsi="Calibri" w:cs="Arial"/>
                          <w:spacing w:val="-4"/>
                          <w:sz w:val="30"/>
                          <w:szCs w:val="30"/>
                          <w:lang w:val="en-US"/>
                        </w:rPr>
                        <w:t xml:space="preserve">jor </w:t>
                      </w:r>
                      <w:r w:rsidRPr="008226E3">
                        <w:rPr>
                          <w:rFonts w:ascii="Calibri" w:hAnsi="Calibri" w:cs="Arial"/>
                          <w:spacing w:val="-4"/>
                          <w:sz w:val="30"/>
                          <w:szCs w:val="30"/>
                          <w:lang w:val="en-US"/>
                        </w:rPr>
                        <w:t>volume of payments in</w:t>
                      </w:r>
                      <w:r>
                        <w:rPr>
                          <w:rFonts w:ascii="Calibri" w:hAnsi="Calibri" w:cs="Arial"/>
                          <w:spacing w:val="-4"/>
                          <w:sz w:val="30"/>
                          <w:szCs w:val="30"/>
                          <w:lang w:val="en-US"/>
                        </w:rPr>
                        <w:t xml:space="preserve"> the</w:t>
                      </w:r>
                      <w:r w:rsidRPr="008226E3">
                        <w:rPr>
                          <w:rFonts w:ascii="Calibri" w:hAnsi="Calibri" w:cs="Arial"/>
                          <w:spacing w:val="-4"/>
                          <w:sz w:val="30"/>
                          <w:szCs w:val="30"/>
                          <w:lang w:val="en-US"/>
                        </w:rPr>
                        <w:t xml:space="preserve"> national currency in </w:t>
                      </w:r>
                      <w:r>
                        <w:rPr>
                          <w:rFonts w:ascii="Calibri" w:hAnsi="Calibri" w:cs="Arial"/>
                          <w:spacing w:val="-4"/>
                          <w:sz w:val="30"/>
                          <w:szCs w:val="30"/>
                          <w:lang w:val="en-US"/>
                        </w:rPr>
                        <w:t>Kazakhstan</w:t>
                      </w:r>
                      <w:r w:rsidRPr="008226E3">
                        <w:rPr>
                          <w:rFonts w:ascii="Calibri" w:hAnsi="Calibri" w:cs="Arial"/>
                          <w:spacing w:val="-4"/>
                          <w:sz w:val="30"/>
                          <w:szCs w:val="30"/>
                          <w:lang w:val="en-US"/>
                        </w:rPr>
                        <w:t xml:space="preserve">. The volume of payments in </w:t>
                      </w:r>
                      <w:r>
                        <w:rPr>
                          <w:rFonts w:ascii="Calibri" w:hAnsi="Calibri" w:cs="Arial"/>
                          <w:spacing w:val="-4"/>
                          <w:sz w:val="30"/>
                          <w:szCs w:val="30"/>
                          <w:lang w:val="en-US"/>
                        </w:rPr>
                        <w:t xml:space="preserve">the </w:t>
                      </w:r>
                      <w:r w:rsidRPr="008226E3">
                        <w:rPr>
                          <w:rFonts w:ascii="Calibri" w:hAnsi="Calibri" w:cs="Arial"/>
                          <w:spacing w:val="-4"/>
                          <w:sz w:val="30"/>
                          <w:szCs w:val="30"/>
                          <w:lang w:val="en-US"/>
                        </w:rPr>
                        <w:t xml:space="preserve">payment systems </w:t>
                      </w:r>
                      <w:r>
                        <w:rPr>
                          <w:rFonts w:ascii="Calibri" w:hAnsi="Calibri" w:cs="Arial"/>
                          <w:spacing w:val="-4"/>
                          <w:sz w:val="30"/>
                          <w:szCs w:val="30"/>
                          <w:lang w:val="en-US"/>
                        </w:rPr>
                        <w:t xml:space="preserve">keeps </w:t>
                      </w:r>
                      <w:r w:rsidRPr="008226E3">
                        <w:rPr>
                          <w:rFonts w:ascii="Calibri" w:hAnsi="Calibri" w:cs="Arial"/>
                          <w:spacing w:val="-4"/>
                          <w:sz w:val="30"/>
                          <w:szCs w:val="30"/>
                          <w:lang w:val="en-US"/>
                        </w:rPr>
                        <w:t xml:space="preserve">grows </w:t>
                      </w:r>
                      <w:r>
                        <w:rPr>
                          <w:rFonts w:ascii="Calibri" w:hAnsi="Calibri" w:cs="Arial"/>
                          <w:spacing w:val="-4"/>
                          <w:sz w:val="30"/>
                          <w:szCs w:val="30"/>
                          <w:lang w:val="en-US"/>
                        </w:rPr>
                        <w:t>from year to year.</w:t>
                      </w:r>
                    </w:p>
                    <w:p w:rsidR="00541D5F" w:rsidRPr="00F7641B" w:rsidRDefault="00541D5F" w:rsidP="00F7641B">
                      <w:pPr>
                        <w:widowControl w:val="0"/>
                        <w:autoSpaceDE w:val="0"/>
                        <w:autoSpaceDN w:val="0"/>
                        <w:adjustRightInd w:val="0"/>
                        <w:ind w:firstLine="720"/>
                        <w:jc w:val="both"/>
                        <w:rPr>
                          <w:rFonts w:ascii="Calibri" w:hAnsi="Calibri" w:cs="Arial"/>
                          <w:spacing w:val="-4"/>
                          <w:sz w:val="30"/>
                          <w:szCs w:val="30"/>
                          <w:lang w:val="en-US"/>
                        </w:rPr>
                      </w:pPr>
                      <w:r w:rsidRPr="00F7641B">
                        <w:rPr>
                          <w:rFonts w:ascii="Calibri" w:hAnsi="Calibri" w:cs="Arial"/>
                          <w:spacing w:val="-4"/>
                          <w:sz w:val="30"/>
                          <w:szCs w:val="30"/>
                          <w:lang w:val="en-US"/>
                        </w:rPr>
                        <w:t xml:space="preserve">At the same time, each system has its own target audience and its functional purpose. ISMT is a systemically important payment system of the country and is intended to make the high-priority and urgent payments of the financial sector and business entities (an average amount of one payment is </w:t>
                      </w:r>
                      <w:r>
                        <w:rPr>
                          <w:rFonts w:ascii="Calibri" w:hAnsi="Calibri" w:cs="Arial"/>
                          <w:spacing w:val="-4"/>
                          <w:sz w:val="30"/>
                          <w:szCs w:val="30"/>
                          <w:lang w:val="en-US"/>
                        </w:rPr>
                        <w:t xml:space="preserve">KZT </w:t>
                      </w:r>
                      <w:r w:rsidRPr="00F7641B">
                        <w:rPr>
                          <w:rFonts w:ascii="Calibri" w:hAnsi="Calibri" w:cs="Arial"/>
                          <w:spacing w:val="-4"/>
                          <w:sz w:val="30"/>
                          <w:szCs w:val="30"/>
                          <w:lang w:val="en-US"/>
                        </w:rPr>
                        <w:t xml:space="preserve">41.7 million), due to this fact this system accounts for the major portion of the payments. ICS is oriented at making the retail payments of the </w:t>
                      </w:r>
                      <w:r>
                        <w:rPr>
                          <w:rFonts w:ascii="Calibri" w:hAnsi="Calibri" w:cs="Arial"/>
                          <w:spacing w:val="-4"/>
                          <w:sz w:val="30"/>
                          <w:szCs w:val="30"/>
                          <w:lang w:val="en-US"/>
                        </w:rPr>
                        <w:t xml:space="preserve">general public </w:t>
                      </w:r>
                      <w:r w:rsidRPr="00F7641B">
                        <w:rPr>
                          <w:rFonts w:ascii="Calibri" w:hAnsi="Calibri" w:cs="Arial"/>
                          <w:spacing w:val="-4"/>
                          <w:sz w:val="30"/>
                          <w:szCs w:val="30"/>
                          <w:lang w:val="en-US"/>
                        </w:rPr>
                        <w:t xml:space="preserve">for small amounts (the amount is limited by KZT 5 million, an average amount of one payment is KZT 282.4 thousand), in particular, these are the payments of </w:t>
                      </w:r>
                      <w:r>
                        <w:rPr>
                          <w:rFonts w:ascii="Calibri" w:hAnsi="Calibri" w:cs="Arial"/>
                          <w:spacing w:val="-4"/>
                          <w:sz w:val="30"/>
                          <w:szCs w:val="30"/>
                          <w:lang w:val="en-US"/>
                        </w:rPr>
                        <w:t>the general public</w:t>
                      </w:r>
                      <w:r w:rsidRPr="00F7641B">
                        <w:rPr>
                          <w:rFonts w:ascii="Calibri" w:hAnsi="Calibri" w:cs="Arial"/>
                          <w:spacing w:val="-4"/>
                          <w:sz w:val="30"/>
                          <w:szCs w:val="30"/>
                          <w:lang w:val="en-US"/>
                        </w:rPr>
                        <w:t xml:space="preserve"> in the sector C2B, C2G (utilities, tax payments, payments for goods and services); ICS ensures settlements of the most of payments between the </w:t>
                      </w:r>
                      <w:r>
                        <w:rPr>
                          <w:rFonts w:ascii="Calibri" w:hAnsi="Calibri" w:cs="Arial"/>
                          <w:spacing w:val="-4"/>
                          <w:sz w:val="30"/>
                          <w:szCs w:val="30"/>
                          <w:lang w:val="en-US"/>
                        </w:rPr>
                        <w:t>financial organizations.</w:t>
                      </w:r>
                      <w:r w:rsidRPr="008574B0">
                        <w:rPr>
                          <w:rFonts w:ascii="Calibri" w:hAnsi="Calibri" w:cs="Arial"/>
                          <w:spacing w:val="-4"/>
                          <w:sz w:val="30"/>
                          <w:szCs w:val="30"/>
                          <w:lang w:val="en-US"/>
                        </w:rPr>
                        <w:t xml:space="preserve"> </w:t>
                      </w:r>
                    </w:p>
                    <w:p w:rsidR="00541D5F" w:rsidRPr="008574B0" w:rsidRDefault="00541D5F">
                      <w:pPr>
                        <w:rPr>
                          <w:lang w:val="en-US"/>
                        </w:rPr>
                      </w:pPr>
                    </w:p>
                  </w:txbxContent>
                </v:textbox>
                <w10:anchorlock/>
              </v:roundrect>
            </w:pict>
          </mc:Fallback>
        </mc:AlternateContent>
      </w:r>
    </w:p>
    <w:p w:rsidR="0035454E" w:rsidRPr="00A9366F" w:rsidRDefault="0035454E" w:rsidP="003874CE">
      <w:pPr>
        <w:pStyle w:val="1"/>
        <w:spacing w:before="0" w:after="0"/>
        <w:ind w:firstLine="709"/>
        <w:jc w:val="center"/>
        <w:rPr>
          <w:rFonts w:ascii="Calibri" w:hAnsi="Calibri"/>
          <w:bCs w:val="0"/>
          <w:snapToGrid w:val="0"/>
          <w:color w:val="0E4C28"/>
          <w:spacing w:val="-2"/>
          <w:kern w:val="0"/>
          <w:sz w:val="36"/>
          <w:szCs w:val="36"/>
          <w:lang w:val="en-US"/>
        </w:rPr>
        <w:sectPr w:rsidR="0035454E" w:rsidRPr="00A9366F" w:rsidSect="0098131D">
          <w:pgSz w:w="11906" w:h="16838"/>
          <w:pgMar w:top="1134" w:right="851" w:bottom="709" w:left="1701" w:header="709" w:footer="709" w:gutter="0"/>
          <w:cols w:space="708"/>
          <w:docGrid w:linePitch="360"/>
        </w:sectPr>
      </w:pPr>
    </w:p>
    <w:p w:rsidR="003874CE" w:rsidRPr="00A9366F" w:rsidRDefault="00DF08AA" w:rsidP="003874CE">
      <w:pPr>
        <w:pStyle w:val="1"/>
        <w:spacing w:before="0" w:after="0"/>
        <w:ind w:firstLine="709"/>
        <w:jc w:val="center"/>
        <w:rPr>
          <w:rFonts w:ascii="Calibri" w:hAnsi="Calibri"/>
          <w:bCs w:val="0"/>
          <w:snapToGrid w:val="0"/>
          <w:color w:val="0E4C28"/>
          <w:spacing w:val="-2"/>
          <w:kern w:val="0"/>
          <w:sz w:val="36"/>
          <w:szCs w:val="36"/>
          <w:lang w:val="en-US"/>
        </w:rPr>
      </w:pPr>
      <w:bookmarkStart w:id="72" w:name="_Toc485627002"/>
      <w:proofErr w:type="gramStart"/>
      <w:r w:rsidRPr="00A9366F">
        <w:rPr>
          <w:rFonts w:ascii="Calibri" w:hAnsi="Calibri"/>
          <w:bCs w:val="0"/>
          <w:snapToGrid w:val="0"/>
          <w:color w:val="0E4C28"/>
          <w:spacing w:val="-2"/>
          <w:kern w:val="0"/>
          <w:sz w:val="36"/>
          <w:szCs w:val="36"/>
          <w:lang w:val="en-US"/>
        </w:rPr>
        <w:t>SECTION</w:t>
      </w:r>
      <w:r w:rsidR="005C7913" w:rsidRPr="00A9366F">
        <w:rPr>
          <w:rFonts w:ascii="Calibri" w:hAnsi="Calibri"/>
          <w:bCs w:val="0"/>
          <w:snapToGrid w:val="0"/>
          <w:color w:val="0E4C28"/>
          <w:spacing w:val="-2"/>
          <w:kern w:val="0"/>
          <w:sz w:val="36"/>
          <w:szCs w:val="36"/>
          <w:lang w:val="en-US"/>
        </w:rPr>
        <w:t xml:space="preserve"> 2</w:t>
      </w:r>
      <w:r w:rsidR="003874CE" w:rsidRPr="00A9366F">
        <w:rPr>
          <w:rFonts w:ascii="Calibri" w:hAnsi="Calibri"/>
          <w:bCs w:val="0"/>
          <w:snapToGrid w:val="0"/>
          <w:color w:val="0E4C28"/>
          <w:spacing w:val="-2"/>
          <w:kern w:val="0"/>
          <w:sz w:val="36"/>
          <w:szCs w:val="36"/>
          <w:lang w:val="en-US"/>
        </w:rPr>
        <w:t>.</w:t>
      </w:r>
      <w:proofErr w:type="gramEnd"/>
      <w:r w:rsidR="003874CE"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PAYMENT INSTRUMENTS</w:t>
      </w:r>
      <w:bookmarkEnd w:id="72"/>
    </w:p>
    <w:p w:rsidR="0090149B" w:rsidRPr="00A9366F" w:rsidRDefault="0090149B" w:rsidP="0090149B">
      <w:pPr>
        <w:jc w:val="both"/>
        <w:rPr>
          <w:sz w:val="8"/>
          <w:lang w:val="en-US"/>
        </w:rPr>
      </w:pPr>
    </w:p>
    <w:p w:rsidR="00DF08AA" w:rsidRPr="00A9366F" w:rsidRDefault="00DF08AA" w:rsidP="00FC6BCA">
      <w:pPr>
        <w:ind w:firstLine="708"/>
        <w:jc w:val="both"/>
        <w:rPr>
          <w:rFonts w:ascii="Calibri" w:hAnsi="Calibri" w:cs="Arial"/>
          <w:sz w:val="30"/>
          <w:szCs w:val="30"/>
          <w:lang w:val="en-US"/>
        </w:rPr>
      </w:pPr>
      <w:r w:rsidRPr="00A9366F">
        <w:rPr>
          <w:rFonts w:ascii="Calibri" w:hAnsi="Calibri" w:cs="Arial"/>
          <w:sz w:val="30"/>
          <w:szCs w:val="30"/>
          <w:lang w:val="en-US"/>
        </w:rPr>
        <w:t>This Section deals with analysis of the use of payment instruments in Kazakhstan, including transactions with individuals and legal entities, which are carried out using the credit instruments</w:t>
      </w:r>
      <w:r w:rsidRPr="00A9366F">
        <w:rPr>
          <w:rStyle w:val="a6"/>
          <w:rFonts w:ascii="Calibri" w:hAnsi="Calibri" w:cs="Arial"/>
          <w:lang w:val="en-US"/>
        </w:rPr>
        <w:footnoteReference w:id="6"/>
      </w:r>
      <w:r w:rsidRPr="00A9366F">
        <w:rPr>
          <w:rFonts w:ascii="Calibri" w:hAnsi="Calibri" w:cs="Arial"/>
          <w:sz w:val="30"/>
          <w:szCs w:val="30"/>
          <w:lang w:val="en-US"/>
        </w:rPr>
        <w:t>, debit instruments</w:t>
      </w:r>
      <w:r w:rsidRPr="00A9366F">
        <w:rPr>
          <w:rStyle w:val="a6"/>
          <w:rFonts w:ascii="Calibri" w:hAnsi="Calibri" w:cs="Arial"/>
          <w:lang w:val="en-US"/>
        </w:rPr>
        <w:footnoteReference w:id="7"/>
      </w:r>
      <w:r w:rsidRPr="00A9366F">
        <w:rPr>
          <w:rFonts w:ascii="Calibri" w:hAnsi="Calibri" w:cs="Arial"/>
          <w:sz w:val="30"/>
          <w:szCs w:val="30"/>
          <w:lang w:val="en-US"/>
        </w:rPr>
        <w:t xml:space="preserve"> and other means of payments and money transfers</w:t>
      </w:r>
      <w:r w:rsidRPr="00A9366F">
        <w:rPr>
          <w:rStyle w:val="a6"/>
          <w:rFonts w:ascii="Calibri" w:hAnsi="Calibri" w:cs="Arial"/>
          <w:lang w:val="en-US"/>
        </w:rPr>
        <w:footnoteReference w:id="8"/>
      </w:r>
      <w:r w:rsidRPr="00A9366F">
        <w:rPr>
          <w:rFonts w:ascii="Calibri" w:hAnsi="Calibri" w:cs="Arial"/>
          <w:sz w:val="30"/>
          <w:szCs w:val="30"/>
          <w:lang w:val="en-US"/>
        </w:rPr>
        <w:t>.</w:t>
      </w:r>
    </w:p>
    <w:p w:rsidR="00803AB5" w:rsidRPr="00A9366F" w:rsidRDefault="00DF08AA" w:rsidP="00803AB5">
      <w:pPr>
        <w:ind w:firstLine="708"/>
        <w:jc w:val="both"/>
        <w:rPr>
          <w:rFonts w:ascii="Calibri" w:hAnsi="Calibri" w:cs="Arial"/>
          <w:b/>
          <w:sz w:val="30"/>
          <w:szCs w:val="30"/>
          <w:u w:val="single"/>
          <w:lang w:val="en-US"/>
        </w:rPr>
      </w:pPr>
      <w:r w:rsidRPr="00A9366F">
        <w:rPr>
          <w:rFonts w:ascii="Calibri" w:hAnsi="Calibri" w:cs="Arial"/>
          <w:b/>
          <w:sz w:val="30"/>
          <w:szCs w:val="30"/>
          <w:u w:val="single"/>
          <w:lang w:val="en-US"/>
        </w:rPr>
        <w:t>Payments of legal entities</w:t>
      </w:r>
      <w:r w:rsidR="00803AB5" w:rsidRPr="00A9366F">
        <w:rPr>
          <w:rStyle w:val="a6"/>
          <w:rFonts w:ascii="Calibri" w:hAnsi="Calibri" w:cs="Arial"/>
          <w:sz w:val="30"/>
          <w:szCs w:val="30"/>
          <w:u w:val="single"/>
          <w:lang w:val="en-US"/>
        </w:rPr>
        <w:footnoteReference w:id="9"/>
      </w:r>
    </w:p>
    <w:tbl>
      <w:tblPr>
        <w:tblStyle w:val="a3"/>
        <w:tblW w:w="10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6160"/>
      </w:tblGrid>
      <w:tr w:rsidR="00803AB5" w:rsidRPr="00A9366F" w:rsidTr="008429CA">
        <w:tc>
          <w:tcPr>
            <w:tcW w:w="4428" w:type="dxa"/>
          </w:tcPr>
          <w:p w:rsidR="00803AB5" w:rsidRPr="00A9366F" w:rsidRDefault="008574B0" w:rsidP="008574B0">
            <w:pPr>
              <w:ind w:firstLine="708"/>
              <w:jc w:val="both"/>
              <w:rPr>
                <w:rFonts w:ascii="Calibri" w:hAnsi="Calibri" w:cs="Arial"/>
                <w:sz w:val="30"/>
                <w:szCs w:val="30"/>
                <w:lang w:val="en-US"/>
              </w:rPr>
            </w:pPr>
            <w:r w:rsidRPr="00A9366F">
              <w:rPr>
                <w:rFonts w:ascii="Calibri" w:hAnsi="Calibri" w:cs="Arial"/>
                <w:sz w:val="30"/>
                <w:szCs w:val="30"/>
                <w:lang w:val="en-US"/>
              </w:rPr>
              <w:t>Legal entities</w:t>
            </w:r>
            <w:r w:rsidRPr="00A9366F">
              <w:rPr>
                <w:rStyle w:val="a6"/>
                <w:rFonts w:ascii="Calibri" w:hAnsi="Calibri" w:cs="Arial"/>
                <w:sz w:val="30"/>
                <w:szCs w:val="30"/>
                <w:lang w:val="en-US"/>
              </w:rPr>
              <w:footnoteReference w:id="10"/>
            </w:r>
            <w:r w:rsidRPr="00A9366F">
              <w:rPr>
                <w:rFonts w:ascii="Calibri" w:hAnsi="Calibri" w:cs="Arial"/>
                <w:sz w:val="30"/>
                <w:szCs w:val="30"/>
                <w:lang w:val="en-US"/>
              </w:rPr>
              <w:t xml:space="preserve"> performed </w:t>
            </w:r>
            <w:r w:rsidR="000C15AD" w:rsidRPr="00A9366F">
              <w:rPr>
                <w:rFonts w:ascii="Calibri" w:hAnsi="Calibri" w:cs="Arial"/>
                <w:sz w:val="30"/>
                <w:szCs w:val="30"/>
                <w:lang w:val="en-US"/>
              </w:rPr>
              <w:t xml:space="preserve">582.0 </w:t>
            </w:r>
            <w:r w:rsidR="00F7641B" w:rsidRPr="00A9366F">
              <w:rPr>
                <w:rFonts w:ascii="Calibri" w:hAnsi="Calibri" w:cs="Arial"/>
                <w:sz w:val="30"/>
                <w:szCs w:val="30"/>
                <w:lang w:val="en-US"/>
              </w:rPr>
              <w:t>million</w:t>
            </w:r>
            <w:r w:rsidR="000C15AD" w:rsidRPr="00A9366F">
              <w:rPr>
                <w:rFonts w:ascii="Calibri" w:hAnsi="Calibri" w:cs="Arial"/>
                <w:sz w:val="30"/>
                <w:szCs w:val="30"/>
                <w:lang w:val="en-US"/>
              </w:rPr>
              <w:t xml:space="preserve"> t</w:t>
            </w:r>
            <w:r w:rsidR="00DF08AA" w:rsidRPr="00A9366F">
              <w:rPr>
                <w:rFonts w:ascii="Calibri" w:hAnsi="Calibri" w:cs="Arial"/>
                <w:sz w:val="30"/>
                <w:szCs w:val="30"/>
                <w:lang w:val="en-US"/>
              </w:rPr>
              <w:t xml:space="preserve">ransactions through the banks and </w:t>
            </w:r>
            <w:proofErr w:type="spellStart"/>
            <w:r w:rsidR="00DF08AA" w:rsidRPr="00A9366F">
              <w:rPr>
                <w:rFonts w:ascii="Calibri" w:hAnsi="Calibri" w:cs="Arial"/>
                <w:sz w:val="30"/>
                <w:szCs w:val="30"/>
                <w:lang w:val="en-US"/>
              </w:rPr>
              <w:t>Kazpost</w:t>
            </w:r>
            <w:proofErr w:type="spellEnd"/>
            <w:r w:rsidR="00DF08AA" w:rsidRPr="00A9366F">
              <w:rPr>
                <w:rFonts w:ascii="Calibri" w:hAnsi="Calibri" w:cs="Arial"/>
                <w:sz w:val="30"/>
                <w:szCs w:val="30"/>
                <w:lang w:val="en-US"/>
              </w:rPr>
              <w:t xml:space="preserve"> JSC using payment instruments,</w:t>
            </w:r>
            <w:r w:rsidR="000C15AD" w:rsidRPr="00A9366F">
              <w:rPr>
                <w:rFonts w:ascii="Calibri" w:hAnsi="Calibri" w:cs="Arial"/>
                <w:sz w:val="30"/>
                <w:szCs w:val="30"/>
                <w:lang w:val="en-US"/>
              </w:rPr>
              <w:t xml:space="preserve"> for the total amount of KZT 561.0 trillion</w:t>
            </w:r>
            <w:r w:rsidR="00803AB5" w:rsidRPr="00A9366F">
              <w:rPr>
                <w:rFonts w:ascii="Calibri" w:hAnsi="Calibri" w:cs="Arial"/>
                <w:sz w:val="30"/>
                <w:szCs w:val="30"/>
                <w:lang w:val="en-US"/>
              </w:rPr>
              <w:t>.</w:t>
            </w:r>
          </w:p>
        </w:tc>
        <w:tc>
          <w:tcPr>
            <w:tcW w:w="6160" w:type="dxa"/>
          </w:tcPr>
          <w:tbl>
            <w:tblPr>
              <w:tblStyle w:val="a3"/>
              <w:tblW w:w="5348" w:type="dxa"/>
              <w:tblLook w:val="04A0" w:firstRow="1" w:lastRow="0" w:firstColumn="1" w:lastColumn="0" w:noHBand="0" w:noVBand="1"/>
            </w:tblPr>
            <w:tblGrid>
              <w:gridCol w:w="2201"/>
              <w:gridCol w:w="1409"/>
              <w:gridCol w:w="1738"/>
            </w:tblGrid>
            <w:tr w:rsidR="00803AB5" w:rsidRPr="00A9366F" w:rsidTr="003A6A0F">
              <w:tc>
                <w:tcPr>
                  <w:tcW w:w="2201" w:type="dxa"/>
                  <w:shd w:val="clear" w:color="auto" w:fill="C2D69B"/>
                  <w:vAlign w:val="center"/>
                </w:tcPr>
                <w:p w:rsidR="00803AB5" w:rsidRPr="00A9366F" w:rsidRDefault="000C15AD" w:rsidP="008429CA">
                  <w:pPr>
                    <w:widowControl w:val="0"/>
                    <w:jc w:val="center"/>
                    <w:rPr>
                      <w:rFonts w:ascii="Calibri" w:hAnsi="Calibri" w:cs="Arial"/>
                      <w:b/>
                      <w:bCs/>
                      <w:sz w:val="22"/>
                      <w:szCs w:val="22"/>
                      <w:lang w:val="en-US"/>
                    </w:rPr>
                  </w:pPr>
                  <w:r w:rsidRPr="00A9366F">
                    <w:rPr>
                      <w:rFonts w:ascii="Calibri" w:hAnsi="Calibri" w:cs="Arial"/>
                      <w:b/>
                      <w:bCs/>
                      <w:sz w:val="22"/>
                      <w:szCs w:val="22"/>
                      <w:lang w:val="en-US"/>
                    </w:rPr>
                    <w:t>Sub-types</w:t>
                  </w:r>
                </w:p>
              </w:tc>
              <w:tc>
                <w:tcPr>
                  <w:tcW w:w="1409" w:type="dxa"/>
                  <w:shd w:val="clear" w:color="auto" w:fill="C2D69B"/>
                  <w:vAlign w:val="center"/>
                </w:tcPr>
                <w:p w:rsidR="00803AB5" w:rsidRPr="00A9366F" w:rsidRDefault="000C15AD" w:rsidP="00550E0F">
                  <w:pPr>
                    <w:widowControl w:val="0"/>
                    <w:jc w:val="center"/>
                    <w:rPr>
                      <w:rFonts w:ascii="Calibri" w:hAnsi="Calibri" w:cs="Arial"/>
                      <w:b/>
                      <w:bCs/>
                      <w:sz w:val="22"/>
                      <w:szCs w:val="22"/>
                      <w:lang w:val="en-US"/>
                    </w:rPr>
                  </w:pPr>
                  <w:r w:rsidRPr="00A9366F">
                    <w:rPr>
                      <w:rFonts w:ascii="Calibri" w:hAnsi="Calibri" w:cs="Arial"/>
                      <w:b/>
                      <w:bCs/>
                      <w:sz w:val="22"/>
                      <w:szCs w:val="22"/>
                      <w:lang w:val="en-US"/>
                    </w:rPr>
                    <w:t>Number (</w:t>
                  </w:r>
                  <w:r w:rsidR="00550E0F" w:rsidRPr="00A9366F">
                    <w:rPr>
                      <w:rFonts w:ascii="Calibri" w:hAnsi="Calibri" w:cs="Arial"/>
                      <w:b/>
                      <w:bCs/>
                      <w:sz w:val="22"/>
                      <w:szCs w:val="22"/>
                      <w:lang w:val="en-US"/>
                    </w:rPr>
                    <w:t xml:space="preserve">thousand </w:t>
                  </w:r>
                  <w:r w:rsidRPr="00A9366F">
                    <w:rPr>
                      <w:rFonts w:ascii="Calibri" w:hAnsi="Calibri" w:cs="Arial"/>
                      <w:b/>
                      <w:bCs/>
                      <w:sz w:val="22"/>
                      <w:szCs w:val="22"/>
                      <w:lang w:val="en-US"/>
                    </w:rPr>
                    <w:t>transactions)</w:t>
                  </w:r>
                </w:p>
              </w:tc>
              <w:tc>
                <w:tcPr>
                  <w:tcW w:w="1738" w:type="dxa"/>
                  <w:shd w:val="clear" w:color="auto" w:fill="C2D69B"/>
                  <w:vAlign w:val="center"/>
                </w:tcPr>
                <w:p w:rsidR="00DD3239" w:rsidRPr="00A9366F" w:rsidRDefault="000C15AD" w:rsidP="008429CA">
                  <w:pPr>
                    <w:widowControl w:val="0"/>
                    <w:jc w:val="center"/>
                    <w:rPr>
                      <w:rFonts w:ascii="Calibri" w:hAnsi="Calibri" w:cs="Arial"/>
                      <w:b/>
                      <w:bCs/>
                      <w:sz w:val="22"/>
                      <w:szCs w:val="22"/>
                      <w:lang w:val="en-US"/>
                    </w:rPr>
                  </w:pPr>
                  <w:r w:rsidRPr="00A9366F">
                    <w:rPr>
                      <w:rFonts w:ascii="Calibri" w:hAnsi="Calibri" w:cs="Arial"/>
                      <w:b/>
                      <w:bCs/>
                      <w:sz w:val="22"/>
                      <w:szCs w:val="22"/>
                      <w:lang w:val="en-US"/>
                    </w:rPr>
                    <w:t>Amount</w:t>
                  </w:r>
                </w:p>
                <w:p w:rsidR="00803AB5" w:rsidRPr="00A9366F" w:rsidRDefault="00803AB5" w:rsidP="000C15AD">
                  <w:pPr>
                    <w:widowControl w:val="0"/>
                    <w:jc w:val="center"/>
                    <w:rPr>
                      <w:rFonts w:ascii="Calibri" w:hAnsi="Calibri" w:cs="Arial"/>
                      <w:b/>
                      <w:bCs/>
                      <w:sz w:val="22"/>
                      <w:szCs w:val="22"/>
                      <w:lang w:val="en-US"/>
                    </w:rPr>
                  </w:pPr>
                  <w:r w:rsidRPr="00A9366F">
                    <w:rPr>
                      <w:rFonts w:ascii="Calibri" w:hAnsi="Calibri" w:cs="Arial"/>
                      <w:b/>
                      <w:bCs/>
                      <w:sz w:val="22"/>
                      <w:szCs w:val="22"/>
                      <w:lang w:val="en-US"/>
                    </w:rPr>
                    <w:t>(</w:t>
                  </w:r>
                  <w:r w:rsidR="000C15AD" w:rsidRPr="00A9366F">
                    <w:rPr>
                      <w:rFonts w:ascii="Calibri" w:hAnsi="Calibri" w:cs="Arial"/>
                      <w:b/>
                      <w:bCs/>
                      <w:sz w:val="22"/>
                      <w:szCs w:val="22"/>
                      <w:lang w:val="en-US"/>
                    </w:rPr>
                    <w:t>KZT billion</w:t>
                  </w:r>
                  <w:r w:rsidRPr="00A9366F">
                    <w:rPr>
                      <w:rFonts w:ascii="Calibri" w:hAnsi="Calibri" w:cs="Arial"/>
                      <w:b/>
                      <w:bCs/>
                      <w:sz w:val="22"/>
                      <w:szCs w:val="22"/>
                      <w:lang w:val="en-US"/>
                    </w:rPr>
                    <w:t>)</w:t>
                  </w:r>
                </w:p>
              </w:tc>
            </w:tr>
            <w:tr w:rsidR="00B63ABB" w:rsidRPr="00A9366F" w:rsidTr="003A6A0F">
              <w:tc>
                <w:tcPr>
                  <w:tcW w:w="2201" w:type="dxa"/>
                </w:tcPr>
                <w:p w:rsidR="00B63ABB" w:rsidRPr="00A9366F" w:rsidRDefault="000C15AD" w:rsidP="00264041">
                  <w:pPr>
                    <w:jc w:val="both"/>
                    <w:rPr>
                      <w:rFonts w:asciiTheme="minorHAnsi" w:hAnsiTheme="minorHAnsi" w:cstheme="minorHAnsi"/>
                      <w:sz w:val="22"/>
                      <w:szCs w:val="22"/>
                      <w:lang w:val="en-US"/>
                    </w:rPr>
                  </w:pPr>
                  <w:r w:rsidRPr="00A9366F">
                    <w:rPr>
                      <w:rFonts w:asciiTheme="minorHAnsi" w:hAnsiTheme="minorHAnsi" w:cstheme="minorHAnsi"/>
                      <w:sz w:val="22"/>
                      <w:szCs w:val="22"/>
                      <w:lang w:val="en-US"/>
                    </w:rPr>
                    <w:t>Credit payment instrument s</w:t>
                  </w:r>
                </w:p>
              </w:tc>
              <w:tc>
                <w:tcPr>
                  <w:tcW w:w="1409"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297,6</w:t>
                  </w:r>
                </w:p>
              </w:tc>
              <w:tc>
                <w:tcPr>
                  <w:tcW w:w="1738"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512 000,5</w:t>
                  </w:r>
                </w:p>
              </w:tc>
            </w:tr>
            <w:tr w:rsidR="00B63ABB" w:rsidRPr="00A9366F" w:rsidTr="003A6A0F">
              <w:tc>
                <w:tcPr>
                  <w:tcW w:w="2201" w:type="dxa"/>
                </w:tcPr>
                <w:p w:rsidR="00B63ABB" w:rsidRPr="00A9366F" w:rsidRDefault="0033456F" w:rsidP="000C15AD">
                  <w:pPr>
                    <w:jc w:val="both"/>
                    <w:rPr>
                      <w:rFonts w:asciiTheme="minorHAnsi" w:hAnsiTheme="minorHAnsi" w:cstheme="minorHAnsi"/>
                      <w:i/>
                      <w:sz w:val="22"/>
                      <w:szCs w:val="22"/>
                      <w:lang w:val="en-US"/>
                    </w:rPr>
                  </w:pPr>
                  <w:r w:rsidRPr="00A9366F">
                    <w:rPr>
                      <w:rFonts w:asciiTheme="minorHAnsi" w:hAnsiTheme="minorHAnsi" w:cstheme="minorHAnsi"/>
                      <w:i/>
                      <w:sz w:val="22"/>
                      <w:szCs w:val="22"/>
                      <w:lang w:val="en-US"/>
                    </w:rPr>
                    <w:t>Proportion</w:t>
                  </w:r>
                  <w:r w:rsidR="000C15AD" w:rsidRPr="00A9366F">
                    <w:rPr>
                      <w:rFonts w:asciiTheme="minorHAnsi" w:hAnsiTheme="minorHAnsi" w:cstheme="minorHAnsi"/>
                      <w:i/>
                      <w:sz w:val="22"/>
                      <w:szCs w:val="22"/>
                      <w:lang w:val="en-US"/>
                    </w:rPr>
                    <w:t xml:space="preserve"> in the total structure </w:t>
                  </w:r>
                  <w:r w:rsidR="004C6CFA" w:rsidRPr="00A9366F">
                    <w:rPr>
                      <w:rFonts w:asciiTheme="minorHAnsi" w:hAnsiTheme="minorHAnsi" w:cstheme="minorHAnsi"/>
                      <w:i/>
                      <w:sz w:val="22"/>
                      <w:szCs w:val="22"/>
                      <w:lang w:val="en-US"/>
                    </w:rPr>
                    <w:t>(</w:t>
                  </w:r>
                  <w:r w:rsidR="000C15AD" w:rsidRPr="00A9366F">
                    <w:rPr>
                      <w:rFonts w:asciiTheme="minorHAnsi" w:hAnsiTheme="minorHAnsi" w:cstheme="minorHAnsi"/>
                      <w:i/>
                      <w:sz w:val="22"/>
                      <w:szCs w:val="22"/>
                      <w:lang w:val="en-US"/>
                    </w:rPr>
                    <w:t xml:space="preserve">in </w:t>
                  </w:r>
                  <w:r w:rsidR="004C6CFA" w:rsidRPr="00A9366F">
                    <w:rPr>
                      <w:rFonts w:asciiTheme="minorHAnsi" w:hAnsiTheme="minorHAnsi" w:cstheme="minorHAnsi"/>
                      <w:i/>
                      <w:sz w:val="22"/>
                      <w:szCs w:val="22"/>
                      <w:lang w:val="en-US"/>
                    </w:rPr>
                    <w:t>%)</w:t>
                  </w:r>
                </w:p>
              </w:tc>
              <w:tc>
                <w:tcPr>
                  <w:tcW w:w="1409" w:type="dxa"/>
                  <w:vAlign w:val="center"/>
                </w:tcPr>
                <w:p w:rsidR="00B63ABB" w:rsidRPr="00A9366F" w:rsidRDefault="00B63ABB" w:rsidP="00B63ABB">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51,1%</w:t>
                  </w:r>
                </w:p>
              </w:tc>
              <w:tc>
                <w:tcPr>
                  <w:tcW w:w="1738" w:type="dxa"/>
                  <w:vAlign w:val="center"/>
                </w:tcPr>
                <w:p w:rsidR="00B63ABB" w:rsidRPr="00A9366F" w:rsidRDefault="00B63ABB" w:rsidP="00B63ABB">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91,3%</w:t>
                  </w:r>
                </w:p>
              </w:tc>
            </w:tr>
            <w:tr w:rsidR="00B63ABB" w:rsidRPr="00A9366F" w:rsidTr="003A6A0F">
              <w:tc>
                <w:tcPr>
                  <w:tcW w:w="2201" w:type="dxa"/>
                </w:tcPr>
                <w:p w:rsidR="00B63ABB" w:rsidRPr="00A9366F" w:rsidRDefault="000C15AD" w:rsidP="000C15AD">
                  <w:pPr>
                    <w:jc w:val="both"/>
                    <w:rPr>
                      <w:rFonts w:asciiTheme="minorHAnsi" w:hAnsiTheme="minorHAnsi" w:cstheme="minorHAnsi"/>
                      <w:sz w:val="22"/>
                      <w:szCs w:val="22"/>
                      <w:lang w:val="en-US"/>
                    </w:rPr>
                  </w:pPr>
                  <w:r w:rsidRPr="00A9366F">
                    <w:rPr>
                      <w:rFonts w:asciiTheme="minorHAnsi" w:hAnsiTheme="minorHAnsi" w:cstheme="minorHAnsi"/>
                      <w:sz w:val="22"/>
                      <w:szCs w:val="22"/>
                      <w:lang w:val="en-US"/>
                    </w:rPr>
                    <w:t>Debit payment instruments</w:t>
                  </w:r>
                </w:p>
              </w:tc>
              <w:tc>
                <w:tcPr>
                  <w:tcW w:w="1409"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35,5</w:t>
                  </w:r>
                </w:p>
              </w:tc>
              <w:tc>
                <w:tcPr>
                  <w:tcW w:w="1738"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13 586,4</w:t>
                  </w:r>
                </w:p>
              </w:tc>
            </w:tr>
            <w:tr w:rsidR="004C6CFA" w:rsidRPr="00A9366F" w:rsidTr="003A6A0F">
              <w:tc>
                <w:tcPr>
                  <w:tcW w:w="2201" w:type="dxa"/>
                </w:tcPr>
                <w:p w:rsidR="004C6CFA" w:rsidRPr="00A9366F" w:rsidRDefault="0033456F" w:rsidP="005D2A5D">
                  <w:pPr>
                    <w:jc w:val="both"/>
                    <w:rPr>
                      <w:rFonts w:asciiTheme="minorHAnsi" w:hAnsiTheme="minorHAnsi" w:cstheme="minorHAnsi"/>
                      <w:i/>
                      <w:sz w:val="22"/>
                      <w:szCs w:val="22"/>
                      <w:lang w:val="en-US"/>
                    </w:rPr>
                  </w:pPr>
                  <w:r w:rsidRPr="00A9366F">
                    <w:rPr>
                      <w:rFonts w:asciiTheme="minorHAnsi" w:hAnsiTheme="minorHAnsi" w:cstheme="minorHAnsi"/>
                      <w:i/>
                      <w:sz w:val="22"/>
                      <w:szCs w:val="22"/>
                      <w:lang w:val="en-US"/>
                    </w:rPr>
                    <w:t>Proportion in the total structure (in %)</w:t>
                  </w:r>
                </w:p>
              </w:tc>
              <w:tc>
                <w:tcPr>
                  <w:tcW w:w="1409" w:type="dxa"/>
                  <w:vAlign w:val="center"/>
                </w:tcPr>
                <w:p w:rsidR="004C6CFA" w:rsidRPr="00A9366F" w:rsidRDefault="004C6CFA" w:rsidP="00B63ABB">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6,1%</w:t>
                  </w:r>
                </w:p>
              </w:tc>
              <w:tc>
                <w:tcPr>
                  <w:tcW w:w="1738" w:type="dxa"/>
                  <w:vAlign w:val="center"/>
                </w:tcPr>
                <w:p w:rsidR="004C6CFA" w:rsidRPr="00A9366F" w:rsidRDefault="004C6CFA" w:rsidP="00B63ABB">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2,4%</w:t>
                  </w:r>
                </w:p>
              </w:tc>
            </w:tr>
            <w:tr w:rsidR="00B63ABB" w:rsidRPr="00A9366F" w:rsidTr="003A6A0F">
              <w:tc>
                <w:tcPr>
                  <w:tcW w:w="2201" w:type="dxa"/>
                </w:tcPr>
                <w:p w:rsidR="00B63ABB" w:rsidRPr="00A9366F" w:rsidRDefault="000C15AD" w:rsidP="00264041">
                  <w:pPr>
                    <w:jc w:val="both"/>
                    <w:rPr>
                      <w:rFonts w:asciiTheme="minorHAnsi" w:hAnsiTheme="minorHAnsi" w:cstheme="minorHAnsi"/>
                      <w:sz w:val="22"/>
                      <w:szCs w:val="22"/>
                      <w:lang w:val="en-US"/>
                    </w:rPr>
                  </w:pPr>
                  <w:r w:rsidRPr="00A9366F">
                    <w:rPr>
                      <w:rFonts w:asciiTheme="minorHAnsi" w:hAnsiTheme="minorHAnsi" w:cstheme="minorHAnsi"/>
                      <w:sz w:val="22"/>
                      <w:szCs w:val="22"/>
                      <w:lang w:val="en-US"/>
                    </w:rPr>
                    <w:t>Other</w:t>
                  </w:r>
                </w:p>
              </w:tc>
              <w:tc>
                <w:tcPr>
                  <w:tcW w:w="1409"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248,9</w:t>
                  </w:r>
                </w:p>
              </w:tc>
              <w:tc>
                <w:tcPr>
                  <w:tcW w:w="1738" w:type="dxa"/>
                  <w:vAlign w:val="center"/>
                </w:tcPr>
                <w:p w:rsidR="00B63ABB" w:rsidRPr="00A9366F" w:rsidRDefault="00B63ABB" w:rsidP="00B63ABB">
                  <w:pPr>
                    <w:jc w:val="center"/>
                    <w:rPr>
                      <w:rFonts w:asciiTheme="minorHAnsi" w:hAnsiTheme="minorHAnsi" w:cstheme="minorHAnsi"/>
                      <w:bCs/>
                      <w:i/>
                      <w:iCs/>
                      <w:sz w:val="22"/>
                      <w:szCs w:val="22"/>
                      <w:lang w:val="en-US"/>
                    </w:rPr>
                  </w:pPr>
                  <w:r w:rsidRPr="00A9366F">
                    <w:rPr>
                      <w:rFonts w:asciiTheme="minorHAnsi" w:hAnsiTheme="minorHAnsi" w:cstheme="minorHAnsi"/>
                      <w:bCs/>
                      <w:i/>
                      <w:iCs/>
                      <w:sz w:val="22"/>
                      <w:szCs w:val="22"/>
                      <w:lang w:val="en-US"/>
                    </w:rPr>
                    <w:t>35 456,3</w:t>
                  </w:r>
                </w:p>
              </w:tc>
            </w:tr>
            <w:tr w:rsidR="004C6CFA" w:rsidRPr="00A9366F" w:rsidTr="003A6A0F">
              <w:tc>
                <w:tcPr>
                  <w:tcW w:w="2201" w:type="dxa"/>
                </w:tcPr>
                <w:p w:rsidR="004C6CFA" w:rsidRPr="00A9366F" w:rsidRDefault="0033456F" w:rsidP="005D2A5D">
                  <w:pPr>
                    <w:jc w:val="both"/>
                    <w:rPr>
                      <w:rFonts w:asciiTheme="minorHAnsi" w:hAnsiTheme="minorHAnsi" w:cstheme="minorHAnsi"/>
                      <w:i/>
                      <w:sz w:val="22"/>
                      <w:szCs w:val="22"/>
                      <w:lang w:val="en-US"/>
                    </w:rPr>
                  </w:pPr>
                  <w:r w:rsidRPr="00A9366F">
                    <w:rPr>
                      <w:rFonts w:asciiTheme="minorHAnsi" w:hAnsiTheme="minorHAnsi" w:cstheme="minorHAnsi"/>
                      <w:i/>
                      <w:sz w:val="22"/>
                      <w:szCs w:val="22"/>
                      <w:lang w:val="en-US"/>
                    </w:rPr>
                    <w:t>Proportion in the total structure (in %)</w:t>
                  </w:r>
                </w:p>
              </w:tc>
              <w:tc>
                <w:tcPr>
                  <w:tcW w:w="1409" w:type="dxa"/>
                  <w:vAlign w:val="center"/>
                </w:tcPr>
                <w:p w:rsidR="004C6CFA" w:rsidRPr="00A9366F" w:rsidRDefault="004C6CFA" w:rsidP="002E5C2F">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42,8%</w:t>
                  </w:r>
                </w:p>
              </w:tc>
              <w:tc>
                <w:tcPr>
                  <w:tcW w:w="1738" w:type="dxa"/>
                  <w:vAlign w:val="center"/>
                </w:tcPr>
                <w:p w:rsidR="004C6CFA" w:rsidRPr="00A9366F" w:rsidRDefault="004C6CFA" w:rsidP="002E5C2F">
                  <w:pPr>
                    <w:jc w:val="center"/>
                    <w:rPr>
                      <w:rFonts w:asciiTheme="minorHAnsi" w:hAnsiTheme="minorHAnsi" w:cstheme="minorHAnsi"/>
                      <w:i/>
                      <w:sz w:val="22"/>
                      <w:szCs w:val="22"/>
                      <w:lang w:val="en-US"/>
                    </w:rPr>
                  </w:pPr>
                  <w:r w:rsidRPr="00A9366F">
                    <w:rPr>
                      <w:rFonts w:asciiTheme="minorHAnsi" w:hAnsiTheme="minorHAnsi" w:cstheme="minorHAnsi"/>
                      <w:i/>
                      <w:sz w:val="22"/>
                      <w:szCs w:val="22"/>
                      <w:lang w:val="en-US"/>
                    </w:rPr>
                    <w:t>6,3%</w:t>
                  </w:r>
                </w:p>
              </w:tc>
            </w:tr>
            <w:tr w:rsidR="00B63ABB" w:rsidRPr="00A9366F" w:rsidTr="003A6A0F">
              <w:tc>
                <w:tcPr>
                  <w:tcW w:w="2201" w:type="dxa"/>
                </w:tcPr>
                <w:p w:rsidR="00B63ABB" w:rsidRPr="00A9366F" w:rsidRDefault="000C15AD" w:rsidP="00264041">
                  <w:pPr>
                    <w:jc w:val="both"/>
                    <w:rPr>
                      <w:rFonts w:asciiTheme="minorHAnsi" w:hAnsiTheme="minorHAnsi" w:cstheme="minorHAnsi"/>
                      <w:b/>
                      <w:sz w:val="22"/>
                      <w:szCs w:val="22"/>
                      <w:lang w:val="en-US"/>
                    </w:rPr>
                  </w:pPr>
                  <w:r w:rsidRPr="00A9366F">
                    <w:rPr>
                      <w:rFonts w:asciiTheme="minorHAnsi" w:hAnsiTheme="minorHAnsi" w:cstheme="minorHAnsi"/>
                      <w:b/>
                      <w:sz w:val="22"/>
                      <w:szCs w:val="22"/>
                      <w:lang w:val="en-US"/>
                    </w:rPr>
                    <w:t>Total</w:t>
                  </w:r>
                </w:p>
              </w:tc>
              <w:tc>
                <w:tcPr>
                  <w:tcW w:w="1409" w:type="dxa"/>
                  <w:vAlign w:val="center"/>
                </w:tcPr>
                <w:p w:rsidR="00B63ABB" w:rsidRPr="00A9366F" w:rsidRDefault="00B63ABB" w:rsidP="00B63ABB">
                  <w:pPr>
                    <w:jc w:val="center"/>
                    <w:rPr>
                      <w:rFonts w:asciiTheme="minorHAnsi" w:hAnsiTheme="minorHAnsi" w:cstheme="minorHAnsi"/>
                      <w:b/>
                      <w:bCs/>
                      <w:sz w:val="22"/>
                      <w:szCs w:val="22"/>
                      <w:lang w:val="en-US"/>
                    </w:rPr>
                  </w:pPr>
                  <w:r w:rsidRPr="00A9366F">
                    <w:rPr>
                      <w:rFonts w:asciiTheme="minorHAnsi" w:hAnsiTheme="minorHAnsi" w:cstheme="minorHAnsi"/>
                      <w:b/>
                      <w:bCs/>
                      <w:sz w:val="22"/>
                      <w:szCs w:val="22"/>
                      <w:lang w:val="en-US"/>
                    </w:rPr>
                    <w:t>582,0</w:t>
                  </w:r>
                </w:p>
              </w:tc>
              <w:tc>
                <w:tcPr>
                  <w:tcW w:w="1738" w:type="dxa"/>
                  <w:vAlign w:val="center"/>
                </w:tcPr>
                <w:p w:rsidR="00B63ABB" w:rsidRPr="00A9366F" w:rsidRDefault="00B63ABB" w:rsidP="00B63ABB">
                  <w:pPr>
                    <w:jc w:val="center"/>
                    <w:rPr>
                      <w:rFonts w:asciiTheme="minorHAnsi" w:hAnsiTheme="minorHAnsi" w:cstheme="minorHAnsi"/>
                      <w:b/>
                      <w:bCs/>
                      <w:sz w:val="22"/>
                      <w:szCs w:val="22"/>
                      <w:lang w:val="en-US"/>
                    </w:rPr>
                  </w:pPr>
                  <w:r w:rsidRPr="00A9366F">
                    <w:rPr>
                      <w:rFonts w:asciiTheme="minorHAnsi" w:hAnsiTheme="minorHAnsi" w:cstheme="minorHAnsi"/>
                      <w:b/>
                      <w:bCs/>
                      <w:sz w:val="22"/>
                      <w:szCs w:val="22"/>
                      <w:lang w:val="en-US"/>
                    </w:rPr>
                    <w:t>561 043,2</w:t>
                  </w:r>
                </w:p>
              </w:tc>
            </w:tr>
          </w:tbl>
          <w:p w:rsidR="00803AB5" w:rsidRPr="00A9366F" w:rsidRDefault="00803AB5" w:rsidP="00264041">
            <w:pPr>
              <w:jc w:val="both"/>
              <w:rPr>
                <w:rFonts w:ascii="Calibri" w:hAnsi="Calibri" w:cs="Arial"/>
                <w:sz w:val="30"/>
                <w:szCs w:val="30"/>
                <w:lang w:val="en-US"/>
              </w:rPr>
            </w:pPr>
          </w:p>
        </w:tc>
      </w:tr>
    </w:tbl>
    <w:tbl>
      <w:tblPr>
        <w:tblW w:w="10656" w:type="dxa"/>
        <w:tblInd w:w="-432" w:type="dxa"/>
        <w:tblLayout w:type="fixed"/>
        <w:tblLook w:val="00A0" w:firstRow="1" w:lastRow="0" w:firstColumn="1" w:lastColumn="0" w:noHBand="0" w:noVBand="0"/>
      </w:tblPr>
      <w:tblGrid>
        <w:gridCol w:w="5220"/>
        <w:gridCol w:w="5436"/>
      </w:tblGrid>
      <w:tr w:rsidR="00803AB5" w:rsidRPr="00EA720F" w:rsidTr="00322F31">
        <w:trPr>
          <w:trHeight w:val="3229"/>
        </w:trPr>
        <w:tc>
          <w:tcPr>
            <w:tcW w:w="5220" w:type="dxa"/>
          </w:tcPr>
          <w:p w:rsidR="00803AB5" w:rsidRPr="00A9366F" w:rsidRDefault="0033456F" w:rsidP="0033456F">
            <w:pPr>
              <w:ind w:hanging="102"/>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Proportion </w:t>
            </w:r>
            <w:r w:rsidR="000C15AD" w:rsidRPr="00A9366F">
              <w:rPr>
                <w:rFonts w:ascii="Calibri" w:hAnsi="Calibri" w:cs="Arial"/>
                <w:b/>
                <w:color w:val="0E4C28"/>
                <w:sz w:val="28"/>
                <w:szCs w:val="28"/>
                <w:lang w:val="en-US"/>
              </w:rPr>
              <w:t xml:space="preserve">of the total number of payment instruments of legal entities in 2016 </w:t>
            </w:r>
          </w:p>
          <w:p w:rsidR="00803AB5" w:rsidRPr="00A9366F" w:rsidRDefault="003D5BDF" w:rsidP="00264041">
            <w:pPr>
              <w:tabs>
                <w:tab w:val="num" w:pos="993"/>
              </w:tabs>
              <w:jc w:val="both"/>
              <w:rPr>
                <w:sz w:val="20"/>
                <w:szCs w:val="20"/>
                <w:lang w:val="en-US"/>
              </w:rPr>
            </w:pPr>
            <w:r w:rsidRPr="00A9366F">
              <w:rPr>
                <w:noProof/>
              </w:rPr>
              <w:drawing>
                <wp:inline distT="0" distB="0" distL="0" distR="0">
                  <wp:extent cx="3105150" cy="3086100"/>
                  <wp:effectExtent l="38100" t="0" r="38100" b="0"/>
                  <wp:docPr id="86"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5436" w:type="dxa"/>
          </w:tcPr>
          <w:p w:rsidR="00803AB5" w:rsidRPr="00A9366F" w:rsidRDefault="0033456F" w:rsidP="0033456F">
            <w:pPr>
              <w:jc w:val="center"/>
              <w:rPr>
                <w:sz w:val="20"/>
                <w:szCs w:val="20"/>
                <w:lang w:val="en-US"/>
              </w:rPr>
            </w:pPr>
            <w:r w:rsidRPr="00A9366F">
              <w:rPr>
                <w:rFonts w:ascii="Calibri" w:hAnsi="Calibri" w:cs="Arial"/>
                <w:b/>
                <w:color w:val="0E4C28"/>
                <w:sz w:val="28"/>
                <w:szCs w:val="28"/>
                <w:lang w:val="en-US"/>
              </w:rPr>
              <w:t>Proportion</w:t>
            </w:r>
            <w:r w:rsidR="000C15AD" w:rsidRPr="00A9366F">
              <w:rPr>
                <w:rFonts w:ascii="Calibri" w:hAnsi="Calibri" w:cs="Arial"/>
                <w:b/>
                <w:color w:val="0E4C28"/>
                <w:sz w:val="28"/>
                <w:szCs w:val="28"/>
                <w:lang w:val="en-US"/>
              </w:rPr>
              <w:t xml:space="preserve"> of the total amount of payment instruments of legal entities in 2016 </w:t>
            </w:r>
            <w:r w:rsidR="00803AB5" w:rsidRPr="00A9366F">
              <w:rPr>
                <w:noProof/>
                <w:sz w:val="20"/>
                <w:szCs w:val="20"/>
              </w:rPr>
              <w:drawing>
                <wp:inline distT="0" distB="0" distL="0" distR="0">
                  <wp:extent cx="2990850" cy="3086100"/>
                  <wp:effectExtent l="19050" t="0" r="38100" b="0"/>
                  <wp:docPr id="87"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803AB5" w:rsidRPr="00A9366F" w:rsidRDefault="00775C42" w:rsidP="008E728A">
      <w:pPr>
        <w:ind w:firstLine="708"/>
        <w:jc w:val="both"/>
        <w:rPr>
          <w:rFonts w:ascii="Calibri" w:hAnsi="Calibri" w:cs="Arial"/>
          <w:sz w:val="30"/>
          <w:szCs w:val="30"/>
          <w:u w:val="single"/>
          <w:lang w:val="en-US"/>
        </w:rPr>
      </w:pPr>
      <w:r w:rsidRPr="00A9366F">
        <w:rPr>
          <w:rFonts w:ascii="Calibri" w:hAnsi="Calibri" w:cs="Arial"/>
          <w:sz w:val="30"/>
          <w:szCs w:val="30"/>
          <w:lang w:val="en-US"/>
        </w:rPr>
        <w:t xml:space="preserve">Payments and money transfers of the legal entities </w:t>
      </w:r>
      <w:r w:rsidR="007F1ACE" w:rsidRPr="00A9366F">
        <w:rPr>
          <w:rFonts w:ascii="Calibri" w:hAnsi="Calibri" w:cs="Arial"/>
          <w:sz w:val="30"/>
          <w:szCs w:val="30"/>
          <w:lang w:val="en-US"/>
        </w:rPr>
        <w:t xml:space="preserve">settled </w:t>
      </w:r>
      <w:r w:rsidRPr="00A9366F">
        <w:rPr>
          <w:rFonts w:ascii="Calibri" w:hAnsi="Calibri" w:cs="Arial"/>
          <w:sz w:val="30"/>
          <w:szCs w:val="30"/>
          <w:lang w:val="en-US"/>
        </w:rPr>
        <w:t xml:space="preserve">using the </w:t>
      </w:r>
      <w:r w:rsidR="006D3A99" w:rsidRPr="00A9366F">
        <w:rPr>
          <w:rFonts w:ascii="Calibri" w:hAnsi="Calibri" w:cs="Arial"/>
          <w:sz w:val="30"/>
          <w:szCs w:val="30"/>
          <w:lang w:val="en-US"/>
        </w:rPr>
        <w:t>transfer</w:t>
      </w:r>
      <w:r w:rsidR="007850EB" w:rsidRPr="00A9366F">
        <w:rPr>
          <w:rFonts w:ascii="Calibri" w:hAnsi="Calibri" w:cs="Arial"/>
          <w:sz w:val="30"/>
          <w:szCs w:val="30"/>
          <w:lang w:val="en-US"/>
        </w:rPr>
        <w:t xml:space="preserve"> </w:t>
      </w:r>
      <w:r w:rsidRPr="00A9366F">
        <w:rPr>
          <w:rFonts w:ascii="Calibri" w:hAnsi="Calibri" w:cs="Arial"/>
          <w:sz w:val="30"/>
          <w:szCs w:val="30"/>
          <w:lang w:val="en-US"/>
        </w:rPr>
        <w:t xml:space="preserve">orders and </w:t>
      </w:r>
      <w:r w:rsidR="006D3A99" w:rsidRPr="00A9366F">
        <w:rPr>
          <w:rFonts w:ascii="Calibri" w:hAnsi="Calibri" w:cs="Arial"/>
          <w:sz w:val="30"/>
          <w:szCs w:val="30"/>
          <w:lang w:val="en-US"/>
        </w:rPr>
        <w:t xml:space="preserve">payment orders </w:t>
      </w:r>
      <w:r w:rsidR="007850EB" w:rsidRPr="00A9366F">
        <w:rPr>
          <w:rFonts w:ascii="Calibri" w:hAnsi="Calibri" w:cs="Arial"/>
          <w:sz w:val="30"/>
          <w:szCs w:val="30"/>
          <w:lang w:val="en-US"/>
        </w:rPr>
        <w:t>acco</w:t>
      </w:r>
      <w:r w:rsidRPr="00A9366F">
        <w:rPr>
          <w:rFonts w:ascii="Calibri" w:hAnsi="Calibri" w:cs="Arial"/>
          <w:sz w:val="30"/>
          <w:szCs w:val="30"/>
          <w:lang w:val="en-US"/>
        </w:rPr>
        <w:t xml:space="preserve">unt for the largest portion </w:t>
      </w:r>
      <w:r w:rsidR="007850EB" w:rsidRPr="00A9366F">
        <w:rPr>
          <w:rFonts w:ascii="Calibri" w:hAnsi="Calibri" w:cs="Arial"/>
          <w:sz w:val="30"/>
          <w:szCs w:val="30"/>
          <w:lang w:val="en-US"/>
        </w:rPr>
        <w:t xml:space="preserve">of payments - </w:t>
      </w:r>
      <w:r w:rsidRPr="00A9366F">
        <w:rPr>
          <w:rFonts w:ascii="Calibri" w:hAnsi="Calibri" w:cs="Arial"/>
          <w:sz w:val="30"/>
          <w:szCs w:val="30"/>
          <w:lang w:val="en-US"/>
        </w:rPr>
        <w:t>47.</w:t>
      </w:r>
      <w:r w:rsidR="007850EB" w:rsidRPr="00A9366F">
        <w:rPr>
          <w:rFonts w:ascii="Calibri" w:hAnsi="Calibri" w:cs="Arial"/>
          <w:sz w:val="30"/>
          <w:szCs w:val="30"/>
          <w:lang w:val="en-US"/>
        </w:rPr>
        <w:t xml:space="preserve">1% and 42.3%, respectively; while in terms of the amount, </w:t>
      </w:r>
      <w:r w:rsidR="00804E09" w:rsidRPr="002C72D1">
        <w:rPr>
          <w:rFonts w:ascii="Calibri" w:hAnsi="Calibri" w:cs="Arial"/>
          <w:sz w:val="30"/>
          <w:szCs w:val="30"/>
          <w:lang w:val="en-US"/>
        </w:rPr>
        <w:t xml:space="preserve">transfer orders </w:t>
      </w:r>
      <w:r w:rsidR="007850EB" w:rsidRPr="002C72D1">
        <w:rPr>
          <w:rFonts w:ascii="Calibri" w:hAnsi="Calibri" w:cs="Arial"/>
          <w:sz w:val="30"/>
          <w:szCs w:val="30"/>
          <w:lang w:val="en-US"/>
        </w:rPr>
        <w:t xml:space="preserve">account for the major volume – 90.0%, which are used to </w:t>
      </w:r>
      <w:r w:rsidR="007850EB" w:rsidRPr="00A9366F">
        <w:rPr>
          <w:rFonts w:ascii="Calibri" w:hAnsi="Calibri" w:cs="Arial"/>
          <w:sz w:val="30"/>
          <w:szCs w:val="30"/>
          <w:lang w:val="en-US"/>
        </w:rPr>
        <w:t xml:space="preserve">make payments and money transfers from the legal entities’ bank accounts in accordance with the instructions provided by these legal entities. </w:t>
      </w:r>
      <w:r w:rsidRPr="00A9366F">
        <w:rPr>
          <w:rFonts w:ascii="Calibri" w:hAnsi="Calibri" w:cs="Arial"/>
          <w:sz w:val="30"/>
          <w:szCs w:val="30"/>
          <w:lang w:val="en-US"/>
        </w:rPr>
        <w:t xml:space="preserve"> </w:t>
      </w:r>
    </w:p>
    <w:p w:rsidR="00701CCA" w:rsidRPr="00A9366F" w:rsidRDefault="008E728A" w:rsidP="00FC6BCA">
      <w:pPr>
        <w:ind w:firstLine="708"/>
        <w:jc w:val="both"/>
        <w:rPr>
          <w:rFonts w:ascii="Calibri" w:hAnsi="Calibri" w:cs="Arial"/>
          <w:sz w:val="30"/>
          <w:szCs w:val="30"/>
          <w:u w:val="single"/>
          <w:lang w:val="en-US"/>
        </w:rPr>
      </w:pPr>
      <w:r w:rsidRPr="00A9366F">
        <w:rPr>
          <w:rFonts w:ascii="Calibri" w:hAnsi="Calibri" w:cs="Arial"/>
          <w:b/>
          <w:sz w:val="30"/>
          <w:szCs w:val="30"/>
          <w:u w:val="single"/>
          <w:lang w:val="en-US"/>
        </w:rPr>
        <w:t>Payment of individuals</w:t>
      </w:r>
      <w:r w:rsidR="00701CCA" w:rsidRPr="00A9366F">
        <w:rPr>
          <w:rStyle w:val="a6"/>
          <w:rFonts w:ascii="Calibri" w:hAnsi="Calibri" w:cs="Arial"/>
          <w:sz w:val="30"/>
          <w:szCs w:val="30"/>
          <w:u w:val="single"/>
          <w:lang w:val="en-US"/>
        </w:rPr>
        <w:footnoteReference w:id="11"/>
      </w:r>
    </w:p>
    <w:tbl>
      <w:tblPr>
        <w:tblStyle w:val="a3"/>
        <w:tblW w:w="10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6160"/>
      </w:tblGrid>
      <w:tr w:rsidR="00DC153A" w:rsidRPr="00A9366F" w:rsidTr="003D5BDF">
        <w:tc>
          <w:tcPr>
            <w:tcW w:w="4428" w:type="dxa"/>
            <w:shd w:val="clear" w:color="auto" w:fill="auto"/>
          </w:tcPr>
          <w:p w:rsidR="00DC153A" w:rsidRPr="00A9366F" w:rsidRDefault="003E5BEF" w:rsidP="007F1ACE">
            <w:pPr>
              <w:ind w:firstLine="708"/>
              <w:jc w:val="both"/>
              <w:rPr>
                <w:rFonts w:ascii="Calibri" w:hAnsi="Calibri" w:cs="Arial"/>
                <w:spacing w:val="-4"/>
                <w:sz w:val="30"/>
                <w:szCs w:val="30"/>
                <w:lang w:val="en-US"/>
              </w:rPr>
            </w:pPr>
            <w:r w:rsidRPr="00A9366F">
              <w:rPr>
                <w:rFonts w:ascii="Calibri" w:hAnsi="Calibri" w:cs="Arial"/>
                <w:spacing w:val="-4"/>
                <w:sz w:val="30"/>
                <w:szCs w:val="30"/>
                <w:lang w:val="en-US"/>
              </w:rPr>
              <w:t xml:space="preserve">644.1 million </w:t>
            </w:r>
            <w:proofErr w:type="gramStart"/>
            <w:r w:rsidRPr="00A9366F">
              <w:rPr>
                <w:rFonts w:ascii="Calibri" w:hAnsi="Calibri" w:cs="Arial"/>
                <w:spacing w:val="-4"/>
                <w:sz w:val="30"/>
                <w:szCs w:val="30"/>
                <w:lang w:val="en-US"/>
              </w:rPr>
              <w:t>transactions</w:t>
            </w:r>
            <w:proofErr w:type="gramEnd"/>
            <w:r w:rsidRPr="00A9366F">
              <w:rPr>
                <w:rFonts w:ascii="Calibri" w:hAnsi="Calibri" w:cs="Arial"/>
                <w:spacing w:val="-4"/>
                <w:sz w:val="30"/>
                <w:szCs w:val="30"/>
                <w:lang w:val="en-US"/>
              </w:rPr>
              <w:t xml:space="preserve"> for KZT 46.0 trillion were </w:t>
            </w:r>
            <w:r w:rsidR="007F1ACE" w:rsidRPr="00A9366F">
              <w:rPr>
                <w:rFonts w:ascii="Calibri" w:hAnsi="Calibri" w:cs="Arial"/>
                <w:spacing w:val="-4"/>
                <w:sz w:val="30"/>
                <w:szCs w:val="30"/>
                <w:lang w:val="en-US"/>
              </w:rPr>
              <w:t>settled</w:t>
            </w:r>
            <w:r w:rsidRPr="00A9366F">
              <w:rPr>
                <w:rFonts w:ascii="Calibri" w:hAnsi="Calibri" w:cs="Arial"/>
                <w:spacing w:val="-4"/>
                <w:sz w:val="30"/>
                <w:szCs w:val="30"/>
                <w:lang w:val="en-US"/>
              </w:rPr>
              <w:t xml:space="preserve"> by the individuals</w:t>
            </w:r>
            <w:r w:rsidRPr="00A9366F">
              <w:rPr>
                <w:rStyle w:val="a6"/>
                <w:rFonts w:ascii="Calibri" w:hAnsi="Calibri" w:cs="Arial"/>
                <w:spacing w:val="-4"/>
                <w:sz w:val="30"/>
                <w:szCs w:val="30"/>
                <w:lang w:val="en-US"/>
              </w:rPr>
              <w:footnoteReference w:id="12"/>
            </w:r>
            <w:r w:rsidRPr="00A9366F">
              <w:rPr>
                <w:rFonts w:ascii="Calibri" w:hAnsi="Calibri" w:cs="Arial"/>
                <w:spacing w:val="-4"/>
                <w:sz w:val="30"/>
                <w:szCs w:val="30"/>
                <w:lang w:val="en-US"/>
              </w:rPr>
              <w:t xml:space="preserve"> through the banks and </w:t>
            </w:r>
            <w:proofErr w:type="spellStart"/>
            <w:r w:rsidRPr="00A9366F">
              <w:rPr>
                <w:rFonts w:ascii="Calibri" w:hAnsi="Calibri" w:cs="Arial"/>
                <w:spacing w:val="-4"/>
                <w:sz w:val="30"/>
                <w:szCs w:val="30"/>
                <w:lang w:val="en-US"/>
              </w:rPr>
              <w:t>Kazpost</w:t>
            </w:r>
            <w:proofErr w:type="spellEnd"/>
            <w:r w:rsidRPr="00A9366F">
              <w:rPr>
                <w:rFonts w:ascii="Calibri" w:hAnsi="Calibri" w:cs="Arial"/>
                <w:spacing w:val="-4"/>
                <w:sz w:val="30"/>
                <w:szCs w:val="30"/>
                <w:lang w:val="en-US"/>
              </w:rPr>
              <w:t xml:space="preserve"> JSC using payment instrument</w:t>
            </w:r>
            <w:r w:rsidR="00175FF1" w:rsidRPr="00A9366F">
              <w:rPr>
                <w:rFonts w:ascii="Calibri" w:hAnsi="Calibri" w:cs="Arial"/>
                <w:spacing w:val="-4"/>
                <w:sz w:val="30"/>
                <w:szCs w:val="30"/>
                <w:lang w:val="en-US"/>
              </w:rPr>
              <w:t>s</w:t>
            </w:r>
            <w:r w:rsidRPr="00A9366F">
              <w:rPr>
                <w:rFonts w:ascii="Calibri" w:hAnsi="Calibri" w:cs="Arial"/>
                <w:spacing w:val="-4"/>
                <w:sz w:val="30"/>
                <w:szCs w:val="30"/>
                <w:lang w:val="en-US"/>
              </w:rPr>
              <w:t xml:space="preserve">.  </w:t>
            </w:r>
          </w:p>
        </w:tc>
        <w:tc>
          <w:tcPr>
            <w:tcW w:w="6160" w:type="dxa"/>
            <w:shd w:val="clear" w:color="auto" w:fill="auto"/>
          </w:tcPr>
          <w:tbl>
            <w:tblPr>
              <w:tblStyle w:val="a3"/>
              <w:tblW w:w="5040" w:type="dxa"/>
              <w:tblInd w:w="67" w:type="dxa"/>
              <w:tblLook w:val="04A0" w:firstRow="1" w:lastRow="0" w:firstColumn="1" w:lastColumn="0" w:noHBand="0" w:noVBand="1"/>
            </w:tblPr>
            <w:tblGrid>
              <w:gridCol w:w="2135"/>
              <w:gridCol w:w="1409"/>
              <w:gridCol w:w="1496"/>
            </w:tblGrid>
            <w:tr w:rsidR="008E728A" w:rsidRPr="00A9366F" w:rsidTr="008429CA">
              <w:tc>
                <w:tcPr>
                  <w:tcW w:w="2340" w:type="dxa"/>
                  <w:shd w:val="clear" w:color="auto" w:fill="C2D69B"/>
                  <w:vAlign w:val="center"/>
                </w:tcPr>
                <w:p w:rsidR="008E728A" w:rsidRPr="00A9366F" w:rsidRDefault="008E728A" w:rsidP="008E728A">
                  <w:pPr>
                    <w:widowControl w:val="0"/>
                    <w:jc w:val="center"/>
                    <w:rPr>
                      <w:rFonts w:ascii="Calibri" w:hAnsi="Calibri" w:cs="Arial"/>
                      <w:b/>
                      <w:bCs/>
                      <w:sz w:val="22"/>
                      <w:szCs w:val="22"/>
                      <w:lang w:val="en-US"/>
                    </w:rPr>
                  </w:pPr>
                  <w:r w:rsidRPr="00A9366F">
                    <w:rPr>
                      <w:rFonts w:ascii="Calibri" w:hAnsi="Calibri" w:cs="Arial"/>
                      <w:b/>
                      <w:bCs/>
                      <w:sz w:val="22"/>
                      <w:szCs w:val="22"/>
                      <w:lang w:val="en-US"/>
                    </w:rPr>
                    <w:t>Sub-types</w:t>
                  </w:r>
                </w:p>
              </w:tc>
              <w:tc>
                <w:tcPr>
                  <w:tcW w:w="1080" w:type="dxa"/>
                  <w:shd w:val="clear" w:color="auto" w:fill="C2D69B"/>
                  <w:vAlign w:val="center"/>
                </w:tcPr>
                <w:p w:rsidR="008E728A" w:rsidRPr="00A9366F" w:rsidRDefault="008E728A" w:rsidP="00550E0F">
                  <w:pPr>
                    <w:widowControl w:val="0"/>
                    <w:jc w:val="center"/>
                    <w:rPr>
                      <w:rFonts w:ascii="Calibri" w:hAnsi="Calibri" w:cs="Arial"/>
                      <w:b/>
                      <w:bCs/>
                      <w:sz w:val="22"/>
                      <w:szCs w:val="22"/>
                      <w:lang w:val="en-US"/>
                    </w:rPr>
                  </w:pPr>
                  <w:r w:rsidRPr="00A9366F">
                    <w:rPr>
                      <w:rFonts w:ascii="Calibri" w:hAnsi="Calibri" w:cs="Arial"/>
                      <w:b/>
                      <w:bCs/>
                      <w:sz w:val="22"/>
                      <w:szCs w:val="22"/>
                      <w:lang w:val="en-US"/>
                    </w:rPr>
                    <w:t>Number (th</w:t>
                  </w:r>
                  <w:r w:rsidR="00550E0F" w:rsidRPr="00A9366F">
                    <w:rPr>
                      <w:rFonts w:ascii="Calibri" w:hAnsi="Calibri" w:cs="Arial"/>
                      <w:b/>
                      <w:bCs/>
                      <w:sz w:val="22"/>
                      <w:szCs w:val="22"/>
                      <w:lang w:val="en-US"/>
                    </w:rPr>
                    <w:t xml:space="preserve">ousand </w:t>
                  </w:r>
                  <w:r w:rsidRPr="00A9366F">
                    <w:rPr>
                      <w:rFonts w:ascii="Calibri" w:hAnsi="Calibri" w:cs="Arial"/>
                      <w:b/>
                      <w:bCs/>
                      <w:sz w:val="22"/>
                      <w:szCs w:val="22"/>
                      <w:lang w:val="en-US"/>
                    </w:rPr>
                    <w:t>transactions)</w:t>
                  </w:r>
                </w:p>
              </w:tc>
              <w:tc>
                <w:tcPr>
                  <w:tcW w:w="1620" w:type="dxa"/>
                  <w:shd w:val="clear" w:color="auto" w:fill="C2D69B"/>
                  <w:vAlign w:val="center"/>
                </w:tcPr>
                <w:p w:rsidR="008E728A" w:rsidRPr="00A9366F" w:rsidRDefault="008E728A" w:rsidP="008E728A">
                  <w:pPr>
                    <w:widowControl w:val="0"/>
                    <w:jc w:val="center"/>
                    <w:rPr>
                      <w:rFonts w:ascii="Calibri" w:hAnsi="Calibri" w:cs="Arial"/>
                      <w:b/>
                      <w:bCs/>
                      <w:sz w:val="22"/>
                      <w:szCs w:val="22"/>
                      <w:lang w:val="en-US"/>
                    </w:rPr>
                  </w:pPr>
                  <w:r w:rsidRPr="00A9366F">
                    <w:rPr>
                      <w:rFonts w:ascii="Calibri" w:hAnsi="Calibri" w:cs="Arial"/>
                      <w:b/>
                      <w:bCs/>
                      <w:sz w:val="22"/>
                      <w:szCs w:val="22"/>
                      <w:lang w:val="en-US"/>
                    </w:rPr>
                    <w:t>Amount</w:t>
                  </w:r>
                </w:p>
                <w:p w:rsidR="008E728A" w:rsidRPr="00A9366F" w:rsidRDefault="008E728A" w:rsidP="008E728A">
                  <w:pPr>
                    <w:widowControl w:val="0"/>
                    <w:jc w:val="center"/>
                    <w:rPr>
                      <w:rFonts w:ascii="Calibri" w:hAnsi="Calibri" w:cs="Arial"/>
                      <w:b/>
                      <w:bCs/>
                      <w:sz w:val="22"/>
                      <w:szCs w:val="22"/>
                      <w:lang w:val="en-US"/>
                    </w:rPr>
                  </w:pPr>
                  <w:r w:rsidRPr="00A9366F">
                    <w:rPr>
                      <w:rFonts w:ascii="Calibri" w:hAnsi="Calibri" w:cs="Arial"/>
                      <w:b/>
                      <w:bCs/>
                      <w:sz w:val="22"/>
                      <w:szCs w:val="22"/>
                      <w:lang w:val="en-US"/>
                    </w:rPr>
                    <w:t>(KZT billion)</w:t>
                  </w:r>
                </w:p>
              </w:tc>
            </w:tr>
            <w:tr w:rsidR="009E41D7" w:rsidRPr="00A9366F" w:rsidTr="008429CA">
              <w:tc>
                <w:tcPr>
                  <w:tcW w:w="2340" w:type="dxa"/>
                </w:tcPr>
                <w:p w:rsidR="009E41D7" w:rsidRPr="00A9366F" w:rsidRDefault="008E728A" w:rsidP="00DC1000">
                  <w:pPr>
                    <w:jc w:val="both"/>
                    <w:rPr>
                      <w:rFonts w:ascii="Calibri" w:hAnsi="Calibri" w:cs="Arial"/>
                      <w:sz w:val="22"/>
                      <w:szCs w:val="22"/>
                      <w:lang w:val="en-US"/>
                    </w:rPr>
                  </w:pPr>
                  <w:r w:rsidRPr="00A9366F">
                    <w:rPr>
                      <w:rFonts w:ascii="Calibri" w:hAnsi="Calibri" w:cs="Arial"/>
                      <w:sz w:val="22"/>
                      <w:szCs w:val="22"/>
                      <w:lang w:val="en-US"/>
                    </w:rPr>
                    <w:t xml:space="preserve">Credit instruments </w:t>
                  </w:r>
                </w:p>
              </w:tc>
              <w:tc>
                <w:tcPr>
                  <w:tcW w:w="1080" w:type="dxa"/>
                  <w:vAlign w:val="center"/>
                </w:tcPr>
                <w:p w:rsidR="009E41D7" w:rsidRPr="00A9366F" w:rsidRDefault="0067762A" w:rsidP="009E41D7">
                  <w:pPr>
                    <w:jc w:val="center"/>
                    <w:rPr>
                      <w:rFonts w:ascii="Calibri" w:hAnsi="Calibri" w:cs="Arial"/>
                      <w:sz w:val="22"/>
                      <w:szCs w:val="22"/>
                      <w:lang w:val="en-US"/>
                    </w:rPr>
                  </w:pPr>
                  <w:r w:rsidRPr="00A9366F">
                    <w:rPr>
                      <w:rFonts w:ascii="Calibri" w:hAnsi="Calibri" w:cs="Arial"/>
                      <w:sz w:val="22"/>
                      <w:szCs w:val="22"/>
                      <w:lang w:val="en-US"/>
                    </w:rPr>
                    <w:t>72,4</w:t>
                  </w:r>
                </w:p>
              </w:tc>
              <w:tc>
                <w:tcPr>
                  <w:tcW w:w="1620" w:type="dxa"/>
                  <w:vAlign w:val="center"/>
                </w:tcPr>
                <w:p w:rsidR="009E41D7" w:rsidRPr="00A9366F" w:rsidRDefault="0067762A" w:rsidP="009E41D7">
                  <w:pPr>
                    <w:jc w:val="center"/>
                    <w:rPr>
                      <w:rFonts w:ascii="Calibri" w:hAnsi="Calibri" w:cs="Arial"/>
                      <w:sz w:val="22"/>
                      <w:szCs w:val="22"/>
                      <w:lang w:val="en-US"/>
                    </w:rPr>
                  </w:pPr>
                  <w:r w:rsidRPr="00A9366F">
                    <w:rPr>
                      <w:rFonts w:ascii="Calibri" w:hAnsi="Calibri" w:cs="Arial"/>
                      <w:sz w:val="22"/>
                      <w:szCs w:val="22"/>
                      <w:lang w:val="en-US"/>
                    </w:rPr>
                    <w:t>25 648,0</w:t>
                  </w:r>
                </w:p>
              </w:tc>
            </w:tr>
            <w:tr w:rsidR="009E41D7" w:rsidRPr="00A9366F" w:rsidTr="008429CA">
              <w:tc>
                <w:tcPr>
                  <w:tcW w:w="2340" w:type="dxa"/>
                </w:tcPr>
                <w:p w:rsidR="009E41D7" w:rsidRPr="00A9366F" w:rsidRDefault="008E728A" w:rsidP="008E728A">
                  <w:pPr>
                    <w:jc w:val="both"/>
                    <w:rPr>
                      <w:rFonts w:ascii="Calibri" w:hAnsi="Calibri" w:cs="Arial"/>
                      <w:i/>
                      <w:sz w:val="22"/>
                      <w:szCs w:val="22"/>
                      <w:lang w:val="en-US"/>
                    </w:rPr>
                  </w:pPr>
                  <w:r w:rsidRPr="00A9366F">
                    <w:rPr>
                      <w:rFonts w:ascii="Calibri" w:hAnsi="Calibri" w:cs="Arial"/>
                      <w:i/>
                      <w:sz w:val="22"/>
                      <w:szCs w:val="22"/>
                      <w:lang w:val="en-US"/>
                    </w:rPr>
                    <w:t>as</w:t>
                  </w:r>
                  <w:r w:rsidR="009E41D7" w:rsidRPr="00A9366F">
                    <w:rPr>
                      <w:rFonts w:ascii="Calibri" w:hAnsi="Calibri" w:cs="Arial"/>
                      <w:i/>
                      <w:sz w:val="22"/>
                      <w:szCs w:val="22"/>
                      <w:lang w:val="en-US"/>
                    </w:rPr>
                    <w:t xml:space="preserve"> % </w:t>
                  </w:r>
                  <w:r w:rsidRPr="00A9366F">
                    <w:rPr>
                      <w:rFonts w:ascii="Calibri" w:hAnsi="Calibri" w:cs="Arial"/>
                      <w:i/>
                      <w:sz w:val="22"/>
                      <w:szCs w:val="22"/>
                      <w:lang w:val="en-US"/>
                    </w:rPr>
                    <w:t>to the total</w:t>
                  </w:r>
                </w:p>
              </w:tc>
              <w:tc>
                <w:tcPr>
                  <w:tcW w:w="1080" w:type="dxa"/>
                  <w:vAlign w:val="center"/>
                </w:tcPr>
                <w:p w:rsidR="009E41D7" w:rsidRPr="00A9366F" w:rsidRDefault="0067762A" w:rsidP="009E41D7">
                  <w:pPr>
                    <w:jc w:val="center"/>
                    <w:rPr>
                      <w:rFonts w:ascii="Calibri" w:hAnsi="Calibri" w:cs="Arial"/>
                      <w:i/>
                      <w:sz w:val="22"/>
                      <w:szCs w:val="22"/>
                      <w:lang w:val="en-US"/>
                    </w:rPr>
                  </w:pPr>
                  <w:r w:rsidRPr="00A9366F">
                    <w:rPr>
                      <w:rFonts w:ascii="Calibri" w:hAnsi="Calibri" w:cs="Arial"/>
                      <w:i/>
                      <w:sz w:val="22"/>
                      <w:szCs w:val="22"/>
                      <w:lang w:val="en-US"/>
                    </w:rPr>
                    <w:t>11,2</w:t>
                  </w:r>
                  <w:r w:rsidR="009E41D7" w:rsidRPr="00A9366F">
                    <w:rPr>
                      <w:rFonts w:ascii="Calibri" w:hAnsi="Calibri" w:cs="Arial"/>
                      <w:i/>
                      <w:sz w:val="22"/>
                      <w:szCs w:val="22"/>
                      <w:lang w:val="en-US"/>
                    </w:rPr>
                    <w:t>%</w:t>
                  </w:r>
                </w:p>
              </w:tc>
              <w:tc>
                <w:tcPr>
                  <w:tcW w:w="1620" w:type="dxa"/>
                  <w:vAlign w:val="center"/>
                </w:tcPr>
                <w:p w:rsidR="009E41D7" w:rsidRPr="00A9366F" w:rsidRDefault="0067762A" w:rsidP="0067762A">
                  <w:pPr>
                    <w:jc w:val="center"/>
                    <w:rPr>
                      <w:rFonts w:ascii="Calibri" w:hAnsi="Calibri" w:cs="Arial"/>
                      <w:i/>
                      <w:sz w:val="22"/>
                      <w:szCs w:val="22"/>
                      <w:lang w:val="en-US"/>
                    </w:rPr>
                  </w:pPr>
                  <w:r w:rsidRPr="00A9366F">
                    <w:rPr>
                      <w:rFonts w:ascii="Calibri" w:hAnsi="Calibri" w:cs="Arial"/>
                      <w:i/>
                      <w:sz w:val="22"/>
                      <w:szCs w:val="22"/>
                      <w:lang w:val="en-US"/>
                    </w:rPr>
                    <w:t>55,8</w:t>
                  </w:r>
                  <w:r w:rsidR="009E41D7" w:rsidRPr="00A9366F">
                    <w:rPr>
                      <w:rFonts w:ascii="Calibri" w:hAnsi="Calibri" w:cs="Arial"/>
                      <w:i/>
                      <w:sz w:val="22"/>
                      <w:szCs w:val="22"/>
                      <w:lang w:val="en-US"/>
                    </w:rPr>
                    <w:t>%</w:t>
                  </w:r>
                </w:p>
              </w:tc>
            </w:tr>
            <w:tr w:rsidR="009E41D7" w:rsidRPr="00A9366F" w:rsidTr="008429CA">
              <w:tc>
                <w:tcPr>
                  <w:tcW w:w="2340" w:type="dxa"/>
                </w:tcPr>
                <w:p w:rsidR="009E41D7" w:rsidRPr="00A9366F" w:rsidRDefault="00AD6EF1" w:rsidP="00DC1000">
                  <w:pPr>
                    <w:jc w:val="both"/>
                    <w:rPr>
                      <w:rFonts w:ascii="Calibri" w:hAnsi="Calibri" w:cs="Arial"/>
                      <w:sz w:val="22"/>
                      <w:szCs w:val="22"/>
                      <w:lang w:val="en-US"/>
                    </w:rPr>
                  </w:pPr>
                  <w:r w:rsidRPr="00A9366F">
                    <w:rPr>
                      <w:rFonts w:ascii="Calibri" w:hAnsi="Calibri" w:cs="Arial"/>
                      <w:sz w:val="22"/>
                      <w:szCs w:val="22"/>
                      <w:lang w:val="en-US"/>
                    </w:rPr>
                    <w:t>Debit instruments</w:t>
                  </w:r>
                </w:p>
              </w:tc>
              <w:tc>
                <w:tcPr>
                  <w:tcW w:w="1080" w:type="dxa"/>
                  <w:vAlign w:val="center"/>
                </w:tcPr>
                <w:p w:rsidR="009E41D7" w:rsidRPr="00A9366F" w:rsidRDefault="009E41D7" w:rsidP="009E41D7">
                  <w:pPr>
                    <w:jc w:val="center"/>
                    <w:rPr>
                      <w:rFonts w:ascii="Calibri" w:hAnsi="Calibri" w:cs="Arial"/>
                      <w:sz w:val="22"/>
                      <w:szCs w:val="22"/>
                      <w:lang w:val="en-US"/>
                    </w:rPr>
                  </w:pPr>
                  <w:r w:rsidRPr="00A9366F">
                    <w:rPr>
                      <w:rFonts w:ascii="Calibri" w:hAnsi="Calibri" w:cs="Arial"/>
                      <w:sz w:val="22"/>
                      <w:szCs w:val="22"/>
                      <w:lang w:val="en-US"/>
                    </w:rPr>
                    <w:t>25,9</w:t>
                  </w:r>
                </w:p>
              </w:tc>
              <w:tc>
                <w:tcPr>
                  <w:tcW w:w="1620" w:type="dxa"/>
                  <w:vAlign w:val="center"/>
                </w:tcPr>
                <w:p w:rsidR="009E41D7" w:rsidRPr="00A9366F" w:rsidRDefault="009E41D7" w:rsidP="009E41D7">
                  <w:pPr>
                    <w:jc w:val="center"/>
                    <w:rPr>
                      <w:rFonts w:ascii="Calibri" w:hAnsi="Calibri" w:cs="Arial"/>
                      <w:sz w:val="22"/>
                      <w:szCs w:val="22"/>
                      <w:lang w:val="en-US"/>
                    </w:rPr>
                  </w:pPr>
                  <w:r w:rsidRPr="00A9366F">
                    <w:rPr>
                      <w:rFonts w:ascii="Calibri" w:hAnsi="Calibri" w:cs="Arial"/>
                      <w:sz w:val="22"/>
                      <w:szCs w:val="22"/>
                      <w:lang w:val="en-US"/>
                    </w:rPr>
                    <w:t>2 648,3</w:t>
                  </w:r>
                </w:p>
              </w:tc>
            </w:tr>
            <w:tr w:rsidR="009E41D7" w:rsidRPr="00A9366F" w:rsidTr="008429CA">
              <w:tc>
                <w:tcPr>
                  <w:tcW w:w="2340" w:type="dxa"/>
                </w:tcPr>
                <w:p w:rsidR="009E41D7" w:rsidRPr="00A9366F" w:rsidRDefault="00AD6EF1" w:rsidP="00264041">
                  <w:pPr>
                    <w:jc w:val="both"/>
                    <w:rPr>
                      <w:rFonts w:ascii="Calibri" w:hAnsi="Calibri" w:cs="Arial"/>
                      <w:i/>
                      <w:sz w:val="22"/>
                      <w:szCs w:val="22"/>
                      <w:lang w:val="en-US"/>
                    </w:rPr>
                  </w:pPr>
                  <w:r w:rsidRPr="00A9366F">
                    <w:rPr>
                      <w:rFonts w:ascii="Calibri" w:hAnsi="Calibri" w:cs="Arial"/>
                      <w:i/>
                      <w:sz w:val="22"/>
                      <w:szCs w:val="22"/>
                      <w:lang w:val="en-US"/>
                    </w:rPr>
                    <w:t>as % to the total</w:t>
                  </w:r>
                </w:p>
              </w:tc>
              <w:tc>
                <w:tcPr>
                  <w:tcW w:w="1080" w:type="dxa"/>
                  <w:vAlign w:val="center"/>
                </w:tcPr>
                <w:p w:rsidR="009E41D7" w:rsidRPr="00A9366F" w:rsidRDefault="009E41D7" w:rsidP="009E41D7">
                  <w:pPr>
                    <w:jc w:val="center"/>
                    <w:rPr>
                      <w:rFonts w:ascii="Calibri" w:hAnsi="Calibri" w:cs="Arial"/>
                      <w:i/>
                      <w:sz w:val="22"/>
                      <w:szCs w:val="22"/>
                      <w:lang w:val="en-US"/>
                    </w:rPr>
                  </w:pPr>
                  <w:r w:rsidRPr="00A9366F">
                    <w:rPr>
                      <w:rFonts w:ascii="Calibri" w:hAnsi="Calibri" w:cs="Arial"/>
                      <w:i/>
                      <w:sz w:val="22"/>
                      <w:szCs w:val="22"/>
                      <w:lang w:val="en-US"/>
                    </w:rPr>
                    <w:t>4,0%</w:t>
                  </w:r>
                </w:p>
              </w:tc>
              <w:tc>
                <w:tcPr>
                  <w:tcW w:w="1620" w:type="dxa"/>
                  <w:vAlign w:val="center"/>
                </w:tcPr>
                <w:p w:rsidR="009E41D7" w:rsidRPr="00A9366F" w:rsidRDefault="009E41D7" w:rsidP="009E41D7">
                  <w:pPr>
                    <w:jc w:val="center"/>
                    <w:rPr>
                      <w:rFonts w:ascii="Calibri" w:hAnsi="Calibri" w:cs="Arial"/>
                      <w:i/>
                      <w:sz w:val="22"/>
                      <w:szCs w:val="22"/>
                      <w:lang w:val="en-US"/>
                    </w:rPr>
                  </w:pPr>
                  <w:r w:rsidRPr="00A9366F">
                    <w:rPr>
                      <w:rFonts w:ascii="Calibri" w:hAnsi="Calibri" w:cs="Arial"/>
                      <w:i/>
                      <w:sz w:val="22"/>
                      <w:szCs w:val="22"/>
                      <w:lang w:val="en-US"/>
                    </w:rPr>
                    <w:t>5,8%</w:t>
                  </w:r>
                </w:p>
              </w:tc>
            </w:tr>
            <w:tr w:rsidR="009E41D7" w:rsidRPr="00A9366F" w:rsidTr="008429CA">
              <w:tc>
                <w:tcPr>
                  <w:tcW w:w="2340" w:type="dxa"/>
                </w:tcPr>
                <w:p w:rsidR="009E41D7" w:rsidRPr="00A9366F" w:rsidRDefault="00AD6EF1" w:rsidP="00DC1000">
                  <w:pPr>
                    <w:jc w:val="both"/>
                    <w:rPr>
                      <w:rFonts w:ascii="Calibri" w:hAnsi="Calibri" w:cs="Arial"/>
                      <w:sz w:val="22"/>
                      <w:szCs w:val="22"/>
                      <w:lang w:val="en-US"/>
                    </w:rPr>
                  </w:pPr>
                  <w:r w:rsidRPr="00A9366F">
                    <w:rPr>
                      <w:rFonts w:ascii="Calibri" w:hAnsi="Calibri" w:cs="Arial"/>
                      <w:sz w:val="22"/>
                      <w:szCs w:val="22"/>
                      <w:lang w:val="en-US"/>
                    </w:rPr>
                    <w:t xml:space="preserve">Other instruments </w:t>
                  </w:r>
                </w:p>
              </w:tc>
              <w:tc>
                <w:tcPr>
                  <w:tcW w:w="1080" w:type="dxa"/>
                  <w:vAlign w:val="center"/>
                </w:tcPr>
                <w:p w:rsidR="009E41D7" w:rsidRPr="00A9366F" w:rsidRDefault="0067762A" w:rsidP="009E41D7">
                  <w:pPr>
                    <w:jc w:val="center"/>
                    <w:rPr>
                      <w:rFonts w:ascii="Calibri" w:hAnsi="Calibri" w:cs="Arial"/>
                      <w:sz w:val="22"/>
                      <w:szCs w:val="22"/>
                      <w:lang w:val="en-US"/>
                    </w:rPr>
                  </w:pPr>
                  <w:r w:rsidRPr="00A9366F">
                    <w:rPr>
                      <w:rFonts w:ascii="Calibri" w:hAnsi="Calibri" w:cs="Arial"/>
                      <w:sz w:val="22"/>
                      <w:szCs w:val="22"/>
                      <w:lang w:val="en-US"/>
                    </w:rPr>
                    <w:t>545,8</w:t>
                  </w:r>
                </w:p>
              </w:tc>
              <w:tc>
                <w:tcPr>
                  <w:tcW w:w="1620" w:type="dxa"/>
                  <w:vAlign w:val="center"/>
                </w:tcPr>
                <w:p w:rsidR="009E41D7" w:rsidRPr="00A9366F" w:rsidRDefault="0067762A" w:rsidP="009E41D7">
                  <w:pPr>
                    <w:jc w:val="center"/>
                    <w:rPr>
                      <w:rFonts w:ascii="Calibri" w:hAnsi="Calibri" w:cs="Arial"/>
                      <w:sz w:val="22"/>
                      <w:szCs w:val="22"/>
                      <w:lang w:val="en-US"/>
                    </w:rPr>
                  </w:pPr>
                  <w:r w:rsidRPr="00A9366F">
                    <w:rPr>
                      <w:rFonts w:ascii="Calibri" w:hAnsi="Calibri" w:cs="Arial"/>
                      <w:sz w:val="22"/>
                      <w:szCs w:val="22"/>
                      <w:lang w:val="en-US"/>
                    </w:rPr>
                    <w:t>17 708,0</w:t>
                  </w:r>
                </w:p>
              </w:tc>
            </w:tr>
            <w:tr w:rsidR="0067762A" w:rsidRPr="00A9366F" w:rsidTr="008429CA">
              <w:tc>
                <w:tcPr>
                  <w:tcW w:w="2340" w:type="dxa"/>
                </w:tcPr>
                <w:p w:rsidR="0067762A" w:rsidRPr="00A9366F" w:rsidRDefault="00AD6EF1" w:rsidP="00DC1000">
                  <w:pPr>
                    <w:jc w:val="both"/>
                    <w:rPr>
                      <w:rFonts w:ascii="Calibri" w:hAnsi="Calibri" w:cs="Arial"/>
                      <w:sz w:val="22"/>
                      <w:szCs w:val="22"/>
                      <w:lang w:val="en-US"/>
                    </w:rPr>
                  </w:pPr>
                  <w:r w:rsidRPr="00A9366F">
                    <w:rPr>
                      <w:rFonts w:ascii="Calibri" w:hAnsi="Calibri" w:cs="Arial"/>
                      <w:i/>
                      <w:sz w:val="22"/>
                      <w:szCs w:val="22"/>
                      <w:lang w:val="en-US"/>
                    </w:rPr>
                    <w:t>as % to the total</w:t>
                  </w:r>
                </w:p>
              </w:tc>
              <w:tc>
                <w:tcPr>
                  <w:tcW w:w="1080" w:type="dxa"/>
                  <w:vAlign w:val="center"/>
                </w:tcPr>
                <w:p w:rsidR="0067762A" w:rsidRPr="00A9366F" w:rsidRDefault="0067762A" w:rsidP="009E41D7">
                  <w:pPr>
                    <w:jc w:val="center"/>
                    <w:rPr>
                      <w:rFonts w:ascii="Calibri" w:hAnsi="Calibri" w:cs="Arial"/>
                      <w:i/>
                      <w:sz w:val="22"/>
                      <w:szCs w:val="22"/>
                      <w:lang w:val="en-US"/>
                    </w:rPr>
                  </w:pPr>
                  <w:r w:rsidRPr="00A9366F">
                    <w:rPr>
                      <w:rFonts w:ascii="Calibri" w:hAnsi="Calibri" w:cs="Arial"/>
                      <w:i/>
                      <w:sz w:val="22"/>
                      <w:szCs w:val="22"/>
                      <w:lang w:val="en-US"/>
                    </w:rPr>
                    <w:t>84,7%</w:t>
                  </w:r>
                </w:p>
              </w:tc>
              <w:tc>
                <w:tcPr>
                  <w:tcW w:w="1620" w:type="dxa"/>
                  <w:vAlign w:val="center"/>
                </w:tcPr>
                <w:p w:rsidR="0067762A" w:rsidRPr="00A9366F" w:rsidRDefault="0067762A" w:rsidP="009E41D7">
                  <w:pPr>
                    <w:jc w:val="center"/>
                    <w:rPr>
                      <w:rFonts w:ascii="Calibri" w:hAnsi="Calibri" w:cs="Arial"/>
                      <w:i/>
                      <w:sz w:val="22"/>
                      <w:szCs w:val="22"/>
                      <w:lang w:val="en-US"/>
                    </w:rPr>
                  </w:pPr>
                  <w:r w:rsidRPr="00A9366F">
                    <w:rPr>
                      <w:rFonts w:ascii="Calibri" w:hAnsi="Calibri" w:cs="Arial"/>
                      <w:i/>
                      <w:sz w:val="22"/>
                      <w:szCs w:val="22"/>
                      <w:lang w:val="en-US"/>
                    </w:rPr>
                    <w:t>38,5%</w:t>
                  </w:r>
                </w:p>
              </w:tc>
            </w:tr>
            <w:tr w:rsidR="009E41D7" w:rsidRPr="00A9366F" w:rsidTr="008429CA">
              <w:tc>
                <w:tcPr>
                  <w:tcW w:w="2340" w:type="dxa"/>
                </w:tcPr>
                <w:p w:rsidR="009E41D7" w:rsidRPr="00A9366F" w:rsidRDefault="00AD6EF1" w:rsidP="00264041">
                  <w:pPr>
                    <w:jc w:val="both"/>
                    <w:rPr>
                      <w:rFonts w:ascii="Calibri" w:hAnsi="Calibri" w:cs="Arial"/>
                      <w:b/>
                      <w:sz w:val="22"/>
                      <w:szCs w:val="22"/>
                      <w:lang w:val="en-US"/>
                    </w:rPr>
                  </w:pPr>
                  <w:r w:rsidRPr="00A9366F">
                    <w:rPr>
                      <w:rFonts w:ascii="Calibri" w:hAnsi="Calibri" w:cs="Arial"/>
                      <w:b/>
                      <w:sz w:val="22"/>
                      <w:szCs w:val="22"/>
                      <w:lang w:val="en-US"/>
                    </w:rPr>
                    <w:t>Total</w:t>
                  </w:r>
                </w:p>
              </w:tc>
              <w:tc>
                <w:tcPr>
                  <w:tcW w:w="1080" w:type="dxa"/>
                  <w:vAlign w:val="center"/>
                </w:tcPr>
                <w:p w:rsidR="009E41D7" w:rsidRPr="00A9366F" w:rsidRDefault="009E41D7" w:rsidP="009E41D7">
                  <w:pPr>
                    <w:jc w:val="center"/>
                    <w:rPr>
                      <w:rFonts w:ascii="Calibri" w:hAnsi="Calibri" w:cs="Arial"/>
                      <w:b/>
                      <w:sz w:val="22"/>
                      <w:szCs w:val="22"/>
                      <w:lang w:val="en-US"/>
                    </w:rPr>
                  </w:pPr>
                  <w:r w:rsidRPr="00A9366F">
                    <w:rPr>
                      <w:rFonts w:ascii="Calibri" w:hAnsi="Calibri" w:cs="Arial"/>
                      <w:b/>
                      <w:sz w:val="22"/>
                      <w:szCs w:val="22"/>
                      <w:lang w:val="en-US"/>
                    </w:rPr>
                    <w:t>644,1</w:t>
                  </w:r>
                </w:p>
              </w:tc>
              <w:tc>
                <w:tcPr>
                  <w:tcW w:w="1620" w:type="dxa"/>
                  <w:vAlign w:val="center"/>
                </w:tcPr>
                <w:p w:rsidR="009E41D7" w:rsidRPr="00A9366F" w:rsidRDefault="009E41D7" w:rsidP="009E41D7">
                  <w:pPr>
                    <w:jc w:val="center"/>
                    <w:rPr>
                      <w:rFonts w:ascii="Calibri" w:hAnsi="Calibri" w:cs="Arial"/>
                      <w:b/>
                      <w:sz w:val="22"/>
                      <w:szCs w:val="22"/>
                      <w:lang w:val="en-US"/>
                    </w:rPr>
                  </w:pPr>
                  <w:r w:rsidRPr="00A9366F">
                    <w:rPr>
                      <w:rFonts w:ascii="Calibri" w:hAnsi="Calibri" w:cs="Arial"/>
                      <w:b/>
                      <w:sz w:val="22"/>
                      <w:szCs w:val="22"/>
                      <w:lang w:val="en-US"/>
                    </w:rPr>
                    <w:t>46 004,4</w:t>
                  </w:r>
                </w:p>
              </w:tc>
            </w:tr>
          </w:tbl>
          <w:p w:rsidR="00DC153A" w:rsidRPr="00A9366F" w:rsidRDefault="00DC153A" w:rsidP="00FC6BCA">
            <w:pPr>
              <w:jc w:val="both"/>
              <w:rPr>
                <w:rFonts w:ascii="Calibri" w:hAnsi="Calibri" w:cs="Arial"/>
                <w:sz w:val="30"/>
                <w:szCs w:val="30"/>
                <w:lang w:val="en-US"/>
              </w:rPr>
            </w:pPr>
          </w:p>
        </w:tc>
      </w:tr>
    </w:tbl>
    <w:tbl>
      <w:tblPr>
        <w:tblW w:w="10536" w:type="dxa"/>
        <w:tblInd w:w="-432" w:type="dxa"/>
        <w:tblLayout w:type="fixed"/>
        <w:tblLook w:val="00A0" w:firstRow="1" w:lastRow="0" w:firstColumn="1" w:lastColumn="0" w:noHBand="0" w:noVBand="0"/>
      </w:tblPr>
      <w:tblGrid>
        <w:gridCol w:w="5161"/>
        <w:gridCol w:w="5375"/>
      </w:tblGrid>
      <w:tr w:rsidR="00860DAB" w:rsidRPr="00A9366F" w:rsidTr="003A6A0F">
        <w:trPr>
          <w:trHeight w:val="5454"/>
        </w:trPr>
        <w:tc>
          <w:tcPr>
            <w:tcW w:w="5161" w:type="dxa"/>
          </w:tcPr>
          <w:p w:rsidR="00860DAB" w:rsidRPr="00A9366F" w:rsidRDefault="0033456F" w:rsidP="00264041">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Proportion of </w:t>
            </w:r>
            <w:r w:rsidR="00AD6EF1" w:rsidRPr="00A9366F">
              <w:rPr>
                <w:rFonts w:ascii="Calibri" w:hAnsi="Calibri" w:cs="Arial"/>
                <w:b/>
                <w:color w:val="0E4C28"/>
                <w:sz w:val="28"/>
                <w:szCs w:val="28"/>
                <w:lang w:val="en-US"/>
              </w:rPr>
              <w:t xml:space="preserve">the total number of payment instruments in 2016 </w:t>
            </w:r>
          </w:p>
          <w:p w:rsidR="00860DAB" w:rsidRPr="00A9366F" w:rsidRDefault="00860DAB" w:rsidP="00264041">
            <w:pPr>
              <w:tabs>
                <w:tab w:val="num" w:pos="993"/>
              </w:tabs>
              <w:jc w:val="both"/>
              <w:rPr>
                <w:sz w:val="20"/>
                <w:szCs w:val="20"/>
                <w:lang w:val="en-US"/>
              </w:rPr>
            </w:pPr>
            <w:r w:rsidRPr="00A9366F">
              <w:rPr>
                <w:noProof/>
                <w:sz w:val="20"/>
                <w:szCs w:val="20"/>
              </w:rPr>
              <w:drawing>
                <wp:inline distT="0" distB="0" distL="0" distR="0" wp14:anchorId="3D0A3FB5" wp14:editId="4D3AC6F0">
                  <wp:extent cx="3086100" cy="3317817"/>
                  <wp:effectExtent l="38100" t="0" r="0" b="0"/>
                  <wp:docPr id="455"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5375" w:type="dxa"/>
          </w:tcPr>
          <w:p w:rsidR="00860DAB" w:rsidRPr="00A9366F" w:rsidRDefault="0033456F" w:rsidP="00860DAB">
            <w:pPr>
              <w:jc w:val="center"/>
              <w:rPr>
                <w:rFonts w:ascii="Calibri" w:hAnsi="Calibri" w:cs="Arial"/>
                <w:b/>
                <w:color w:val="0E4C28"/>
                <w:sz w:val="28"/>
                <w:szCs w:val="28"/>
                <w:lang w:val="en-US"/>
              </w:rPr>
            </w:pPr>
            <w:r w:rsidRPr="00A9366F">
              <w:rPr>
                <w:rFonts w:ascii="Calibri" w:hAnsi="Calibri" w:cs="Arial"/>
                <w:b/>
                <w:color w:val="0E4C28"/>
                <w:sz w:val="28"/>
                <w:szCs w:val="28"/>
                <w:lang w:val="en-US"/>
              </w:rPr>
              <w:t>Proportion</w:t>
            </w:r>
            <w:r w:rsidR="00AD6EF1" w:rsidRPr="00A9366F">
              <w:rPr>
                <w:rFonts w:ascii="Calibri" w:hAnsi="Calibri" w:cs="Arial"/>
                <w:b/>
                <w:color w:val="0E4C28"/>
                <w:sz w:val="28"/>
                <w:szCs w:val="28"/>
                <w:lang w:val="en-US"/>
              </w:rPr>
              <w:t xml:space="preserve"> of the total amount of payment instruments in</w:t>
            </w:r>
            <w:r w:rsidR="00860DAB" w:rsidRPr="00A9366F">
              <w:rPr>
                <w:rFonts w:ascii="Calibri" w:hAnsi="Calibri" w:cs="Arial"/>
                <w:b/>
                <w:color w:val="0E4C28"/>
                <w:sz w:val="28"/>
                <w:szCs w:val="28"/>
                <w:lang w:val="en-US"/>
              </w:rPr>
              <w:t xml:space="preserve"> 2016 </w:t>
            </w:r>
          </w:p>
          <w:p w:rsidR="00860DAB" w:rsidRPr="00A9366F" w:rsidRDefault="00DC1000" w:rsidP="00264041">
            <w:pPr>
              <w:tabs>
                <w:tab w:val="num" w:pos="993"/>
              </w:tabs>
              <w:jc w:val="both"/>
              <w:rPr>
                <w:sz w:val="20"/>
                <w:szCs w:val="20"/>
                <w:lang w:val="en-US"/>
              </w:rPr>
            </w:pPr>
            <w:r w:rsidRPr="00A9366F">
              <w:rPr>
                <w:noProof/>
                <w:sz w:val="20"/>
                <w:szCs w:val="20"/>
              </w:rPr>
              <w:drawing>
                <wp:inline distT="0" distB="0" distL="0" distR="0" wp14:anchorId="62EECA44" wp14:editId="7DD26DD0">
                  <wp:extent cx="2992581" cy="3314700"/>
                  <wp:effectExtent l="38100" t="0" r="0" b="0"/>
                  <wp:docPr id="53"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C3515B" w:rsidRPr="00A9366F" w:rsidRDefault="00C3515B" w:rsidP="00FC6BCA">
      <w:pPr>
        <w:ind w:firstLine="708"/>
        <w:jc w:val="both"/>
        <w:rPr>
          <w:rFonts w:ascii="Calibri" w:hAnsi="Calibri" w:cs="Arial"/>
          <w:sz w:val="30"/>
          <w:szCs w:val="30"/>
          <w:lang w:val="en-US"/>
        </w:rPr>
      </w:pPr>
      <w:r w:rsidRPr="00A9366F">
        <w:rPr>
          <w:rFonts w:ascii="Calibri" w:hAnsi="Calibri" w:cs="Arial"/>
          <w:sz w:val="30"/>
          <w:szCs w:val="30"/>
          <w:lang w:val="en-US"/>
        </w:rPr>
        <w:t xml:space="preserve">Transactions of the individuals using the payment cards and </w:t>
      </w:r>
      <w:r w:rsidR="00A9366F" w:rsidRPr="00A9366F">
        <w:rPr>
          <w:rFonts w:ascii="Calibri" w:hAnsi="Calibri" w:cs="Arial"/>
          <w:sz w:val="30"/>
          <w:szCs w:val="30"/>
          <w:lang w:val="en-US"/>
        </w:rPr>
        <w:t>payment</w:t>
      </w:r>
      <w:r w:rsidR="006D3A99" w:rsidRPr="00A9366F">
        <w:rPr>
          <w:rFonts w:ascii="Calibri" w:hAnsi="Calibri" w:cs="Arial"/>
          <w:sz w:val="30"/>
          <w:szCs w:val="30"/>
          <w:lang w:val="en-US"/>
        </w:rPr>
        <w:t xml:space="preserve"> orders</w:t>
      </w:r>
      <w:r w:rsidRPr="00A9366F">
        <w:rPr>
          <w:rFonts w:ascii="Calibri" w:hAnsi="Calibri" w:cs="Arial"/>
          <w:sz w:val="30"/>
          <w:szCs w:val="30"/>
          <w:lang w:val="en-US"/>
        </w:rPr>
        <w:t xml:space="preserve"> account for the largest portion – 51.4% and 32.7%, respectively, and are characterized by the use of the payment</w:t>
      </w:r>
      <w:r w:rsidR="006D3A99" w:rsidRPr="00A9366F">
        <w:rPr>
          <w:rFonts w:ascii="Calibri" w:hAnsi="Calibri" w:cs="Arial"/>
          <w:sz w:val="30"/>
          <w:szCs w:val="30"/>
          <w:lang w:val="en-US"/>
        </w:rPr>
        <w:t xml:space="preserve"> orders</w:t>
      </w:r>
      <w:r w:rsidRPr="00A9366F">
        <w:rPr>
          <w:rFonts w:ascii="Calibri" w:hAnsi="Calibri" w:cs="Arial"/>
          <w:sz w:val="30"/>
          <w:szCs w:val="30"/>
          <w:lang w:val="en-US"/>
        </w:rPr>
        <w:t xml:space="preserve"> </w:t>
      </w:r>
      <w:r w:rsidR="00322BC3" w:rsidRPr="00A9366F">
        <w:rPr>
          <w:rFonts w:ascii="Calibri" w:hAnsi="Calibri" w:cs="Arial"/>
          <w:sz w:val="30"/>
          <w:szCs w:val="30"/>
          <w:lang w:val="en-US"/>
        </w:rPr>
        <w:t xml:space="preserve">for small amounts between the banks and their customers, including payment of the bank services, payment of interest on the customers’ current accounts. In terms of the amount the payment orders and payment cards account for the bulk of payments -55.0% and 22.6%, respectively. </w:t>
      </w:r>
    </w:p>
    <w:p w:rsidR="00551431" w:rsidRPr="00A9366F" w:rsidRDefault="00322BC3" w:rsidP="00176F0A">
      <w:pPr>
        <w:pStyle w:val="1"/>
        <w:ind w:firstLine="708"/>
        <w:jc w:val="center"/>
        <w:rPr>
          <w:rFonts w:ascii="Calibri" w:hAnsi="Calibri"/>
          <w:bCs w:val="0"/>
          <w:snapToGrid w:val="0"/>
          <w:color w:val="0E4C28"/>
          <w:spacing w:val="-2"/>
          <w:kern w:val="0"/>
          <w:sz w:val="36"/>
          <w:szCs w:val="36"/>
          <w:lang w:val="en-US"/>
        </w:rPr>
      </w:pPr>
      <w:bookmarkStart w:id="73" w:name="_Toc485627003"/>
      <w:proofErr w:type="gramStart"/>
      <w:r w:rsidRPr="00A9366F">
        <w:rPr>
          <w:rFonts w:ascii="Calibri" w:hAnsi="Calibri"/>
          <w:bCs w:val="0"/>
          <w:snapToGrid w:val="0"/>
          <w:color w:val="0E4C28"/>
          <w:spacing w:val="-2"/>
          <w:kern w:val="0"/>
          <w:sz w:val="36"/>
          <w:szCs w:val="36"/>
          <w:lang w:val="en-US"/>
        </w:rPr>
        <w:t xml:space="preserve">SECTION </w:t>
      </w:r>
      <w:r w:rsidR="005C7913" w:rsidRPr="00A9366F">
        <w:rPr>
          <w:rFonts w:ascii="Calibri" w:hAnsi="Calibri"/>
          <w:bCs w:val="0"/>
          <w:snapToGrid w:val="0"/>
          <w:color w:val="0E4C28"/>
          <w:spacing w:val="-2"/>
          <w:kern w:val="0"/>
          <w:sz w:val="36"/>
          <w:szCs w:val="36"/>
          <w:lang w:val="en-US"/>
        </w:rPr>
        <w:t>3.</w:t>
      </w:r>
      <w:proofErr w:type="gramEnd"/>
      <w:r w:rsidR="00551431"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PAYMENT SERVICES MARKET</w:t>
      </w:r>
      <w:bookmarkEnd w:id="73"/>
      <w:r w:rsidRPr="00A9366F">
        <w:rPr>
          <w:rFonts w:ascii="Calibri" w:hAnsi="Calibri"/>
          <w:bCs w:val="0"/>
          <w:snapToGrid w:val="0"/>
          <w:color w:val="0E4C28"/>
          <w:spacing w:val="-2"/>
          <w:kern w:val="0"/>
          <w:sz w:val="36"/>
          <w:szCs w:val="36"/>
          <w:lang w:val="en-US"/>
        </w:rPr>
        <w:t xml:space="preserve"> </w:t>
      </w:r>
    </w:p>
    <w:p w:rsidR="008F6CDF" w:rsidRPr="00A9366F" w:rsidRDefault="008F6CDF" w:rsidP="00176F0A">
      <w:pPr>
        <w:rPr>
          <w:sz w:val="30"/>
          <w:szCs w:val="30"/>
          <w:lang w:val="en-US"/>
        </w:rPr>
      </w:pPr>
    </w:p>
    <w:p w:rsidR="00322BC3" w:rsidRPr="00A9366F" w:rsidRDefault="00FB60A9" w:rsidP="00176F0A">
      <w:pPr>
        <w:ind w:firstLine="708"/>
        <w:jc w:val="both"/>
        <w:rPr>
          <w:rFonts w:ascii="Calibri" w:hAnsi="Calibri"/>
          <w:sz w:val="30"/>
          <w:szCs w:val="30"/>
          <w:lang w:val="en-US"/>
        </w:rPr>
      </w:pPr>
      <w:r w:rsidRPr="00A9366F">
        <w:rPr>
          <w:rFonts w:ascii="Calibri" w:hAnsi="Calibri"/>
          <w:noProof/>
          <w:sz w:val="30"/>
          <w:szCs w:val="30"/>
        </w:rPr>
        <mc:AlternateContent>
          <mc:Choice Requires="wps">
            <w:drawing>
              <wp:anchor distT="0" distB="0" distL="114300" distR="114300" simplePos="0" relativeHeight="251664384" behindDoc="0" locked="0" layoutInCell="1" allowOverlap="1">
                <wp:simplePos x="0" y="0"/>
                <wp:positionH relativeFrom="column">
                  <wp:posOffset>2628900</wp:posOffset>
                </wp:positionH>
                <wp:positionV relativeFrom="paragraph">
                  <wp:posOffset>416560</wp:posOffset>
                </wp:positionV>
                <wp:extent cx="3334385" cy="2390140"/>
                <wp:effectExtent l="0" t="0" r="37465" b="48260"/>
                <wp:wrapSquare wrapText="bothSides"/>
                <wp:docPr id="469"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4385" cy="23901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Country</w:t>
                            </w:r>
                            <w:r w:rsidRPr="001F492E">
                              <w:rPr>
                                <w:rFonts w:ascii="Calibri" w:hAnsi="Calibri" w:cs="Arial"/>
                                <w:sz w:val="30"/>
                                <w:szCs w:val="30"/>
                                <w:lang w:val="en-US"/>
                              </w:rPr>
                              <w:t>-</w:t>
                            </w:r>
                            <w:r>
                              <w:rPr>
                                <w:rFonts w:ascii="Calibri" w:hAnsi="Calibri" w:cs="Arial"/>
                                <w:sz w:val="30"/>
                                <w:szCs w:val="30"/>
                                <w:lang w:val="en-US"/>
                              </w:rPr>
                              <w:t>wide</w:t>
                            </w:r>
                            <w:r w:rsidRPr="001F492E">
                              <w:rPr>
                                <w:rFonts w:ascii="Calibri" w:hAnsi="Calibri" w:cs="Arial"/>
                                <w:sz w:val="30"/>
                                <w:szCs w:val="30"/>
                                <w:lang w:val="en-US"/>
                              </w:rPr>
                              <w:t xml:space="preserve"> </w:t>
                            </w:r>
                            <w:r>
                              <w:rPr>
                                <w:rFonts w:ascii="Calibri" w:hAnsi="Calibri" w:cs="Arial"/>
                                <w:sz w:val="30"/>
                                <w:szCs w:val="30"/>
                                <w:lang w:val="en-US"/>
                              </w:rPr>
                              <w:t>implementation of the innovative financial solutions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Development of the remote communication channels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Active development of Internet and mobile applications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Entry of</w:t>
                            </w:r>
                            <w:r w:rsidRPr="001F492E">
                              <w:rPr>
                                <w:rFonts w:ascii="Calibri" w:hAnsi="Calibri" w:cs="Arial"/>
                                <w:sz w:val="30"/>
                                <w:szCs w:val="30"/>
                                <w:lang w:val="en-US"/>
                              </w:rPr>
                              <w:t xml:space="preserve"> </w:t>
                            </w:r>
                            <w:r>
                              <w:rPr>
                                <w:rFonts w:ascii="Calibri" w:hAnsi="Calibri" w:cs="Arial"/>
                                <w:sz w:val="30"/>
                                <w:szCs w:val="30"/>
                                <w:lang w:val="en-US"/>
                              </w:rPr>
                              <w:t>new</w:t>
                            </w:r>
                            <w:r w:rsidRPr="001F492E">
                              <w:rPr>
                                <w:rFonts w:ascii="Calibri" w:hAnsi="Calibri" w:cs="Arial"/>
                                <w:sz w:val="30"/>
                                <w:szCs w:val="30"/>
                                <w:lang w:val="en-US"/>
                              </w:rPr>
                              <w:t xml:space="preserve"> </w:t>
                            </w:r>
                            <w:r>
                              <w:rPr>
                                <w:rFonts w:ascii="Calibri" w:hAnsi="Calibri" w:cs="Arial"/>
                                <w:sz w:val="30"/>
                                <w:szCs w:val="30"/>
                                <w:lang w:val="en-US"/>
                              </w:rPr>
                              <w:t>players</w:t>
                            </w:r>
                            <w:r w:rsidRPr="001F492E">
                              <w:rPr>
                                <w:rFonts w:ascii="Calibri" w:hAnsi="Calibri" w:cs="Arial"/>
                                <w:sz w:val="30"/>
                                <w:szCs w:val="30"/>
                                <w:lang w:val="en-US"/>
                              </w:rPr>
                              <w:t xml:space="preserve"> (</w:t>
                            </w:r>
                            <w:r>
                              <w:rPr>
                                <w:rFonts w:ascii="Calibri" w:hAnsi="Calibri" w:cs="Arial"/>
                                <w:sz w:val="30"/>
                                <w:szCs w:val="30"/>
                                <w:lang w:val="en-US"/>
                              </w:rPr>
                              <w:t>private payment organizations</w:t>
                            </w:r>
                            <w:r w:rsidRPr="001F492E">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47" style="position:absolute;left:0;text-align:left;margin-left:207pt;margin-top:32.8pt;width:262.55pt;height:18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" fillcolor="#cf9" strokecolor="#cf9" strokeweight="1pt">
                <v:shadow on="t" color="#205867" opacity=".5" offset="1pt"/>
                <v:textbox>
                  <w:txbxContent>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Country</w:t>
                      </w:r>
                      <w:r w:rsidRPr="001F492E">
                        <w:rPr>
                          <w:rFonts w:ascii="Calibri" w:hAnsi="Calibri" w:cs="Arial"/>
                          <w:sz w:val="30"/>
                          <w:szCs w:val="30"/>
                          <w:lang w:val="en-US"/>
                        </w:rPr>
                        <w:t>-</w:t>
                      </w:r>
                      <w:r>
                        <w:rPr>
                          <w:rFonts w:ascii="Calibri" w:hAnsi="Calibri" w:cs="Arial"/>
                          <w:sz w:val="30"/>
                          <w:szCs w:val="30"/>
                          <w:lang w:val="en-US"/>
                        </w:rPr>
                        <w:t>wide</w:t>
                      </w:r>
                      <w:r w:rsidRPr="001F492E">
                        <w:rPr>
                          <w:rFonts w:ascii="Calibri" w:hAnsi="Calibri" w:cs="Arial"/>
                          <w:sz w:val="30"/>
                          <w:szCs w:val="30"/>
                          <w:lang w:val="en-US"/>
                        </w:rPr>
                        <w:t xml:space="preserve"> </w:t>
                      </w:r>
                      <w:r>
                        <w:rPr>
                          <w:rFonts w:ascii="Calibri" w:hAnsi="Calibri" w:cs="Arial"/>
                          <w:sz w:val="30"/>
                          <w:szCs w:val="30"/>
                          <w:lang w:val="en-US"/>
                        </w:rPr>
                        <w:t>implementation of the innovative financial solutions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Development of the remote communication channels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Active development of Internet and mobile applications</w:t>
                      </w:r>
                      <w:r w:rsidRPr="001F492E">
                        <w:rPr>
                          <w:rFonts w:ascii="Calibri" w:hAnsi="Calibri" w:cs="Arial"/>
                          <w:sz w:val="30"/>
                          <w:szCs w:val="30"/>
                          <w:lang w:val="en-US"/>
                        </w:rPr>
                        <w:t>;</w:t>
                      </w:r>
                    </w:p>
                    <w:p w:rsidR="00541D5F" w:rsidRPr="001F492E" w:rsidRDefault="00541D5F" w:rsidP="00A4444F">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Entry of</w:t>
                      </w:r>
                      <w:r w:rsidRPr="001F492E">
                        <w:rPr>
                          <w:rFonts w:ascii="Calibri" w:hAnsi="Calibri" w:cs="Arial"/>
                          <w:sz w:val="30"/>
                          <w:szCs w:val="30"/>
                          <w:lang w:val="en-US"/>
                        </w:rPr>
                        <w:t xml:space="preserve"> </w:t>
                      </w:r>
                      <w:r>
                        <w:rPr>
                          <w:rFonts w:ascii="Calibri" w:hAnsi="Calibri" w:cs="Arial"/>
                          <w:sz w:val="30"/>
                          <w:szCs w:val="30"/>
                          <w:lang w:val="en-US"/>
                        </w:rPr>
                        <w:t>new</w:t>
                      </w:r>
                      <w:r w:rsidRPr="001F492E">
                        <w:rPr>
                          <w:rFonts w:ascii="Calibri" w:hAnsi="Calibri" w:cs="Arial"/>
                          <w:sz w:val="30"/>
                          <w:szCs w:val="30"/>
                          <w:lang w:val="en-US"/>
                        </w:rPr>
                        <w:t xml:space="preserve"> </w:t>
                      </w:r>
                      <w:r>
                        <w:rPr>
                          <w:rFonts w:ascii="Calibri" w:hAnsi="Calibri" w:cs="Arial"/>
                          <w:sz w:val="30"/>
                          <w:szCs w:val="30"/>
                          <w:lang w:val="en-US"/>
                        </w:rPr>
                        <w:t>players</w:t>
                      </w:r>
                      <w:r w:rsidRPr="001F492E">
                        <w:rPr>
                          <w:rFonts w:ascii="Calibri" w:hAnsi="Calibri" w:cs="Arial"/>
                          <w:sz w:val="30"/>
                          <w:szCs w:val="30"/>
                          <w:lang w:val="en-US"/>
                        </w:rPr>
                        <w:t xml:space="preserve"> (</w:t>
                      </w:r>
                      <w:r>
                        <w:rPr>
                          <w:rFonts w:ascii="Calibri" w:hAnsi="Calibri" w:cs="Arial"/>
                          <w:sz w:val="30"/>
                          <w:szCs w:val="30"/>
                          <w:lang w:val="en-US"/>
                        </w:rPr>
                        <w:t>private payment organizations</w:t>
                      </w:r>
                      <w:r w:rsidRPr="001F492E">
                        <w:rPr>
                          <w:rFonts w:ascii="Calibri" w:hAnsi="Calibri" w:cs="Arial"/>
                          <w:sz w:val="30"/>
                          <w:szCs w:val="30"/>
                          <w:lang w:val="en-US"/>
                        </w:rPr>
                        <w:t>)</w:t>
                      </w:r>
                    </w:p>
                  </w:txbxContent>
                </v:textbox>
                <w10:wrap type="square"/>
              </v:roundrect>
            </w:pict>
          </mc:Fallback>
        </mc:AlternateContent>
      </w:r>
      <w:r w:rsidR="00322BC3" w:rsidRPr="00A9366F">
        <w:rPr>
          <w:rFonts w:ascii="Calibri" w:hAnsi="Calibri"/>
          <w:sz w:val="30"/>
          <w:szCs w:val="30"/>
          <w:lang w:val="en-US"/>
        </w:rPr>
        <w:t xml:space="preserve">The payment services market is closely related to the information and communication technologies; based on the level of development and penetration </w:t>
      </w:r>
      <w:r w:rsidR="00A9366F">
        <w:rPr>
          <w:rFonts w:ascii="Calibri" w:hAnsi="Calibri"/>
          <w:sz w:val="30"/>
          <w:szCs w:val="30"/>
          <w:lang w:val="en-US"/>
        </w:rPr>
        <w:t>o</w:t>
      </w:r>
      <w:r w:rsidR="00322BC3" w:rsidRPr="00A9366F">
        <w:rPr>
          <w:rFonts w:ascii="Calibri" w:hAnsi="Calibri"/>
          <w:sz w:val="30"/>
          <w:szCs w:val="30"/>
          <w:lang w:val="en-US"/>
        </w:rPr>
        <w:t xml:space="preserve">f these technologies one can judge </w:t>
      </w:r>
      <w:r w:rsidR="001F492E" w:rsidRPr="00A9366F">
        <w:rPr>
          <w:rFonts w:ascii="Calibri" w:hAnsi="Calibri"/>
          <w:sz w:val="30"/>
          <w:szCs w:val="30"/>
          <w:lang w:val="en-US"/>
        </w:rPr>
        <w:t>whether the e</w:t>
      </w:r>
      <w:r w:rsidR="00322BC3" w:rsidRPr="00A9366F">
        <w:rPr>
          <w:rFonts w:ascii="Calibri" w:hAnsi="Calibri"/>
          <w:sz w:val="30"/>
          <w:szCs w:val="30"/>
          <w:lang w:val="en-US"/>
        </w:rPr>
        <w:t xml:space="preserve">lectronic payment documents are </w:t>
      </w:r>
      <w:r w:rsidR="001F492E" w:rsidRPr="00A9366F">
        <w:rPr>
          <w:rFonts w:ascii="Calibri" w:hAnsi="Calibri"/>
          <w:sz w:val="30"/>
          <w:szCs w:val="30"/>
          <w:lang w:val="en-US"/>
        </w:rPr>
        <w:t xml:space="preserve">accessible for the </w:t>
      </w:r>
      <w:r w:rsidR="006C0E53" w:rsidRPr="00A9366F">
        <w:rPr>
          <w:rFonts w:ascii="Calibri" w:hAnsi="Calibri"/>
          <w:sz w:val="30"/>
          <w:szCs w:val="30"/>
          <w:lang w:val="en-US"/>
        </w:rPr>
        <w:t>general public</w:t>
      </w:r>
      <w:r w:rsidR="001F492E" w:rsidRPr="00A9366F">
        <w:rPr>
          <w:rFonts w:ascii="Calibri" w:hAnsi="Calibri"/>
          <w:sz w:val="30"/>
          <w:szCs w:val="30"/>
          <w:lang w:val="en-US"/>
        </w:rPr>
        <w:t xml:space="preserve">. Accordingly, in many researches, covering the analysis of the payment services market, attention is paid primarily to the Internet penetration rate, use of smartphones and other electronic terminals. </w:t>
      </w:r>
    </w:p>
    <w:p w:rsidR="000579CC" w:rsidRPr="00A9366F" w:rsidRDefault="001F492E" w:rsidP="00176F0A">
      <w:pPr>
        <w:ind w:firstLine="709"/>
        <w:jc w:val="both"/>
        <w:rPr>
          <w:rFonts w:ascii="Calibri" w:hAnsi="Calibri"/>
          <w:sz w:val="30"/>
          <w:szCs w:val="30"/>
          <w:lang w:val="en-US"/>
        </w:rPr>
      </w:pPr>
      <w:r w:rsidRPr="00A9366F">
        <w:rPr>
          <w:rFonts w:ascii="Calibri" w:hAnsi="Calibri"/>
          <w:sz w:val="30"/>
          <w:szCs w:val="30"/>
          <w:lang w:val="en-US"/>
        </w:rPr>
        <w:t xml:space="preserve">Current developments have </w:t>
      </w:r>
      <w:r w:rsidR="000579CC" w:rsidRPr="00A9366F">
        <w:rPr>
          <w:rFonts w:ascii="Calibri" w:hAnsi="Calibri"/>
          <w:sz w:val="30"/>
          <w:szCs w:val="30"/>
          <w:lang w:val="en-US"/>
        </w:rPr>
        <w:t>also affected Kazakhstan payment market, which has under</w:t>
      </w:r>
      <w:r w:rsidR="00B60224" w:rsidRPr="00A9366F">
        <w:rPr>
          <w:rFonts w:ascii="Calibri" w:hAnsi="Calibri"/>
          <w:sz w:val="30"/>
          <w:szCs w:val="30"/>
          <w:lang w:val="en-US"/>
        </w:rPr>
        <w:t xml:space="preserve">gone </w:t>
      </w:r>
      <w:r w:rsidR="000579CC" w:rsidRPr="00A9366F">
        <w:rPr>
          <w:rFonts w:ascii="Calibri" w:hAnsi="Calibri"/>
          <w:sz w:val="30"/>
          <w:szCs w:val="30"/>
          <w:lang w:val="en-US"/>
        </w:rPr>
        <w:t xml:space="preserve">significant structural changes.  Due to development of the financial technologies, one can see </w:t>
      </w:r>
      <w:r w:rsidR="00A825A0" w:rsidRPr="00A9366F">
        <w:rPr>
          <w:rFonts w:ascii="Calibri" w:hAnsi="Calibri"/>
          <w:sz w:val="30"/>
          <w:szCs w:val="30"/>
          <w:lang w:val="en-US"/>
        </w:rPr>
        <w:t>and increased number</w:t>
      </w:r>
      <w:r w:rsidR="000579CC" w:rsidRPr="00A9366F">
        <w:rPr>
          <w:rFonts w:ascii="Calibri" w:hAnsi="Calibri"/>
          <w:sz w:val="30"/>
          <w:szCs w:val="30"/>
          <w:lang w:val="en-US"/>
        </w:rPr>
        <w:t xml:space="preserve"> of new bank payment services related to the use of remote communication channel</w:t>
      </w:r>
      <w:r w:rsidR="00B60224" w:rsidRPr="00A9366F">
        <w:rPr>
          <w:rFonts w:ascii="Calibri" w:hAnsi="Calibri"/>
          <w:sz w:val="30"/>
          <w:szCs w:val="30"/>
          <w:lang w:val="en-US"/>
        </w:rPr>
        <w:t>, i</w:t>
      </w:r>
      <w:r w:rsidR="00A825A0" w:rsidRPr="00A9366F">
        <w:rPr>
          <w:rFonts w:ascii="Calibri" w:hAnsi="Calibri"/>
          <w:sz w:val="30"/>
          <w:szCs w:val="30"/>
          <w:lang w:val="en-US"/>
        </w:rPr>
        <w:t xml:space="preserve">n particular Internet. New payment </w:t>
      </w:r>
      <w:r w:rsidR="001011AA" w:rsidRPr="00A9366F">
        <w:rPr>
          <w:rFonts w:ascii="Calibri" w:hAnsi="Calibri"/>
          <w:sz w:val="30"/>
          <w:szCs w:val="30"/>
          <w:lang w:val="en-US"/>
        </w:rPr>
        <w:t xml:space="preserve">services </w:t>
      </w:r>
      <w:r w:rsidR="00A825A0" w:rsidRPr="00A9366F">
        <w:rPr>
          <w:rFonts w:ascii="Calibri" w:hAnsi="Calibri"/>
          <w:sz w:val="30"/>
          <w:szCs w:val="30"/>
          <w:lang w:val="en-US"/>
        </w:rPr>
        <w:t>p</w:t>
      </w:r>
      <w:r w:rsidR="001011AA" w:rsidRPr="00A9366F">
        <w:rPr>
          <w:rFonts w:ascii="Calibri" w:hAnsi="Calibri"/>
          <w:sz w:val="30"/>
          <w:szCs w:val="30"/>
          <w:lang w:val="en-US"/>
        </w:rPr>
        <w:t xml:space="preserve">articipants </w:t>
      </w:r>
      <w:r w:rsidR="00A825A0" w:rsidRPr="00A9366F">
        <w:rPr>
          <w:rFonts w:ascii="Calibri" w:hAnsi="Calibri"/>
          <w:sz w:val="30"/>
          <w:szCs w:val="30"/>
          <w:lang w:val="en-US"/>
        </w:rPr>
        <w:t xml:space="preserve">(private payment organizations) are also active in the market and offer the clients an opportunity to have instant payments using </w:t>
      </w:r>
      <w:r w:rsidR="00C07449" w:rsidRPr="00A9366F">
        <w:rPr>
          <w:rFonts w:ascii="Calibri" w:hAnsi="Calibri"/>
          <w:sz w:val="30"/>
          <w:szCs w:val="30"/>
          <w:lang w:val="en-US"/>
        </w:rPr>
        <w:t xml:space="preserve">the innovative payment documents. </w:t>
      </w:r>
    </w:p>
    <w:p w:rsidR="00551431" w:rsidRPr="00A9366F" w:rsidRDefault="00C07449" w:rsidP="004F5B58">
      <w:pPr>
        <w:ind w:firstLine="709"/>
        <w:jc w:val="both"/>
        <w:rPr>
          <w:rFonts w:ascii="Calibri" w:hAnsi="Calibri"/>
          <w:sz w:val="30"/>
          <w:szCs w:val="30"/>
          <w:lang w:val="en-US"/>
        </w:rPr>
      </w:pPr>
      <w:r w:rsidRPr="00A9366F">
        <w:rPr>
          <w:rFonts w:ascii="Calibri" w:hAnsi="Calibri"/>
          <w:sz w:val="30"/>
          <w:szCs w:val="30"/>
          <w:lang w:val="en-US"/>
        </w:rPr>
        <w:t xml:space="preserve">According to the data of the Statistics Committee of the Ministry of National Economy of the Republic of Kazakhstan, in 2016 a share of Internet users at the age from 16 to 74 years old was 80.2%.  In this case, out of the total number of the bank clients – individuals only 20% use the Internet banking services.  Thus, there is a substantial potential </w:t>
      </w:r>
      <w:r w:rsidR="00A2100B" w:rsidRPr="00A9366F">
        <w:rPr>
          <w:rFonts w:ascii="Calibri" w:hAnsi="Calibri"/>
          <w:sz w:val="30"/>
          <w:szCs w:val="30"/>
          <w:lang w:val="en-US"/>
        </w:rPr>
        <w:t>i</w:t>
      </w:r>
      <w:r w:rsidRPr="00A9366F">
        <w:rPr>
          <w:rFonts w:ascii="Calibri" w:hAnsi="Calibri"/>
          <w:sz w:val="30"/>
          <w:szCs w:val="30"/>
          <w:lang w:val="en-US"/>
        </w:rPr>
        <w:t xml:space="preserve">n Kazakhstan </w:t>
      </w:r>
      <w:r w:rsidR="00A2100B" w:rsidRPr="00A9366F">
        <w:rPr>
          <w:rFonts w:ascii="Calibri" w:hAnsi="Calibri"/>
          <w:sz w:val="30"/>
          <w:szCs w:val="30"/>
          <w:lang w:val="en-US"/>
        </w:rPr>
        <w:t xml:space="preserve">to </w:t>
      </w:r>
      <w:r w:rsidRPr="00A9366F">
        <w:rPr>
          <w:rFonts w:ascii="Calibri" w:hAnsi="Calibri"/>
          <w:sz w:val="30"/>
          <w:szCs w:val="30"/>
          <w:lang w:val="en-US"/>
        </w:rPr>
        <w:t xml:space="preserve">increase </w:t>
      </w:r>
      <w:r w:rsidR="004F5B58" w:rsidRPr="00A9366F">
        <w:rPr>
          <w:rFonts w:ascii="Calibri" w:hAnsi="Calibri"/>
          <w:sz w:val="30"/>
          <w:szCs w:val="30"/>
          <w:lang w:val="en-US"/>
        </w:rPr>
        <w:t>a share of the bank clients using the up-to-date remote methods of access to the bank services</w:t>
      </w:r>
      <w:r w:rsidR="00551431" w:rsidRPr="00A9366F">
        <w:rPr>
          <w:rFonts w:ascii="Calibri" w:hAnsi="Calibri"/>
          <w:sz w:val="30"/>
          <w:szCs w:val="30"/>
          <w:lang w:val="en-US"/>
        </w:rPr>
        <w:t>.</w:t>
      </w:r>
    </w:p>
    <w:p w:rsidR="004F5B58" w:rsidRPr="00A9366F" w:rsidRDefault="004F5B58" w:rsidP="00176F0A">
      <w:pPr>
        <w:ind w:firstLine="708"/>
        <w:jc w:val="both"/>
        <w:rPr>
          <w:rFonts w:ascii="Calibri" w:hAnsi="Calibri"/>
          <w:sz w:val="30"/>
          <w:szCs w:val="30"/>
          <w:lang w:val="en-US"/>
        </w:rPr>
      </w:pPr>
      <w:r w:rsidRPr="00A9366F">
        <w:rPr>
          <w:rFonts w:ascii="Calibri" w:hAnsi="Calibri"/>
          <w:sz w:val="30"/>
          <w:szCs w:val="30"/>
          <w:lang w:val="en-US"/>
        </w:rPr>
        <w:t xml:space="preserve">At the same time, a stable exchange rate of the national currency has significant impact on development of </w:t>
      </w:r>
      <w:r w:rsidR="00C1621F" w:rsidRPr="00A9366F">
        <w:rPr>
          <w:rFonts w:ascii="Calibri" w:hAnsi="Calibri"/>
          <w:sz w:val="30"/>
          <w:szCs w:val="30"/>
          <w:lang w:val="en-US"/>
        </w:rPr>
        <w:t>cashless</w:t>
      </w:r>
      <w:r w:rsidRPr="00A9366F">
        <w:rPr>
          <w:rFonts w:ascii="Calibri" w:hAnsi="Calibri"/>
          <w:sz w:val="30"/>
          <w:szCs w:val="30"/>
          <w:lang w:val="en-US"/>
        </w:rPr>
        <w:t xml:space="preserve"> money circulation.  During the period of sharp change in </w:t>
      </w:r>
      <w:proofErr w:type="spellStart"/>
      <w:r w:rsidRPr="00A9366F">
        <w:rPr>
          <w:rFonts w:ascii="Calibri" w:hAnsi="Calibri"/>
          <w:sz w:val="30"/>
          <w:szCs w:val="30"/>
          <w:lang w:val="en-US"/>
        </w:rPr>
        <w:t>tenge</w:t>
      </w:r>
      <w:proofErr w:type="spellEnd"/>
      <w:r w:rsidRPr="00A9366F">
        <w:rPr>
          <w:rFonts w:ascii="Calibri" w:hAnsi="Calibri"/>
          <w:sz w:val="30"/>
          <w:szCs w:val="30"/>
          <w:lang w:val="en-US"/>
        </w:rPr>
        <w:t xml:space="preserve"> exchange rate, </w:t>
      </w:r>
      <w:r w:rsidR="0018597A" w:rsidRPr="00A9366F">
        <w:rPr>
          <w:rFonts w:ascii="Calibri" w:hAnsi="Calibri"/>
          <w:sz w:val="30"/>
          <w:szCs w:val="30"/>
          <w:lang w:val="en-US"/>
        </w:rPr>
        <w:t xml:space="preserve">there was </w:t>
      </w:r>
      <w:r w:rsidRPr="00A9366F">
        <w:rPr>
          <w:rFonts w:ascii="Calibri" w:hAnsi="Calibri"/>
          <w:sz w:val="30"/>
          <w:szCs w:val="30"/>
          <w:lang w:val="en-US"/>
        </w:rPr>
        <w:t xml:space="preserve">a noticeable slowdown in the </w:t>
      </w:r>
      <w:r w:rsidR="0018597A" w:rsidRPr="00A9366F">
        <w:rPr>
          <w:rFonts w:ascii="Calibri" w:hAnsi="Calibri"/>
          <w:sz w:val="30"/>
          <w:szCs w:val="30"/>
          <w:lang w:val="en-US"/>
        </w:rPr>
        <w:t xml:space="preserve">growth rate of </w:t>
      </w:r>
      <w:r w:rsidR="00C1621F" w:rsidRPr="00A9366F">
        <w:rPr>
          <w:rFonts w:ascii="Calibri" w:hAnsi="Calibri"/>
          <w:sz w:val="30"/>
          <w:szCs w:val="30"/>
          <w:lang w:val="en-US"/>
        </w:rPr>
        <w:t>cashless</w:t>
      </w:r>
      <w:r w:rsidR="0018597A" w:rsidRPr="00A9366F">
        <w:rPr>
          <w:rFonts w:ascii="Calibri" w:hAnsi="Calibri"/>
          <w:sz w:val="30"/>
          <w:szCs w:val="30"/>
          <w:lang w:val="en-US"/>
        </w:rPr>
        <w:t xml:space="preserve"> payments </w:t>
      </w:r>
      <w:r w:rsidR="007F1ACE" w:rsidRPr="00A9366F">
        <w:rPr>
          <w:rFonts w:ascii="Calibri" w:hAnsi="Calibri"/>
          <w:sz w:val="30"/>
          <w:szCs w:val="30"/>
          <w:lang w:val="en-US"/>
        </w:rPr>
        <w:t>settled</w:t>
      </w:r>
      <w:r w:rsidR="0018597A" w:rsidRPr="00A9366F">
        <w:rPr>
          <w:rFonts w:ascii="Calibri" w:hAnsi="Calibri"/>
          <w:sz w:val="30"/>
          <w:szCs w:val="30"/>
          <w:lang w:val="en-US"/>
        </w:rPr>
        <w:t xml:space="preserve"> using the payment cards (a major instrument of </w:t>
      </w:r>
      <w:r w:rsidR="00C1621F" w:rsidRPr="00A9366F">
        <w:rPr>
          <w:rFonts w:ascii="Calibri" w:hAnsi="Calibri"/>
          <w:sz w:val="30"/>
          <w:szCs w:val="30"/>
          <w:lang w:val="en-US"/>
        </w:rPr>
        <w:t>cashless</w:t>
      </w:r>
      <w:r w:rsidR="0018597A" w:rsidRPr="00A9366F">
        <w:rPr>
          <w:rFonts w:ascii="Calibri" w:hAnsi="Calibri"/>
          <w:sz w:val="30"/>
          <w:szCs w:val="30"/>
          <w:lang w:val="en-US"/>
        </w:rPr>
        <w:t xml:space="preserve"> retail payments in Kazakhstan).  Thus, in 2015 (during the period of significant change in </w:t>
      </w:r>
      <w:proofErr w:type="spellStart"/>
      <w:r w:rsidR="0018597A" w:rsidRPr="00A9366F">
        <w:rPr>
          <w:rFonts w:ascii="Calibri" w:hAnsi="Calibri"/>
          <w:sz w:val="30"/>
          <w:szCs w:val="30"/>
          <w:lang w:val="en-US"/>
        </w:rPr>
        <w:t>tenge</w:t>
      </w:r>
      <w:proofErr w:type="spellEnd"/>
      <w:r w:rsidR="0018597A" w:rsidRPr="00A9366F">
        <w:rPr>
          <w:rFonts w:ascii="Calibri" w:hAnsi="Calibri"/>
          <w:sz w:val="30"/>
          <w:szCs w:val="30"/>
          <w:lang w:val="en-US"/>
        </w:rPr>
        <w:t xml:space="preserve"> exchange rate) the volume of </w:t>
      </w:r>
      <w:r w:rsidR="00C1621F" w:rsidRPr="00A9366F">
        <w:rPr>
          <w:rFonts w:ascii="Calibri" w:hAnsi="Calibri"/>
          <w:sz w:val="30"/>
          <w:szCs w:val="30"/>
          <w:lang w:val="en-US"/>
        </w:rPr>
        <w:t>cashless</w:t>
      </w:r>
      <w:r w:rsidR="0018597A" w:rsidRPr="00A9366F">
        <w:rPr>
          <w:rFonts w:ascii="Calibri" w:hAnsi="Calibri"/>
          <w:sz w:val="30"/>
          <w:szCs w:val="30"/>
          <w:lang w:val="en-US"/>
        </w:rPr>
        <w:t xml:space="preserve"> payments </w:t>
      </w:r>
      <w:r w:rsidR="007F1ACE" w:rsidRPr="00A9366F">
        <w:rPr>
          <w:rFonts w:ascii="Calibri" w:hAnsi="Calibri"/>
          <w:sz w:val="30"/>
          <w:szCs w:val="30"/>
          <w:lang w:val="en-US"/>
        </w:rPr>
        <w:t>settled</w:t>
      </w:r>
      <w:r w:rsidR="0018597A" w:rsidRPr="00A9366F">
        <w:rPr>
          <w:rFonts w:ascii="Calibri" w:hAnsi="Calibri"/>
          <w:sz w:val="30"/>
          <w:szCs w:val="30"/>
          <w:lang w:val="en-US"/>
        </w:rPr>
        <w:t xml:space="preserve"> using the payments cards increased by 4.2% as compared </w:t>
      </w:r>
      <w:r w:rsidR="00812573" w:rsidRPr="00A9366F">
        <w:rPr>
          <w:rFonts w:ascii="Calibri" w:hAnsi="Calibri"/>
          <w:sz w:val="30"/>
          <w:szCs w:val="30"/>
          <w:lang w:val="en-US"/>
        </w:rPr>
        <w:t>with</w:t>
      </w:r>
      <w:r w:rsidR="0018597A" w:rsidRPr="00A9366F">
        <w:rPr>
          <w:rFonts w:ascii="Calibri" w:hAnsi="Calibri"/>
          <w:sz w:val="30"/>
          <w:szCs w:val="30"/>
          <w:lang w:val="en-US"/>
        </w:rPr>
        <w:t xml:space="preserve"> 2014. </w:t>
      </w:r>
      <w:r w:rsidR="00C54697" w:rsidRPr="00A9366F">
        <w:rPr>
          <w:rFonts w:ascii="Calibri" w:hAnsi="Calibri"/>
          <w:sz w:val="30"/>
          <w:szCs w:val="30"/>
          <w:lang w:val="en-US"/>
        </w:rPr>
        <w:t xml:space="preserve">In 2016 this indicator was 57.2%, which is characteristic of, among other things, stabilization of situation in the domestic currency market, increase in confidence to the financial system and active development of the innovative financial solutions. </w:t>
      </w:r>
    </w:p>
    <w:p w:rsidR="00C54697" w:rsidRPr="00A9366F" w:rsidRDefault="00C54697" w:rsidP="00176F0A">
      <w:pPr>
        <w:pStyle w:val="2"/>
        <w:pBdr>
          <w:bottom w:val="single" w:sz="12" w:space="1" w:color="auto"/>
        </w:pBdr>
        <w:spacing w:before="0"/>
        <w:rPr>
          <w:rFonts w:ascii="Calibri" w:hAnsi="Calibri"/>
          <w:bCs w:val="0"/>
          <w:snapToGrid w:val="0"/>
          <w:color w:val="0E4C28"/>
          <w:spacing w:val="-2"/>
          <w:sz w:val="32"/>
          <w:lang w:val="en-US"/>
        </w:rPr>
      </w:pPr>
    </w:p>
    <w:p w:rsidR="00551431" w:rsidRPr="00A9366F" w:rsidRDefault="003E1657" w:rsidP="00176F0A">
      <w:pPr>
        <w:pStyle w:val="2"/>
        <w:pBdr>
          <w:bottom w:val="single" w:sz="12" w:space="1" w:color="auto"/>
        </w:pBdr>
        <w:spacing w:before="0"/>
        <w:rPr>
          <w:rFonts w:ascii="Calibri" w:hAnsi="Calibri"/>
          <w:bCs w:val="0"/>
          <w:snapToGrid w:val="0"/>
          <w:color w:val="0E4C28"/>
          <w:spacing w:val="-2"/>
          <w:sz w:val="32"/>
          <w:lang w:val="en-US"/>
        </w:rPr>
      </w:pPr>
      <w:bookmarkStart w:id="74" w:name="_Toc485627004"/>
      <w:r w:rsidRPr="00A9366F">
        <w:rPr>
          <w:rFonts w:ascii="Calibri" w:hAnsi="Calibri"/>
          <w:bCs w:val="0"/>
          <w:snapToGrid w:val="0"/>
          <w:color w:val="0E4C28"/>
          <w:spacing w:val="-2"/>
          <w:sz w:val="32"/>
          <w:lang w:val="en-US"/>
        </w:rPr>
        <w:t>3</w:t>
      </w:r>
      <w:r w:rsidR="00551431" w:rsidRPr="00A9366F">
        <w:rPr>
          <w:rFonts w:ascii="Calibri" w:hAnsi="Calibri"/>
          <w:bCs w:val="0"/>
          <w:snapToGrid w:val="0"/>
          <w:color w:val="0E4C28"/>
          <w:spacing w:val="-2"/>
          <w:sz w:val="32"/>
          <w:lang w:val="en-US"/>
        </w:rPr>
        <w:t>.1.</w:t>
      </w:r>
      <w:r w:rsidR="00C54697" w:rsidRPr="00A9366F">
        <w:rPr>
          <w:rFonts w:ascii="Calibri" w:hAnsi="Calibri"/>
          <w:bCs w:val="0"/>
          <w:snapToGrid w:val="0"/>
          <w:color w:val="0E4C28"/>
          <w:spacing w:val="-2"/>
          <w:sz w:val="32"/>
          <w:lang w:val="en-US"/>
        </w:rPr>
        <w:t xml:space="preserve"> Infrastructure of the market of electronic payment services</w:t>
      </w:r>
      <w:bookmarkEnd w:id="74"/>
      <w:r w:rsidR="00C54697" w:rsidRPr="00A9366F">
        <w:rPr>
          <w:rFonts w:ascii="Calibri" w:hAnsi="Calibri"/>
          <w:bCs w:val="0"/>
          <w:snapToGrid w:val="0"/>
          <w:color w:val="0E4C28"/>
          <w:spacing w:val="-2"/>
          <w:sz w:val="32"/>
          <w:lang w:val="en-US"/>
        </w:rPr>
        <w:t xml:space="preserve"> </w:t>
      </w:r>
    </w:p>
    <w:p w:rsidR="00C54697" w:rsidRPr="00A9366F" w:rsidRDefault="00C54697" w:rsidP="00176F0A">
      <w:pPr>
        <w:ind w:firstLine="709"/>
        <w:jc w:val="both"/>
        <w:rPr>
          <w:rFonts w:ascii="Calibri" w:hAnsi="Calibri"/>
          <w:sz w:val="30"/>
          <w:szCs w:val="30"/>
          <w:lang w:val="en-US"/>
        </w:rPr>
      </w:pPr>
      <w:r w:rsidRPr="00A9366F">
        <w:rPr>
          <w:rFonts w:ascii="Calibri" w:hAnsi="Calibri"/>
          <w:sz w:val="30"/>
          <w:szCs w:val="30"/>
          <w:lang w:val="en-US"/>
        </w:rPr>
        <w:t xml:space="preserve">Currently, to make the remote payments Kazakhstan banks offer their customers the systems of Internet banking and mobile banking </w:t>
      </w:r>
      <w:r w:rsidRPr="00460B6F">
        <w:rPr>
          <w:rFonts w:ascii="Calibri" w:hAnsi="Calibri"/>
          <w:color w:val="FF0000"/>
          <w:sz w:val="30"/>
          <w:szCs w:val="30"/>
          <w:lang w:val="en-US"/>
        </w:rPr>
        <w:t>a</w:t>
      </w:r>
      <w:r w:rsidR="00460B6F" w:rsidRPr="00460B6F">
        <w:rPr>
          <w:rFonts w:ascii="Calibri" w:hAnsi="Calibri"/>
          <w:color w:val="FF0000"/>
          <w:sz w:val="30"/>
          <w:szCs w:val="30"/>
          <w:lang w:val="en-US"/>
        </w:rPr>
        <w:t>s</w:t>
      </w:r>
      <w:r w:rsidRPr="00460B6F">
        <w:rPr>
          <w:rFonts w:ascii="Calibri" w:hAnsi="Calibri"/>
          <w:color w:val="FF0000"/>
          <w:sz w:val="30"/>
          <w:szCs w:val="30"/>
          <w:lang w:val="en-US"/>
        </w:rPr>
        <w:t xml:space="preserve"> s</w:t>
      </w:r>
      <w:r w:rsidRPr="00A9366F">
        <w:rPr>
          <w:rFonts w:ascii="Calibri" w:hAnsi="Calibri"/>
          <w:sz w:val="30"/>
          <w:szCs w:val="30"/>
          <w:lang w:val="en-US"/>
        </w:rPr>
        <w:t xml:space="preserve">uch remote access devices and POS-terminals, ATMs, bank kiosks and instant payment terminals.  </w:t>
      </w:r>
    </w:p>
    <w:p w:rsidR="00551431" w:rsidRPr="00A9366F" w:rsidRDefault="00A6399A" w:rsidP="00176F0A">
      <w:pPr>
        <w:ind w:firstLine="709"/>
        <w:jc w:val="both"/>
        <w:rPr>
          <w:rFonts w:ascii="Calibri" w:hAnsi="Calibri"/>
          <w:sz w:val="30"/>
          <w:szCs w:val="30"/>
          <w:lang w:val="en-US"/>
        </w:rPr>
      </w:pPr>
      <w:r w:rsidRPr="00A9366F">
        <w:rPr>
          <w:rFonts w:ascii="Calibri" w:hAnsi="Calibri"/>
          <w:sz w:val="30"/>
          <w:szCs w:val="30"/>
          <w:lang w:val="en-US"/>
        </w:rPr>
        <w:t xml:space="preserve">In Kazakhstan </w:t>
      </w:r>
      <w:r w:rsidR="00586B57" w:rsidRPr="00A9366F">
        <w:rPr>
          <w:rFonts w:ascii="Calibri" w:hAnsi="Calibri"/>
          <w:b/>
          <w:sz w:val="30"/>
          <w:szCs w:val="30"/>
          <w:lang w:val="en-US"/>
        </w:rPr>
        <w:t>91</w:t>
      </w:r>
      <w:r w:rsidR="00551431" w:rsidRPr="00A9366F">
        <w:rPr>
          <w:rFonts w:ascii="Calibri" w:hAnsi="Calibri"/>
          <w:b/>
          <w:sz w:val="30"/>
          <w:szCs w:val="30"/>
          <w:lang w:val="en-US"/>
        </w:rPr>
        <w:t xml:space="preserve">% </w:t>
      </w:r>
      <w:r w:rsidRPr="00A9366F">
        <w:rPr>
          <w:rFonts w:ascii="Calibri" w:hAnsi="Calibri"/>
          <w:b/>
          <w:sz w:val="30"/>
          <w:szCs w:val="30"/>
          <w:lang w:val="en-US"/>
        </w:rPr>
        <w:t xml:space="preserve">of the second-tier banks </w:t>
      </w:r>
      <w:r w:rsidR="00551431" w:rsidRPr="00A9366F">
        <w:rPr>
          <w:rFonts w:ascii="Calibri" w:hAnsi="Calibri"/>
          <w:sz w:val="30"/>
          <w:szCs w:val="30"/>
          <w:lang w:val="en-US"/>
        </w:rPr>
        <w:t xml:space="preserve">(30 </w:t>
      </w:r>
      <w:r w:rsidRPr="00A9366F">
        <w:rPr>
          <w:rFonts w:ascii="Calibri" w:hAnsi="Calibri"/>
          <w:sz w:val="30"/>
          <w:szCs w:val="30"/>
          <w:lang w:val="en-US"/>
        </w:rPr>
        <w:t xml:space="preserve">out of </w:t>
      </w:r>
      <w:r w:rsidR="00551431" w:rsidRPr="00A9366F">
        <w:rPr>
          <w:rFonts w:ascii="Calibri" w:hAnsi="Calibri"/>
          <w:sz w:val="30"/>
          <w:szCs w:val="30"/>
          <w:lang w:val="en-US"/>
        </w:rPr>
        <w:t xml:space="preserve">33) </w:t>
      </w:r>
      <w:r w:rsidRPr="00A9366F">
        <w:rPr>
          <w:rFonts w:ascii="Calibri" w:hAnsi="Calibri"/>
          <w:sz w:val="30"/>
          <w:szCs w:val="30"/>
          <w:lang w:val="en-US"/>
        </w:rPr>
        <w:t xml:space="preserve">and </w:t>
      </w:r>
      <w:proofErr w:type="spellStart"/>
      <w:r w:rsidRPr="00A9366F">
        <w:rPr>
          <w:rFonts w:ascii="Calibri" w:hAnsi="Calibri"/>
          <w:sz w:val="30"/>
          <w:szCs w:val="30"/>
          <w:lang w:val="en-US"/>
        </w:rPr>
        <w:t>Kazpost</w:t>
      </w:r>
      <w:proofErr w:type="spellEnd"/>
      <w:r w:rsidRPr="00A9366F">
        <w:rPr>
          <w:rFonts w:ascii="Calibri" w:hAnsi="Calibri"/>
          <w:sz w:val="30"/>
          <w:szCs w:val="30"/>
          <w:lang w:val="en-US"/>
        </w:rPr>
        <w:t xml:space="preserve"> JSV have their own electronic terminals and/or Internet banking to serve the customers</w:t>
      </w:r>
      <w:r w:rsidR="00551431" w:rsidRPr="00A9366F">
        <w:rPr>
          <w:rFonts w:ascii="Calibri" w:hAnsi="Calibri"/>
          <w:sz w:val="30"/>
          <w:szCs w:val="30"/>
          <w:lang w:val="en-US"/>
        </w:rPr>
        <w:t>.</w:t>
      </w:r>
    </w:p>
    <w:p w:rsidR="00551431" w:rsidRPr="00A9366F" w:rsidRDefault="00CE53B8" w:rsidP="00176F0A">
      <w:pPr>
        <w:jc w:val="center"/>
        <w:rPr>
          <w:rFonts w:ascii="Calibri" w:hAnsi="Calibri"/>
          <w:sz w:val="30"/>
          <w:szCs w:val="30"/>
          <w:lang w:val="en-US"/>
        </w:rPr>
      </w:pPr>
      <w:r w:rsidRPr="00CE53B8">
        <w:rPr>
          <w:rFonts w:ascii="Calibri" w:hAnsi="Calibri"/>
          <w:noProof/>
          <w:sz w:val="30"/>
          <w:szCs w:val="30"/>
        </w:rPr>
        <w:drawing>
          <wp:inline distT="0" distB="0" distL="0" distR="0" wp14:anchorId="22B37697" wp14:editId="59D937BA">
            <wp:extent cx="5375078" cy="324413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83131" cy="3248993"/>
                    </a:xfrm>
                    <a:prstGeom prst="rect">
                      <a:avLst/>
                    </a:prstGeom>
                    <a:noFill/>
                    <a:ln>
                      <a:noFill/>
                    </a:ln>
                    <a:effectLst/>
                    <a:extLst/>
                  </pic:spPr>
                </pic:pic>
              </a:graphicData>
            </a:graphic>
          </wp:inline>
        </w:drawing>
      </w:r>
    </w:p>
    <w:p w:rsidR="00A6399A" w:rsidRPr="00A9366F" w:rsidRDefault="00A6399A" w:rsidP="00176F0A">
      <w:pPr>
        <w:ind w:firstLine="708"/>
        <w:jc w:val="both"/>
        <w:rPr>
          <w:rFonts w:ascii="Calibri" w:hAnsi="Calibri"/>
          <w:sz w:val="20"/>
          <w:szCs w:val="20"/>
          <w:lang w:val="en-US"/>
        </w:rPr>
      </w:pPr>
    </w:p>
    <w:p w:rsidR="00E166A5" w:rsidRDefault="00E166A5" w:rsidP="00176F0A">
      <w:pPr>
        <w:ind w:firstLine="708"/>
        <w:jc w:val="both"/>
        <w:rPr>
          <w:rFonts w:ascii="Calibri" w:hAnsi="Calibri"/>
          <w:sz w:val="30"/>
          <w:szCs w:val="30"/>
          <w:lang w:val="en-US"/>
        </w:rPr>
      </w:pPr>
    </w:p>
    <w:p w:rsidR="00551431" w:rsidRPr="00A9366F" w:rsidRDefault="00A6399A" w:rsidP="00176F0A">
      <w:pPr>
        <w:ind w:firstLine="708"/>
        <w:jc w:val="both"/>
        <w:rPr>
          <w:rFonts w:ascii="Calibri" w:hAnsi="Calibri"/>
          <w:sz w:val="30"/>
          <w:szCs w:val="30"/>
          <w:lang w:val="en-US"/>
        </w:rPr>
      </w:pPr>
      <w:r w:rsidRPr="00A9366F">
        <w:rPr>
          <w:rFonts w:ascii="Calibri" w:hAnsi="Calibri"/>
          <w:sz w:val="30"/>
          <w:szCs w:val="30"/>
          <w:lang w:val="en-US"/>
        </w:rPr>
        <w:t>As at 1 January 2017, the infrastructure of electronic bank terminals is characterized by the following metrics</w:t>
      </w:r>
      <w:r w:rsidR="00551431" w:rsidRPr="00A9366F">
        <w:rPr>
          <w:rFonts w:ascii="Calibri" w:hAnsi="Calibri"/>
          <w:sz w:val="30"/>
          <w:szCs w:val="30"/>
          <w:lang w:val="en-US"/>
        </w:rPr>
        <w:t>:</w:t>
      </w:r>
    </w:p>
    <w:p w:rsidR="00A6399A" w:rsidRPr="00A9366F" w:rsidRDefault="00A6399A" w:rsidP="00176F0A">
      <w:pPr>
        <w:ind w:firstLine="709"/>
        <w:jc w:val="both"/>
        <w:rPr>
          <w:rFonts w:ascii="Calibri" w:hAnsi="Calibri"/>
          <w:sz w:val="30"/>
          <w:szCs w:val="30"/>
          <w:lang w:val="en-US"/>
        </w:rPr>
      </w:pPr>
      <w:r w:rsidRPr="00A9366F">
        <w:rPr>
          <w:rFonts w:ascii="Calibri" w:hAnsi="Calibri"/>
          <w:sz w:val="30"/>
          <w:szCs w:val="30"/>
          <w:lang w:val="en-US"/>
        </w:rPr>
        <w:t>- 107,498 POS-terminals, out of which 99,</w:t>
      </w:r>
      <w:r w:rsidR="00551431" w:rsidRPr="00A9366F">
        <w:rPr>
          <w:rFonts w:ascii="Calibri" w:hAnsi="Calibri"/>
          <w:sz w:val="30"/>
          <w:szCs w:val="30"/>
          <w:lang w:val="en-US"/>
        </w:rPr>
        <w:t xml:space="preserve">433 </w:t>
      </w:r>
      <w:r w:rsidRPr="00A9366F">
        <w:rPr>
          <w:rFonts w:ascii="Calibri" w:hAnsi="Calibri"/>
          <w:sz w:val="30"/>
          <w:szCs w:val="30"/>
          <w:lang w:val="en-US"/>
        </w:rPr>
        <w:t xml:space="preserve">POS-terminals are installed in the trade organizations and service companies (increase </w:t>
      </w:r>
      <w:r w:rsidR="00F42132" w:rsidRPr="00A9366F">
        <w:rPr>
          <w:rFonts w:ascii="Calibri" w:hAnsi="Calibri"/>
          <w:sz w:val="30"/>
          <w:szCs w:val="30"/>
          <w:lang w:val="en-US"/>
        </w:rPr>
        <w:t xml:space="preserve">by 38.1% and 41.2%, respectively, on the YoY basis); </w:t>
      </w:r>
    </w:p>
    <w:p w:rsidR="00551431" w:rsidRPr="00A9366F" w:rsidRDefault="00F42132" w:rsidP="00176F0A">
      <w:pPr>
        <w:ind w:firstLine="709"/>
        <w:jc w:val="both"/>
        <w:rPr>
          <w:rFonts w:ascii="Calibri" w:hAnsi="Calibri"/>
          <w:sz w:val="30"/>
          <w:szCs w:val="30"/>
          <w:lang w:val="en-US"/>
        </w:rPr>
      </w:pPr>
      <w:r w:rsidRPr="00A9366F">
        <w:rPr>
          <w:rFonts w:ascii="Calibri" w:hAnsi="Calibri"/>
          <w:sz w:val="30"/>
          <w:szCs w:val="30"/>
          <w:lang w:val="en-US"/>
        </w:rPr>
        <w:t>- 9,</w:t>
      </w:r>
      <w:r w:rsidR="00551431" w:rsidRPr="00A9366F">
        <w:rPr>
          <w:rFonts w:ascii="Calibri" w:hAnsi="Calibri"/>
          <w:sz w:val="30"/>
          <w:szCs w:val="30"/>
          <w:lang w:val="en-US"/>
        </w:rPr>
        <w:t xml:space="preserve">561 </w:t>
      </w:r>
      <w:r w:rsidRPr="00A9366F">
        <w:rPr>
          <w:rFonts w:ascii="Calibri" w:hAnsi="Calibri"/>
          <w:sz w:val="30"/>
          <w:szCs w:val="30"/>
          <w:lang w:val="en-US"/>
        </w:rPr>
        <w:t>ATMs, of which 1,</w:t>
      </w:r>
      <w:r w:rsidR="00551431" w:rsidRPr="00A9366F">
        <w:rPr>
          <w:rFonts w:ascii="Calibri" w:hAnsi="Calibri"/>
          <w:sz w:val="30"/>
          <w:szCs w:val="30"/>
          <w:lang w:val="en-US"/>
        </w:rPr>
        <w:t xml:space="preserve">545 </w:t>
      </w:r>
      <w:r w:rsidRPr="00A9366F">
        <w:rPr>
          <w:rFonts w:ascii="Calibri" w:hAnsi="Calibri"/>
          <w:sz w:val="30"/>
          <w:szCs w:val="30"/>
          <w:lang w:val="en-US"/>
        </w:rPr>
        <w:t>ATMS are of cash-in type</w:t>
      </w:r>
      <w:r w:rsidR="00551431" w:rsidRPr="00A9366F">
        <w:rPr>
          <w:rFonts w:ascii="Calibri" w:hAnsi="Calibri"/>
          <w:sz w:val="30"/>
          <w:szCs w:val="30"/>
          <w:lang w:val="en-US"/>
        </w:rPr>
        <w:t xml:space="preserve"> (</w:t>
      </w:r>
      <w:r w:rsidRPr="00A9366F">
        <w:rPr>
          <w:rFonts w:ascii="Calibri" w:hAnsi="Calibri"/>
          <w:sz w:val="30"/>
          <w:szCs w:val="30"/>
          <w:lang w:val="en-US"/>
        </w:rPr>
        <w:t xml:space="preserve">increased by </w:t>
      </w:r>
      <w:r w:rsidR="00797195" w:rsidRPr="00A9366F">
        <w:rPr>
          <w:rFonts w:ascii="Calibri" w:hAnsi="Calibri"/>
          <w:sz w:val="30"/>
          <w:szCs w:val="30"/>
          <w:lang w:val="en-US"/>
        </w:rPr>
        <w:t>4.</w:t>
      </w:r>
      <w:r w:rsidR="00551431" w:rsidRPr="00A9366F">
        <w:rPr>
          <w:rFonts w:ascii="Calibri" w:hAnsi="Calibri"/>
          <w:sz w:val="30"/>
          <w:szCs w:val="30"/>
          <w:lang w:val="en-US"/>
        </w:rPr>
        <w:t xml:space="preserve">5% </w:t>
      </w:r>
      <w:r w:rsidR="00797195" w:rsidRPr="00A9366F">
        <w:rPr>
          <w:rFonts w:ascii="Calibri" w:hAnsi="Calibri"/>
          <w:sz w:val="30"/>
          <w:szCs w:val="30"/>
          <w:lang w:val="en-US"/>
        </w:rPr>
        <w:t>and 14.</w:t>
      </w:r>
      <w:r w:rsidR="00551431" w:rsidRPr="00A9366F">
        <w:rPr>
          <w:rFonts w:ascii="Calibri" w:hAnsi="Calibri"/>
          <w:sz w:val="30"/>
          <w:szCs w:val="30"/>
          <w:lang w:val="en-US"/>
        </w:rPr>
        <w:t>2%</w:t>
      </w:r>
      <w:r w:rsidR="00797195" w:rsidRPr="00A9366F">
        <w:rPr>
          <w:rFonts w:ascii="Calibri" w:hAnsi="Calibri"/>
          <w:sz w:val="30"/>
          <w:szCs w:val="30"/>
          <w:lang w:val="en-US"/>
        </w:rPr>
        <w:t>, respectively)</w:t>
      </w:r>
      <w:r w:rsidR="00551431" w:rsidRPr="00A9366F">
        <w:rPr>
          <w:rFonts w:ascii="Calibri" w:hAnsi="Calibri"/>
          <w:sz w:val="30"/>
          <w:szCs w:val="30"/>
          <w:lang w:val="en-US"/>
        </w:rPr>
        <w:t>;</w:t>
      </w:r>
    </w:p>
    <w:p w:rsidR="00551431" w:rsidRPr="00A9366F" w:rsidRDefault="00551431" w:rsidP="00176F0A">
      <w:pPr>
        <w:ind w:firstLine="709"/>
        <w:jc w:val="both"/>
        <w:rPr>
          <w:rFonts w:ascii="Calibri" w:hAnsi="Calibri"/>
          <w:sz w:val="30"/>
          <w:szCs w:val="30"/>
          <w:lang w:val="en-US"/>
        </w:rPr>
      </w:pPr>
      <w:r w:rsidRPr="00A9366F">
        <w:rPr>
          <w:rFonts w:ascii="Calibri" w:hAnsi="Calibri"/>
          <w:sz w:val="30"/>
          <w:szCs w:val="30"/>
          <w:lang w:val="en-US"/>
        </w:rPr>
        <w:t xml:space="preserve">- </w:t>
      </w:r>
      <w:r w:rsidR="00797195" w:rsidRPr="00A9366F">
        <w:rPr>
          <w:rFonts w:ascii="Calibri" w:hAnsi="Calibri"/>
          <w:sz w:val="30"/>
          <w:szCs w:val="30"/>
          <w:lang w:val="en-US"/>
        </w:rPr>
        <w:t>1,</w:t>
      </w:r>
      <w:r w:rsidRPr="00A9366F">
        <w:rPr>
          <w:rFonts w:ascii="Calibri" w:hAnsi="Calibri"/>
          <w:sz w:val="30"/>
          <w:szCs w:val="30"/>
          <w:lang w:val="en-US"/>
        </w:rPr>
        <w:t xml:space="preserve">522 </w:t>
      </w:r>
      <w:r w:rsidR="00797195" w:rsidRPr="00A9366F">
        <w:rPr>
          <w:rFonts w:ascii="Calibri" w:hAnsi="Calibri"/>
          <w:sz w:val="30"/>
          <w:szCs w:val="30"/>
          <w:lang w:val="en-US"/>
        </w:rPr>
        <w:t>bank kiosks</w:t>
      </w:r>
      <w:r w:rsidRPr="00A9366F">
        <w:rPr>
          <w:rFonts w:ascii="Calibri" w:hAnsi="Calibri"/>
          <w:sz w:val="30"/>
          <w:szCs w:val="30"/>
          <w:lang w:val="en-US"/>
        </w:rPr>
        <w:t xml:space="preserve"> (</w:t>
      </w:r>
      <w:r w:rsidR="00797195" w:rsidRPr="00A9366F">
        <w:rPr>
          <w:rFonts w:ascii="Calibri" w:hAnsi="Calibri"/>
          <w:sz w:val="30"/>
          <w:szCs w:val="30"/>
          <w:lang w:val="en-US"/>
        </w:rPr>
        <w:t>growth by 31.</w:t>
      </w:r>
      <w:r w:rsidRPr="00A9366F">
        <w:rPr>
          <w:rFonts w:ascii="Calibri" w:hAnsi="Calibri"/>
          <w:sz w:val="30"/>
          <w:szCs w:val="30"/>
          <w:lang w:val="en-US"/>
        </w:rPr>
        <w:t>2%);</w:t>
      </w:r>
    </w:p>
    <w:p w:rsidR="00551431" w:rsidRPr="00A9366F" w:rsidRDefault="00797195" w:rsidP="00176F0A">
      <w:pPr>
        <w:ind w:firstLine="709"/>
        <w:jc w:val="both"/>
        <w:rPr>
          <w:rFonts w:ascii="Calibri" w:hAnsi="Calibri"/>
          <w:sz w:val="30"/>
          <w:szCs w:val="30"/>
          <w:lang w:val="en-US"/>
        </w:rPr>
      </w:pPr>
      <w:r w:rsidRPr="00A9366F">
        <w:rPr>
          <w:rFonts w:ascii="Calibri" w:hAnsi="Calibri"/>
          <w:sz w:val="30"/>
          <w:szCs w:val="30"/>
          <w:lang w:val="en-US"/>
        </w:rPr>
        <w:t>- 14,</w:t>
      </w:r>
      <w:r w:rsidR="00551431" w:rsidRPr="00A9366F">
        <w:rPr>
          <w:rFonts w:ascii="Calibri" w:hAnsi="Calibri"/>
          <w:sz w:val="30"/>
          <w:szCs w:val="30"/>
          <w:lang w:val="en-US"/>
        </w:rPr>
        <w:t xml:space="preserve">447 </w:t>
      </w:r>
      <w:r w:rsidRPr="00A9366F">
        <w:rPr>
          <w:rFonts w:ascii="Calibri" w:hAnsi="Calibri"/>
          <w:sz w:val="30"/>
          <w:szCs w:val="30"/>
          <w:lang w:val="en-US"/>
        </w:rPr>
        <w:t>instant payment terminals to accept cash payments (increase by 1.</w:t>
      </w:r>
      <w:r w:rsidR="00551431" w:rsidRPr="00A9366F">
        <w:rPr>
          <w:rFonts w:ascii="Calibri" w:hAnsi="Calibri"/>
          <w:sz w:val="30"/>
          <w:szCs w:val="30"/>
          <w:lang w:val="en-US"/>
        </w:rPr>
        <w:t>2%).</w:t>
      </w: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551431" w:rsidRPr="00A9366F" w:rsidRDefault="00D73D50" w:rsidP="00176F0A">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Dynamics of development in the network of electronic terminals </w:t>
      </w:r>
    </w:p>
    <w:p w:rsidR="00D73D50" w:rsidRPr="00A9366F" w:rsidRDefault="00B41594" w:rsidP="00176F0A">
      <w:pPr>
        <w:jc w:val="both"/>
        <w:rPr>
          <w:sz w:val="20"/>
          <w:szCs w:val="20"/>
          <w:lang w:val="en-US"/>
        </w:rPr>
      </w:pPr>
      <w:r w:rsidRPr="00A9366F">
        <w:rPr>
          <w:rFonts w:ascii="Calibri" w:hAnsi="Calibri"/>
          <w:noProof/>
          <w:sz w:val="30"/>
          <w:szCs w:val="30"/>
        </w:rPr>
        <w:drawing>
          <wp:inline distT="0" distB="0" distL="0" distR="0">
            <wp:extent cx="5955527" cy="2063860"/>
            <wp:effectExtent l="0" t="0" r="0" b="0"/>
            <wp:docPr id="20" name="Диаграмма 4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73D50" w:rsidRPr="00A9366F" w:rsidRDefault="00D73D50" w:rsidP="00D73D50">
      <w:pPr>
        <w:jc w:val="both"/>
        <w:rPr>
          <w:rFonts w:ascii="Calibri" w:hAnsi="Calibri"/>
          <w:sz w:val="30"/>
          <w:szCs w:val="30"/>
          <w:lang w:val="en-US"/>
        </w:rPr>
      </w:pPr>
      <w:r w:rsidRPr="00A9366F">
        <w:rPr>
          <w:rFonts w:ascii="Calibri" w:hAnsi="Calibri"/>
          <w:sz w:val="30"/>
          <w:szCs w:val="30"/>
          <w:lang w:val="en-US"/>
        </w:rPr>
        <w:tab/>
        <w:t xml:space="preserve">Since 2014 a </w:t>
      </w:r>
      <w:r w:rsidR="00FC2B3A" w:rsidRPr="00A9366F">
        <w:rPr>
          <w:rFonts w:ascii="Calibri" w:hAnsi="Calibri"/>
          <w:b/>
          <w:sz w:val="30"/>
          <w:szCs w:val="30"/>
          <w:lang w:val="en-US"/>
        </w:rPr>
        <w:t>tangible</w:t>
      </w:r>
      <w:r w:rsidRPr="00A9366F">
        <w:rPr>
          <w:rFonts w:ascii="Calibri" w:hAnsi="Calibri"/>
          <w:b/>
          <w:sz w:val="30"/>
          <w:szCs w:val="30"/>
          <w:lang w:val="en-US"/>
        </w:rPr>
        <w:t xml:space="preserve"> expansion of the network of services for the payment card holders </w:t>
      </w:r>
      <w:r w:rsidR="00FC2B3A" w:rsidRPr="00A9366F">
        <w:rPr>
          <w:rFonts w:ascii="Calibri" w:hAnsi="Calibri"/>
          <w:b/>
          <w:sz w:val="30"/>
          <w:szCs w:val="30"/>
          <w:lang w:val="en-US"/>
        </w:rPr>
        <w:t>has been</w:t>
      </w:r>
      <w:r w:rsidRPr="00A9366F">
        <w:rPr>
          <w:rFonts w:ascii="Calibri" w:hAnsi="Calibri"/>
          <w:b/>
          <w:sz w:val="30"/>
          <w:szCs w:val="30"/>
          <w:lang w:val="en-US"/>
        </w:rPr>
        <w:t xml:space="preserve"> </w:t>
      </w:r>
      <w:r w:rsidR="00FC2B3A" w:rsidRPr="00A9366F">
        <w:rPr>
          <w:rFonts w:ascii="Calibri" w:hAnsi="Calibri"/>
          <w:b/>
          <w:sz w:val="30"/>
          <w:szCs w:val="30"/>
          <w:lang w:val="en-US"/>
        </w:rPr>
        <w:t xml:space="preserve">noted </w:t>
      </w:r>
      <w:r w:rsidRPr="00A9366F">
        <w:rPr>
          <w:rFonts w:ascii="Calibri" w:hAnsi="Calibri"/>
          <w:b/>
          <w:sz w:val="30"/>
          <w:szCs w:val="30"/>
          <w:lang w:val="en-US"/>
        </w:rPr>
        <w:t xml:space="preserve">due to installation of </w:t>
      </w:r>
      <w:r w:rsidR="00FC2B3A" w:rsidRPr="00A9366F">
        <w:rPr>
          <w:rFonts w:ascii="Calibri" w:hAnsi="Calibri"/>
          <w:b/>
          <w:sz w:val="30"/>
          <w:szCs w:val="30"/>
          <w:lang w:val="en-US"/>
        </w:rPr>
        <w:t>POS-terminals i</w:t>
      </w:r>
      <w:r w:rsidRPr="00A9366F">
        <w:rPr>
          <w:rFonts w:ascii="Calibri" w:hAnsi="Calibri"/>
          <w:b/>
          <w:sz w:val="30"/>
          <w:szCs w:val="30"/>
          <w:lang w:val="en-US"/>
        </w:rPr>
        <w:t>n the trade organizations and/or service companies</w:t>
      </w:r>
      <w:r w:rsidRPr="00A9366F">
        <w:rPr>
          <w:rFonts w:ascii="Calibri" w:hAnsi="Calibri"/>
          <w:sz w:val="30"/>
          <w:szCs w:val="30"/>
          <w:lang w:val="en-US"/>
        </w:rPr>
        <w:t xml:space="preserve">, which </w:t>
      </w:r>
      <w:r w:rsidR="00FC2B3A" w:rsidRPr="00A9366F">
        <w:rPr>
          <w:rFonts w:ascii="Calibri" w:hAnsi="Calibri"/>
          <w:sz w:val="30"/>
          <w:szCs w:val="30"/>
          <w:lang w:val="en-US"/>
        </w:rPr>
        <w:t>is attributed, inter alia, to the established regulatory requirements for the trading entities to accept payment cards for payments while carrying our certain types of activities</w:t>
      </w:r>
      <w:r w:rsidR="00FC2B3A" w:rsidRPr="00A9366F">
        <w:rPr>
          <w:rStyle w:val="a6"/>
          <w:rFonts w:ascii="Calibri" w:hAnsi="Calibri"/>
          <w:sz w:val="30"/>
          <w:szCs w:val="30"/>
          <w:lang w:val="en-US"/>
        </w:rPr>
        <w:footnoteReference w:id="13"/>
      </w:r>
      <w:r w:rsidR="00FC2B3A" w:rsidRPr="00A9366F">
        <w:rPr>
          <w:rFonts w:ascii="Calibri" w:hAnsi="Calibri"/>
          <w:sz w:val="30"/>
          <w:szCs w:val="30"/>
          <w:lang w:val="en-US"/>
        </w:rPr>
        <w:t xml:space="preserve">. </w:t>
      </w:r>
    </w:p>
    <w:p w:rsidR="00C933D6" w:rsidRPr="00A9366F" w:rsidRDefault="00C933D6" w:rsidP="00176F0A">
      <w:pPr>
        <w:ind w:firstLine="709"/>
        <w:jc w:val="both"/>
        <w:rPr>
          <w:rFonts w:ascii="Calibri" w:hAnsi="Calibri"/>
          <w:sz w:val="30"/>
          <w:szCs w:val="30"/>
          <w:lang w:val="en-US"/>
        </w:rPr>
      </w:pPr>
      <w:r w:rsidRPr="00A9366F">
        <w:rPr>
          <w:rFonts w:ascii="Calibri" w:hAnsi="Calibri"/>
          <w:sz w:val="30"/>
          <w:szCs w:val="30"/>
          <w:lang w:val="en-US"/>
        </w:rPr>
        <w:t xml:space="preserve">Emergence of new payment instruments in the market and imposition of tougher requirements to the operation of equipment force the acquirers to respond </w:t>
      </w:r>
      <w:r w:rsidR="004171C4" w:rsidRPr="00A9366F">
        <w:rPr>
          <w:rFonts w:ascii="Calibri" w:hAnsi="Calibri"/>
          <w:sz w:val="30"/>
          <w:szCs w:val="30"/>
          <w:lang w:val="en-US"/>
        </w:rPr>
        <w:t>to the changes and improve</w:t>
      </w:r>
      <w:r w:rsidRPr="00A9366F">
        <w:rPr>
          <w:rFonts w:ascii="Calibri" w:hAnsi="Calibri"/>
          <w:sz w:val="30"/>
          <w:szCs w:val="30"/>
          <w:lang w:val="en-US"/>
        </w:rPr>
        <w:t xml:space="preserve"> further their </w:t>
      </w:r>
      <w:r w:rsidR="004171C4" w:rsidRPr="00A9366F">
        <w:rPr>
          <w:rFonts w:ascii="Calibri" w:hAnsi="Calibri"/>
          <w:sz w:val="30"/>
          <w:szCs w:val="30"/>
          <w:lang w:val="en-US"/>
        </w:rPr>
        <w:t xml:space="preserve">equipment.  Whereas in the past POS-terminals were stationary, today the majority of POS-terminal maintain the cellular communication standards and are mobile, and are also able to serve the contactless payment instruments. </w:t>
      </w:r>
      <w:r w:rsidRPr="00A9366F">
        <w:rPr>
          <w:rFonts w:ascii="Calibri" w:hAnsi="Calibri"/>
          <w:sz w:val="30"/>
          <w:szCs w:val="30"/>
          <w:lang w:val="en-US"/>
        </w:rPr>
        <w:t xml:space="preserve"> </w:t>
      </w:r>
    </w:p>
    <w:p w:rsidR="00772FFA" w:rsidRPr="00A9366F" w:rsidRDefault="00FB60A9" w:rsidP="00176F0A">
      <w:pPr>
        <w:ind w:firstLine="708"/>
        <w:jc w:val="both"/>
        <w:rPr>
          <w:rFonts w:ascii="Calibri" w:hAnsi="Calibri"/>
          <w:sz w:val="30"/>
          <w:szCs w:val="30"/>
          <w:lang w:val="en-US"/>
        </w:rPr>
      </w:pPr>
      <w:r w:rsidRPr="00A9366F">
        <w:rPr>
          <w:rFonts w:ascii="Calibri" w:hAnsi="Calibri"/>
          <w:noProof/>
          <w:sz w:val="30"/>
          <w:szCs w:val="30"/>
        </w:rPr>
        <mc:AlternateContent>
          <mc:Choice Requires="wps">
            <w:drawing>
              <wp:anchor distT="0" distB="0" distL="114300" distR="114300" simplePos="0" relativeHeight="251701248" behindDoc="0" locked="0" layoutInCell="1" allowOverlap="1">
                <wp:simplePos x="0" y="0"/>
                <wp:positionH relativeFrom="column">
                  <wp:posOffset>2806065</wp:posOffset>
                </wp:positionH>
                <wp:positionV relativeFrom="paragraph">
                  <wp:posOffset>60325</wp:posOffset>
                </wp:positionV>
                <wp:extent cx="3314700" cy="1625600"/>
                <wp:effectExtent l="0" t="0" r="38100" b="50800"/>
                <wp:wrapSquare wrapText="bothSides"/>
                <wp:docPr id="44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62560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8574B0" w:rsidRDefault="00541D5F" w:rsidP="00095276">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 xml:space="preserve">Development of financial technologies </w:t>
                            </w:r>
                            <w:r w:rsidRPr="008574B0">
                              <w:rPr>
                                <w:rFonts w:ascii="Calibri" w:hAnsi="Calibri" w:cs="Arial"/>
                                <w:sz w:val="30"/>
                                <w:szCs w:val="30"/>
                                <w:lang w:val="en-US"/>
                              </w:rPr>
                              <w:t>(</w:t>
                            </w:r>
                            <w:r w:rsidRPr="00095276">
                              <w:rPr>
                                <w:rFonts w:ascii="Calibri" w:hAnsi="Calibri" w:cs="Arial"/>
                                <w:sz w:val="30"/>
                                <w:szCs w:val="30"/>
                                <w:lang w:val="en-US"/>
                              </w:rPr>
                              <w:t>NFC</w:t>
                            </w:r>
                            <w:r w:rsidRPr="008574B0">
                              <w:rPr>
                                <w:rFonts w:ascii="Calibri" w:hAnsi="Calibri" w:cs="Arial"/>
                                <w:sz w:val="30"/>
                                <w:szCs w:val="30"/>
                                <w:lang w:val="en-US"/>
                              </w:rPr>
                              <w:t xml:space="preserve"> </w:t>
                            </w:r>
                            <w:r>
                              <w:rPr>
                                <w:rFonts w:ascii="Calibri" w:hAnsi="Calibri" w:cs="Arial"/>
                                <w:sz w:val="30"/>
                                <w:szCs w:val="30"/>
                                <w:lang w:val="en-US"/>
                              </w:rPr>
                              <w:t>technologies</w:t>
                            </w:r>
                            <w:r w:rsidRPr="008574B0">
                              <w:rPr>
                                <w:rFonts w:ascii="Calibri" w:hAnsi="Calibri" w:cs="Arial"/>
                                <w:sz w:val="30"/>
                                <w:szCs w:val="30"/>
                                <w:lang w:val="en-US"/>
                              </w:rPr>
                              <w:t xml:space="preserve">, </w:t>
                            </w:r>
                            <w:r w:rsidRPr="00095276">
                              <w:rPr>
                                <w:rFonts w:ascii="Calibri" w:hAnsi="Calibri" w:cs="Arial"/>
                                <w:sz w:val="30"/>
                                <w:szCs w:val="30"/>
                                <w:lang w:val="en-US"/>
                              </w:rPr>
                              <w:t>QR</w:t>
                            </w:r>
                            <w:r w:rsidRPr="008574B0">
                              <w:rPr>
                                <w:rFonts w:ascii="Calibri" w:hAnsi="Calibri" w:cs="Arial"/>
                                <w:sz w:val="30"/>
                                <w:szCs w:val="30"/>
                                <w:lang w:val="en-US"/>
                              </w:rPr>
                              <w:t xml:space="preserve"> </w:t>
                            </w:r>
                            <w:r>
                              <w:rPr>
                                <w:rFonts w:ascii="Calibri" w:hAnsi="Calibri" w:cs="Arial"/>
                                <w:sz w:val="30"/>
                                <w:szCs w:val="30"/>
                                <w:lang w:val="en-US"/>
                              </w:rPr>
                              <w:t>codes</w:t>
                            </w:r>
                            <w:r w:rsidRPr="008574B0">
                              <w:rPr>
                                <w:rFonts w:ascii="Calibri" w:hAnsi="Calibri" w:cs="Arial"/>
                                <w:sz w:val="30"/>
                                <w:szCs w:val="30"/>
                                <w:lang w:val="en-US"/>
                              </w:rPr>
                              <w:t>);</w:t>
                            </w:r>
                          </w:p>
                          <w:p w:rsidR="00541D5F" w:rsidRPr="008574B0" w:rsidRDefault="00541D5F" w:rsidP="009C5BA7">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FB400A">
                              <w:rPr>
                                <w:rFonts w:ascii="Calibri" w:hAnsi="Calibri" w:cs="Arial"/>
                                <w:sz w:val="30"/>
                                <w:szCs w:val="30"/>
                                <w:lang w:val="en-US"/>
                              </w:rPr>
                              <w:t>Maintenance by POS</w:t>
                            </w:r>
                            <w:r w:rsidRPr="008574B0">
                              <w:rPr>
                                <w:rFonts w:ascii="Calibri" w:hAnsi="Calibri" w:cs="Arial"/>
                                <w:sz w:val="30"/>
                                <w:szCs w:val="30"/>
                                <w:lang w:val="en-US"/>
                              </w:rPr>
                              <w:t>-</w:t>
                            </w:r>
                            <w:r w:rsidRPr="00FB400A">
                              <w:rPr>
                                <w:rFonts w:ascii="Calibri" w:hAnsi="Calibri" w:cs="Arial"/>
                                <w:sz w:val="30"/>
                                <w:szCs w:val="30"/>
                                <w:lang w:val="en-US"/>
                              </w:rPr>
                              <w:t xml:space="preserve">terminals of cellular communication standards </w:t>
                            </w:r>
                          </w:p>
                          <w:p w:rsidR="00541D5F" w:rsidRPr="00FB400A" w:rsidRDefault="00541D5F" w:rsidP="009C5BA7">
                            <w:pPr>
                              <w:numPr>
                                <w:ilvl w:val="0"/>
                                <w:numId w:val="28"/>
                              </w:numPr>
                              <w:tabs>
                                <w:tab w:val="left" w:pos="360"/>
                              </w:tabs>
                              <w:autoSpaceDE w:val="0"/>
                              <w:autoSpaceDN w:val="0"/>
                              <w:adjustRightInd w:val="0"/>
                              <w:ind w:left="0" w:firstLine="0"/>
                              <w:jc w:val="both"/>
                              <w:rPr>
                                <w:rFonts w:ascii="Calibri" w:hAnsi="Calibri" w:cs="Arial"/>
                                <w:sz w:val="30"/>
                                <w:szCs w:val="30"/>
                              </w:rPr>
                            </w:pPr>
                            <w:r w:rsidRPr="00FB400A">
                              <w:rPr>
                                <w:rFonts w:ascii="Calibri" w:hAnsi="Calibri" w:cs="Arial"/>
                                <w:sz w:val="30"/>
                                <w:szCs w:val="30"/>
                                <w:lang w:val="en-US"/>
                              </w:rPr>
                              <w:t>“cash-in” functions in ATMs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48" style="position:absolute;left:0;text-align:left;margin-left:220.95pt;margin-top:4.75pt;width:261pt;height:1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" fillcolor="#cf9" strokecolor="#cf9" strokeweight="1pt">
                <v:shadow on="t" color="#205867" opacity=".5" offset="1pt"/>
                <v:textbox>
                  <w:txbxContent>
                    <w:p w:rsidR="00541D5F" w:rsidRPr="008574B0" w:rsidRDefault="00541D5F" w:rsidP="00095276">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 xml:space="preserve">Development of financial technologies </w:t>
                      </w:r>
                      <w:r w:rsidRPr="008574B0">
                        <w:rPr>
                          <w:rFonts w:ascii="Calibri" w:hAnsi="Calibri" w:cs="Arial"/>
                          <w:sz w:val="30"/>
                          <w:szCs w:val="30"/>
                          <w:lang w:val="en-US"/>
                        </w:rPr>
                        <w:t>(</w:t>
                      </w:r>
                      <w:r w:rsidRPr="00095276">
                        <w:rPr>
                          <w:rFonts w:ascii="Calibri" w:hAnsi="Calibri" w:cs="Arial"/>
                          <w:sz w:val="30"/>
                          <w:szCs w:val="30"/>
                          <w:lang w:val="en-US"/>
                        </w:rPr>
                        <w:t>NFC</w:t>
                      </w:r>
                      <w:r w:rsidRPr="008574B0">
                        <w:rPr>
                          <w:rFonts w:ascii="Calibri" w:hAnsi="Calibri" w:cs="Arial"/>
                          <w:sz w:val="30"/>
                          <w:szCs w:val="30"/>
                          <w:lang w:val="en-US"/>
                        </w:rPr>
                        <w:t xml:space="preserve"> </w:t>
                      </w:r>
                      <w:r>
                        <w:rPr>
                          <w:rFonts w:ascii="Calibri" w:hAnsi="Calibri" w:cs="Arial"/>
                          <w:sz w:val="30"/>
                          <w:szCs w:val="30"/>
                          <w:lang w:val="en-US"/>
                        </w:rPr>
                        <w:t>technologies</w:t>
                      </w:r>
                      <w:r w:rsidRPr="008574B0">
                        <w:rPr>
                          <w:rFonts w:ascii="Calibri" w:hAnsi="Calibri" w:cs="Arial"/>
                          <w:sz w:val="30"/>
                          <w:szCs w:val="30"/>
                          <w:lang w:val="en-US"/>
                        </w:rPr>
                        <w:t xml:space="preserve">, </w:t>
                      </w:r>
                      <w:r w:rsidRPr="00095276">
                        <w:rPr>
                          <w:rFonts w:ascii="Calibri" w:hAnsi="Calibri" w:cs="Arial"/>
                          <w:sz w:val="30"/>
                          <w:szCs w:val="30"/>
                          <w:lang w:val="en-US"/>
                        </w:rPr>
                        <w:t>QR</w:t>
                      </w:r>
                      <w:r w:rsidRPr="008574B0">
                        <w:rPr>
                          <w:rFonts w:ascii="Calibri" w:hAnsi="Calibri" w:cs="Arial"/>
                          <w:sz w:val="30"/>
                          <w:szCs w:val="30"/>
                          <w:lang w:val="en-US"/>
                        </w:rPr>
                        <w:t xml:space="preserve"> </w:t>
                      </w:r>
                      <w:r>
                        <w:rPr>
                          <w:rFonts w:ascii="Calibri" w:hAnsi="Calibri" w:cs="Arial"/>
                          <w:sz w:val="30"/>
                          <w:szCs w:val="30"/>
                          <w:lang w:val="en-US"/>
                        </w:rPr>
                        <w:t>codes</w:t>
                      </w:r>
                      <w:r w:rsidRPr="008574B0">
                        <w:rPr>
                          <w:rFonts w:ascii="Calibri" w:hAnsi="Calibri" w:cs="Arial"/>
                          <w:sz w:val="30"/>
                          <w:szCs w:val="30"/>
                          <w:lang w:val="en-US"/>
                        </w:rPr>
                        <w:t>);</w:t>
                      </w:r>
                    </w:p>
                    <w:p w:rsidR="00541D5F" w:rsidRPr="008574B0" w:rsidRDefault="00541D5F" w:rsidP="009C5BA7">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FB400A">
                        <w:rPr>
                          <w:rFonts w:ascii="Calibri" w:hAnsi="Calibri" w:cs="Arial"/>
                          <w:sz w:val="30"/>
                          <w:szCs w:val="30"/>
                          <w:lang w:val="en-US"/>
                        </w:rPr>
                        <w:t>Maintenance by POS</w:t>
                      </w:r>
                      <w:r w:rsidRPr="008574B0">
                        <w:rPr>
                          <w:rFonts w:ascii="Calibri" w:hAnsi="Calibri" w:cs="Arial"/>
                          <w:sz w:val="30"/>
                          <w:szCs w:val="30"/>
                          <w:lang w:val="en-US"/>
                        </w:rPr>
                        <w:t>-</w:t>
                      </w:r>
                      <w:r w:rsidRPr="00FB400A">
                        <w:rPr>
                          <w:rFonts w:ascii="Calibri" w:hAnsi="Calibri" w:cs="Arial"/>
                          <w:sz w:val="30"/>
                          <w:szCs w:val="30"/>
                          <w:lang w:val="en-US"/>
                        </w:rPr>
                        <w:t xml:space="preserve">terminals of cellular communication standards </w:t>
                      </w:r>
                    </w:p>
                    <w:p w:rsidR="00541D5F" w:rsidRPr="00FB400A" w:rsidRDefault="00541D5F" w:rsidP="009C5BA7">
                      <w:pPr>
                        <w:numPr>
                          <w:ilvl w:val="0"/>
                          <w:numId w:val="28"/>
                        </w:numPr>
                        <w:tabs>
                          <w:tab w:val="left" w:pos="360"/>
                        </w:tabs>
                        <w:autoSpaceDE w:val="0"/>
                        <w:autoSpaceDN w:val="0"/>
                        <w:adjustRightInd w:val="0"/>
                        <w:ind w:left="0" w:firstLine="0"/>
                        <w:jc w:val="both"/>
                        <w:rPr>
                          <w:rFonts w:ascii="Calibri" w:hAnsi="Calibri" w:cs="Arial"/>
                          <w:sz w:val="30"/>
                          <w:szCs w:val="30"/>
                        </w:rPr>
                      </w:pPr>
                      <w:r w:rsidRPr="00FB400A">
                        <w:rPr>
                          <w:rFonts w:ascii="Calibri" w:hAnsi="Calibri" w:cs="Arial"/>
                          <w:sz w:val="30"/>
                          <w:szCs w:val="30"/>
                          <w:lang w:val="en-US"/>
                        </w:rPr>
                        <w:t>“cash-in” functions in ATMs</w:t>
                      </w:r>
                    </w:p>
                  </w:txbxContent>
                </v:textbox>
                <w10:wrap type="square"/>
              </v:roundrect>
            </w:pict>
          </mc:Fallback>
        </mc:AlternateContent>
      </w:r>
      <w:r w:rsidR="004171C4" w:rsidRPr="00A9366F">
        <w:rPr>
          <w:rFonts w:ascii="Calibri" w:hAnsi="Calibri"/>
          <w:sz w:val="30"/>
          <w:szCs w:val="30"/>
          <w:lang w:val="en-US"/>
        </w:rPr>
        <w:t xml:space="preserve">Small trading organizations and/or service companies have an opportunity to use </w:t>
      </w:r>
      <w:proofErr w:type="spellStart"/>
      <w:r w:rsidR="00551431" w:rsidRPr="00A9366F">
        <w:rPr>
          <w:rFonts w:ascii="Calibri" w:hAnsi="Calibri"/>
          <w:sz w:val="30"/>
          <w:szCs w:val="30"/>
          <w:lang w:val="en-US"/>
        </w:rPr>
        <w:t>mPOS</w:t>
      </w:r>
      <w:proofErr w:type="spellEnd"/>
      <w:r w:rsidR="00DE66F7" w:rsidRPr="00A9366F">
        <w:rPr>
          <w:rStyle w:val="a6"/>
          <w:rFonts w:ascii="Calibri" w:hAnsi="Calibri"/>
          <w:sz w:val="30"/>
          <w:szCs w:val="30"/>
          <w:lang w:val="en-US"/>
        </w:rPr>
        <w:footnoteReference w:id="14"/>
      </w:r>
      <w:r w:rsidR="00551431" w:rsidRPr="00A9366F">
        <w:rPr>
          <w:rFonts w:ascii="Calibri" w:hAnsi="Calibri"/>
          <w:sz w:val="30"/>
          <w:szCs w:val="30"/>
          <w:lang w:val="en-US"/>
        </w:rPr>
        <w:t xml:space="preserve">, </w:t>
      </w:r>
      <w:r w:rsidR="00772FFA" w:rsidRPr="00A9366F">
        <w:rPr>
          <w:rFonts w:ascii="Calibri" w:hAnsi="Calibri"/>
          <w:sz w:val="30"/>
          <w:szCs w:val="30"/>
          <w:lang w:val="en-US"/>
        </w:rPr>
        <w:t xml:space="preserve">by connecting thereof to a smartphone. Active development of the network of payment terminals promoted improvement of ATMs by means of implementation of the “cash-in” function.  16% of ATMs have this function. </w:t>
      </w:r>
    </w:p>
    <w:p w:rsidR="00D47542" w:rsidRPr="00A9366F" w:rsidRDefault="00772FFA" w:rsidP="00176F0A">
      <w:pPr>
        <w:ind w:firstLine="708"/>
        <w:jc w:val="both"/>
        <w:rPr>
          <w:rFonts w:ascii="Calibri" w:hAnsi="Calibri"/>
          <w:sz w:val="30"/>
          <w:szCs w:val="30"/>
          <w:lang w:val="en-US"/>
        </w:rPr>
      </w:pPr>
      <w:r w:rsidRPr="00A9366F">
        <w:rPr>
          <w:rFonts w:ascii="Calibri" w:hAnsi="Calibri"/>
          <w:sz w:val="30"/>
          <w:szCs w:val="30"/>
          <w:lang w:val="en-US"/>
        </w:rPr>
        <w:t>Contactless technologies</w:t>
      </w:r>
      <w:r w:rsidR="00D47542" w:rsidRPr="00A9366F">
        <w:rPr>
          <w:rFonts w:ascii="Calibri" w:hAnsi="Calibri"/>
          <w:sz w:val="30"/>
          <w:szCs w:val="30"/>
          <w:lang w:val="en-US"/>
        </w:rPr>
        <w:t xml:space="preserve"> </w:t>
      </w:r>
      <w:r w:rsidR="00777308" w:rsidRPr="00A9366F">
        <w:rPr>
          <w:rFonts w:ascii="Calibri" w:hAnsi="Calibri"/>
          <w:sz w:val="30"/>
          <w:szCs w:val="30"/>
          <w:lang w:val="en-US"/>
        </w:rPr>
        <w:t xml:space="preserve">have </w:t>
      </w:r>
      <w:r w:rsidR="00D47542" w:rsidRPr="00A9366F">
        <w:rPr>
          <w:rFonts w:ascii="Calibri" w:hAnsi="Calibri"/>
          <w:sz w:val="30"/>
          <w:szCs w:val="30"/>
          <w:lang w:val="en-US"/>
        </w:rPr>
        <w:t xml:space="preserve">evolved, which allow </w:t>
      </w:r>
      <w:r w:rsidR="00211BF3" w:rsidRPr="00A9366F">
        <w:rPr>
          <w:rFonts w:ascii="Calibri" w:hAnsi="Calibri"/>
          <w:sz w:val="30"/>
          <w:szCs w:val="30"/>
          <w:lang w:val="en-US"/>
        </w:rPr>
        <w:t>making payments</w:t>
      </w:r>
      <w:r w:rsidR="00D47542" w:rsidRPr="00A9366F">
        <w:rPr>
          <w:rFonts w:ascii="Calibri" w:hAnsi="Calibri"/>
          <w:sz w:val="30"/>
          <w:szCs w:val="30"/>
          <w:lang w:val="en-US"/>
        </w:rPr>
        <w:t xml:space="preserve"> </w:t>
      </w:r>
      <w:r w:rsidR="00211BF3" w:rsidRPr="00A9366F">
        <w:rPr>
          <w:rFonts w:ascii="Calibri" w:hAnsi="Calibri"/>
          <w:sz w:val="30"/>
          <w:szCs w:val="30"/>
          <w:lang w:val="en-US"/>
        </w:rPr>
        <w:t>without physical contact of a payment card with electronic terminals or other devices at the time of transaction (</w:t>
      </w:r>
      <w:r w:rsidR="00211BF3" w:rsidRPr="00A9366F">
        <w:rPr>
          <w:rFonts w:ascii="Calibri" w:hAnsi="Calibri"/>
          <w:iCs/>
          <w:sz w:val="30"/>
          <w:szCs w:val="30"/>
          <w:lang w:val="en-US"/>
        </w:rPr>
        <w:t xml:space="preserve">Near </w:t>
      </w:r>
      <w:r w:rsidR="003A3106" w:rsidRPr="00A9366F">
        <w:rPr>
          <w:rFonts w:ascii="Calibri" w:hAnsi="Calibri"/>
          <w:iCs/>
          <w:sz w:val="30"/>
          <w:szCs w:val="30"/>
          <w:lang w:val="en-US"/>
        </w:rPr>
        <w:t>F</w:t>
      </w:r>
      <w:r w:rsidR="00211BF3" w:rsidRPr="00A9366F">
        <w:rPr>
          <w:rFonts w:ascii="Calibri" w:hAnsi="Calibri"/>
          <w:iCs/>
          <w:sz w:val="30"/>
          <w:szCs w:val="30"/>
          <w:lang w:val="en-US"/>
        </w:rPr>
        <w:t xml:space="preserve">ield </w:t>
      </w:r>
      <w:r w:rsidR="003A3106" w:rsidRPr="00A9366F">
        <w:rPr>
          <w:rFonts w:ascii="Calibri" w:hAnsi="Calibri"/>
          <w:iCs/>
          <w:sz w:val="30"/>
          <w:szCs w:val="30"/>
          <w:lang w:val="en-US"/>
        </w:rPr>
        <w:t>C</w:t>
      </w:r>
      <w:r w:rsidR="00211BF3" w:rsidRPr="00A9366F">
        <w:rPr>
          <w:rFonts w:ascii="Calibri" w:hAnsi="Calibri"/>
          <w:iCs/>
          <w:sz w:val="30"/>
          <w:szCs w:val="30"/>
          <w:lang w:val="en-US"/>
        </w:rPr>
        <w:t xml:space="preserve">ommunication – NFC). 30% of POS-terminals installed in the </w:t>
      </w:r>
      <w:r w:rsidR="00C66A2A" w:rsidRPr="00A9366F">
        <w:rPr>
          <w:rFonts w:ascii="Calibri" w:hAnsi="Calibri"/>
          <w:iCs/>
          <w:sz w:val="30"/>
          <w:szCs w:val="30"/>
          <w:lang w:val="en-US"/>
        </w:rPr>
        <w:t>point of sales</w:t>
      </w:r>
      <w:r w:rsidR="003A3106" w:rsidRPr="00A9366F">
        <w:rPr>
          <w:rFonts w:ascii="Calibri" w:hAnsi="Calibri"/>
          <w:iCs/>
          <w:sz w:val="30"/>
          <w:szCs w:val="30"/>
          <w:lang w:val="en-US"/>
        </w:rPr>
        <w:t xml:space="preserve">/service points have technology of contactless payment. </w:t>
      </w:r>
      <w:r w:rsidR="009B17E8" w:rsidRPr="00A9366F">
        <w:rPr>
          <w:rFonts w:ascii="Calibri" w:hAnsi="Calibri"/>
          <w:iCs/>
          <w:sz w:val="30"/>
          <w:szCs w:val="30"/>
          <w:lang w:val="en-US"/>
        </w:rPr>
        <w:t>Solutions for use of QR-codes with encoded details of entrepre</w:t>
      </w:r>
      <w:r w:rsidR="00744150" w:rsidRPr="00A9366F">
        <w:rPr>
          <w:rFonts w:ascii="Calibri" w:hAnsi="Calibri"/>
          <w:iCs/>
          <w:sz w:val="30"/>
          <w:szCs w:val="30"/>
          <w:lang w:val="en-US"/>
        </w:rPr>
        <w:t>ne</w:t>
      </w:r>
      <w:r w:rsidR="009B17E8" w:rsidRPr="00A9366F">
        <w:rPr>
          <w:rFonts w:ascii="Calibri" w:hAnsi="Calibri"/>
          <w:iCs/>
          <w:sz w:val="30"/>
          <w:szCs w:val="30"/>
          <w:lang w:val="en-US"/>
        </w:rPr>
        <w:t>urs</w:t>
      </w:r>
      <w:r w:rsidR="00744150" w:rsidRPr="00A9366F">
        <w:rPr>
          <w:rFonts w:ascii="Calibri" w:hAnsi="Calibri"/>
          <w:iCs/>
          <w:sz w:val="30"/>
          <w:szCs w:val="30"/>
          <w:lang w:val="en-US"/>
        </w:rPr>
        <w:t xml:space="preserve"> to pay for goods and services are also a</w:t>
      </w:r>
      <w:r w:rsidR="00777308" w:rsidRPr="00A9366F">
        <w:rPr>
          <w:rFonts w:ascii="Calibri" w:hAnsi="Calibri"/>
          <w:iCs/>
          <w:sz w:val="30"/>
          <w:szCs w:val="30"/>
          <w:lang w:val="en-US"/>
        </w:rPr>
        <w:t xml:space="preserve">vailable in the market. </w:t>
      </w:r>
    </w:p>
    <w:p w:rsidR="008F3A37" w:rsidRPr="00A9366F" w:rsidRDefault="008F3A37" w:rsidP="00176F0A">
      <w:pPr>
        <w:ind w:firstLine="709"/>
        <w:jc w:val="both"/>
        <w:rPr>
          <w:rFonts w:ascii="Calibri" w:hAnsi="Calibri"/>
          <w:sz w:val="30"/>
          <w:szCs w:val="30"/>
          <w:lang w:val="en-US"/>
        </w:rPr>
      </w:pPr>
      <w:r w:rsidRPr="00A9366F">
        <w:rPr>
          <w:rFonts w:ascii="Calibri" w:hAnsi="Calibri"/>
          <w:sz w:val="30"/>
          <w:szCs w:val="30"/>
          <w:lang w:val="en-US"/>
        </w:rPr>
        <w:t xml:space="preserve">When correlating quantitative indicators of electronic bank terminals with payment cards in circulation, </w:t>
      </w:r>
      <w:r w:rsidR="00AC28BC" w:rsidRPr="00A9366F">
        <w:rPr>
          <w:rFonts w:ascii="Calibri" w:hAnsi="Calibri"/>
          <w:sz w:val="30"/>
          <w:szCs w:val="30"/>
          <w:lang w:val="en-US"/>
        </w:rPr>
        <w:t xml:space="preserve">there are </w:t>
      </w:r>
      <w:r w:rsidRPr="00A9366F">
        <w:rPr>
          <w:rFonts w:ascii="Calibri" w:hAnsi="Calibri"/>
          <w:sz w:val="30"/>
          <w:szCs w:val="30"/>
          <w:lang w:val="en-US"/>
        </w:rPr>
        <w:t xml:space="preserve">8 POS-terminals and 1 ATM </w:t>
      </w:r>
      <w:r w:rsidR="00AC28BC" w:rsidRPr="00A9366F">
        <w:rPr>
          <w:rFonts w:ascii="Calibri" w:hAnsi="Calibri"/>
          <w:sz w:val="30"/>
          <w:szCs w:val="30"/>
          <w:lang w:val="en-US"/>
        </w:rPr>
        <w:t xml:space="preserve">per 1,000 holders. </w:t>
      </w:r>
    </w:p>
    <w:p w:rsidR="00B571B2" w:rsidRPr="00A9366F" w:rsidRDefault="00B571B2" w:rsidP="00176F0A">
      <w:pPr>
        <w:ind w:firstLine="709"/>
        <w:jc w:val="both"/>
        <w:rPr>
          <w:rFonts w:ascii="Calibri" w:hAnsi="Calibri"/>
          <w:sz w:val="14"/>
          <w:szCs w:val="30"/>
          <w:lang w:val="en-US"/>
        </w:rPr>
      </w:pPr>
    </w:p>
    <w:tbl>
      <w:tblPr>
        <w:tblStyle w:val="a3"/>
        <w:tblW w:w="0" w:type="auto"/>
        <w:shd w:val="clear" w:color="auto" w:fill="E6E6E6"/>
        <w:tblLook w:val="01E0" w:firstRow="1" w:lastRow="1" w:firstColumn="1" w:lastColumn="1" w:noHBand="0" w:noVBand="0"/>
      </w:tblPr>
      <w:tblGrid>
        <w:gridCol w:w="9570"/>
      </w:tblGrid>
      <w:tr w:rsidR="00FC33C8" w:rsidRPr="00EA720F" w:rsidTr="005F0BFB">
        <w:trPr>
          <w:trHeight w:val="2566"/>
        </w:trPr>
        <w:tc>
          <w:tcPr>
            <w:tcW w:w="9570" w:type="dxa"/>
            <w:shd w:val="clear" w:color="auto" w:fill="E6E6E6"/>
          </w:tcPr>
          <w:p w:rsidR="00FC33C8" w:rsidRPr="00A9366F" w:rsidRDefault="007E22AB" w:rsidP="00176F0A">
            <w:pPr>
              <w:widowControl w:val="0"/>
              <w:autoSpaceDE w:val="0"/>
              <w:autoSpaceDN w:val="0"/>
              <w:adjustRightInd w:val="0"/>
              <w:jc w:val="center"/>
              <w:rPr>
                <w:rFonts w:ascii="Calibri" w:hAnsi="Calibri" w:cs="Arial"/>
                <w:b/>
                <w:spacing w:val="-4"/>
                <w:lang w:val="en-US"/>
              </w:rPr>
            </w:pPr>
            <w:r w:rsidRPr="00A9366F">
              <w:rPr>
                <w:rFonts w:ascii="Calibri" w:hAnsi="Calibri" w:cs="Arial"/>
                <w:b/>
                <w:spacing w:val="-4"/>
                <w:lang w:val="en-US"/>
              </w:rPr>
              <w:t>Box</w:t>
            </w:r>
            <w:r w:rsidR="00FC33C8" w:rsidRPr="00A9366F">
              <w:rPr>
                <w:rFonts w:ascii="Calibri" w:hAnsi="Calibri" w:cs="Arial"/>
                <w:b/>
                <w:spacing w:val="-4"/>
                <w:lang w:val="en-US"/>
              </w:rPr>
              <w:t xml:space="preserve"> 4 – </w:t>
            </w:r>
            <w:r w:rsidR="00FB400A" w:rsidRPr="00A9366F">
              <w:rPr>
                <w:rFonts w:ascii="Calibri" w:hAnsi="Calibri" w:cs="Arial"/>
                <w:b/>
                <w:spacing w:val="-4"/>
                <w:lang w:val="en-US"/>
              </w:rPr>
              <w:t xml:space="preserve">Comparison of indicators </w:t>
            </w:r>
          </w:p>
          <w:tbl>
            <w:tblPr>
              <w:tblpPr w:leftFromText="180" w:rightFromText="180" w:vertAnchor="text" w:horzAnchor="page" w:tblpX="547" w:tblpY="15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932"/>
              <w:gridCol w:w="3084"/>
            </w:tblGrid>
            <w:tr w:rsidR="00FC33C8" w:rsidRPr="00EA720F" w:rsidTr="00FC33C8">
              <w:tc>
                <w:tcPr>
                  <w:tcW w:w="2340" w:type="dxa"/>
                  <w:vMerge w:val="restart"/>
                  <w:shd w:val="clear" w:color="auto" w:fill="C2D69B"/>
                  <w:vAlign w:val="center"/>
                </w:tcPr>
                <w:p w:rsidR="00FC33C8" w:rsidRPr="00A9366F" w:rsidRDefault="00FB400A" w:rsidP="00176F0A">
                  <w:pPr>
                    <w:rPr>
                      <w:rFonts w:ascii="Calibri" w:hAnsi="Calibri"/>
                      <w:b/>
                      <w:lang w:val="en-US"/>
                    </w:rPr>
                  </w:pPr>
                  <w:r w:rsidRPr="00A9366F">
                    <w:rPr>
                      <w:rFonts w:ascii="Calibri" w:hAnsi="Calibri"/>
                      <w:b/>
                      <w:lang w:val="en-US"/>
                    </w:rPr>
                    <w:t>Country</w:t>
                  </w:r>
                </w:p>
              </w:tc>
              <w:tc>
                <w:tcPr>
                  <w:tcW w:w="7016" w:type="dxa"/>
                  <w:gridSpan w:val="2"/>
                  <w:shd w:val="clear" w:color="auto" w:fill="C2D69B"/>
                  <w:vAlign w:val="center"/>
                </w:tcPr>
                <w:p w:rsidR="00FC33C8" w:rsidRPr="00A9366F" w:rsidRDefault="00FB400A" w:rsidP="00FB400A">
                  <w:pPr>
                    <w:jc w:val="center"/>
                    <w:rPr>
                      <w:rFonts w:ascii="Calibri" w:hAnsi="Calibri"/>
                      <w:b/>
                      <w:lang w:val="en-US"/>
                    </w:rPr>
                  </w:pPr>
                  <w:r w:rsidRPr="00A9366F">
                    <w:rPr>
                      <w:rFonts w:ascii="Calibri" w:hAnsi="Calibri"/>
                      <w:b/>
                      <w:lang w:val="en-US"/>
                    </w:rPr>
                    <w:t>per</w:t>
                  </w:r>
                  <w:r w:rsidR="00FC33C8" w:rsidRPr="00A9366F">
                    <w:rPr>
                      <w:rFonts w:ascii="Calibri" w:hAnsi="Calibri"/>
                      <w:b/>
                      <w:lang w:val="en-US"/>
                    </w:rPr>
                    <w:t xml:space="preserve"> 1</w:t>
                  </w:r>
                  <w:r w:rsidRPr="00A9366F">
                    <w:rPr>
                      <w:rFonts w:ascii="Calibri" w:hAnsi="Calibri"/>
                      <w:b/>
                      <w:lang w:val="en-US"/>
                    </w:rPr>
                    <w:t>,</w:t>
                  </w:r>
                  <w:r w:rsidR="00FC33C8" w:rsidRPr="00A9366F">
                    <w:rPr>
                      <w:rFonts w:ascii="Calibri" w:hAnsi="Calibri"/>
                      <w:b/>
                      <w:lang w:val="en-US"/>
                    </w:rPr>
                    <w:t xml:space="preserve">000 </w:t>
                  </w:r>
                  <w:r w:rsidRPr="00A9366F">
                    <w:rPr>
                      <w:rFonts w:ascii="Calibri" w:hAnsi="Calibri"/>
                      <w:b/>
                      <w:lang w:val="en-US"/>
                    </w:rPr>
                    <w:t>payment cards in circulation (2016)</w:t>
                  </w:r>
                </w:p>
              </w:tc>
            </w:tr>
            <w:tr w:rsidR="00FC33C8" w:rsidRPr="00EA720F" w:rsidTr="00FC33C8">
              <w:tc>
                <w:tcPr>
                  <w:tcW w:w="2340" w:type="dxa"/>
                  <w:vMerge/>
                  <w:shd w:val="clear" w:color="auto" w:fill="C2D69B"/>
                </w:tcPr>
                <w:p w:rsidR="00FC33C8" w:rsidRPr="00A9366F" w:rsidRDefault="00FC33C8" w:rsidP="00176F0A">
                  <w:pPr>
                    <w:jc w:val="both"/>
                    <w:rPr>
                      <w:rFonts w:ascii="Calibri" w:hAnsi="Calibri"/>
                      <w:b/>
                      <w:lang w:val="en-US"/>
                    </w:rPr>
                  </w:pPr>
                </w:p>
              </w:tc>
              <w:tc>
                <w:tcPr>
                  <w:tcW w:w="3932" w:type="dxa"/>
                  <w:shd w:val="clear" w:color="auto" w:fill="C2D69B"/>
                  <w:vAlign w:val="center"/>
                </w:tcPr>
                <w:p w:rsidR="00FC33C8" w:rsidRPr="00A9366F" w:rsidRDefault="00FC33C8" w:rsidP="00FB400A">
                  <w:pPr>
                    <w:jc w:val="center"/>
                    <w:rPr>
                      <w:rFonts w:ascii="Calibri" w:hAnsi="Calibri"/>
                      <w:b/>
                      <w:lang w:val="en-US"/>
                    </w:rPr>
                  </w:pPr>
                  <w:r w:rsidRPr="00A9366F">
                    <w:rPr>
                      <w:rFonts w:ascii="Calibri" w:hAnsi="Calibri"/>
                      <w:b/>
                      <w:lang w:val="en-US"/>
                    </w:rPr>
                    <w:t>POS-</w:t>
                  </w:r>
                  <w:r w:rsidR="00FB400A" w:rsidRPr="00A9366F">
                    <w:rPr>
                      <w:rFonts w:ascii="Calibri" w:hAnsi="Calibri"/>
                      <w:b/>
                      <w:lang w:val="en-US"/>
                    </w:rPr>
                    <w:t>terminals</w:t>
                  </w:r>
                </w:p>
              </w:tc>
              <w:tc>
                <w:tcPr>
                  <w:tcW w:w="3084" w:type="dxa"/>
                  <w:shd w:val="clear" w:color="auto" w:fill="C2D69B"/>
                  <w:vAlign w:val="center"/>
                </w:tcPr>
                <w:p w:rsidR="00FC33C8" w:rsidRPr="00A9366F" w:rsidRDefault="00FB400A" w:rsidP="00176F0A">
                  <w:pPr>
                    <w:jc w:val="center"/>
                    <w:rPr>
                      <w:rFonts w:ascii="Calibri" w:hAnsi="Calibri"/>
                      <w:b/>
                      <w:lang w:val="en-US"/>
                    </w:rPr>
                  </w:pPr>
                  <w:r w:rsidRPr="00A9366F">
                    <w:rPr>
                      <w:rFonts w:ascii="Calibri" w:hAnsi="Calibri"/>
                      <w:b/>
                      <w:lang w:val="en-US"/>
                    </w:rPr>
                    <w:t>ATMs</w:t>
                  </w:r>
                </w:p>
              </w:tc>
            </w:tr>
            <w:tr w:rsidR="00FC33C8" w:rsidRPr="00EA720F" w:rsidTr="00FC33C8">
              <w:tc>
                <w:tcPr>
                  <w:tcW w:w="2340" w:type="dxa"/>
                  <w:shd w:val="clear" w:color="auto" w:fill="auto"/>
                </w:tcPr>
                <w:p w:rsidR="00FC33C8" w:rsidRPr="00A9366F" w:rsidRDefault="00FB400A" w:rsidP="00176F0A">
                  <w:pPr>
                    <w:jc w:val="both"/>
                    <w:rPr>
                      <w:rFonts w:ascii="Calibri" w:hAnsi="Calibri"/>
                      <w:lang w:val="en-US"/>
                    </w:rPr>
                  </w:pPr>
                  <w:r w:rsidRPr="00A9366F">
                    <w:rPr>
                      <w:rFonts w:ascii="Calibri" w:hAnsi="Calibri"/>
                      <w:lang w:val="en-US"/>
                    </w:rPr>
                    <w:t xml:space="preserve">Kazakhstan </w:t>
                  </w:r>
                </w:p>
              </w:tc>
              <w:tc>
                <w:tcPr>
                  <w:tcW w:w="3932"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6,3</w:t>
                  </w:r>
                </w:p>
              </w:tc>
              <w:tc>
                <w:tcPr>
                  <w:tcW w:w="3084"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0,6</w:t>
                  </w:r>
                </w:p>
              </w:tc>
            </w:tr>
            <w:tr w:rsidR="00FC33C8" w:rsidRPr="00EA720F" w:rsidTr="00FC33C8">
              <w:tc>
                <w:tcPr>
                  <w:tcW w:w="2340" w:type="dxa"/>
                  <w:shd w:val="clear" w:color="auto" w:fill="auto"/>
                </w:tcPr>
                <w:p w:rsidR="00FC33C8" w:rsidRPr="00A9366F" w:rsidRDefault="00FB400A" w:rsidP="00FB400A">
                  <w:pPr>
                    <w:jc w:val="both"/>
                    <w:rPr>
                      <w:rFonts w:ascii="Calibri" w:hAnsi="Calibri"/>
                      <w:lang w:val="en-US"/>
                    </w:rPr>
                  </w:pPr>
                  <w:r w:rsidRPr="00A9366F">
                    <w:rPr>
                      <w:rFonts w:ascii="Calibri" w:hAnsi="Calibri"/>
                      <w:lang w:val="en-US"/>
                    </w:rPr>
                    <w:t>Russia</w:t>
                  </w:r>
                </w:p>
              </w:tc>
              <w:tc>
                <w:tcPr>
                  <w:tcW w:w="3932"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7,0</w:t>
                  </w:r>
                </w:p>
              </w:tc>
              <w:tc>
                <w:tcPr>
                  <w:tcW w:w="3084"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0,8</w:t>
                  </w:r>
                </w:p>
              </w:tc>
            </w:tr>
            <w:tr w:rsidR="00FC33C8" w:rsidRPr="00EA720F" w:rsidTr="00FC33C8">
              <w:tc>
                <w:tcPr>
                  <w:tcW w:w="2340" w:type="dxa"/>
                  <w:shd w:val="clear" w:color="auto" w:fill="auto"/>
                </w:tcPr>
                <w:p w:rsidR="00FC33C8" w:rsidRPr="00A9366F" w:rsidRDefault="00FB400A" w:rsidP="00176F0A">
                  <w:pPr>
                    <w:jc w:val="both"/>
                    <w:rPr>
                      <w:rFonts w:ascii="Calibri" w:hAnsi="Calibri"/>
                      <w:lang w:val="en-US"/>
                    </w:rPr>
                  </w:pPr>
                  <w:r w:rsidRPr="00A9366F">
                    <w:rPr>
                      <w:rFonts w:ascii="Calibri" w:hAnsi="Calibri"/>
                      <w:lang w:val="en-US"/>
                    </w:rPr>
                    <w:t xml:space="preserve">Belarus </w:t>
                  </w:r>
                </w:p>
              </w:tc>
              <w:tc>
                <w:tcPr>
                  <w:tcW w:w="3932"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9,1</w:t>
                  </w:r>
                </w:p>
              </w:tc>
              <w:tc>
                <w:tcPr>
                  <w:tcW w:w="3084"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0,4</w:t>
                  </w:r>
                </w:p>
              </w:tc>
            </w:tr>
            <w:tr w:rsidR="00FC33C8" w:rsidRPr="00EA720F" w:rsidTr="00FC33C8">
              <w:tc>
                <w:tcPr>
                  <w:tcW w:w="2340" w:type="dxa"/>
                  <w:shd w:val="clear" w:color="auto" w:fill="auto"/>
                </w:tcPr>
                <w:p w:rsidR="00FC33C8" w:rsidRPr="00A9366F" w:rsidRDefault="00FB400A" w:rsidP="00FB400A">
                  <w:pPr>
                    <w:jc w:val="both"/>
                    <w:rPr>
                      <w:rFonts w:ascii="Calibri" w:hAnsi="Calibri"/>
                      <w:lang w:val="en-US"/>
                    </w:rPr>
                  </w:pPr>
                  <w:r w:rsidRPr="00A9366F">
                    <w:rPr>
                      <w:rFonts w:ascii="Calibri" w:hAnsi="Calibri"/>
                      <w:lang w:val="en-US"/>
                    </w:rPr>
                    <w:t>Kyrgyzstan</w:t>
                  </w:r>
                </w:p>
              </w:tc>
              <w:tc>
                <w:tcPr>
                  <w:tcW w:w="3932"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3,5</w:t>
                  </w:r>
                </w:p>
              </w:tc>
              <w:tc>
                <w:tcPr>
                  <w:tcW w:w="3084" w:type="dxa"/>
                  <w:shd w:val="clear" w:color="auto" w:fill="auto"/>
                  <w:vAlign w:val="center"/>
                </w:tcPr>
                <w:p w:rsidR="00FC33C8" w:rsidRPr="00A9366F" w:rsidRDefault="00FC33C8" w:rsidP="00176F0A">
                  <w:pPr>
                    <w:jc w:val="center"/>
                    <w:rPr>
                      <w:rFonts w:ascii="Calibri" w:hAnsi="Calibri"/>
                      <w:lang w:val="en-US"/>
                    </w:rPr>
                  </w:pPr>
                  <w:r w:rsidRPr="00A9366F">
                    <w:rPr>
                      <w:rFonts w:ascii="Calibri" w:hAnsi="Calibri"/>
                      <w:lang w:val="en-US"/>
                    </w:rPr>
                    <w:t>0,8</w:t>
                  </w:r>
                </w:p>
              </w:tc>
            </w:tr>
          </w:tbl>
          <w:p w:rsidR="00FC33C8" w:rsidRPr="00A9366F" w:rsidRDefault="00FB400A" w:rsidP="00600BC7">
            <w:pPr>
              <w:ind w:firstLine="720"/>
              <w:jc w:val="both"/>
              <w:rPr>
                <w:rFonts w:ascii="Calibri" w:hAnsi="Calibri" w:cs="Arial"/>
                <w:spacing w:val="-4"/>
                <w:sz w:val="16"/>
                <w:szCs w:val="16"/>
                <w:lang w:val="en-US"/>
              </w:rPr>
            </w:pPr>
            <w:r w:rsidRPr="00A9366F">
              <w:rPr>
                <w:rFonts w:ascii="Calibri" w:hAnsi="Calibri"/>
                <w:lang w:val="en-US"/>
              </w:rPr>
              <w:t xml:space="preserve">It follows from the Table that Kazakhstan is behind the Russian Federation and Republic of Belarus </w:t>
            </w:r>
            <w:r w:rsidR="005A4F6B" w:rsidRPr="00A9366F">
              <w:rPr>
                <w:rFonts w:ascii="Calibri" w:hAnsi="Calibri"/>
                <w:lang w:val="en-US"/>
              </w:rPr>
              <w:t>in</w:t>
            </w:r>
            <w:r w:rsidR="006244C1" w:rsidRPr="00A9366F">
              <w:rPr>
                <w:rFonts w:ascii="Calibri" w:hAnsi="Calibri"/>
                <w:lang w:val="en-US"/>
              </w:rPr>
              <w:t xml:space="preserve"> terms of the</w:t>
            </w:r>
            <w:r w:rsidR="005A4F6B" w:rsidRPr="00A9366F">
              <w:rPr>
                <w:rFonts w:ascii="Calibri" w:hAnsi="Calibri"/>
                <w:lang w:val="en-US"/>
              </w:rPr>
              <w:t xml:space="preserve"> </w:t>
            </w:r>
            <w:r w:rsidR="006B03CB" w:rsidRPr="00A9366F">
              <w:rPr>
                <w:rFonts w:ascii="Calibri" w:hAnsi="Calibri"/>
                <w:lang w:val="en-US"/>
              </w:rPr>
              <w:t>number of POS-terminals per 1,000 payment cards in circulation.</w:t>
            </w:r>
          </w:p>
        </w:tc>
      </w:tr>
    </w:tbl>
    <w:p w:rsidR="00D1183C" w:rsidRPr="00A9366F" w:rsidRDefault="00D1183C" w:rsidP="00176F0A">
      <w:pPr>
        <w:ind w:firstLine="720"/>
        <w:jc w:val="both"/>
        <w:rPr>
          <w:rFonts w:ascii="Calibri" w:hAnsi="Calibri"/>
          <w:b/>
          <w:sz w:val="8"/>
          <w:szCs w:val="30"/>
          <w:lang w:val="en-US"/>
        </w:rPr>
      </w:pPr>
    </w:p>
    <w:p w:rsidR="006B03CB" w:rsidRPr="00A9366F" w:rsidRDefault="009B2042" w:rsidP="006B03CB">
      <w:pPr>
        <w:ind w:firstLine="720"/>
        <w:jc w:val="both"/>
        <w:rPr>
          <w:rFonts w:ascii="Calibri" w:hAnsi="Calibri"/>
          <w:sz w:val="30"/>
          <w:szCs w:val="30"/>
          <w:lang w:val="en-US"/>
        </w:rPr>
      </w:pPr>
      <w:r w:rsidRPr="00A9366F">
        <w:rPr>
          <w:rFonts w:ascii="Calibri" w:hAnsi="Calibri"/>
          <w:b/>
          <w:sz w:val="30"/>
          <w:szCs w:val="30"/>
          <w:lang w:val="en-US"/>
        </w:rPr>
        <w:t>Almaty has t</w:t>
      </w:r>
      <w:r w:rsidR="006B03CB" w:rsidRPr="00A9366F">
        <w:rPr>
          <w:rFonts w:ascii="Calibri" w:hAnsi="Calibri"/>
          <w:b/>
          <w:sz w:val="30"/>
          <w:szCs w:val="30"/>
          <w:lang w:val="en-US"/>
        </w:rPr>
        <w:t>he most developed network of the remote bank services in absolute terms</w:t>
      </w:r>
      <w:r w:rsidRPr="00A9366F">
        <w:rPr>
          <w:rFonts w:ascii="Calibri" w:hAnsi="Calibri"/>
          <w:b/>
          <w:sz w:val="30"/>
          <w:szCs w:val="30"/>
          <w:lang w:val="en-US"/>
        </w:rPr>
        <w:t xml:space="preserve">; </w:t>
      </w:r>
      <w:r w:rsidRPr="00A9366F">
        <w:rPr>
          <w:rFonts w:ascii="Calibri" w:hAnsi="Calibri"/>
          <w:sz w:val="30"/>
          <w:szCs w:val="30"/>
          <w:lang w:val="en-US"/>
        </w:rPr>
        <w:t xml:space="preserve">in Almaty </w:t>
      </w:r>
      <w:r w:rsidR="006B03CB" w:rsidRPr="00A9366F">
        <w:rPr>
          <w:rFonts w:ascii="Calibri" w:hAnsi="Calibri"/>
          <w:sz w:val="30"/>
          <w:szCs w:val="30"/>
          <w:lang w:val="en-US"/>
        </w:rPr>
        <w:t>there are 28.6% of the total number of POS-terminals installed at entrepreneur</w:t>
      </w:r>
      <w:r w:rsidRPr="00A9366F">
        <w:rPr>
          <w:rFonts w:ascii="Calibri" w:hAnsi="Calibri"/>
          <w:sz w:val="30"/>
          <w:szCs w:val="30"/>
          <w:lang w:val="en-US"/>
        </w:rPr>
        <w:t>s</w:t>
      </w:r>
      <w:r w:rsidR="006B03CB" w:rsidRPr="00A9366F">
        <w:rPr>
          <w:rFonts w:ascii="Calibri" w:hAnsi="Calibri"/>
          <w:sz w:val="30"/>
          <w:szCs w:val="30"/>
          <w:lang w:val="en-US"/>
        </w:rPr>
        <w:t xml:space="preserve"> and banks; 29.1% of entrepreneurs that have signed agreements for installation of POS-terminals with banks; 28.6% of </w:t>
      </w:r>
      <w:r w:rsidR="00C66A2A" w:rsidRPr="00A9366F">
        <w:rPr>
          <w:rFonts w:ascii="Calibri" w:hAnsi="Calibri"/>
          <w:sz w:val="30"/>
          <w:szCs w:val="30"/>
          <w:lang w:val="en-US"/>
        </w:rPr>
        <w:t>points of sale</w:t>
      </w:r>
      <w:r w:rsidR="006B03CB" w:rsidRPr="00A9366F">
        <w:rPr>
          <w:rFonts w:ascii="Calibri" w:hAnsi="Calibri"/>
          <w:sz w:val="30"/>
          <w:szCs w:val="30"/>
          <w:lang w:val="en-US"/>
        </w:rPr>
        <w:t xml:space="preserve"> where POS-terminals are installed; </w:t>
      </w:r>
      <w:r w:rsidRPr="00A9366F">
        <w:rPr>
          <w:rFonts w:ascii="Calibri" w:hAnsi="Calibri"/>
          <w:sz w:val="30"/>
          <w:szCs w:val="30"/>
          <w:lang w:val="en-US"/>
        </w:rPr>
        <w:t>19.</w:t>
      </w:r>
      <w:r w:rsidR="006B03CB" w:rsidRPr="00A9366F">
        <w:rPr>
          <w:rFonts w:ascii="Calibri" w:hAnsi="Calibri"/>
          <w:sz w:val="30"/>
          <w:szCs w:val="30"/>
          <w:lang w:val="en-US"/>
        </w:rPr>
        <w:t xml:space="preserve">3% </w:t>
      </w:r>
      <w:r w:rsidRPr="00A9366F">
        <w:rPr>
          <w:rFonts w:ascii="Calibri" w:hAnsi="Calibri"/>
          <w:sz w:val="30"/>
          <w:szCs w:val="30"/>
          <w:lang w:val="en-US"/>
        </w:rPr>
        <w:t>of ATMs; 14.</w:t>
      </w:r>
      <w:r w:rsidR="006B03CB" w:rsidRPr="00A9366F">
        <w:rPr>
          <w:rFonts w:ascii="Calibri" w:hAnsi="Calibri"/>
          <w:sz w:val="30"/>
          <w:szCs w:val="30"/>
          <w:lang w:val="en-US"/>
        </w:rPr>
        <w:t xml:space="preserve">7% </w:t>
      </w:r>
      <w:r w:rsidRPr="00A9366F">
        <w:rPr>
          <w:rFonts w:ascii="Calibri" w:hAnsi="Calibri"/>
          <w:sz w:val="30"/>
          <w:szCs w:val="30"/>
          <w:lang w:val="en-US"/>
        </w:rPr>
        <w:t>of bank kiosks and 15.</w:t>
      </w:r>
      <w:r w:rsidR="006B03CB" w:rsidRPr="00A9366F">
        <w:rPr>
          <w:rFonts w:ascii="Calibri" w:hAnsi="Calibri"/>
          <w:sz w:val="30"/>
          <w:szCs w:val="30"/>
          <w:lang w:val="en-US"/>
        </w:rPr>
        <w:t xml:space="preserve">8% </w:t>
      </w:r>
      <w:r w:rsidRPr="00A9366F">
        <w:rPr>
          <w:rFonts w:ascii="Calibri" w:hAnsi="Calibri"/>
          <w:sz w:val="30"/>
          <w:szCs w:val="30"/>
          <w:lang w:val="en-US"/>
        </w:rPr>
        <w:t>instant payment terminals of those installed throughout the country.</w:t>
      </w:r>
    </w:p>
    <w:p w:rsidR="00504B23" w:rsidRPr="00A9366F" w:rsidRDefault="009B2042" w:rsidP="00176F0A">
      <w:pPr>
        <w:ind w:firstLine="720"/>
        <w:jc w:val="both"/>
        <w:rPr>
          <w:rFonts w:ascii="Calibri" w:hAnsi="Calibri"/>
          <w:sz w:val="30"/>
          <w:szCs w:val="30"/>
          <w:lang w:val="en-US"/>
        </w:rPr>
      </w:pPr>
      <w:r w:rsidRPr="00A9366F">
        <w:rPr>
          <w:rFonts w:ascii="Calibri" w:hAnsi="Calibri"/>
          <w:sz w:val="30"/>
          <w:szCs w:val="30"/>
          <w:lang w:val="en-US"/>
        </w:rPr>
        <w:t xml:space="preserve">In terms of the ratio of a number of payment card holders to a number of electronic terminals, the most favorable situation is in Astana and Pavlodar </w:t>
      </w:r>
      <w:r w:rsidR="009632FC" w:rsidRPr="00A9366F">
        <w:rPr>
          <w:rFonts w:ascii="Calibri" w:hAnsi="Calibri"/>
          <w:sz w:val="30"/>
          <w:szCs w:val="30"/>
          <w:lang w:val="en-US"/>
        </w:rPr>
        <w:t>Oblast</w:t>
      </w:r>
      <w:r w:rsidRPr="00A9366F">
        <w:rPr>
          <w:rFonts w:ascii="Calibri" w:hAnsi="Calibri"/>
          <w:sz w:val="30"/>
          <w:szCs w:val="30"/>
          <w:lang w:val="en-US"/>
        </w:rPr>
        <w:t>, where there is the least number of card</w:t>
      </w:r>
      <w:r w:rsidR="009632FC" w:rsidRPr="00A9366F">
        <w:rPr>
          <w:rFonts w:ascii="Calibri" w:hAnsi="Calibri"/>
          <w:sz w:val="30"/>
          <w:szCs w:val="30"/>
          <w:lang w:val="en-US"/>
        </w:rPr>
        <w:t xml:space="preserve"> </w:t>
      </w:r>
      <w:r w:rsidRPr="00A9366F">
        <w:rPr>
          <w:rFonts w:ascii="Calibri" w:hAnsi="Calibri"/>
          <w:sz w:val="30"/>
          <w:szCs w:val="30"/>
          <w:lang w:val="en-US"/>
        </w:rPr>
        <w:t>holders per unit of electronic terminal.  At the same time, the largest number of payment card</w:t>
      </w:r>
      <w:r w:rsidR="009632FC" w:rsidRPr="00A9366F">
        <w:rPr>
          <w:rFonts w:ascii="Calibri" w:hAnsi="Calibri"/>
          <w:sz w:val="30"/>
          <w:szCs w:val="30"/>
          <w:lang w:val="en-US"/>
        </w:rPr>
        <w:t xml:space="preserve"> </w:t>
      </w:r>
      <w:r w:rsidRPr="00A9366F">
        <w:rPr>
          <w:rFonts w:ascii="Calibri" w:hAnsi="Calibri"/>
          <w:sz w:val="30"/>
          <w:szCs w:val="30"/>
          <w:lang w:val="en-US"/>
        </w:rPr>
        <w:t xml:space="preserve">holders per unit of electronic terminal is in South Kazakhstan Oblast and </w:t>
      </w:r>
      <w:proofErr w:type="spellStart"/>
      <w:r w:rsidRPr="00A9366F">
        <w:rPr>
          <w:rFonts w:ascii="Calibri" w:hAnsi="Calibri"/>
          <w:sz w:val="30"/>
          <w:szCs w:val="30"/>
          <w:lang w:val="en-US"/>
        </w:rPr>
        <w:t>Zhambyl</w:t>
      </w:r>
      <w:proofErr w:type="spellEnd"/>
      <w:r w:rsidRPr="00A9366F">
        <w:rPr>
          <w:rFonts w:ascii="Calibri" w:hAnsi="Calibri"/>
          <w:sz w:val="30"/>
          <w:szCs w:val="30"/>
          <w:lang w:val="en-US"/>
        </w:rPr>
        <w:t xml:space="preserve"> Oblast</w:t>
      </w:r>
      <w:r w:rsidR="00504B23" w:rsidRPr="00A9366F">
        <w:rPr>
          <w:rFonts w:ascii="Calibri" w:hAnsi="Calibri"/>
          <w:sz w:val="30"/>
          <w:szCs w:val="30"/>
          <w:lang w:val="en-US"/>
        </w:rPr>
        <w:t>.</w:t>
      </w:r>
    </w:p>
    <w:p w:rsidR="009B2042" w:rsidRPr="00A9366F" w:rsidRDefault="009B2042" w:rsidP="00176F0A">
      <w:pPr>
        <w:ind w:firstLine="720"/>
        <w:jc w:val="both"/>
        <w:rPr>
          <w:rFonts w:ascii="Calibri" w:hAnsi="Calibri"/>
          <w:sz w:val="30"/>
          <w:szCs w:val="30"/>
          <w:lang w:val="en-US"/>
        </w:rPr>
      </w:pPr>
      <w:r w:rsidRPr="00A9366F">
        <w:rPr>
          <w:rFonts w:ascii="Calibri" w:hAnsi="Calibri"/>
          <w:sz w:val="30"/>
          <w:szCs w:val="30"/>
          <w:lang w:val="en-US"/>
        </w:rPr>
        <w:t>When installing electronic terminals (developing network</w:t>
      </w:r>
      <w:r w:rsidR="009632FC" w:rsidRPr="00A9366F">
        <w:rPr>
          <w:rFonts w:ascii="Calibri" w:hAnsi="Calibri"/>
          <w:sz w:val="30"/>
          <w:szCs w:val="30"/>
          <w:lang w:val="en-US"/>
        </w:rPr>
        <w:t xml:space="preserve"> of electronic terminals</w:t>
      </w:r>
      <w:r w:rsidRPr="00A9366F">
        <w:rPr>
          <w:rFonts w:ascii="Calibri" w:hAnsi="Calibri"/>
          <w:sz w:val="30"/>
          <w:szCs w:val="30"/>
          <w:lang w:val="en-US"/>
        </w:rPr>
        <w:t xml:space="preserve">) </w:t>
      </w:r>
      <w:r w:rsidR="00233378" w:rsidRPr="00A9366F">
        <w:rPr>
          <w:rFonts w:ascii="Calibri" w:hAnsi="Calibri"/>
          <w:sz w:val="30"/>
          <w:szCs w:val="30"/>
          <w:lang w:val="en-US"/>
        </w:rPr>
        <w:t>the banks take into account the</w:t>
      </w:r>
      <w:r w:rsidR="009632FC" w:rsidRPr="00A9366F">
        <w:rPr>
          <w:rFonts w:ascii="Calibri" w:hAnsi="Calibri"/>
          <w:sz w:val="30"/>
          <w:szCs w:val="30"/>
          <w:lang w:val="en-US"/>
        </w:rPr>
        <w:t xml:space="preserve"> existing and potential customers – payment card holders and their pay</w:t>
      </w:r>
      <w:r w:rsidR="00233378" w:rsidRPr="00A9366F">
        <w:rPr>
          <w:rFonts w:ascii="Calibri" w:hAnsi="Calibri"/>
          <w:sz w:val="30"/>
          <w:szCs w:val="30"/>
          <w:lang w:val="en-US"/>
        </w:rPr>
        <w:t>ing</w:t>
      </w:r>
      <w:r w:rsidR="009632FC" w:rsidRPr="00A9366F">
        <w:rPr>
          <w:rFonts w:ascii="Calibri" w:hAnsi="Calibri"/>
          <w:sz w:val="30"/>
          <w:szCs w:val="30"/>
          <w:lang w:val="en-US"/>
        </w:rPr>
        <w:t xml:space="preserve"> capacity. </w:t>
      </w:r>
      <w:proofErr w:type="gramStart"/>
      <w:r w:rsidR="009632FC" w:rsidRPr="00A9366F">
        <w:rPr>
          <w:rFonts w:ascii="Calibri" w:hAnsi="Calibri"/>
          <w:sz w:val="30"/>
          <w:szCs w:val="30"/>
          <w:lang w:val="en-US"/>
        </w:rPr>
        <w:t>Thus, there a direct correlation between the</w:t>
      </w:r>
      <w:r w:rsidR="006C0E53" w:rsidRPr="00A9366F">
        <w:rPr>
          <w:rFonts w:ascii="Calibri" w:hAnsi="Calibri"/>
          <w:sz w:val="30"/>
          <w:szCs w:val="30"/>
          <w:lang w:val="en-US"/>
        </w:rPr>
        <w:t xml:space="preserve"> </w:t>
      </w:r>
      <w:r w:rsidR="00550E0F" w:rsidRPr="00A9366F">
        <w:rPr>
          <w:rFonts w:ascii="Calibri" w:hAnsi="Calibri"/>
          <w:sz w:val="30"/>
          <w:szCs w:val="30"/>
          <w:lang w:val="en-US"/>
        </w:rPr>
        <w:t xml:space="preserve">level of </w:t>
      </w:r>
      <w:r w:rsidR="006C0E53" w:rsidRPr="00A9366F">
        <w:rPr>
          <w:rFonts w:ascii="Calibri" w:hAnsi="Calibri"/>
          <w:sz w:val="30"/>
          <w:szCs w:val="30"/>
          <w:lang w:val="en-US"/>
        </w:rPr>
        <w:t>general public i</w:t>
      </w:r>
      <w:r w:rsidR="009632FC" w:rsidRPr="00A9366F">
        <w:rPr>
          <w:rFonts w:ascii="Calibri" w:hAnsi="Calibri"/>
          <w:sz w:val="30"/>
          <w:szCs w:val="30"/>
          <w:lang w:val="en-US"/>
        </w:rPr>
        <w:t xml:space="preserve">ncome and level of development of </w:t>
      </w:r>
      <w:r w:rsidR="00550E0F" w:rsidRPr="00A9366F">
        <w:rPr>
          <w:rFonts w:ascii="Calibri" w:hAnsi="Calibri"/>
          <w:sz w:val="30"/>
          <w:szCs w:val="30"/>
          <w:lang w:val="en-US"/>
        </w:rPr>
        <w:t>the</w:t>
      </w:r>
      <w:r w:rsidR="009632FC" w:rsidRPr="00A9366F">
        <w:rPr>
          <w:rFonts w:ascii="Calibri" w:hAnsi="Calibri"/>
          <w:sz w:val="30"/>
          <w:szCs w:val="30"/>
          <w:lang w:val="en-US"/>
        </w:rPr>
        <w:t xml:space="preserve"> network of electronic terminals.</w:t>
      </w:r>
      <w:proofErr w:type="gramEnd"/>
      <w:r w:rsidR="009632FC" w:rsidRPr="00A9366F">
        <w:rPr>
          <w:rFonts w:ascii="Calibri" w:hAnsi="Calibri"/>
          <w:sz w:val="30"/>
          <w:szCs w:val="30"/>
          <w:lang w:val="en-US"/>
        </w:rPr>
        <w:t xml:space="preserve"> According to the data of the Statistics Committee of the Ministry of National Economy of the Republic of Kazakhstan, the highest per capital nominal cash income is in the city of Astana and, at the level of Oblasts (except for the oil-producing regions) – Pavlodar Oblast has the </w:t>
      </w:r>
      <w:r w:rsidR="00233378" w:rsidRPr="00A9366F">
        <w:rPr>
          <w:rFonts w:ascii="Calibri" w:hAnsi="Calibri"/>
          <w:sz w:val="30"/>
          <w:szCs w:val="30"/>
          <w:lang w:val="en-US"/>
        </w:rPr>
        <w:t xml:space="preserve">highest per capital nominal cash income. The lowest income level is in South Kazakhstan Oblast and </w:t>
      </w:r>
      <w:proofErr w:type="spellStart"/>
      <w:r w:rsidR="00233378" w:rsidRPr="00A9366F">
        <w:rPr>
          <w:rFonts w:ascii="Calibri" w:hAnsi="Calibri"/>
          <w:sz w:val="30"/>
          <w:szCs w:val="30"/>
          <w:lang w:val="en-US"/>
        </w:rPr>
        <w:t>Zhambyl</w:t>
      </w:r>
      <w:proofErr w:type="spellEnd"/>
      <w:r w:rsidR="00233378" w:rsidRPr="00A9366F">
        <w:rPr>
          <w:rFonts w:ascii="Calibri" w:hAnsi="Calibri"/>
          <w:sz w:val="30"/>
          <w:szCs w:val="30"/>
          <w:lang w:val="en-US"/>
        </w:rPr>
        <w:t xml:space="preserve"> Oblast.</w:t>
      </w:r>
    </w:p>
    <w:p w:rsidR="00233378" w:rsidRPr="00A9366F" w:rsidRDefault="00CF32C1" w:rsidP="00CF32C1">
      <w:pPr>
        <w:jc w:val="both"/>
        <w:rPr>
          <w:rFonts w:ascii="Calibri" w:hAnsi="Calibri"/>
          <w:sz w:val="30"/>
          <w:szCs w:val="30"/>
          <w:lang w:val="en-US"/>
        </w:rPr>
      </w:pPr>
      <w:r w:rsidRPr="00CF32C1">
        <w:rPr>
          <w:rFonts w:ascii="Calibri" w:hAnsi="Calibri"/>
          <w:noProof/>
          <w:sz w:val="30"/>
          <w:szCs w:val="30"/>
        </w:rPr>
        <w:drawing>
          <wp:inline distT="0" distB="0" distL="0" distR="0" wp14:anchorId="1F49FDF1" wp14:editId="749FD513">
            <wp:extent cx="5939790" cy="4043030"/>
            <wp:effectExtent l="0" t="0" r="381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9790" cy="4043030"/>
                    </a:xfrm>
                    <a:prstGeom prst="rect">
                      <a:avLst/>
                    </a:prstGeom>
                    <a:noFill/>
                    <a:ln>
                      <a:noFill/>
                    </a:ln>
                    <a:effectLst/>
                    <a:extLst/>
                  </pic:spPr>
                </pic:pic>
              </a:graphicData>
            </a:graphic>
          </wp:inline>
        </w:drawing>
      </w:r>
    </w:p>
    <w:p w:rsidR="00233378" w:rsidRPr="00A9366F" w:rsidRDefault="00233378" w:rsidP="00176F0A">
      <w:pPr>
        <w:ind w:firstLine="709"/>
        <w:jc w:val="both"/>
        <w:rPr>
          <w:rFonts w:ascii="Calibri" w:hAnsi="Calibri"/>
          <w:b/>
          <w:sz w:val="30"/>
          <w:szCs w:val="30"/>
          <w:lang w:val="en-US"/>
        </w:rPr>
      </w:pPr>
      <w:r w:rsidRPr="00A9366F">
        <w:rPr>
          <w:rFonts w:ascii="Calibri" w:hAnsi="Calibri"/>
          <w:sz w:val="30"/>
          <w:szCs w:val="30"/>
          <w:lang w:val="en-US"/>
        </w:rPr>
        <w:t xml:space="preserve">Load on electronic terminals varies; in particular, </w:t>
      </w:r>
      <w:r w:rsidRPr="00A9366F">
        <w:rPr>
          <w:rFonts w:ascii="Calibri" w:hAnsi="Calibri"/>
          <w:b/>
          <w:sz w:val="30"/>
          <w:szCs w:val="30"/>
          <w:lang w:val="en-US"/>
        </w:rPr>
        <w:t>there are about 2 transactions per day per one POS-terminal, 63 transactions per ATM, 11 transactions per bank kiosk and 25 transactions on instant payment terminal (be means of cash-in payment)</w:t>
      </w:r>
      <w:r w:rsidR="005528CA" w:rsidRPr="00A9366F">
        <w:rPr>
          <w:rFonts w:ascii="Calibri" w:hAnsi="Calibri"/>
          <w:b/>
          <w:sz w:val="30"/>
          <w:szCs w:val="30"/>
          <w:lang w:val="en-US"/>
        </w:rPr>
        <w:t>.</w:t>
      </w:r>
    </w:p>
    <w:p w:rsidR="000E4BCF" w:rsidRPr="00A9366F" w:rsidRDefault="000E4BCF" w:rsidP="00176F0A">
      <w:pPr>
        <w:ind w:firstLine="709"/>
        <w:jc w:val="both"/>
        <w:rPr>
          <w:rFonts w:ascii="Calibri" w:hAnsi="Calibri"/>
          <w:sz w:val="30"/>
          <w:szCs w:val="30"/>
          <w:lang w:val="en-US"/>
        </w:rPr>
      </w:pPr>
    </w:p>
    <w:p w:rsidR="00551431" w:rsidRPr="00A9366F" w:rsidRDefault="003E1657" w:rsidP="00176F0A">
      <w:pPr>
        <w:pStyle w:val="2"/>
        <w:pBdr>
          <w:bottom w:val="single" w:sz="12" w:space="1" w:color="auto"/>
        </w:pBdr>
        <w:spacing w:before="0"/>
        <w:jc w:val="both"/>
        <w:rPr>
          <w:rFonts w:ascii="Calibri" w:hAnsi="Calibri"/>
          <w:bCs w:val="0"/>
          <w:snapToGrid w:val="0"/>
          <w:color w:val="0E4C28"/>
          <w:spacing w:val="-2"/>
          <w:sz w:val="32"/>
          <w:lang w:val="en-US"/>
        </w:rPr>
      </w:pPr>
      <w:bookmarkStart w:id="75" w:name="_Toc485627005"/>
      <w:r w:rsidRPr="00A9366F">
        <w:rPr>
          <w:rFonts w:ascii="Calibri" w:hAnsi="Calibri"/>
          <w:bCs w:val="0"/>
          <w:snapToGrid w:val="0"/>
          <w:color w:val="0E4C28"/>
          <w:spacing w:val="-2"/>
          <w:sz w:val="32"/>
          <w:lang w:val="en-US"/>
        </w:rPr>
        <w:t>3</w:t>
      </w:r>
      <w:r w:rsidR="00551431" w:rsidRPr="00A9366F">
        <w:rPr>
          <w:rFonts w:ascii="Calibri" w:hAnsi="Calibri"/>
          <w:bCs w:val="0"/>
          <w:snapToGrid w:val="0"/>
          <w:color w:val="0E4C28"/>
          <w:spacing w:val="-2"/>
          <w:sz w:val="32"/>
          <w:lang w:val="en-US"/>
        </w:rPr>
        <w:t>.2</w:t>
      </w:r>
      <w:r w:rsidR="00294301" w:rsidRPr="00A9366F">
        <w:rPr>
          <w:rFonts w:ascii="Calibri" w:hAnsi="Calibri"/>
          <w:bCs w:val="0"/>
          <w:snapToGrid w:val="0"/>
          <w:color w:val="0E4C28"/>
          <w:spacing w:val="-2"/>
          <w:sz w:val="32"/>
          <w:lang w:val="en-US"/>
        </w:rPr>
        <w:t>.</w:t>
      </w:r>
      <w:r w:rsidR="00551431" w:rsidRPr="00A9366F">
        <w:rPr>
          <w:rFonts w:ascii="Calibri" w:hAnsi="Calibri"/>
          <w:bCs w:val="0"/>
          <w:snapToGrid w:val="0"/>
          <w:color w:val="0E4C28"/>
          <w:spacing w:val="-2"/>
          <w:sz w:val="32"/>
          <w:lang w:val="en-US"/>
        </w:rPr>
        <w:t xml:space="preserve"> </w:t>
      </w:r>
      <w:r w:rsidR="005528CA" w:rsidRPr="00A9366F">
        <w:rPr>
          <w:rFonts w:ascii="Calibri" w:hAnsi="Calibri"/>
          <w:bCs w:val="0"/>
          <w:snapToGrid w:val="0"/>
          <w:color w:val="0E4C28"/>
          <w:spacing w:val="-2"/>
          <w:sz w:val="32"/>
          <w:lang w:val="en-US"/>
        </w:rPr>
        <w:t>Payment services provided through the remote access systems</w:t>
      </w:r>
      <w:bookmarkEnd w:id="75"/>
      <w:r w:rsidR="005528CA" w:rsidRPr="00A9366F">
        <w:rPr>
          <w:rFonts w:ascii="Calibri" w:hAnsi="Calibri"/>
          <w:bCs w:val="0"/>
          <w:snapToGrid w:val="0"/>
          <w:color w:val="0E4C28"/>
          <w:spacing w:val="-2"/>
          <w:sz w:val="32"/>
          <w:lang w:val="en-US"/>
        </w:rPr>
        <w:t xml:space="preserve"> </w:t>
      </w:r>
    </w:p>
    <w:p w:rsidR="000E6A55" w:rsidRPr="00A9366F" w:rsidRDefault="000E6A55" w:rsidP="00176F0A">
      <w:pPr>
        <w:ind w:firstLine="709"/>
        <w:jc w:val="both"/>
        <w:rPr>
          <w:rFonts w:ascii="Calibri" w:hAnsi="Calibri"/>
          <w:sz w:val="30"/>
          <w:szCs w:val="30"/>
          <w:lang w:val="en-US"/>
        </w:rPr>
      </w:pPr>
    </w:p>
    <w:p w:rsidR="000E6A55" w:rsidRPr="00A9366F" w:rsidRDefault="00FB60A9" w:rsidP="000E6A55">
      <w:pPr>
        <w:ind w:firstLine="709"/>
        <w:jc w:val="both"/>
        <w:rPr>
          <w:rFonts w:ascii="Calibri" w:hAnsi="Calibri"/>
          <w:b/>
          <w:sz w:val="30"/>
          <w:szCs w:val="30"/>
          <w:lang w:val="en-US"/>
        </w:rPr>
      </w:pPr>
      <w:r w:rsidRPr="00A9366F">
        <w:rPr>
          <w:rFonts w:ascii="Calibri" w:hAnsi="Calibri"/>
          <w:noProof/>
          <w:sz w:val="30"/>
          <w:szCs w:val="30"/>
        </w:rPr>
        <mc:AlternateContent>
          <mc:Choice Requires="wps">
            <w:drawing>
              <wp:anchor distT="0" distB="0" distL="114300" distR="114300" simplePos="0" relativeHeight="251696128" behindDoc="0" locked="0" layoutInCell="1" allowOverlap="1">
                <wp:simplePos x="0" y="0"/>
                <wp:positionH relativeFrom="column">
                  <wp:posOffset>2771140</wp:posOffset>
                </wp:positionH>
                <wp:positionV relativeFrom="paragraph">
                  <wp:posOffset>50800</wp:posOffset>
                </wp:positionV>
                <wp:extent cx="3314700" cy="1384935"/>
                <wp:effectExtent l="0" t="0" r="38100" b="62865"/>
                <wp:wrapSquare wrapText="bothSides"/>
                <wp:docPr id="468"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384935"/>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8574B0" w:rsidRDefault="00541D5F" w:rsidP="00DE66F7">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0E6A55">
                              <w:rPr>
                                <w:rFonts w:ascii="Calibri" w:hAnsi="Calibri" w:cs="Arial"/>
                                <w:sz w:val="30"/>
                                <w:szCs w:val="30"/>
                                <w:lang w:val="en-US"/>
                              </w:rPr>
                              <w:t>Over the last five years the volume of transactions made through the remote communication channels and electronic terminals almost doubled</w:t>
                            </w:r>
                            <w:r>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9" style="position:absolute;left:0;text-align:left;margin-left:218.2pt;margin-top:4pt;width:261pt;height:109.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" fillcolor="#cf9" strokecolor="#cf9" strokeweight="1pt">
                <v:shadow on="t" color="#205867" opacity=".5" offset="1pt"/>
                <v:textbox>
                  <w:txbxContent>
                    <w:p w:rsidR="00541D5F" w:rsidRPr="008574B0" w:rsidRDefault="00541D5F" w:rsidP="00DE66F7">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sidRPr="000E6A55">
                        <w:rPr>
                          <w:rFonts w:ascii="Calibri" w:hAnsi="Calibri" w:cs="Arial"/>
                          <w:sz w:val="30"/>
                          <w:szCs w:val="30"/>
                          <w:lang w:val="en-US"/>
                        </w:rPr>
                        <w:t>Over the last five years the volume of transactions made through the remote communication channels and electronic terminals almost doubled</w:t>
                      </w:r>
                      <w:r>
                        <w:rPr>
                          <w:rFonts w:ascii="Calibri" w:hAnsi="Calibri" w:cs="Arial"/>
                          <w:sz w:val="30"/>
                          <w:szCs w:val="30"/>
                          <w:lang w:val="en-US"/>
                        </w:rPr>
                        <w:t>.</w:t>
                      </w:r>
                    </w:p>
                  </w:txbxContent>
                </v:textbox>
                <w10:wrap type="square"/>
              </v:roundrect>
            </w:pict>
          </mc:Fallback>
        </mc:AlternateContent>
      </w:r>
      <w:r w:rsidR="000E6A55" w:rsidRPr="00A9366F">
        <w:rPr>
          <w:rFonts w:ascii="Calibri" w:hAnsi="Calibri"/>
          <w:sz w:val="30"/>
          <w:szCs w:val="30"/>
          <w:lang w:val="en-US"/>
        </w:rPr>
        <w:t xml:space="preserve">During 2016, the volumes of </w:t>
      </w:r>
      <w:r w:rsidR="0092095F" w:rsidRPr="00A9366F">
        <w:rPr>
          <w:rFonts w:ascii="Calibri" w:hAnsi="Calibri"/>
          <w:sz w:val="30"/>
          <w:szCs w:val="30"/>
          <w:lang w:val="en-US"/>
        </w:rPr>
        <w:t xml:space="preserve">remote access system </w:t>
      </w:r>
      <w:r w:rsidR="000E6A55" w:rsidRPr="00A9366F">
        <w:rPr>
          <w:rFonts w:ascii="Calibri" w:hAnsi="Calibri"/>
          <w:sz w:val="30"/>
          <w:szCs w:val="30"/>
          <w:lang w:val="en-US"/>
        </w:rPr>
        <w:t xml:space="preserve">transactions were as follows: </w:t>
      </w:r>
      <w:r w:rsidR="000E6A55" w:rsidRPr="00A9366F">
        <w:rPr>
          <w:rFonts w:ascii="Calibri" w:hAnsi="Calibri"/>
          <w:b/>
          <w:sz w:val="30"/>
          <w:szCs w:val="30"/>
          <w:lang w:val="en-US"/>
        </w:rPr>
        <w:t>474.7 million transactions for KZT 12.4 trillion.</w:t>
      </w:r>
      <w:r w:rsidR="000E6A55" w:rsidRPr="00A9366F">
        <w:rPr>
          <w:rFonts w:ascii="Calibri" w:hAnsi="Calibri"/>
          <w:sz w:val="30"/>
          <w:szCs w:val="30"/>
          <w:lang w:val="en-US"/>
        </w:rPr>
        <w:t xml:space="preserve"> </w:t>
      </w:r>
      <w:r w:rsidR="00812573" w:rsidRPr="00A9366F">
        <w:rPr>
          <w:rFonts w:ascii="Calibri" w:hAnsi="Calibri"/>
          <w:sz w:val="30"/>
          <w:szCs w:val="30"/>
          <w:lang w:val="en-US"/>
        </w:rPr>
        <w:t>C</w:t>
      </w:r>
      <w:r w:rsidR="000E6A55" w:rsidRPr="00A9366F">
        <w:rPr>
          <w:rFonts w:ascii="Calibri" w:hAnsi="Calibri"/>
          <w:sz w:val="30"/>
          <w:szCs w:val="30"/>
          <w:lang w:val="en-US"/>
        </w:rPr>
        <w:t xml:space="preserve">ompared </w:t>
      </w:r>
      <w:r w:rsidR="00812573" w:rsidRPr="00A9366F">
        <w:rPr>
          <w:rFonts w:ascii="Calibri" w:hAnsi="Calibri"/>
          <w:sz w:val="30"/>
          <w:szCs w:val="30"/>
          <w:lang w:val="en-US"/>
        </w:rPr>
        <w:t>with</w:t>
      </w:r>
      <w:r w:rsidR="000E6A55" w:rsidRPr="00A9366F">
        <w:rPr>
          <w:rFonts w:ascii="Calibri" w:hAnsi="Calibri"/>
          <w:sz w:val="30"/>
          <w:szCs w:val="30"/>
          <w:lang w:val="en-US"/>
        </w:rPr>
        <w:t xml:space="preserve"> 2015, a number of transactions increased by 13.6%, while the amount of transactions increased by 28.6%.</w:t>
      </w:r>
    </w:p>
    <w:p w:rsidR="006F1349" w:rsidRPr="00A9366F" w:rsidRDefault="006F1349" w:rsidP="00176F0A">
      <w:pPr>
        <w:ind w:firstLine="709"/>
        <w:jc w:val="both"/>
        <w:rPr>
          <w:rFonts w:ascii="Calibri" w:hAnsi="Calibri"/>
          <w:sz w:val="30"/>
          <w:szCs w:val="30"/>
          <w:lang w:val="en-US"/>
        </w:rPr>
      </w:pPr>
      <w:r w:rsidRPr="00A9366F">
        <w:rPr>
          <w:rFonts w:ascii="Calibri" w:hAnsi="Calibri"/>
          <w:sz w:val="30"/>
          <w:szCs w:val="30"/>
          <w:lang w:val="en-US"/>
        </w:rPr>
        <w:t xml:space="preserve">Cash withdrawals </w:t>
      </w:r>
      <w:r w:rsidR="0092095F" w:rsidRPr="00A9366F">
        <w:rPr>
          <w:rFonts w:ascii="Calibri" w:hAnsi="Calibri"/>
          <w:sz w:val="30"/>
          <w:szCs w:val="30"/>
          <w:lang w:val="en-US"/>
        </w:rPr>
        <w:t>from</w:t>
      </w:r>
      <w:r w:rsidRPr="00A9366F">
        <w:rPr>
          <w:rFonts w:ascii="Calibri" w:hAnsi="Calibri"/>
          <w:sz w:val="30"/>
          <w:szCs w:val="30"/>
          <w:lang w:val="en-US"/>
        </w:rPr>
        <w:t xml:space="preserve"> payment cards account for the major portion of said transactions – 44.2% of the number and 70.4% of the amount. Thus, cash withdraws </w:t>
      </w:r>
      <w:r w:rsidR="0092095F" w:rsidRPr="00A9366F">
        <w:rPr>
          <w:rFonts w:ascii="Calibri" w:hAnsi="Calibri"/>
          <w:sz w:val="30"/>
          <w:szCs w:val="30"/>
          <w:lang w:val="en-US"/>
        </w:rPr>
        <w:t>from</w:t>
      </w:r>
      <w:r w:rsidRPr="00A9366F">
        <w:rPr>
          <w:rFonts w:ascii="Calibri" w:hAnsi="Calibri"/>
          <w:sz w:val="30"/>
          <w:szCs w:val="30"/>
          <w:lang w:val="en-US"/>
        </w:rPr>
        <w:t xml:space="preserve"> payment cards amounted to 209.6 million transactions</w:t>
      </w:r>
      <w:r w:rsidR="006244C1" w:rsidRPr="00A9366F">
        <w:rPr>
          <w:rFonts w:ascii="Calibri" w:hAnsi="Calibri"/>
          <w:sz w:val="30"/>
          <w:szCs w:val="30"/>
          <w:lang w:val="en-US"/>
        </w:rPr>
        <w:t xml:space="preserve"> for KZT 8.7 trillion,</w:t>
      </w:r>
      <w:r w:rsidR="00AC6C7D" w:rsidRPr="00A9366F">
        <w:rPr>
          <w:rFonts w:ascii="Calibri" w:hAnsi="Calibri"/>
          <w:sz w:val="30"/>
          <w:szCs w:val="30"/>
          <w:lang w:val="en-US"/>
        </w:rPr>
        <w:t xml:space="preserve"> having increased compared </w:t>
      </w:r>
      <w:r w:rsidR="00812573" w:rsidRPr="00A9366F">
        <w:rPr>
          <w:rFonts w:ascii="Calibri" w:hAnsi="Calibri"/>
          <w:sz w:val="30"/>
          <w:szCs w:val="30"/>
          <w:lang w:val="en-US"/>
        </w:rPr>
        <w:t>with</w:t>
      </w:r>
      <w:r w:rsidR="00AC6C7D" w:rsidRPr="00A9366F">
        <w:rPr>
          <w:rFonts w:ascii="Calibri" w:hAnsi="Calibri"/>
          <w:sz w:val="30"/>
          <w:szCs w:val="30"/>
          <w:lang w:val="en-US"/>
        </w:rPr>
        <w:t xml:space="preserve"> 2015 by 12.8% in </w:t>
      </w:r>
      <w:r w:rsidR="006244C1" w:rsidRPr="00A9366F">
        <w:rPr>
          <w:rFonts w:ascii="Calibri" w:hAnsi="Calibri"/>
          <w:sz w:val="30"/>
          <w:szCs w:val="30"/>
          <w:lang w:val="en-US"/>
        </w:rPr>
        <w:t xml:space="preserve">terms of the </w:t>
      </w:r>
      <w:r w:rsidR="00AC6C7D" w:rsidRPr="00A9366F">
        <w:rPr>
          <w:rFonts w:ascii="Calibri" w:hAnsi="Calibri"/>
          <w:sz w:val="30"/>
          <w:szCs w:val="30"/>
          <w:lang w:val="en-US"/>
        </w:rPr>
        <w:t>number and by 21.6% in</w:t>
      </w:r>
      <w:r w:rsidR="006244C1" w:rsidRPr="00A9366F">
        <w:rPr>
          <w:rFonts w:ascii="Calibri" w:hAnsi="Calibri"/>
          <w:sz w:val="30"/>
          <w:szCs w:val="30"/>
          <w:lang w:val="en-US"/>
        </w:rPr>
        <w:t xml:space="preserve"> terms of</w:t>
      </w:r>
      <w:r w:rsidR="00AC6C7D" w:rsidRPr="00A9366F">
        <w:rPr>
          <w:rFonts w:ascii="Calibri" w:hAnsi="Calibri"/>
          <w:sz w:val="30"/>
          <w:szCs w:val="30"/>
          <w:lang w:val="en-US"/>
        </w:rPr>
        <w:t xml:space="preserve"> the amount. </w:t>
      </w:r>
      <w:r w:rsidR="00A72717" w:rsidRPr="00A9366F">
        <w:rPr>
          <w:rFonts w:ascii="Calibri" w:hAnsi="Calibri"/>
          <w:sz w:val="30"/>
          <w:szCs w:val="30"/>
          <w:lang w:val="en-US"/>
        </w:rPr>
        <w:t>139.</w:t>
      </w:r>
      <w:r w:rsidR="00AC6C7D" w:rsidRPr="00A9366F">
        <w:rPr>
          <w:rFonts w:ascii="Calibri" w:hAnsi="Calibri"/>
          <w:sz w:val="30"/>
          <w:szCs w:val="30"/>
          <w:lang w:val="en-US"/>
        </w:rPr>
        <w:t xml:space="preserve">8 million </w:t>
      </w:r>
      <w:proofErr w:type="gramStart"/>
      <w:r w:rsidR="00AC6C7D" w:rsidRPr="00A9366F">
        <w:rPr>
          <w:rFonts w:ascii="Calibri" w:hAnsi="Calibri"/>
          <w:sz w:val="30"/>
          <w:szCs w:val="30"/>
          <w:lang w:val="en-US"/>
        </w:rPr>
        <w:t>transactions</w:t>
      </w:r>
      <w:proofErr w:type="gramEnd"/>
      <w:r w:rsidR="00AC6C7D" w:rsidRPr="00A9366F">
        <w:rPr>
          <w:rFonts w:ascii="Calibri" w:hAnsi="Calibri"/>
          <w:sz w:val="30"/>
          <w:szCs w:val="30"/>
          <w:lang w:val="en-US"/>
        </w:rPr>
        <w:t xml:space="preserve"> for KZT 1.8 trillion were performed without the use of payment cards – by means of “cash-in” function built in electronic terminals.  </w:t>
      </w:r>
    </w:p>
    <w:p w:rsidR="00EA5182" w:rsidRPr="00A9366F" w:rsidRDefault="00C1621F" w:rsidP="00176F0A">
      <w:pPr>
        <w:ind w:firstLine="709"/>
        <w:jc w:val="both"/>
        <w:rPr>
          <w:rFonts w:ascii="Calibri" w:hAnsi="Calibri"/>
          <w:sz w:val="30"/>
          <w:szCs w:val="30"/>
          <w:lang w:val="en-US"/>
        </w:rPr>
      </w:pPr>
      <w:r w:rsidRPr="00A9366F">
        <w:rPr>
          <w:rFonts w:ascii="Calibri" w:hAnsi="Calibri"/>
          <w:b/>
          <w:sz w:val="30"/>
          <w:szCs w:val="30"/>
          <w:lang w:val="en-US"/>
        </w:rPr>
        <w:t xml:space="preserve">Cashless </w:t>
      </w:r>
      <w:r w:rsidR="00EA5182" w:rsidRPr="00A9366F">
        <w:rPr>
          <w:rFonts w:ascii="Calibri" w:hAnsi="Calibri"/>
          <w:b/>
          <w:sz w:val="30"/>
          <w:szCs w:val="30"/>
          <w:lang w:val="en-US"/>
        </w:rPr>
        <w:t>payment</w:t>
      </w:r>
      <w:r w:rsidR="0092095F" w:rsidRPr="00A9366F">
        <w:rPr>
          <w:rFonts w:ascii="Calibri" w:hAnsi="Calibri"/>
          <w:b/>
          <w:sz w:val="30"/>
          <w:szCs w:val="30"/>
          <w:lang w:val="en-US"/>
        </w:rPr>
        <w:t>s</w:t>
      </w:r>
      <w:r w:rsidR="00EA5182" w:rsidRPr="00A9366F">
        <w:rPr>
          <w:rFonts w:ascii="Calibri" w:hAnsi="Calibri"/>
          <w:b/>
          <w:sz w:val="30"/>
          <w:szCs w:val="30"/>
          <w:lang w:val="en-US"/>
        </w:rPr>
        <w:t xml:space="preserve"> and money transfers </w:t>
      </w:r>
      <w:r w:rsidR="0092095F" w:rsidRPr="00A9366F">
        <w:rPr>
          <w:rFonts w:ascii="Calibri" w:hAnsi="Calibri"/>
          <w:b/>
          <w:sz w:val="30"/>
          <w:szCs w:val="30"/>
          <w:lang w:val="en-US"/>
        </w:rPr>
        <w:t>through</w:t>
      </w:r>
      <w:r w:rsidR="00EA5182" w:rsidRPr="00A9366F">
        <w:rPr>
          <w:rFonts w:ascii="Calibri" w:hAnsi="Calibri"/>
          <w:b/>
          <w:sz w:val="30"/>
          <w:szCs w:val="30"/>
          <w:lang w:val="en-US"/>
        </w:rPr>
        <w:t xml:space="preserve"> the remote access systems </w:t>
      </w:r>
      <w:r w:rsidR="00EA5182" w:rsidRPr="00A9366F">
        <w:rPr>
          <w:rFonts w:ascii="Calibri" w:hAnsi="Calibri"/>
          <w:sz w:val="30"/>
          <w:szCs w:val="30"/>
          <w:lang w:val="en-US"/>
        </w:rPr>
        <w:t xml:space="preserve">(remote service channels and equipment) </w:t>
      </w:r>
      <w:r w:rsidR="00EA5182" w:rsidRPr="00A9366F">
        <w:rPr>
          <w:rFonts w:ascii="Calibri" w:hAnsi="Calibri"/>
          <w:b/>
          <w:sz w:val="30"/>
          <w:szCs w:val="30"/>
          <w:lang w:val="en-US"/>
        </w:rPr>
        <w:t>comprised</w:t>
      </w:r>
      <w:r w:rsidR="006244C1" w:rsidRPr="00A9366F">
        <w:rPr>
          <w:rFonts w:ascii="Calibri" w:hAnsi="Calibri"/>
          <w:b/>
          <w:sz w:val="30"/>
          <w:szCs w:val="30"/>
          <w:lang w:val="en-US"/>
        </w:rPr>
        <w:t xml:space="preserve"> 125.3 million transactions for </w:t>
      </w:r>
      <w:r w:rsidR="00EA5182" w:rsidRPr="00A9366F">
        <w:rPr>
          <w:rFonts w:ascii="Calibri" w:hAnsi="Calibri"/>
          <w:b/>
          <w:sz w:val="30"/>
          <w:szCs w:val="30"/>
          <w:lang w:val="en-US"/>
        </w:rPr>
        <w:t>KZT 1.9 trillion</w:t>
      </w:r>
      <w:r w:rsidR="00EA5182" w:rsidRPr="00A9366F">
        <w:rPr>
          <w:rFonts w:ascii="Calibri" w:hAnsi="Calibri"/>
          <w:sz w:val="30"/>
          <w:szCs w:val="30"/>
          <w:lang w:val="en-US"/>
        </w:rPr>
        <w:t xml:space="preserve">, having increased, as compared </w:t>
      </w:r>
      <w:r w:rsidR="00812573" w:rsidRPr="00A9366F">
        <w:rPr>
          <w:rFonts w:ascii="Calibri" w:hAnsi="Calibri"/>
          <w:sz w:val="30"/>
          <w:szCs w:val="30"/>
          <w:lang w:val="en-US"/>
        </w:rPr>
        <w:t>with</w:t>
      </w:r>
      <w:r w:rsidR="00EA5182" w:rsidRPr="00A9366F">
        <w:rPr>
          <w:rFonts w:ascii="Calibri" w:hAnsi="Calibri"/>
          <w:sz w:val="30"/>
          <w:szCs w:val="30"/>
          <w:lang w:val="en-US"/>
        </w:rPr>
        <w:t xml:space="preserve"> 2015, by</w:t>
      </w:r>
      <w:r w:rsidR="00A9366F">
        <w:rPr>
          <w:rFonts w:ascii="Calibri" w:hAnsi="Calibri"/>
          <w:sz w:val="30"/>
          <w:szCs w:val="30"/>
          <w:lang w:val="en-US"/>
        </w:rPr>
        <w:t xml:space="preserve"> </w:t>
      </w:r>
      <w:r w:rsidR="00EA5182" w:rsidRPr="00A9366F">
        <w:rPr>
          <w:rFonts w:ascii="Calibri" w:hAnsi="Calibri"/>
          <w:sz w:val="30"/>
          <w:szCs w:val="30"/>
          <w:lang w:val="en-US"/>
        </w:rPr>
        <w:t xml:space="preserve">38.8% in </w:t>
      </w:r>
      <w:r w:rsidR="006244C1" w:rsidRPr="00A9366F">
        <w:rPr>
          <w:rFonts w:ascii="Calibri" w:hAnsi="Calibri"/>
          <w:sz w:val="30"/>
          <w:szCs w:val="30"/>
          <w:lang w:val="en-US"/>
        </w:rPr>
        <w:t xml:space="preserve">terms of the </w:t>
      </w:r>
      <w:r w:rsidR="00EA5182" w:rsidRPr="00A9366F">
        <w:rPr>
          <w:rFonts w:ascii="Calibri" w:hAnsi="Calibri"/>
          <w:sz w:val="30"/>
          <w:szCs w:val="30"/>
          <w:lang w:val="en-US"/>
        </w:rPr>
        <w:t xml:space="preserve">number and by 44.6% in </w:t>
      </w:r>
      <w:r w:rsidR="006244C1" w:rsidRPr="00A9366F">
        <w:rPr>
          <w:rFonts w:ascii="Calibri" w:hAnsi="Calibri"/>
          <w:sz w:val="30"/>
          <w:szCs w:val="30"/>
          <w:lang w:val="en-US"/>
        </w:rPr>
        <w:t xml:space="preserve">terms of </w:t>
      </w:r>
      <w:r w:rsidR="00EA5182" w:rsidRPr="00A9366F">
        <w:rPr>
          <w:rFonts w:ascii="Calibri" w:hAnsi="Calibri"/>
          <w:sz w:val="30"/>
          <w:szCs w:val="30"/>
          <w:lang w:val="en-US"/>
        </w:rPr>
        <w:t>the amount.</w:t>
      </w:r>
    </w:p>
    <w:p w:rsidR="00E166A5" w:rsidRDefault="00E166A5" w:rsidP="00EA5182">
      <w:pPr>
        <w:jc w:val="center"/>
        <w:rPr>
          <w:rFonts w:ascii="Calibri" w:hAnsi="Calibri" w:cs="Arial"/>
          <w:b/>
          <w:color w:val="0E4C28"/>
          <w:sz w:val="28"/>
          <w:szCs w:val="28"/>
          <w:lang w:val="en-US"/>
        </w:rPr>
      </w:pPr>
    </w:p>
    <w:p w:rsidR="00DE66F7" w:rsidRPr="00A9366F" w:rsidRDefault="00EA5182" w:rsidP="00EA5182">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Dynamics in payment services provided through the remote access systems </w:t>
      </w:r>
    </w:p>
    <w:p w:rsidR="0054035A" w:rsidRDefault="00C55900" w:rsidP="005E5AC1">
      <w:pPr>
        <w:ind w:left="2831" w:hanging="2689"/>
        <w:jc w:val="both"/>
        <w:rPr>
          <w:rFonts w:ascii="Calibri" w:hAnsi="Calibri"/>
          <w:sz w:val="20"/>
          <w:szCs w:val="20"/>
        </w:rPr>
      </w:pPr>
      <w:r w:rsidRPr="0054035A">
        <w:rPr>
          <w:noProof/>
        </w:rPr>
        <mc:AlternateContent>
          <mc:Choice Requires="wps">
            <w:drawing>
              <wp:anchor distT="0" distB="0" distL="114300" distR="114300" simplePos="0" relativeHeight="251705344" behindDoc="0" locked="0" layoutInCell="1" allowOverlap="1" wp14:anchorId="06E5F95E" wp14:editId="3F9C333C">
                <wp:simplePos x="0" y="0"/>
                <wp:positionH relativeFrom="column">
                  <wp:posOffset>523875</wp:posOffset>
                </wp:positionH>
                <wp:positionV relativeFrom="paragraph">
                  <wp:posOffset>3810</wp:posOffset>
                </wp:positionV>
                <wp:extent cx="925195" cy="275590"/>
                <wp:effectExtent l="0" t="0" r="8255" b="0"/>
                <wp:wrapNone/>
                <wp:docPr id="464" name="Прямоугольник 5"/>
                <wp:cNvGraphicFramePr/>
                <a:graphic xmlns:a="http://schemas.openxmlformats.org/drawingml/2006/main">
                  <a:graphicData uri="http://schemas.microsoft.com/office/word/2010/wordprocessingShape">
                    <wps:wsp>
                      <wps:cNvSpPr/>
                      <wps:spPr>
                        <a:xfrm>
                          <a:off x="0" y="0"/>
                          <a:ext cx="925195" cy="275590"/>
                        </a:xfrm>
                        <a:prstGeom prst="rect">
                          <a:avLst/>
                        </a:prstGeom>
                        <a:solidFill>
                          <a:schemeClr val="bg1"/>
                        </a:solidFill>
                      </wps:spPr>
                      <wps:txbx>
                        <w:txbxContent>
                          <w:p w:rsidR="00541D5F" w:rsidRPr="001F6B48" w:rsidRDefault="00541D5F" w:rsidP="0054035A">
                            <w:pPr>
                              <w:pStyle w:val="aa"/>
                              <w:spacing w:before="0" w:beforeAutospacing="0" w:after="0" w:afterAutospacing="0"/>
                              <w:jc w:val="center"/>
                              <w:rPr>
                                <w14:props3d w14:extrusionH="0" w14:contourW="0" w14:prstMaterial="softEdge">
                                  <w14:bevelT w14:w="29210" w14:h="16510" w14:prst="circle"/>
                                  <w14:contourClr>
                                    <w14:schemeClr w14:val="accent4">
                                      <w14:alpha w14:val="5000"/>
                                    </w14:schemeClr>
                                  </w14:contourClr>
                                </w14:props3d>
                              </w:rPr>
                            </w:pPr>
                            <w:proofErr w:type="spellStart"/>
                            <w:proofErr w:type="gramStart"/>
                            <w:r w:rsidRPr="0054035A">
                              <w:rPr>
                                <w:rFonts w:asciiTheme="minorHAnsi" w:hAnsi="Calibri" w:cstheme="minorBidi"/>
                                <w:b/>
                                <w:bCs/>
                                <w:color w:val="000000" w:themeColor="text1"/>
                                <w:sz w:val="20"/>
                                <w:szCs w:val="20"/>
                                <w:lang w:val="en-US"/>
                                <w14:shadow w14:blurRad="88011" w14:dist="50800" w14:dir="5040000" w14:sx="100000" w14:sy="100000" w14:kx="0" w14:ky="0" w14:algn="tl">
                                  <w14:schemeClr w14:val="accent4">
                                    <w14:alpha w14:val="55000"/>
                                    <w14:tint w14:val="80000"/>
                                    <w14:satMod w14:val="250000"/>
                                  </w14:schemeClr>
                                </w14:shadow>
                                <w14:props3d w14:extrusionH="0" w14:contourW="0" w14:prstMaterial="softEdge">
                                  <w14:bevelT w14:w="29210" w14:h="16510" w14:prst="circle"/>
                                  <w14:contourClr>
                                    <w14:schemeClr w14:val="accent4">
                                      <w14:alpha w14:val="5000"/>
                                    </w14:schemeClr>
                                  </w14:contourClr>
                                </w14:props3d>
                              </w:rPr>
                              <w:t>kzt</w:t>
                            </w:r>
                            <w:proofErr w:type="spellEnd"/>
                            <w:proofErr w:type="gramEnd"/>
                            <w:r w:rsidRPr="0054035A">
                              <w:rPr>
                                <w:rFonts w:asciiTheme="minorHAnsi" w:hAnsi="Calibri" w:cstheme="minorBidi"/>
                                <w:b/>
                                <w:bCs/>
                                <w:color w:val="000000" w:themeColor="text1"/>
                                <w:sz w:val="20"/>
                                <w:szCs w:val="20"/>
                                <w:lang w:val="en-US"/>
                                <w14:shadow w14:blurRad="88011" w14:dist="50800" w14:dir="5040000" w14:sx="100000" w14:sy="100000" w14:kx="0" w14:ky="0" w14:algn="tl">
                                  <w14:schemeClr w14:val="accent4">
                                    <w14:alpha w14:val="55000"/>
                                    <w14:tint w14:val="80000"/>
                                    <w14:satMod w14:val="250000"/>
                                  </w14:schemeClr>
                                </w14:shadow>
                                <w14:props3d w14:extrusionH="0" w14:contourW="0" w14:prstMaterial="softEdge">
                                  <w14:bevelT w14:w="29210" w14:h="16510" w14:prst="circle"/>
                                  <w14:contourClr>
                                    <w14:schemeClr w14:val="accent4">
                                      <w14:alpha w14:val="5000"/>
                                    </w14:schemeClr>
                                  </w14:contourClr>
                                </w14:props3d>
                              </w:rPr>
                              <w:t xml:space="preserve"> billion</w:t>
                            </w:r>
                          </w:p>
                        </w:txbxContent>
                      </wps:txbx>
                      <wps:bodyPr wrap="square" lIns="91440" tIns="45720" rIns="91440" bIns="45720">
                        <a:no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14:sizeRelV relativeFrom="margin">
                  <wp14:pctHeight>0</wp14:pctHeight>
                </wp14:sizeRelV>
              </wp:anchor>
            </w:drawing>
          </mc:Choice>
          <mc:Fallback>
            <w:pict>
              <v:rect id="Прямоугольник 5" o:spid="_x0000_s1050" style="position:absolute;left:0;text-align:left;margin-left:41.25pt;margin-top:.3pt;width:72.85pt;height:21.7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" fillcolor="white [3212]" stroked="f">
                <v:textbox>
                  <w:txbxContent>
                    <w:p w:rsidR="00541D5F" w:rsidRPr="001F6B48" w:rsidRDefault="00541D5F" w:rsidP="0054035A">
                      <w:pPr>
                        <w:pStyle w:val="aa"/>
                        <w:spacing w:before="0" w:beforeAutospacing="0" w:after="0" w:afterAutospacing="0"/>
                        <w:jc w:val="center"/>
                        <w:rPr>
                          <w14:props3d w14:extrusionH="0" w14:contourW="0" w14:prstMaterial="softEdge">
                            <w14:bevelT w14:w="29210" w14:h="16510" w14:prst="circle"/>
                            <w14:contourClr>
                              <w14:schemeClr w14:val="accent4">
                                <w14:alpha w14:val="5000"/>
                              </w14:schemeClr>
                            </w14:contourClr>
                          </w14:props3d>
                        </w:rPr>
                      </w:pPr>
                      <w:proofErr w:type="spellStart"/>
                      <w:proofErr w:type="gramStart"/>
                      <w:r w:rsidRPr="0054035A">
                        <w:rPr>
                          <w:rFonts w:asciiTheme="minorHAnsi" w:hAnsi="Calibri" w:cstheme="minorBidi"/>
                          <w:b/>
                          <w:bCs/>
                          <w:color w:val="000000" w:themeColor="text1"/>
                          <w:sz w:val="20"/>
                          <w:szCs w:val="20"/>
                          <w:lang w:val="en-US"/>
                          <w14:shadow w14:blurRad="88011" w14:dist="50800" w14:dir="5040000" w14:sx="100000" w14:sy="100000" w14:kx="0" w14:ky="0" w14:algn="tl">
                            <w14:schemeClr w14:val="accent4">
                              <w14:alpha w14:val="55000"/>
                              <w14:tint w14:val="80000"/>
                              <w14:satMod w14:val="250000"/>
                            </w14:schemeClr>
                          </w14:shadow>
                          <w14:props3d w14:extrusionH="0" w14:contourW="0" w14:prstMaterial="softEdge">
                            <w14:bevelT w14:w="29210" w14:h="16510" w14:prst="circle"/>
                            <w14:contourClr>
                              <w14:schemeClr w14:val="accent4">
                                <w14:alpha w14:val="5000"/>
                              </w14:schemeClr>
                            </w14:contourClr>
                          </w14:props3d>
                        </w:rPr>
                        <w:t>kzt</w:t>
                      </w:r>
                      <w:proofErr w:type="spellEnd"/>
                      <w:proofErr w:type="gramEnd"/>
                      <w:r w:rsidRPr="0054035A">
                        <w:rPr>
                          <w:rFonts w:asciiTheme="minorHAnsi" w:hAnsi="Calibri" w:cstheme="minorBidi"/>
                          <w:b/>
                          <w:bCs/>
                          <w:color w:val="000000" w:themeColor="text1"/>
                          <w:sz w:val="20"/>
                          <w:szCs w:val="20"/>
                          <w:lang w:val="en-US"/>
                          <w14:shadow w14:blurRad="88011" w14:dist="50800" w14:dir="5040000" w14:sx="100000" w14:sy="100000" w14:kx="0" w14:ky="0" w14:algn="tl">
                            <w14:schemeClr w14:val="accent4">
                              <w14:alpha w14:val="55000"/>
                              <w14:tint w14:val="80000"/>
                              <w14:satMod w14:val="250000"/>
                            </w14:schemeClr>
                          </w14:shadow>
                          <w14:props3d w14:extrusionH="0" w14:contourW="0" w14:prstMaterial="softEdge">
                            <w14:bevelT w14:w="29210" w14:h="16510" w14:prst="circle"/>
                            <w14:contourClr>
                              <w14:schemeClr w14:val="accent4">
                                <w14:alpha w14:val="5000"/>
                              </w14:schemeClr>
                            </w14:contourClr>
                          </w14:props3d>
                        </w:rPr>
                        <w:t xml:space="preserve"> billion</w:t>
                      </w:r>
                    </w:p>
                  </w:txbxContent>
                </v:textbox>
              </v:rect>
            </w:pict>
          </mc:Fallback>
        </mc:AlternateContent>
      </w:r>
      <w:r w:rsidR="0054035A" w:rsidRPr="0054035A">
        <w:rPr>
          <w:noProof/>
        </w:rPr>
        <w:drawing>
          <wp:inline distT="0" distB="0" distL="0" distR="0" wp14:anchorId="3A1C2B78" wp14:editId="65BC6119">
            <wp:extent cx="6152515" cy="2422525"/>
            <wp:effectExtent l="0" t="0" r="19685" b="15875"/>
            <wp:docPr id="465" name="Диаграмма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1573D" w:rsidRDefault="003C6E33" w:rsidP="003C6E33">
      <w:pPr>
        <w:ind w:firstLine="709"/>
        <w:jc w:val="both"/>
        <w:rPr>
          <w:rFonts w:ascii="Calibri" w:hAnsi="Calibri"/>
          <w:sz w:val="30"/>
          <w:szCs w:val="30"/>
          <w:lang w:val="en-US"/>
        </w:rPr>
      </w:pPr>
      <w:r w:rsidRPr="00A9366F">
        <w:rPr>
          <w:rFonts w:ascii="Calibri" w:hAnsi="Calibri"/>
          <w:sz w:val="30"/>
          <w:szCs w:val="30"/>
          <w:lang w:val="en-US"/>
        </w:rPr>
        <w:t xml:space="preserve">Internet/mobile payments </w:t>
      </w:r>
      <w:r w:rsidR="007F1ACE" w:rsidRPr="00A9366F">
        <w:rPr>
          <w:rFonts w:ascii="Calibri" w:hAnsi="Calibri"/>
          <w:sz w:val="30"/>
          <w:szCs w:val="30"/>
          <w:lang w:val="en-US"/>
        </w:rPr>
        <w:t>settled</w:t>
      </w:r>
      <w:r w:rsidRPr="00A9366F">
        <w:rPr>
          <w:rFonts w:ascii="Calibri" w:hAnsi="Calibri"/>
          <w:sz w:val="30"/>
          <w:szCs w:val="30"/>
          <w:lang w:val="en-US"/>
        </w:rPr>
        <w:t xml:space="preserve"> through the remote access systems and payments </w:t>
      </w:r>
      <w:r w:rsidR="007F1ACE" w:rsidRPr="00A9366F">
        <w:rPr>
          <w:rFonts w:ascii="Calibri" w:hAnsi="Calibri"/>
          <w:sz w:val="30"/>
          <w:szCs w:val="30"/>
          <w:lang w:val="en-US"/>
        </w:rPr>
        <w:t>settled</w:t>
      </w:r>
      <w:r w:rsidRPr="00A9366F">
        <w:rPr>
          <w:rFonts w:ascii="Calibri" w:hAnsi="Calibri"/>
          <w:sz w:val="30"/>
          <w:szCs w:val="30"/>
          <w:lang w:val="en-US"/>
        </w:rPr>
        <w:t xml:space="preserve"> through POS-terminals </w:t>
      </w:r>
      <w:r w:rsidR="00D744DF" w:rsidRPr="00A9366F">
        <w:rPr>
          <w:rFonts w:ascii="Calibri" w:hAnsi="Calibri"/>
          <w:sz w:val="30"/>
          <w:szCs w:val="30"/>
          <w:lang w:val="en-US"/>
        </w:rPr>
        <w:t xml:space="preserve">account for the major portion of </w:t>
      </w:r>
      <w:r w:rsidR="00C1621F" w:rsidRPr="00A9366F">
        <w:rPr>
          <w:rFonts w:ascii="Calibri" w:hAnsi="Calibri"/>
          <w:sz w:val="30"/>
          <w:szCs w:val="30"/>
          <w:lang w:val="en-US"/>
        </w:rPr>
        <w:t xml:space="preserve">cashless </w:t>
      </w:r>
      <w:r w:rsidR="00D744DF" w:rsidRPr="00A9366F">
        <w:rPr>
          <w:rFonts w:ascii="Calibri" w:hAnsi="Calibri"/>
          <w:sz w:val="30"/>
          <w:szCs w:val="30"/>
          <w:lang w:val="en-US"/>
        </w:rPr>
        <w:t xml:space="preserve">transactions </w:t>
      </w:r>
      <w:r w:rsidRPr="00A9366F">
        <w:rPr>
          <w:rFonts w:ascii="Calibri" w:hAnsi="Calibri"/>
          <w:sz w:val="30"/>
          <w:szCs w:val="30"/>
          <w:lang w:val="en-US"/>
        </w:rPr>
        <w:t>- 41.8% of the total number of transactions and 44.2% of the total amount, and 46.8% of the total number and 42.8% of the total amount, respectively. Other devices (ATMs, bank kiosks and others) account for 11.</w:t>
      </w:r>
      <w:r w:rsidR="00B1573D" w:rsidRPr="00A9366F">
        <w:rPr>
          <w:rFonts w:ascii="Calibri" w:hAnsi="Calibri"/>
          <w:sz w:val="30"/>
          <w:szCs w:val="30"/>
          <w:lang w:val="en-US"/>
        </w:rPr>
        <w:t>5% и 13</w:t>
      </w:r>
      <w:r w:rsidRPr="00A9366F">
        <w:rPr>
          <w:rFonts w:ascii="Calibri" w:hAnsi="Calibri"/>
          <w:sz w:val="30"/>
          <w:szCs w:val="30"/>
          <w:lang w:val="en-US"/>
        </w:rPr>
        <w:t>.</w:t>
      </w:r>
      <w:r w:rsidR="00B1573D" w:rsidRPr="00A9366F">
        <w:rPr>
          <w:rFonts w:ascii="Calibri" w:hAnsi="Calibri"/>
          <w:sz w:val="30"/>
          <w:szCs w:val="30"/>
          <w:lang w:val="en-US"/>
        </w:rPr>
        <w:t xml:space="preserve">0% </w:t>
      </w:r>
      <w:r w:rsidRPr="00A9366F">
        <w:rPr>
          <w:rFonts w:ascii="Calibri" w:hAnsi="Calibri"/>
          <w:sz w:val="30"/>
          <w:szCs w:val="30"/>
          <w:lang w:val="en-US"/>
        </w:rPr>
        <w:t xml:space="preserve">of the total number and amount of </w:t>
      </w:r>
      <w:r w:rsidR="00C1621F" w:rsidRPr="00A9366F">
        <w:rPr>
          <w:rFonts w:ascii="Calibri" w:hAnsi="Calibri"/>
          <w:sz w:val="30"/>
          <w:szCs w:val="30"/>
          <w:lang w:val="en-US"/>
        </w:rPr>
        <w:t xml:space="preserve">cashless </w:t>
      </w:r>
      <w:r w:rsidRPr="00A9366F">
        <w:rPr>
          <w:rFonts w:ascii="Calibri" w:hAnsi="Calibri"/>
          <w:sz w:val="30"/>
          <w:szCs w:val="30"/>
          <w:lang w:val="en-US"/>
        </w:rPr>
        <w:t>payments, respectively.</w:t>
      </w:r>
    </w:p>
    <w:p w:rsidR="00E166A5" w:rsidRPr="00A9366F" w:rsidRDefault="00E166A5" w:rsidP="003C6E33">
      <w:pPr>
        <w:ind w:firstLine="709"/>
        <w:jc w:val="both"/>
        <w:rPr>
          <w:rFonts w:ascii="Calibri" w:hAnsi="Calibri"/>
          <w:sz w:val="30"/>
          <w:szCs w:val="30"/>
          <w:lang w:val="en-US"/>
        </w:rPr>
      </w:pPr>
    </w:p>
    <w:p w:rsidR="00095276" w:rsidRDefault="000C4D1F" w:rsidP="00176F0A">
      <w:pPr>
        <w:jc w:val="center"/>
        <w:rPr>
          <w:rFonts w:ascii="Calibri" w:hAnsi="Calibri" w:cs="Arial"/>
          <w:b/>
          <w:color w:val="0E4C28"/>
          <w:sz w:val="28"/>
          <w:szCs w:val="28"/>
          <w:lang w:val="en-US"/>
        </w:rPr>
      </w:pPr>
      <w:r w:rsidRPr="00A9366F">
        <w:rPr>
          <w:rFonts w:ascii="Calibri" w:hAnsi="Calibri" w:cs="Arial"/>
          <w:b/>
          <w:color w:val="0E4C28"/>
          <w:sz w:val="28"/>
          <w:szCs w:val="28"/>
          <w:lang w:val="en-US"/>
        </w:rPr>
        <w:t>Proportion</w:t>
      </w:r>
      <w:r w:rsidR="000035DB" w:rsidRPr="00A9366F">
        <w:rPr>
          <w:rFonts w:ascii="Calibri" w:hAnsi="Calibri" w:cs="Arial"/>
          <w:b/>
          <w:color w:val="0E4C28"/>
          <w:sz w:val="28"/>
          <w:szCs w:val="28"/>
          <w:lang w:val="en-US"/>
        </w:rPr>
        <w:t xml:space="preserve"> of the number of </w:t>
      </w:r>
      <w:r w:rsidR="00C1621F" w:rsidRPr="00A9366F">
        <w:rPr>
          <w:rFonts w:ascii="Calibri" w:hAnsi="Calibri" w:cs="Arial"/>
          <w:b/>
          <w:color w:val="0E4C28"/>
          <w:sz w:val="28"/>
          <w:szCs w:val="28"/>
          <w:lang w:val="en-US"/>
        </w:rPr>
        <w:t xml:space="preserve">cashless </w:t>
      </w:r>
      <w:r w:rsidR="000035DB" w:rsidRPr="00A9366F">
        <w:rPr>
          <w:rFonts w:ascii="Calibri" w:hAnsi="Calibri" w:cs="Arial"/>
          <w:b/>
          <w:color w:val="0E4C28"/>
          <w:sz w:val="28"/>
          <w:szCs w:val="28"/>
          <w:lang w:val="en-US"/>
        </w:rPr>
        <w:t xml:space="preserve">transactions </w:t>
      </w:r>
      <w:r w:rsidR="007F1ACE" w:rsidRPr="00A9366F">
        <w:rPr>
          <w:rFonts w:ascii="Calibri" w:hAnsi="Calibri" w:cs="Arial"/>
          <w:b/>
          <w:color w:val="0E4C28"/>
          <w:sz w:val="28"/>
          <w:szCs w:val="28"/>
          <w:lang w:val="en-US"/>
        </w:rPr>
        <w:t>settled</w:t>
      </w:r>
      <w:r w:rsidR="000035DB" w:rsidRPr="00A9366F">
        <w:rPr>
          <w:rFonts w:ascii="Calibri" w:hAnsi="Calibri" w:cs="Arial"/>
          <w:b/>
          <w:color w:val="0E4C28"/>
          <w:sz w:val="28"/>
          <w:szCs w:val="28"/>
          <w:lang w:val="en-US"/>
        </w:rPr>
        <w:t xml:space="preserve"> through the remote access systems by the transaction environment </w:t>
      </w:r>
    </w:p>
    <w:p w:rsidR="008E4A61" w:rsidRDefault="008E4A61" w:rsidP="008E4A61">
      <w:pPr>
        <w:ind w:left="5664" w:hanging="5664"/>
        <w:rPr>
          <w:rFonts w:ascii="Calibri" w:hAnsi="Calibri" w:cs="Arial"/>
          <w:sz w:val="20"/>
          <w:szCs w:val="20"/>
        </w:rPr>
      </w:pPr>
      <w:r>
        <w:rPr>
          <w:noProof/>
        </w:rPr>
        <w:drawing>
          <wp:inline distT="0" distB="0" distL="0" distR="0" wp14:anchorId="261E52FE" wp14:editId="05210233">
            <wp:extent cx="5939790" cy="2218887"/>
            <wp:effectExtent l="0" t="0" r="22860" b="10160"/>
            <wp:docPr id="470" name="Диаграмма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E166A5" w:rsidRDefault="00E166A5" w:rsidP="00176F0A">
      <w:pPr>
        <w:jc w:val="center"/>
        <w:rPr>
          <w:rFonts w:ascii="Calibri" w:hAnsi="Calibri" w:cs="Arial"/>
          <w:b/>
          <w:color w:val="0E4C28"/>
          <w:sz w:val="28"/>
          <w:szCs w:val="28"/>
          <w:lang w:val="en-US"/>
        </w:rPr>
      </w:pPr>
    </w:p>
    <w:p w:rsidR="00095276" w:rsidRPr="00A9366F" w:rsidRDefault="000C4D1F" w:rsidP="00176F0A">
      <w:pPr>
        <w:jc w:val="center"/>
        <w:rPr>
          <w:rFonts w:ascii="Calibri" w:hAnsi="Calibri" w:cs="Arial"/>
          <w:b/>
          <w:color w:val="0E4C28"/>
          <w:sz w:val="28"/>
          <w:szCs w:val="28"/>
          <w:lang w:val="en-US"/>
        </w:rPr>
      </w:pPr>
      <w:r w:rsidRPr="00A9366F">
        <w:rPr>
          <w:rFonts w:ascii="Calibri" w:hAnsi="Calibri" w:cs="Arial"/>
          <w:b/>
          <w:color w:val="0E4C28"/>
          <w:sz w:val="28"/>
          <w:szCs w:val="28"/>
          <w:lang w:val="en-US"/>
        </w:rPr>
        <w:t>Proportion</w:t>
      </w:r>
      <w:r w:rsidR="000035DB" w:rsidRPr="00A9366F">
        <w:rPr>
          <w:rFonts w:ascii="Calibri" w:hAnsi="Calibri" w:cs="Arial"/>
          <w:b/>
          <w:color w:val="0E4C28"/>
          <w:sz w:val="28"/>
          <w:szCs w:val="28"/>
          <w:lang w:val="en-US"/>
        </w:rPr>
        <w:t xml:space="preserve"> of the amount of </w:t>
      </w:r>
      <w:r w:rsidR="00C1621F" w:rsidRPr="00A9366F">
        <w:rPr>
          <w:rFonts w:ascii="Calibri" w:hAnsi="Calibri" w:cs="Arial"/>
          <w:b/>
          <w:color w:val="0E4C28"/>
          <w:sz w:val="28"/>
          <w:szCs w:val="28"/>
          <w:lang w:val="en-US"/>
        </w:rPr>
        <w:t>cashless</w:t>
      </w:r>
      <w:r w:rsidR="000035DB" w:rsidRPr="00A9366F">
        <w:rPr>
          <w:rFonts w:ascii="Calibri" w:hAnsi="Calibri" w:cs="Arial"/>
          <w:b/>
          <w:color w:val="0E4C28"/>
          <w:sz w:val="28"/>
          <w:szCs w:val="28"/>
          <w:lang w:val="en-US"/>
        </w:rPr>
        <w:t xml:space="preserve"> transactions </w:t>
      </w:r>
      <w:r w:rsidR="007F1ACE" w:rsidRPr="00A9366F">
        <w:rPr>
          <w:rFonts w:ascii="Calibri" w:hAnsi="Calibri" w:cs="Arial"/>
          <w:b/>
          <w:color w:val="0E4C28"/>
          <w:sz w:val="28"/>
          <w:szCs w:val="28"/>
          <w:lang w:val="en-US"/>
        </w:rPr>
        <w:t xml:space="preserve">settled </w:t>
      </w:r>
      <w:r w:rsidR="000035DB" w:rsidRPr="00A9366F">
        <w:rPr>
          <w:rFonts w:ascii="Calibri" w:hAnsi="Calibri" w:cs="Arial"/>
          <w:b/>
          <w:color w:val="0E4C28"/>
          <w:sz w:val="28"/>
          <w:szCs w:val="28"/>
          <w:lang w:val="en-US"/>
        </w:rPr>
        <w:t>through the remote access systems by the transaction environment</w:t>
      </w:r>
    </w:p>
    <w:p w:rsidR="00A72717" w:rsidRPr="00A9366F" w:rsidRDefault="008D1425" w:rsidP="00176F0A">
      <w:pPr>
        <w:pStyle w:val="2"/>
        <w:pBdr>
          <w:bottom w:val="single" w:sz="12" w:space="1" w:color="auto"/>
        </w:pBdr>
        <w:spacing w:before="0"/>
        <w:jc w:val="both"/>
        <w:rPr>
          <w:rFonts w:ascii="Calibri" w:hAnsi="Calibri"/>
          <w:bCs w:val="0"/>
          <w:snapToGrid w:val="0"/>
          <w:color w:val="0E4C28"/>
          <w:spacing w:val="-2"/>
          <w:sz w:val="32"/>
          <w:lang w:val="en-US"/>
        </w:rPr>
      </w:pPr>
      <w:r>
        <w:rPr>
          <w:rFonts w:ascii="Calibri" w:hAnsi="Calibri"/>
          <w:bCs w:val="0"/>
          <w:noProof/>
          <w:color w:val="0E4C28"/>
          <w:spacing w:val="-2"/>
          <w:sz w:val="32"/>
        </w:rPr>
        <w:drawing>
          <wp:inline distT="0" distB="0" distL="0" distR="0" wp14:anchorId="41FFA667">
            <wp:extent cx="5860112" cy="2238926"/>
            <wp:effectExtent l="0" t="0" r="762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7104" cy="2237777"/>
                    </a:xfrm>
                    <a:prstGeom prst="rect">
                      <a:avLst/>
                    </a:prstGeom>
                    <a:noFill/>
                  </pic:spPr>
                </pic:pic>
              </a:graphicData>
            </a:graphic>
          </wp:inline>
        </w:drawing>
      </w:r>
    </w:p>
    <w:p w:rsidR="00956D7B" w:rsidRDefault="00956D7B" w:rsidP="00176F0A">
      <w:pPr>
        <w:pStyle w:val="2"/>
        <w:pBdr>
          <w:bottom w:val="single" w:sz="12" w:space="1" w:color="auto"/>
        </w:pBdr>
        <w:spacing w:before="0"/>
        <w:jc w:val="both"/>
        <w:rPr>
          <w:rFonts w:ascii="Calibri" w:hAnsi="Calibri"/>
          <w:bCs w:val="0"/>
          <w:snapToGrid w:val="0"/>
          <w:color w:val="0E4C28"/>
          <w:spacing w:val="-2"/>
          <w:sz w:val="32"/>
        </w:rPr>
      </w:pPr>
      <w:bookmarkStart w:id="76" w:name="_Toc485627006"/>
    </w:p>
    <w:p w:rsidR="00551431" w:rsidRPr="00A9366F" w:rsidRDefault="003E1657" w:rsidP="00176F0A">
      <w:pPr>
        <w:pStyle w:val="2"/>
        <w:pBdr>
          <w:bottom w:val="single" w:sz="12" w:space="1" w:color="auto"/>
        </w:pBdr>
        <w:spacing w:before="0"/>
        <w:jc w:val="both"/>
        <w:rPr>
          <w:rFonts w:ascii="Calibri" w:hAnsi="Calibri"/>
          <w:bCs w:val="0"/>
          <w:snapToGrid w:val="0"/>
          <w:color w:val="0E4C28"/>
          <w:spacing w:val="-2"/>
          <w:sz w:val="32"/>
          <w:lang w:val="en-US"/>
        </w:rPr>
      </w:pPr>
      <w:r w:rsidRPr="00A9366F">
        <w:rPr>
          <w:rFonts w:ascii="Calibri" w:hAnsi="Calibri"/>
          <w:bCs w:val="0"/>
          <w:snapToGrid w:val="0"/>
          <w:color w:val="0E4C28"/>
          <w:spacing w:val="-2"/>
          <w:sz w:val="32"/>
          <w:lang w:val="en-US"/>
        </w:rPr>
        <w:t>3</w:t>
      </w:r>
      <w:r w:rsidR="00551431" w:rsidRPr="00A9366F">
        <w:rPr>
          <w:rFonts w:ascii="Calibri" w:hAnsi="Calibri"/>
          <w:bCs w:val="0"/>
          <w:snapToGrid w:val="0"/>
          <w:color w:val="0E4C28"/>
          <w:spacing w:val="-2"/>
          <w:sz w:val="32"/>
          <w:lang w:val="en-US"/>
        </w:rPr>
        <w:t>.3</w:t>
      </w:r>
      <w:r w:rsidR="00176F0A" w:rsidRPr="00A9366F">
        <w:rPr>
          <w:rFonts w:ascii="Calibri" w:hAnsi="Calibri"/>
          <w:bCs w:val="0"/>
          <w:snapToGrid w:val="0"/>
          <w:color w:val="0E4C28"/>
          <w:spacing w:val="-2"/>
          <w:sz w:val="32"/>
          <w:lang w:val="en-US"/>
        </w:rPr>
        <w:t>.</w:t>
      </w:r>
      <w:r w:rsidR="00551431" w:rsidRPr="00A9366F">
        <w:rPr>
          <w:rFonts w:ascii="Calibri" w:hAnsi="Calibri"/>
          <w:bCs w:val="0"/>
          <w:snapToGrid w:val="0"/>
          <w:color w:val="0E4C28"/>
          <w:spacing w:val="-2"/>
          <w:sz w:val="32"/>
          <w:lang w:val="en-US"/>
        </w:rPr>
        <w:t xml:space="preserve"> </w:t>
      </w:r>
      <w:r w:rsidR="001801A4" w:rsidRPr="00A9366F">
        <w:rPr>
          <w:rFonts w:ascii="Calibri" w:hAnsi="Calibri"/>
          <w:bCs w:val="0"/>
          <w:snapToGrid w:val="0"/>
          <w:color w:val="0E4C28"/>
          <w:spacing w:val="-2"/>
          <w:sz w:val="32"/>
          <w:lang w:val="en-US"/>
        </w:rPr>
        <w:t>Internet and mobile payments</w:t>
      </w:r>
      <w:bookmarkEnd w:id="76"/>
      <w:r w:rsidR="001801A4" w:rsidRPr="00A9366F">
        <w:rPr>
          <w:rFonts w:ascii="Calibri" w:hAnsi="Calibri"/>
          <w:bCs w:val="0"/>
          <w:snapToGrid w:val="0"/>
          <w:color w:val="0E4C28"/>
          <w:spacing w:val="-2"/>
          <w:sz w:val="32"/>
          <w:lang w:val="en-US"/>
        </w:rPr>
        <w:t xml:space="preserve"> </w:t>
      </w:r>
    </w:p>
    <w:p w:rsidR="001801A4" w:rsidRDefault="00FB60A9" w:rsidP="00176F0A">
      <w:pPr>
        <w:ind w:firstLine="709"/>
        <w:jc w:val="both"/>
        <w:rPr>
          <w:rFonts w:ascii="Calibri" w:hAnsi="Calibri"/>
          <w:sz w:val="30"/>
          <w:szCs w:val="30"/>
          <w:lang w:val="en-US"/>
        </w:rPr>
      </w:pPr>
      <w:r w:rsidRPr="00A9366F">
        <w:rPr>
          <w:rFonts w:ascii="Calibri" w:hAnsi="Calibri"/>
          <w:noProof/>
          <w:sz w:val="30"/>
          <w:szCs w:val="30"/>
        </w:rPr>
        <mc:AlternateContent>
          <mc:Choice Requires="wps">
            <w:drawing>
              <wp:anchor distT="0" distB="0" distL="114300" distR="114300" simplePos="0" relativeHeight="251666432" behindDoc="0" locked="0" layoutInCell="1" allowOverlap="1">
                <wp:simplePos x="0" y="0"/>
                <wp:positionH relativeFrom="column">
                  <wp:posOffset>3088005</wp:posOffset>
                </wp:positionH>
                <wp:positionV relativeFrom="paragraph">
                  <wp:posOffset>93980</wp:posOffset>
                </wp:positionV>
                <wp:extent cx="2945130" cy="1623060"/>
                <wp:effectExtent l="0" t="0" r="45720" b="53340"/>
                <wp:wrapSquare wrapText="bothSides"/>
                <wp:docPr id="46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5130" cy="162306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1801A4" w:rsidRDefault="00541D5F"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lang w:val="en-US"/>
                              </w:rPr>
                            </w:pPr>
                            <w:r>
                              <w:rPr>
                                <w:rFonts w:ascii="Calibri" w:hAnsi="Calibri" w:cs="Arial"/>
                                <w:sz w:val="30"/>
                                <w:szCs w:val="30"/>
                                <w:lang w:val="en-US"/>
                              </w:rPr>
                              <w:t>Wider range of the services provided</w:t>
                            </w:r>
                            <w:r w:rsidRPr="001801A4">
                              <w:rPr>
                                <w:rFonts w:ascii="Calibri" w:hAnsi="Calibri" w:cs="Arial"/>
                                <w:sz w:val="30"/>
                                <w:szCs w:val="30"/>
                                <w:lang w:val="en-US"/>
                              </w:rPr>
                              <w:t>;</w:t>
                            </w:r>
                          </w:p>
                          <w:p w:rsidR="00541D5F" w:rsidRPr="001801A4" w:rsidRDefault="00541D5F"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lang w:val="en-US"/>
                              </w:rPr>
                            </w:pPr>
                            <w:r>
                              <w:rPr>
                                <w:rFonts w:ascii="Calibri" w:hAnsi="Calibri" w:cs="Arial"/>
                                <w:sz w:val="30"/>
                                <w:szCs w:val="30"/>
                                <w:lang w:val="en-US"/>
                              </w:rPr>
                              <w:t>2.3 times increase in the amount of payments through Internet/mobile banking as compared with 2015</w:t>
                            </w:r>
                            <w:r w:rsidRPr="001801A4">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51" style="position:absolute;left:0;text-align:left;margin-left:243.15pt;margin-top:7.4pt;width:231.9pt;height:12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" fillcolor="#cf9" strokecolor="#cf9" strokeweight="1pt">
                <v:shadow on="t" color="#205867" opacity=".5" offset="1pt"/>
                <v:textbox>
                  <w:txbxContent>
                    <w:p w:rsidR="00541D5F" w:rsidRPr="001801A4" w:rsidRDefault="00541D5F"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lang w:val="en-US"/>
                        </w:rPr>
                      </w:pPr>
                      <w:r>
                        <w:rPr>
                          <w:rFonts w:ascii="Calibri" w:hAnsi="Calibri" w:cs="Arial"/>
                          <w:sz w:val="30"/>
                          <w:szCs w:val="30"/>
                          <w:lang w:val="en-US"/>
                        </w:rPr>
                        <w:t>Wider range of the services provided</w:t>
                      </w:r>
                      <w:r w:rsidRPr="001801A4">
                        <w:rPr>
                          <w:rFonts w:ascii="Calibri" w:hAnsi="Calibri" w:cs="Arial"/>
                          <w:sz w:val="30"/>
                          <w:szCs w:val="30"/>
                          <w:lang w:val="en-US"/>
                        </w:rPr>
                        <w:t>;</w:t>
                      </w:r>
                    </w:p>
                    <w:p w:rsidR="00541D5F" w:rsidRPr="001801A4" w:rsidRDefault="00541D5F" w:rsidP="00840EC9">
                      <w:pPr>
                        <w:numPr>
                          <w:ilvl w:val="0"/>
                          <w:numId w:val="28"/>
                        </w:numPr>
                        <w:tabs>
                          <w:tab w:val="left" w:pos="360"/>
                        </w:tabs>
                        <w:autoSpaceDE w:val="0"/>
                        <w:autoSpaceDN w:val="0"/>
                        <w:adjustRightInd w:val="0"/>
                        <w:spacing w:line="235" w:lineRule="auto"/>
                        <w:ind w:left="0" w:firstLine="0"/>
                        <w:jc w:val="both"/>
                        <w:rPr>
                          <w:rFonts w:ascii="Calibri" w:hAnsi="Calibri" w:cs="Arial"/>
                          <w:sz w:val="30"/>
                          <w:szCs w:val="30"/>
                          <w:lang w:val="en-US"/>
                        </w:rPr>
                      </w:pPr>
                      <w:r>
                        <w:rPr>
                          <w:rFonts w:ascii="Calibri" w:hAnsi="Calibri" w:cs="Arial"/>
                          <w:sz w:val="30"/>
                          <w:szCs w:val="30"/>
                          <w:lang w:val="en-US"/>
                        </w:rPr>
                        <w:t>2.3 times increase in the amount of payments through Internet/mobile banking as compared with 2015</w:t>
                      </w:r>
                      <w:r w:rsidRPr="001801A4">
                        <w:rPr>
                          <w:rFonts w:ascii="Calibri" w:hAnsi="Calibri" w:cs="Arial"/>
                          <w:sz w:val="30"/>
                          <w:szCs w:val="30"/>
                          <w:lang w:val="en-US"/>
                        </w:rPr>
                        <w:t>.</w:t>
                      </w:r>
                    </w:p>
                  </w:txbxContent>
                </v:textbox>
                <w10:wrap type="square"/>
              </v:roundrect>
            </w:pict>
          </mc:Fallback>
        </mc:AlternateContent>
      </w:r>
      <w:r w:rsidR="001801A4" w:rsidRPr="00A9366F">
        <w:rPr>
          <w:rFonts w:ascii="Calibri" w:hAnsi="Calibri"/>
          <w:noProof/>
          <w:sz w:val="30"/>
          <w:szCs w:val="30"/>
          <w:lang w:val="en-US" w:eastAsia="en-US"/>
        </w:rPr>
        <w:t>In recent years</w:t>
      </w:r>
      <w:r w:rsidR="001801A4" w:rsidRPr="00A9366F">
        <w:rPr>
          <w:rFonts w:ascii="Calibri" w:hAnsi="Calibri"/>
          <w:sz w:val="30"/>
          <w:szCs w:val="30"/>
          <w:lang w:val="en-US"/>
        </w:rPr>
        <w:t xml:space="preserve"> a high growth rate is noted in the area of the remote services that the financial organizations provide by means of Internet/mobile banking. The banks continue working on further improvement of the Internet payment services and Internet and mobile banking systems as a whole; a range of the services provided to the customers is steadily expanding and more and more entrepreneurs are involved in such systems.  </w:t>
      </w:r>
    </w:p>
    <w:p w:rsidR="00FD2FB4" w:rsidRDefault="00FD2FB4" w:rsidP="00176F0A">
      <w:pPr>
        <w:ind w:firstLine="709"/>
        <w:jc w:val="both"/>
        <w:rPr>
          <w:rFonts w:ascii="Calibri" w:hAnsi="Calibri"/>
          <w:sz w:val="30"/>
          <w:szCs w:val="30"/>
          <w:lang w:val="en-US"/>
        </w:rPr>
      </w:pPr>
    </w:p>
    <w:p w:rsidR="001801A4" w:rsidRPr="00A9366F" w:rsidRDefault="001801A4" w:rsidP="00176F0A">
      <w:pPr>
        <w:ind w:firstLine="709"/>
        <w:jc w:val="both"/>
        <w:rPr>
          <w:rFonts w:ascii="Calibri" w:hAnsi="Calibri"/>
          <w:sz w:val="30"/>
          <w:szCs w:val="30"/>
          <w:lang w:val="en-US"/>
        </w:rPr>
      </w:pPr>
      <w:r w:rsidRPr="00A9366F">
        <w:rPr>
          <w:rFonts w:ascii="Calibri" w:hAnsi="Calibri"/>
          <w:b/>
          <w:sz w:val="30"/>
          <w:szCs w:val="30"/>
          <w:lang w:val="en-US"/>
        </w:rPr>
        <w:t xml:space="preserve">During </w:t>
      </w:r>
      <w:r w:rsidR="00DE66F7" w:rsidRPr="00A9366F">
        <w:rPr>
          <w:rFonts w:ascii="Calibri" w:hAnsi="Calibri"/>
          <w:b/>
          <w:sz w:val="30"/>
          <w:szCs w:val="30"/>
          <w:lang w:val="en-US"/>
        </w:rPr>
        <w:t>2016</w:t>
      </w:r>
      <w:r w:rsidRPr="00A9366F">
        <w:rPr>
          <w:rFonts w:ascii="Calibri" w:hAnsi="Calibri"/>
          <w:b/>
          <w:sz w:val="30"/>
          <w:szCs w:val="30"/>
          <w:lang w:val="en-US"/>
        </w:rPr>
        <w:t>, 58.3 million transactions for KZT 934.0 billion</w:t>
      </w:r>
      <w:r w:rsidRPr="00A9366F">
        <w:rPr>
          <w:rFonts w:ascii="Calibri" w:hAnsi="Calibri"/>
          <w:sz w:val="30"/>
          <w:szCs w:val="30"/>
          <w:lang w:val="en-US"/>
        </w:rPr>
        <w:t xml:space="preserve"> </w:t>
      </w:r>
      <w:r w:rsidR="00DB0E4E" w:rsidRPr="00A9366F">
        <w:rPr>
          <w:rFonts w:ascii="Calibri" w:hAnsi="Calibri"/>
          <w:sz w:val="30"/>
          <w:szCs w:val="30"/>
          <w:lang w:val="en-US"/>
        </w:rPr>
        <w:t xml:space="preserve">were </w:t>
      </w:r>
      <w:r w:rsidR="007F1ACE" w:rsidRPr="00A9366F">
        <w:rPr>
          <w:rFonts w:ascii="Calibri" w:hAnsi="Calibri"/>
          <w:sz w:val="30"/>
          <w:szCs w:val="30"/>
          <w:lang w:val="en-US"/>
        </w:rPr>
        <w:t>settled</w:t>
      </w:r>
      <w:r w:rsidR="00DB0E4E" w:rsidRPr="00A9366F">
        <w:rPr>
          <w:rFonts w:ascii="Calibri" w:hAnsi="Calibri"/>
          <w:sz w:val="30"/>
          <w:szCs w:val="30"/>
          <w:lang w:val="en-US"/>
        </w:rPr>
        <w:t xml:space="preserve"> </w:t>
      </w:r>
      <w:r w:rsidR="0092095F" w:rsidRPr="00A9366F">
        <w:rPr>
          <w:rFonts w:ascii="Calibri" w:hAnsi="Calibri"/>
          <w:sz w:val="30"/>
          <w:szCs w:val="30"/>
          <w:lang w:val="en-US"/>
        </w:rPr>
        <w:t>through</w:t>
      </w:r>
      <w:r w:rsidR="00DB0E4E" w:rsidRPr="00A9366F">
        <w:rPr>
          <w:rFonts w:ascii="Calibri" w:hAnsi="Calibri"/>
          <w:sz w:val="30"/>
          <w:szCs w:val="30"/>
          <w:lang w:val="en-US"/>
        </w:rPr>
        <w:t xml:space="preserve"> Internet/mobile banking.</w:t>
      </w:r>
      <w:r w:rsidR="00CD3794" w:rsidRPr="00A9366F">
        <w:rPr>
          <w:rFonts w:ascii="Calibri" w:hAnsi="Calibri"/>
          <w:sz w:val="30"/>
          <w:szCs w:val="30"/>
          <w:lang w:val="en-US"/>
        </w:rPr>
        <w:t xml:space="preserve"> Compared </w:t>
      </w:r>
      <w:r w:rsidR="00812573" w:rsidRPr="00A9366F">
        <w:rPr>
          <w:rFonts w:ascii="Calibri" w:hAnsi="Calibri"/>
          <w:sz w:val="30"/>
          <w:szCs w:val="30"/>
          <w:lang w:val="en-US"/>
        </w:rPr>
        <w:t>with</w:t>
      </w:r>
      <w:r w:rsidR="00CD3794" w:rsidRPr="00A9366F">
        <w:rPr>
          <w:rFonts w:ascii="Calibri" w:hAnsi="Calibri"/>
          <w:sz w:val="30"/>
          <w:szCs w:val="30"/>
          <w:lang w:val="en-US"/>
        </w:rPr>
        <w:t xml:space="preserve"> 2015 a number of transactions increased by 69.4%, while the amount of transactions increased by 2.3 times. </w:t>
      </w:r>
    </w:p>
    <w:p w:rsidR="00551431" w:rsidRPr="00A9366F" w:rsidRDefault="005059BB" w:rsidP="00176F0A">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Dynamics in Internet/mobile banking transactions </w:t>
      </w:r>
    </w:p>
    <w:p w:rsidR="00551431" w:rsidRPr="00A9366F" w:rsidRDefault="00B41594" w:rsidP="00176F0A">
      <w:pPr>
        <w:jc w:val="both"/>
        <w:rPr>
          <w:rFonts w:ascii="Calibri" w:hAnsi="Calibri"/>
          <w:sz w:val="30"/>
          <w:szCs w:val="30"/>
          <w:lang w:val="en-US"/>
        </w:rPr>
      </w:pPr>
      <w:r w:rsidRPr="00A9366F">
        <w:rPr>
          <w:rFonts w:ascii="Calibri" w:hAnsi="Calibri"/>
          <w:noProof/>
          <w:sz w:val="30"/>
          <w:szCs w:val="30"/>
        </w:rPr>
        <w:drawing>
          <wp:inline distT="0" distB="0" distL="0" distR="0">
            <wp:extent cx="5987333" cy="1979378"/>
            <wp:effectExtent l="0" t="0" r="0" b="1905"/>
            <wp:docPr id="23" name="Диаграмма 4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059BB" w:rsidRPr="00A9366F" w:rsidRDefault="005059BB" w:rsidP="00176F0A">
      <w:pPr>
        <w:ind w:firstLine="709"/>
        <w:jc w:val="both"/>
        <w:rPr>
          <w:rFonts w:ascii="Calibri" w:hAnsi="Calibri"/>
          <w:sz w:val="30"/>
          <w:szCs w:val="30"/>
          <w:lang w:val="en-US"/>
        </w:rPr>
      </w:pPr>
    </w:p>
    <w:p w:rsidR="00FD7006" w:rsidRPr="00A9366F" w:rsidRDefault="00FD7006" w:rsidP="00176F0A">
      <w:pPr>
        <w:ind w:firstLine="709"/>
        <w:jc w:val="both"/>
        <w:rPr>
          <w:rFonts w:ascii="Calibri" w:hAnsi="Calibri"/>
          <w:sz w:val="30"/>
          <w:szCs w:val="30"/>
          <w:lang w:val="en-US"/>
        </w:rPr>
      </w:pPr>
      <w:r w:rsidRPr="00A9366F">
        <w:rPr>
          <w:rFonts w:ascii="Calibri" w:hAnsi="Calibri"/>
          <w:sz w:val="30"/>
          <w:szCs w:val="30"/>
          <w:lang w:val="en-US"/>
        </w:rPr>
        <w:t>Transfers between bank accounts make</w:t>
      </w:r>
      <w:r w:rsidR="0092095F" w:rsidRPr="00A9366F">
        <w:rPr>
          <w:rFonts w:ascii="Calibri" w:hAnsi="Calibri"/>
          <w:sz w:val="30"/>
          <w:szCs w:val="30"/>
          <w:lang w:val="en-US"/>
        </w:rPr>
        <w:t xml:space="preserve"> </w:t>
      </w:r>
      <w:r w:rsidRPr="00A9366F">
        <w:rPr>
          <w:rFonts w:ascii="Calibri" w:hAnsi="Calibri"/>
          <w:sz w:val="30"/>
          <w:szCs w:val="30"/>
          <w:lang w:val="en-US"/>
        </w:rPr>
        <w:t xml:space="preserve">a </w:t>
      </w:r>
      <w:r w:rsidR="0092095F" w:rsidRPr="00A9366F">
        <w:rPr>
          <w:rFonts w:ascii="Calibri" w:hAnsi="Calibri"/>
          <w:sz w:val="30"/>
          <w:szCs w:val="30"/>
          <w:lang w:val="en-US"/>
        </w:rPr>
        <w:t xml:space="preserve">major volume of Internet/mobile banking </w:t>
      </w:r>
      <w:r w:rsidRPr="00A9366F">
        <w:rPr>
          <w:rFonts w:ascii="Calibri" w:hAnsi="Calibri"/>
          <w:sz w:val="30"/>
          <w:szCs w:val="30"/>
          <w:lang w:val="en-US"/>
        </w:rPr>
        <w:t>transactions – 37.89% of the total number of Internet payments or KZT 354.1 billion.</w:t>
      </w:r>
    </w:p>
    <w:p w:rsidR="00FD7006" w:rsidRPr="00A9366F" w:rsidRDefault="00FD7006" w:rsidP="00176F0A">
      <w:pPr>
        <w:ind w:firstLine="709"/>
        <w:jc w:val="both"/>
        <w:rPr>
          <w:rFonts w:ascii="Calibri" w:hAnsi="Calibri"/>
          <w:sz w:val="30"/>
          <w:szCs w:val="30"/>
          <w:lang w:val="en-US"/>
        </w:rPr>
      </w:pPr>
      <w:r w:rsidRPr="00A9366F">
        <w:rPr>
          <w:rFonts w:ascii="Calibri" w:hAnsi="Calibri"/>
          <w:sz w:val="30"/>
          <w:szCs w:val="30"/>
          <w:lang w:val="en-US"/>
        </w:rPr>
        <w:t xml:space="preserve">In this regard, the most frequent Internet transactions are payments for mobile operator services – 37.7% of the total number of Internet payment or </w:t>
      </w:r>
      <w:r w:rsidR="003104C6" w:rsidRPr="00A9366F">
        <w:rPr>
          <w:rFonts w:ascii="Calibri" w:hAnsi="Calibri"/>
          <w:sz w:val="30"/>
          <w:szCs w:val="30"/>
          <w:lang w:val="en-US"/>
        </w:rPr>
        <w:t>22.0 million transactions.</w:t>
      </w:r>
    </w:p>
    <w:p w:rsidR="003104C6" w:rsidRPr="00A9366F" w:rsidRDefault="003104C6" w:rsidP="00176F0A">
      <w:pPr>
        <w:pStyle w:val="2"/>
        <w:pBdr>
          <w:bottom w:val="single" w:sz="12" w:space="1" w:color="auto"/>
        </w:pBdr>
        <w:spacing w:before="0"/>
        <w:rPr>
          <w:rFonts w:ascii="Calibri" w:hAnsi="Calibri"/>
          <w:bCs w:val="0"/>
          <w:snapToGrid w:val="0"/>
          <w:color w:val="0E4C28"/>
          <w:spacing w:val="-2"/>
          <w:sz w:val="32"/>
          <w:lang w:val="en-US"/>
        </w:rPr>
      </w:pPr>
    </w:p>
    <w:p w:rsidR="00551431" w:rsidRPr="00A9366F" w:rsidRDefault="00504B23" w:rsidP="00176F0A">
      <w:pPr>
        <w:pStyle w:val="2"/>
        <w:pBdr>
          <w:bottom w:val="single" w:sz="12" w:space="1" w:color="auto"/>
        </w:pBdr>
        <w:spacing w:before="0"/>
        <w:rPr>
          <w:rFonts w:ascii="Calibri" w:hAnsi="Calibri"/>
          <w:bCs w:val="0"/>
          <w:snapToGrid w:val="0"/>
          <w:color w:val="0E4C28"/>
          <w:spacing w:val="-2"/>
          <w:sz w:val="32"/>
          <w:lang w:val="en-US"/>
        </w:rPr>
      </w:pPr>
      <w:bookmarkStart w:id="77" w:name="_Toc485627007"/>
      <w:r w:rsidRPr="00A9366F">
        <w:rPr>
          <w:rFonts w:ascii="Calibri" w:hAnsi="Calibri"/>
          <w:bCs w:val="0"/>
          <w:snapToGrid w:val="0"/>
          <w:color w:val="0E4C28"/>
          <w:spacing w:val="-2"/>
          <w:sz w:val="32"/>
          <w:lang w:val="en-US"/>
        </w:rPr>
        <w:t>3</w:t>
      </w:r>
      <w:r w:rsidR="00551431" w:rsidRPr="00A9366F">
        <w:rPr>
          <w:rFonts w:ascii="Calibri" w:hAnsi="Calibri"/>
          <w:bCs w:val="0"/>
          <w:snapToGrid w:val="0"/>
          <w:color w:val="0E4C28"/>
          <w:spacing w:val="-2"/>
          <w:sz w:val="32"/>
          <w:lang w:val="en-US"/>
        </w:rPr>
        <w:t>.4</w:t>
      </w:r>
      <w:r w:rsidR="00176F0A" w:rsidRPr="00A9366F">
        <w:rPr>
          <w:rFonts w:ascii="Calibri" w:hAnsi="Calibri"/>
          <w:bCs w:val="0"/>
          <w:snapToGrid w:val="0"/>
          <w:color w:val="0E4C28"/>
          <w:spacing w:val="-2"/>
          <w:sz w:val="32"/>
          <w:lang w:val="en-US"/>
        </w:rPr>
        <w:t>.</w:t>
      </w:r>
      <w:r w:rsidR="00551431" w:rsidRPr="00A9366F">
        <w:rPr>
          <w:rFonts w:ascii="Calibri" w:hAnsi="Calibri"/>
          <w:bCs w:val="0"/>
          <w:snapToGrid w:val="0"/>
          <w:color w:val="0E4C28"/>
          <w:spacing w:val="-2"/>
          <w:sz w:val="32"/>
          <w:lang w:val="en-US"/>
        </w:rPr>
        <w:t xml:space="preserve"> </w:t>
      </w:r>
      <w:r w:rsidR="003104C6" w:rsidRPr="00A9366F">
        <w:rPr>
          <w:rFonts w:ascii="Calibri" w:hAnsi="Calibri"/>
          <w:bCs w:val="0"/>
          <w:snapToGrid w:val="0"/>
          <w:color w:val="0E4C28"/>
          <w:spacing w:val="-2"/>
          <w:sz w:val="32"/>
          <w:lang w:val="en-US"/>
        </w:rPr>
        <w:t>Payment card market</w:t>
      </w:r>
      <w:bookmarkEnd w:id="77"/>
      <w:r w:rsidR="003104C6" w:rsidRPr="00A9366F">
        <w:rPr>
          <w:rFonts w:ascii="Calibri" w:hAnsi="Calibri"/>
          <w:bCs w:val="0"/>
          <w:snapToGrid w:val="0"/>
          <w:color w:val="0E4C28"/>
          <w:spacing w:val="-2"/>
          <w:sz w:val="32"/>
          <w:lang w:val="en-US"/>
        </w:rPr>
        <w:t xml:space="preserve"> </w:t>
      </w:r>
    </w:p>
    <w:p w:rsidR="00731430" w:rsidRPr="00A9366F" w:rsidRDefault="00731430" w:rsidP="00176F0A">
      <w:pPr>
        <w:ind w:firstLine="709"/>
        <w:jc w:val="both"/>
        <w:rPr>
          <w:rFonts w:ascii="Calibri" w:hAnsi="Calibri"/>
          <w:sz w:val="30"/>
          <w:szCs w:val="30"/>
          <w:lang w:val="en-US"/>
        </w:rPr>
      </w:pPr>
      <w:r w:rsidRPr="00A9366F">
        <w:rPr>
          <w:rFonts w:ascii="Calibri" w:hAnsi="Calibri"/>
          <w:sz w:val="30"/>
          <w:szCs w:val="30"/>
          <w:lang w:val="en-US"/>
        </w:rPr>
        <w:t>A payment card remains in Kazakhstan a major payment instrument to provide remote payment ser</w:t>
      </w:r>
      <w:r w:rsidR="00550E0F" w:rsidRPr="00A9366F">
        <w:rPr>
          <w:rFonts w:ascii="Calibri" w:hAnsi="Calibri"/>
          <w:sz w:val="30"/>
          <w:szCs w:val="30"/>
          <w:lang w:val="en-US"/>
        </w:rPr>
        <w:t>vices</w:t>
      </w:r>
      <w:r w:rsidRPr="00A9366F">
        <w:rPr>
          <w:rFonts w:ascii="Calibri" w:hAnsi="Calibri"/>
          <w:sz w:val="30"/>
          <w:szCs w:val="30"/>
          <w:lang w:val="en-US"/>
        </w:rPr>
        <w:t xml:space="preserve"> </w:t>
      </w:r>
      <w:r w:rsidR="006C0E53" w:rsidRPr="00A9366F">
        <w:rPr>
          <w:rFonts w:ascii="Calibri" w:hAnsi="Calibri"/>
          <w:sz w:val="30"/>
          <w:szCs w:val="30"/>
          <w:lang w:val="en-US"/>
        </w:rPr>
        <w:t>for the general public</w:t>
      </w:r>
      <w:r w:rsidRPr="00A9366F">
        <w:rPr>
          <w:rFonts w:ascii="Calibri" w:hAnsi="Calibri"/>
          <w:sz w:val="30"/>
          <w:szCs w:val="30"/>
          <w:lang w:val="en-US"/>
        </w:rPr>
        <w:t xml:space="preserve">; payment cards are issued by 26 banks and </w:t>
      </w:r>
      <w:proofErr w:type="spellStart"/>
      <w:r w:rsidRPr="00A9366F">
        <w:rPr>
          <w:rFonts w:ascii="Calibri" w:hAnsi="Calibri"/>
          <w:sz w:val="30"/>
          <w:szCs w:val="30"/>
          <w:lang w:val="en-US"/>
        </w:rPr>
        <w:t>Kazpost</w:t>
      </w:r>
      <w:proofErr w:type="spellEnd"/>
      <w:r w:rsidRPr="00A9366F">
        <w:rPr>
          <w:rFonts w:ascii="Calibri" w:hAnsi="Calibri"/>
          <w:sz w:val="30"/>
          <w:szCs w:val="30"/>
          <w:lang w:val="en-US"/>
        </w:rPr>
        <w:t xml:space="preserve"> JSC. </w:t>
      </w:r>
    </w:p>
    <w:p w:rsidR="00731430" w:rsidRPr="00A9366F" w:rsidRDefault="00FB60A9" w:rsidP="00176F0A">
      <w:pPr>
        <w:ind w:firstLine="709"/>
        <w:jc w:val="both"/>
        <w:rPr>
          <w:rFonts w:ascii="Calibri" w:hAnsi="Calibri"/>
          <w:sz w:val="30"/>
          <w:szCs w:val="30"/>
          <w:lang w:val="en-US"/>
        </w:rPr>
      </w:pPr>
      <w:r w:rsidRPr="00A9366F">
        <w:rPr>
          <w:rFonts w:ascii="Calibri" w:hAnsi="Calibri"/>
          <w:noProof/>
          <w:sz w:val="30"/>
          <w:szCs w:val="30"/>
        </w:rPr>
        <mc:AlternateContent>
          <mc:Choice Requires="wps">
            <w:drawing>
              <wp:anchor distT="0" distB="0" distL="114300" distR="114300" simplePos="0" relativeHeight="251699200" behindDoc="0" locked="0" layoutInCell="1" allowOverlap="1">
                <wp:simplePos x="0" y="0"/>
                <wp:positionH relativeFrom="column">
                  <wp:posOffset>2402205</wp:posOffset>
                </wp:positionH>
                <wp:positionV relativeFrom="paragraph">
                  <wp:posOffset>-2540</wp:posOffset>
                </wp:positionV>
                <wp:extent cx="3803015" cy="1996440"/>
                <wp:effectExtent l="0" t="0" r="45085" b="60960"/>
                <wp:wrapSquare wrapText="bothSides"/>
                <wp:docPr id="46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3015" cy="199644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FF0B52" w:rsidRDefault="00541D5F" w:rsidP="00C11292">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Higher activity in use of payment cards</w:t>
                            </w:r>
                            <w:r w:rsidRPr="00FF0B52">
                              <w:rPr>
                                <w:rFonts w:ascii="Calibri" w:hAnsi="Calibri" w:cs="Arial"/>
                                <w:sz w:val="30"/>
                                <w:szCs w:val="30"/>
                                <w:lang w:val="en-US"/>
                              </w:rPr>
                              <w:t xml:space="preserve">; </w:t>
                            </w:r>
                          </w:p>
                          <w:p w:rsidR="00541D5F" w:rsidRPr="00FF0B52" w:rsidRDefault="00541D5F" w:rsidP="00FF0B52">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Wider</w:t>
                            </w:r>
                            <w:r w:rsidRPr="00FF0B52">
                              <w:rPr>
                                <w:rFonts w:ascii="Calibri" w:hAnsi="Calibri" w:cs="Arial"/>
                                <w:sz w:val="30"/>
                                <w:szCs w:val="30"/>
                                <w:lang w:val="en-US"/>
                              </w:rPr>
                              <w:t xml:space="preserve"> </w:t>
                            </w:r>
                            <w:r>
                              <w:rPr>
                                <w:rFonts w:ascii="Calibri" w:hAnsi="Calibri" w:cs="Arial"/>
                                <w:sz w:val="30"/>
                                <w:szCs w:val="30"/>
                                <w:lang w:val="en-US"/>
                              </w:rPr>
                              <w:t>service</w:t>
                            </w:r>
                            <w:r w:rsidRPr="00FF0B52">
                              <w:rPr>
                                <w:rFonts w:ascii="Calibri" w:hAnsi="Calibri" w:cs="Arial"/>
                                <w:sz w:val="30"/>
                                <w:szCs w:val="30"/>
                                <w:lang w:val="en-US"/>
                              </w:rPr>
                              <w:t xml:space="preserve"> </w:t>
                            </w:r>
                            <w:r>
                              <w:rPr>
                                <w:rFonts w:ascii="Calibri" w:hAnsi="Calibri" w:cs="Arial"/>
                                <w:sz w:val="30"/>
                                <w:szCs w:val="30"/>
                                <w:lang w:val="en-US"/>
                              </w:rPr>
                              <w:t>network</w:t>
                            </w:r>
                            <w:r w:rsidRPr="00FF0B52">
                              <w:rPr>
                                <w:rFonts w:ascii="Calibri" w:hAnsi="Calibri" w:cs="Arial"/>
                                <w:sz w:val="30"/>
                                <w:szCs w:val="30"/>
                                <w:lang w:val="en-US"/>
                              </w:rPr>
                              <w:t xml:space="preserve">: </w:t>
                            </w:r>
                            <w:r>
                              <w:rPr>
                                <w:rFonts w:ascii="Calibri" w:hAnsi="Calibri" w:cs="Arial"/>
                                <w:sz w:val="30"/>
                                <w:szCs w:val="30"/>
                                <w:lang w:val="en-US"/>
                              </w:rPr>
                              <w:t xml:space="preserve">over the last three years, a number of POS-terminals </w:t>
                            </w:r>
                            <w:proofErr w:type="gramStart"/>
                            <w:r>
                              <w:rPr>
                                <w:rFonts w:ascii="Calibri" w:hAnsi="Calibri" w:cs="Arial"/>
                                <w:sz w:val="30"/>
                                <w:szCs w:val="30"/>
                                <w:lang w:val="en-US"/>
                              </w:rPr>
                              <w:t>has</w:t>
                            </w:r>
                            <w:proofErr w:type="gramEnd"/>
                            <w:r>
                              <w:rPr>
                                <w:rFonts w:ascii="Calibri" w:hAnsi="Calibri" w:cs="Arial"/>
                                <w:sz w:val="30"/>
                                <w:szCs w:val="30"/>
                                <w:lang w:val="en-US"/>
                              </w:rPr>
                              <w:t xml:space="preserve"> increased by </w:t>
                            </w:r>
                            <w:r w:rsidRPr="00FF0B52">
                              <w:rPr>
                                <w:rFonts w:ascii="Calibri" w:hAnsi="Calibri" w:cs="Arial"/>
                                <w:sz w:val="30"/>
                                <w:szCs w:val="30"/>
                                <w:lang w:val="en-US"/>
                              </w:rPr>
                              <w:t xml:space="preserve">2.3 </w:t>
                            </w:r>
                            <w:r>
                              <w:rPr>
                                <w:rFonts w:ascii="Calibri" w:hAnsi="Calibri" w:cs="Arial"/>
                                <w:sz w:val="30"/>
                                <w:szCs w:val="30"/>
                                <w:lang w:val="en-US"/>
                              </w:rPr>
                              <w:t>times, while the number of entrepreneurs that accept payment cards has increased by 2.</w:t>
                            </w:r>
                            <w:r w:rsidRPr="00FF0B52">
                              <w:rPr>
                                <w:rFonts w:ascii="Calibri" w:hAnsi="Calibri" w:cs="Arial"/>
                                <w:sz w:val="30"/>
                                <w:szCs w:val="30"/>
                                <w:lang w:val="en-US"/>
                              </w:rPr>
                              <w:t xml:space="preserve">9 </w:t>
                            </w:r>
                            <w:r>
                              <w:rPr>
                                <w:rFonts w:ascii="Calibri" w:hAnsi="Calibri" w:cs="Arial"/>
                                <w:sz w:val="30"/>
                                <w:szCs w:val="30"/>
                                <w:lang w:val="en-US"/>
                              </w:rPr>
                              <w:t>times.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52" style="position:absolute;left:0;text-align:left;margin-left:189.15pt;margin-top:-.2pt;width:299.45pt;height:157.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" fillcolor="#cf9" strokecolor="#cf9" strokeweight="1pt">
                <v:shadow on="t" color="#205867" opacity=".5" offset="1pt"/>
                <v:textbox>
                  <w:txbxContent>
                    <w:p w:rsidR="00541D5F" w:rsidRPr="00FF0B52" w:rsidRDefault="00541D5F" w:rsidP="00C11292">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Higher activity in use of payment cards</w:t>
                      </w:r>
                      <w:r w:rsidRPr="00FF0B52">
                        <w:rPr>
                          <w:rFonts w:ascii="Calibri" w:hAnsi="Calibri" w:cs="Arial"/>
                          <w:sz w:val="30"/>
                          <w:szCs w:val="30"/>
                          <w:lang w:val="en-US"/>
                        </w:rPr>
                        <w:t xml:space="preserve">; </w:t>
                      </w:r>
                    </w:p>
                    <w:p w:rsidR="00541D5F" w:rsidRPr="00FF0B52" w:rsidRDefault="00541D5F" w:rsidP="00FF0B52">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Wider</w:t>
                      </w:r>
                      <w:r w:rsidRPr="00FF0B52">
                        <w:rPr>
                          <w:rFonts w:ascii="Calibri" w:hAnsi="Calibri" w:cs="Arial"/>
                          <w:sz w:val="30"/>
                          <w:szCs w:val="30"/>
                          <w:lang w:val="en-US"/>
                        </w:rPr>
                        <w:t xml:space="preserve"> </w:t>
                      </w:r>
                      <w:r>
                        <w:rPr>
                          <w:rFonts w:ascii="Calibri" w:hAnsi="Calibri" w:cs="Arial"/>
                          <w:sz w:val="30"/>
                          <w:szCs w:val="30"/>
                          <w:lang w:val="en-US"/>
                        </w:rPr>
                        <w:t>service</w:t>
                      </w:r>
                      <w:r w:rsidRPr="00FF0B52">
                        <w:rPr>
                          <w:rFonts w:ascii="Calibri" w:hAnsi="Calibri" w:cs="Arial"/>
                          <w:sz w:val="30"/>
                          <w:szCs w:val="30"/>
                          <w:lang w:val="en-US"/>
                        </w:rPr>
                        <w:t xml:space="preserve"> </w:t>
                      </w:r>
                      <w:r>
                        <w:rPr>
                          <w:rFonts w:ascii="Calibri" w:hAnsi="Calibri" w:cs="Arial"/>
                          <w:sz w:val="30"/>
                          <w:szCs w:val="30"/>
                          <w:lang w:val="en-US"/>
                        </w:rPr>
                        <w:t>network</w:t>
                      </w:r>
                      <w:r w:rsidRPr="00FF0B52">
                        <w:rPr>
                          <w:rFonts w:ascii="Calibri" w:hAnsi="Calibri" w:cs="Arial"/>
                          <w:sz w:val="30"/>
                          <w:szCs w:val="30"/>
                          <w:lang w:val="en-US"/>
                        </w:rPr>
                        <w:t xml:space="preserve">: </w:t>
                      </w:r>
                      <w:r>
                        <w:rPr>
                          <w:rFonts w:ascii="Calibri" w:hAnsi="Calibri" w:cs="Arial"/>
                          <w:sz w:val="30"/>
                          <w:szCs w:val="30"/>
                          <w:lang w:val="en-US"/>
                        </w:rPr>
                        <w:t xml:space="preserve">over the last three years, a number of POS-terminals has increased by </w:t>
                      </w:r>
                      <w:r w:rsidRPr="00FF0B52">
                        <w:rPr>
                          <w:rFonts w:ascii="Calibri" w:hAnsi="Calibri" w:cs="Arial"/>
                          <w:sz w:val="30"/>
                          <w:szCs w:val="30"/>
                          <w:lang w:val="en-US"/>
                        </w:rPr>
                        <w:t xml:space="preserve">2.3 </w:t>
                      </w:r>
                      <w:r>
                        <w:rPr>
                          <w:rFonts w:ascii="Calibri" w:hAnsi="Calibri" w:cs="Arial"/>
                          <w:sz w:val="30"/>
                          <w:szCs w:val="30"/>
                          <w:lang w:val="en-US"/>
                        </w:rPr>
                        <w:t>times, while the number of entrepreneurs that accept payment cards has increased by 2.</w:t>
                      </w:r>
                      <w:r w:rsidRPr="00FF0B52">
                        <w:rPr>
                          <w:rFonts w:ascii="Calibri" w:hAnsi="Calibri" w:cs="Arial"/>
                          <w:sz w:val="30"/>
                          <w:szCs w:val="30"/>
                          <w:lang w:val="en-US"/>
                        </w:rPr>
                        <w:t xml:space="preserve">9 </w:t>
                      </w:r>
                      <w:r>
                        <w:rPr>
                          <w:rFonts w:ascii="Calibri" w:hAnsi="Calibri" w:cs="Arial"/>
                          <w:sz w:val="30"/>
                          <w:szCs w:val="30"/>
                          <w:lang w:val="en-US"/>
                        </w:rPr>
                        <w:t>times.</w:t>
                      </w:r>
                    </w:p>
                  </w:txbxContent>
                </v:textbox>
                <w10:wrap type="square"/>
              </v:roundrect>
            </w:pict>
          </mc:Fallback>
        </mc:AlternateContent>
      </w:r>
      <w:r w:rsidR="00731430" w:rsidRPr="00A9366F">
        <w:rPr>
          <w:rFonts w:ascii="Calibri" w:hAnsi="Calibri"/>
          <w:sz w:val="30"/>
          <w:szCs w:val="30"/>
          <w:lang w:val="en-US"/>
        </w:rPr>
        <w:t xml:space="preserve">As at 1 January 2017, 15.7 million payment cards </w:t>
      </w:r>
      <w:r w:rsidR="00FF0B52" w:rsidRPr="00A9366F">
        <w:rPr>
          <w:rFonts w:ascii="Calibri" w:hAnsi="Calibri"/>
          <w:sz w:val="30"/>
          <w:szCs w:val="30"/>
          <w:lang w:val="en-US"/>
        </w:rPr>
        <w:t>were</w:t>
      </w:r>
      <w:r w:rsidR="00731430" w:rsidRPr="00A9366F">
        <w:rPr>
          <w:rFonts w:ascii="Calibri" w:hAnsi="Calibri"/>
          <w:sz w:val="30"/>
          <w:szCs w:val="30"/>
          <w:lang w:val="en-US"/>
        </w:rPr>
        <w:t xml:space="preserve"> in circulation, and a </w:t>
      </w:r>
      <w:r w:rsidR="00FF0B52" w:rsidRPr="00A9366F">
        <w:rPr>
          <w:rFonts w:ascii="Calibri" w:hAnsi="Calibri"/>
          <w:sz w:val="30"/>
          <w:szCs w:val="30"/>
          <w:lang w:val="en-US"/>
        </w:rPr>
        <w:t xml:space="preserve">number of card holders </w:t>
      </w:r>
      <w:proofErr w:type="gramStart"/>
      <w:r w:rsidR="00FF0B52" w:rsidRPr="00A9366F">
        <w:rPr>
          <w:rFonts w:ascii="Calibri" w:hAnsi="Calibri"/>
          <w:sz w:val="30"/>
          <w:szCs w:val="30"/>
          <w:lang w:val="en-US"/>
        </w:rPr>
        <w:t>was</w:t>
      </w:r>
      <w:proofErr w:type="gramEnd"/>
      <w:r w:rsidR="00FF0B52" w:rsidRPr="00A9366F">
        <w:rPr>
          <w:rFonts w:ascii="Calibri" w:hAnsi="Calibri"/>
          <w:sz w:val="30"/>
          <w:szCs w:val="30"/>
          <w:lang w:val="en-US"/>
        </w:rPr>
        <w:t xml:space="preserve"> 14.2 million; there was a decrease in these figures as compared with the same period of 2015 – by 8.5% and 0.7%, respectively. </w:t>
      </w:r>
    </w:p>
    <w:p w:rsidR="00551431" w:rsidRPr="00A9366F" w:rsidRDefault="00FF0B52" w:rsidP="00176F0A">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Dynamics of development of the payment card market </w:t>
      </w:r>
    </w:p>
    <w:p w:rsidR="006848F2" w:rsidRPr="00A9366F" w:rsidRDefault="00B41594" w:rsidP="00176F0A">
      <w:pPr>
        <w:jc w:val="both"/>
        <w:rPr>
          <w:rFonts w:ascii="Calibri" w:hAnsi="Calibri"/>
          <w:sz w:val="30"/>
          <w:szCs w:val="30"/>
          <w:lang w:val="en-US"/>
        </w:rPr>
      </w:pPr>
      <w:r w:rsidRPr="00A9366F">
        <w:rPr>
          <w:rFonts w:ascii="Calibri" w:hAnsi="Calibri"/>
          <w:noProof/>
          <w:sz w:val="30"/>
          <w:szCs w:val="30"/>
        </w:rPr>
        <w:drawing>
          <wp:inline distT="0" distB="0" distL="0" distR="0">
            <wp:extent cx="5852160" cy="1822340"/>
            <wp:effectExtent l="0" t="0" r="0" b="6985"/>
            <wp:docPr id="26" name="Диаграмма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72717" w:rsidRPr="00A9366F" w:rsidRDefault="00A72717" w:rsidP="00176F0A">
      <w:pPr>
        <w:ind w:firstLine="709"/>
        <w:jc w:val="both"/>
        <w:rPr>
          <w:rFonts w:ascii="Calibri" w:hAnsi="Calibri"/>
          <w:spacing w:val="-4"/>
          <w:sz w:val="30"/>
          <w:szCs w:val="30"/>
          <w:lang w:val="en-US"/>
        </w:rPr>
      </w:pPr>
      <w:r w:rsidRPr="00A9366F">
        <w:rPr>
          <w:rFonts w:ascii="Calibri" w:hAnsi="Calibri"/>
          <w:spacing w:val="-4"/>
          <w:sz w:val="30"/>
          <w:szCs w:val="30"/>
          <w:lang w:val="en-US"/>
        </w:rPr>
        <w:t>Decrease on the number of card</w:t>
      </w:r>
      <w:r w:rsidR="00FD2FB4" w:rsidRPr="002C72D1">
        <w:rPr>
          <w:rFonts w:ascii="Calibri" w:hAnsi="Calibri"/>
          <w:spacing w:val="-4"/>
          <w:sz w:val="30"/>
          <w:szCs w:val="30"/>
          <w:lang w:val="en-US"/>
        </w:rPr>
        <w:t>s</w:t>
      </w:r>
      <w:r w:rsidRPr="00A9366F">
        <w:rPr>
          <w:rFonts w:ascii="Calibri" w:hAnsi="Calibri"/>
          <w:spacing w:val="-4"/>
          <w:sz w:val="30"/>
          <w:szCs w:val="30"/>
          <w:lang w:val="en-US"/>
        </w:rPr>
        <w:t xml:space="preserve"> in circulation has been due to mergers of a number of banks, which occurred during 2016, and optimization of their card business. Thus, in 2015 out of the total number of cards in circulation, on average only 43% were used per month; in 2016 this figure increased up to 51% (by 8 percentage points). Therefore, </w:t>
      </w:r>
      <w:r w:rsidR="00813C2D" w:rsidRPr="00A9366F">
        <w:rPr>
          <w:rFonts w:ascii="Calibri" w:hAnsi="Calibri"/>
          <w:spacing w:val="-4"/>
          <w:sz w:val="30"/>
          <w:szCs w:val="30"/>
          <w:lang w:val="en-US"/>
        </w:rPr>
        <w:t>while the number of payment cards in circulation decreased by 8.5%, the number of active users increased by 11.3% - from 7.1 million to 8.0 million</w:t>
      </w:r>
      <w:r w:rsidR="00A9366F">
        <w:rPr>
          <w:rFonts w:ascii="Calibri" w:hAnsi="Calibri"/>
          <w:spacing w:val="-4"/>
          <w:sz w:val="30"/>
          <w:szCs w:val="30"/>
          <w:lang w:val="en-US"/>
        </w:rPr>
        <w:t>.</w:t>
      </w:r>
    </w:p>
    <w:p w:rsidR="00600BC7" w:rsidRDefault="00600BC7" w:rsidP="00176F0A">
      <w:pPr>
        <w:ind w:firstLine="709"/>
        <w:jc w:val="both"/>
        <w:rPr>
          <w:rFonts w:ascii="Calibri" w:hAnsi="Calibri"/>
          <w:spacing w:val="-4"/>
          <w:sz w:val="30"/>
          <w:szCs w:val="30"/>
          <w:lang w:val="en-US"/>
        </w:rPr>
      </w:pPr>
    </w:p>
    <w:p w:rsidR="00C55900" w:rsidRDefault="00C55900" w:rsidP="00176F0A">
      <w:pPr>
        <w:ind w:firstLine="709"/>
        <w:jc w:val="both"/>
        <w:rPr>
          <w:rFonts w:ascii="Calibri" w:hAnsi="Calibri"/>
          <w:spacing w:val="-4"/>
          <w:sz w:val="30"/>
          <w:szCs w:val="30"/>
          <w:lang w:val="en-US"/>
        </w:rPr>
      </w:pPr>
    </w:p>
    <w:p w:rsidR="00E166A5" w:rsidRPr="00A9366F" w:rsidRDefault="00E166A5" w:rsidP="00176F0A">
      <w:pPr>
        <w:ind w:firstLine="709"/>
        <w:jc w:val="both"/>
        <w:rPr>
          <w:rFonts w:ascii="Calibri" w:hAnsi="Calibri"/>
          <w:spacing w:val="-4"/>
          <w:sz w:val="30"/>
          <w:szCs w:val="30"/>
          <w:lang w:val="en-US"/>
        </w:rPr>
      </w:pPr>
    </w:p>
    <w:p w:rsidR="00600BC7" w:rsidRPr="00A9366F" w:rsidRDefault="00600BC7" w:rsidP="00176F0A">
      <w:pPr>
        <w:ind w:firstLine="709"/>
        <w:jc w:val="both"/>
        <w:rPr>
          <w:rFonts w:ascii="Calibri" w:hAnsi="Calibri"/>
          <w:spacing w:val="-4"/>
          <w:sz w:val="30"/>
          <w:szCs w:val="30"/>
          <w:lang w:val="en-US"/>
        </w:rPr>
      </w:pPr>
    </w:p>
    <w:tbl>
      <w:tblPr>
        <w:tblW w:w="9828" w:type="dxa"/>
        <w:tblLayout w:type="fixed"/>
        <w:tblLook w:val="04A0" w:firstRow="1" w:lastRow="0" w:firstColumn="1" w:lastColumn="0" w:noHBand="0" w:noVBand="1"/>
      </w:tblPr>
      <w:tblGrid>
        <w:gridCol w:w="4788"/>
        <w:gridCol w:w="5040"/>
      </w:tblGrid>
      <w:tr w:rsidR="00551431" w:rsidRPr="00A9366F" w:rsidTr="008578F3">
        <w:tc>
          <w:tcPr>
            <w:tcW w:w="4788" w:type="dxa"/>
            <w:vMerge w:val="restart"/>
            <w:shd w:val="clear" w:color="auto" w:fill="auto"/>
          </w:tcPr>
          <w:p w:rsidR="00551431" w:rsidRPr="00A9366F" w:rsidRDefault="00590C25" w:rsidP="00590C25">
            <w:pPr>
              <w:spacing w:line="235" w:lineRule="auto"/>
              <w:ind w:firstLine="709"/>
              <w:jc w:val="both"/>
              <w:rPr>
                <w:rFonts w:ascii="Calibri" w:hAnsi="Calibri" w:cs="Arial"/>
                <w:sz w:val="30"/>
                <w:szCs w:val="30"/>
                <w:lang w:val="en-US"/>
              </w:rPr>
            </w:pPr>
            <w:r w:rsidRPr="00A9366F">
              <w:rPr>
                <w:rFonts w:ascii="Calibri" w:hAnsi="Calibri"/>
                <w:sz w:val="30"/>
                <w:szCs w:val="30"/>
                <w:lang w:val="en-US"/>
              </w:rPr>
              <w:t>International payment systems account for the major portion of payment cards in circulation – 98.7%, which are represented by the payment cards of VISA International (71.1%), MasterCard Worldwide (19.</w:t>
            </w:r>
            <w:r w:rsidR="00551431" w:rsidRPr="00A9366F">
              <w:rPr>
                <w:rFonts w:ascii="Calibri" w:hAnsi="Calibri"/>
                <w:sz w:val="30"/>
                <w:szCs w:val="30"/>
                <w:lang w:val="en-US"/>
              </w:rPr>
              <w:t>7%), Union Pay</w:t>
            </w:r>
            <w:r w:rsidR="00745ECF" w:rsidRPr="00A9366F">
              <w:rPr>
                <w:rFonts w:ascii="Calibri" w:hAnsi="Calibri"/>
                <w:sz w:val="30"/>
                <w:szCs w:val="30"/>
                <w:lang w:val="en-US"/>
              </w:rPr>
              <w:t xml:space="preserve"> International</w:t>
            </w:r>
            <w:r w:rsidRPr="00A9366F">
              <w:rPr>
                <w:rFonts w:ascii="Calibri" w:hAnsi="Calibri"/>
                <w:sz w:val="30"/>
                <w:szCs w:val="30"/>
                <w:lang w:val="en-US"/>
              </w:rPr>
              <w:t xml:space="preserve"> (7.</w:t>
            </w:r>
            <w:r w:rsidR="00551431" w:rsidRPr="00A9366F">
              <w:rPr>
                <w:rFonts w:ascii="Calibri" w:hAnsi="Calibri"/>
                <w:sz w:val="30"/>
                <w:szCs w:val="30"/>
                <w:lang w:val="en-US"/>
              </w:rPr>
              <w:t xml:space="preserve">5%) </w:t>
            </w:r>
            <w:r w:rsidRPr="00A9366F">
              <w:rPr>
                <w:rFonts w:ascii="Calibri" w:hAnsi="Calibri"/>
                <w:sz w:val="30"/>
                <w:szCs w:val="30"/>
                <w:lang w:val="en-US"/>
              </w:rPr>
              <w:t>and</w:t>
            </w:r>
            <w:r w:rsidR="00551431" w:rsidRPr="00A9366F">
              <w:rPr>
                <w:rFonts w:ascii="Calibri" w:hAnsi="Calibri"/>
                <w:sz w:val="30"/>
                <w:szCs w:val="30"/>
                <w:lang w:val="en-US"/>
              </w:rPr>
              <w:t xml:space="preserve"> Am</w:t>
            </w:r>
            <w:r w:rsidRPr="00A9366F">
              <w:rPr>
                <w:rFonts w:ascii="Calibri" w:hAnsi="Calibri"/>
                <w:sz w:val="30"/>
                <w:szCs w:val="30"/>
                <w:lang w:val="en-US"/>
              </w:rPr>
              <w:t>erican Express International (0.</w:t>
            </w:r>
            <w:r w:rsidR="00551431" w:rsidRPr="00A9366F">
              <w:rPr>
                <w:rFonts w:ascii="Calibri" w:hAnsi="Calibri"/>
                <w:sz w:val="30"/>
                <w:szCs w:val="30"/>
                <w:lang w:val="en-US"/>
              </w:rPr>
              <w:t xml:space="preserve">3%). </w:t>
            </w:r>
            <w:r w:rsidRPr="00A9366F">
              <w:rPr>
                <w:rFonts w:ascii="Calibri" w:hAnsi="Calibri"/>
                <w:sz w:val="30"/>
                <w:szCs w:val="30"/>
                <w:lang w:val="en-US"/>
              </w:rPr>
              <w:t>Local systems have a market share of 1.</w:t>
            </w:r>
            <w:r w:rsidR="00551431" w:rsidRPr="00A9366F">
              <w:rPr>
                <w:rFonts w:ascii="Calibri" w:hAnsi="Calibri"/>
                <w:sz w:val="30"/>
                <w:szCs w:val="30"/>
                <w:lang w:val="en-US"/>
              </w:rPr>
              <w:t xml:space="preserve">3% </w:t>
            </w:r>
            <w:r w:rsidRPr="00A9366F">
              <w:rPr>
                <w:rFonts w:ascii="Calibri" w:hAnsi="Calibri"/>
                <w:sz w:val="30"/>
                <w:szCs w:val="30"/>
                <w:lang w:val="en-US"/>
              </w:rPr>
              <w:t>and are represented by such systems as</w:t>
            </w:r>
            <w:r w:rsidR="00551431" w:rsidRPr="00A9366F">
              <w:rPr>
                <w:rFonts w:ascii="Calibri" w:hAnsi="Calibri"/>
                <w:sz w:val="30"/>
                <w:szCs w:val="30"/>
                <w:lang w:val="en-US"/>
              </w:rPr>
              <w:t xml:space="preserve"> </w:t>
            </w:r>
            <w:proofErr w:type="spellStart"/>
            <w:r w:rsidR="00551431" w:rsidRPr="00A9366F">
              <w:rPr>
                <w:rFonts w:ascii="Calibri" w:hAnsi="Calibri"/>
                <w:sz w:val="30"/>
                <w:szCs w:val="30"/>
                <w:lang w:val="en-US"/>
              </w:rPr>
              <w:t>Altyn</w:t>
            </w:r>
            <w:proofErr w:type="spellEnd"/>
            <w:r w:rsidR="00551431" w:rsidRPr="00A9366F">
              <w:rPr>
                <w:rFonts w:ascii="Calibri" w:hAnsi="Calibri"/>
                <w:sz w:val="30"/>
                <w:szCs w:val="30"/>
                <w:lang w:val="en-US"/>
              </w:rPr>
              <w:t xml:space="preserve"> Card </w:t>
            </w:r>
            <w:r w:rsidRPr="00A9366F">
              <w:rPr>
                <w:rFonts w:ascii="Calibri" w:hAnsi="Calibri"/>
                <w:sz w:val="30"/>
                <w:szCs w:val="30"/>
                <w:lang w:val="en-US"/>
              </w:rPr>
              <w:t>and local cards of Citibank Kazakhstan</w:t>
            </w:r>
            <w:r w:rsidR="00551431" w:rsidRPr="00A9366F">
              <w:rPr>
                <w:rFonts w:ascii="Calibri" w:hAnsi="Calibri"/>
                <w:sz w:val="30"/>
                <w:szCs w:val="30"/>
                <w:lang w:val="en-US"/>
              </w:rPr>
              <w:t>.</w:t>
            </w:r>
            <w:r w:rsidR="001D639D" w:rsidRPr="00A9366F">
              <w:rPr>
                <w:rFonts w:ascii="Calibri" w:hAnsi="Calibri"/>
                <w:sz w:val="30"/>
                <w:szCs w:val="30"/>
                <w:lang w:val="en-US"/>
              </w:rPr>
              <w:t xml:space="preserve"> </w:t>
            </w:r>
            <w:r w:rsidRPr="00A9366F">
              <w:rPr>
                <w:rFonts w:ascii="Calibri" w:hAnsi="Calibri"/>
                <w:sz w:val="30"/>
                <w:szCs w:val="30"/>
                <w:lang w:val="en-US"/>
              </w:rPr>
              <w:t>The share of debit cards is 81.</w:t>
            </w:r>
            <w:r w:rsidR="00550E0F" w:rsidRPr="00A9366F">
              <w:rPr>
                <w:rFonts w:ascii="Calibri" w:hAnsi="Calibri"/>
                <w:sz w:val="30"/>
                <w:szCs w:val="30"/>
                <w:lang w:val="en-US"/>
              </w:rPr>
              <w:t>0%;</w:t>
            </w:r>
            <w:r w:rsidR="00551431" w:rsidRPr="00A9366F">
              <w:rPr>
                <w:rFonts w:ascii="Calibri" w:hAnsi="Calibri"/>
                <w:sz w:val="30"/>
                <w:szCs w:val="30"/>
                <w:lang w:val="en-US"/>
              </w:rPr>
              <w:t xml:space="preserve"> </w:t>
            </w:r>
            <w:r w:rsidRPr="00A9366F">
              <w:rPr>
                <w:rFonts w:ascii="Calibri" w:hAnsi="Calibri"/>
                <w:sz w:val="30"/>
                <w:szCs w:val="30"/>
                <w:lang w:val="en-US"/>
              </w:rPr>
              <w:t>that of credit cards is 15.</w:t>
            </w:r>
            <w:r w:rsidR="00551431" w:rsidRPr="00A9366F">
              <w:rPr>
                <w:rFonts w:ascii="Calibri" w:hAnsi="Calibri"/>
                <w:sz w:val="30"/>
                <w:szCs w:val="30"/>
                <w:lang w:val="en-US"/>
              </w:rPr>
              <w:t>1%,</w:t>
            </w:r>
            <w:r w:rsidRPr="00A9366F">
              <w:rPr>
                <w:rFonts w:ascii="Calibri" w:hAnsi="Calibri"/>
                <w:sz w:val="30"/>
                <w:szCs w:val="30"/>
                <w:lang w:val="en-US"/>
              </w:rPr>
              <w:t xml:space="preserve"> while </w:t>
            </w:r>
            <w:proofErr w:type="gramStart"/>
            <w:r w:rsidRPr="00A9366F">
              <w:rPr>
                <w:rFonts w:ascii="Calibri" w:hAnsi="Calibri"/>
                <w:sz w:val="30"/>
                <w:szCs w:val="30"/>
                <w:lang w:val="en-US"/>
              </w:rPr>
              <w:t>overdraft debit</w:t>
            </w:r>
            <w:proofErr w:type="gramEnd"/>
            <w:r w:rsidRPr="00A9366F">
              <w:rPr>
                <w:rFonts w:ascii="Calibri" w:hAnsi="Calibri"/>
                <w:sz w:val="30"/>
                <w:szCs w:val="30"/>
                <w:lang w:val="en-US"/>
              </w:rPr>
              <w:t xml:space="preserve"> cards and prepaid debit cards account for 3.9%.</w:t>
            </w:r>
          </w:p>
        </w:tc>
        <w:tc>
          <w:tcPr>
            <w:tcW w:w="5040" w:type="dxa"/>
            <w:shd w:val="clear" w:color="auto" w:fill="auto"/>
          </w:tcPr>
          <w:p w:rsidR="00551431" w:rsidRPr="00A9366F" w:rsidRDefault="00550E0F" w:rsidP="00176F0A">
            <w:pPr>
              <w:spacing w:line="235" w:lineRule="auto"/>
              <w:jc w:val="center"/>
              <w:rPr>
                <w:rFonts w:ascii="Calibri" w:hAnsi="Calibri" w:cs="Arial"/>
                <w:b/>
                <w:color w:val="0E4C28"/>
                <w:sz w:val="28"/>
                <w:szCs w:val="28"/>
                <w:lang w:val="en-US"/>
              </w:rPr>
            </w:pPr>
            <w:r w:rsidRPr="00A9366F">
              <w:rPr>
                <w:rFonts w:ascii="Calibri" w:hAnsi="Calibri" w:cs="Arial"/>
                <w:b/>
                <w:color w:val="0E4C28"/>
                <w:sz w:val="28"/>
                <w:szCs w:val="28"/>
                <w:lang w:val="en-US"/>
              </w:rPr>
              <w:t>Proportion</w:t>
            </w:r>
            <w:r w:rsidR="00813C2D" w:rsidRPr="00A9366F">
              <w:rPr>
                <w:rFonts w:ascii="Calibri" w:hAnsi="Calibri" w:cs="Arial"/>
                <w:b/>
                <w:color w:val="0E4C28"/>
                <w:sz w:val="28"/>
                <w:szCs w:val="28"/>
                <w:lang w:val="en-US"/>
              </w:rPr>
              <w:t xml:space="preserve"> of payment card systems in total number of payment cards in circulation </w:t>
            </w:r>
          </w:p>
          <w:p w:rsidR="00551431" w:rsidRPr="00A9366F" w:rsidRDefault="00B41594" w:rsidP="00176F0A">
            <w:pPr>
              <w:tabs>
                <w:tab w:val="num" w:pos="993"/>
              </w:tabs>
              <w:spacing w:line="235" w:lineRule="auto"/>
              <w:ind w:left="-142"/>
              <w:jc w:val="both"/>
              <w:rPr>
                <w:rFonts w:ascii="Calibri" w:hAnsi="Calibri"/>
                <w:sz w:val="30"/>
                <w:szCs w:val="30"/>
                <w:lang w:val="en-US"/>
              </w:rPr>
            </w:pPr>
            <w:r w:rsidRPr="00A9366F">
              <w:rPr>
                <w:rFonts w:ascii="Calibri" w:hAnsi="Calibri"/>
                <w:noProof/>
                <w:sz w:val="30"/>
                <w:szCs w:val="30"/>
              </w:rPr>
              <w:drawing>
                <wp:inline distT="0" distB="0" distL="0" distR="0">
                  <wp:extent cx="3103685" cy="1521069"/>
                  <wp:effectExtent l="38100" t="0" r="40005" b="3175"/>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551431" w:rsidRPr="00EA720F" w:rsidTr="008578F3">
        <w:tc>
          <w:tcPr>
            <w:tcW w:w="4788" w:type="dxa"/>
            <w:vMerge/>
            <w:shd w:val="clear" w:color="auto" w:fill="auto"/>
          </w:tcPr>
          <w:p w:rsidR="00551431" w:rsidRPr="00A9366F" w:rsidRDefault="00551431" w:rsidP="00176F0A">
            <w:pPr>
              <w:jc w:val="both"/>
              <w:rPr>
                <w:rFonts w:ascii="Calibri" w:hAnsi="Calibri" w:cs="Arial"/>
                <w:sz w:val="30"/>
                <w:szCs w:val="30"/>
                <w:lang w:val="en-US"/>
              </w:rPr>
            </w:pPr>
          </w:p>
        </w:tc>
        <w:tc>
          <w:tcPr>
            <w:tcW w:w="5040" w:type="dxa"/>
            <w:shd w:val="clear" w:color="auto" w:fill="auto"/>
          </w:tcPr>
          <w:p w:rsidR="00551431" w:rsidRPr="00A9366F" w:rsidRDefault="000C4D1F" w:rsidP="00187E58">
            <w:pPr>
              <w:jc w:val="center"/>
              <w:rPr>
                <w:rFonts w:ascii="Calibri" w:hAnsi="Calibri"/>
                <w:b/>
                <w:sz w:val="30"/>
                <w:szCs w:val="30"/>
                <w:lang w:val="en-US"/>
              </w:rPr>
            </w:pPr>
            <w:r w:rsidRPr="00A9366F">
              <w:rPr>
                <w:rFonts w:ascii="Calibri" w:hAnsi="Calibri" w:cs="Arial"/>
                <w:b/>
                <w:color w:val="0E4C28"/>
                <w:sz w:val="28"/>
                <w:szCs w:val="28"/>
                <w:lang w:val="en-US"/>
              </w:rPr>
              <w:t>Proportion</w:t>
            </w:r>
            <w:r w:rsidR="00187E58" w:rsidRPr="00A9366F">
              <w:rPr>
                <w:rFonts w:ascii="Calibri" w:hAnsi="Calibri" w:cs="Arial"/>
                <w:b/>
                <w:color w:val="0E4C28"/>
                <w:sz w:val="28"/>
                <w:szCs w:val="28"/>
                <w:lang w:val="en-US"/>
              </w:rPr>
              <w:t xml:space="preserve"> of different types of payments cards in total number of payment cards in circulation </w:t>
            </w:r>
            <w:r w:rsidR="00B41594" w:rsidRPr="00A9366F">
              <w:rPr>
                <w:rFonts w:ascii="Calibri" w:hAnsi="Calibri"/>
                <w:b/>
                <w:noProof/>
                <w:sz w:val="30"/>
                <w:szCs w:val="30"/>
              </w:rPr>
              <w:drawing>
                <wp:inline distT="0" distB="0" distL="0" distR="0">
                  <wp:extent cx="3006969" cy="1441938"/>
                  <wp:effectExtent l="38100" t="0" r="41275" b="6350"/>
                  <wp:docPr id="28"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bl>
    <w:p w:rsidR="00C47D67" w:rsidRPr="00A9366F" w:rsidRDefault="00590C25" w:rsidP="00C47D67">
      <w:pPr>
        <w:widowControl w:val="0"/>
        <w:spacing w:line="235" w:lineRule="auto"/>
        <w:ind w:firstLine="709"/>
        <w:jc w:val="both"/>
        <w:rPr>
          <w:rFonts w:ascii="Calibri" w:hAnsi="Calibri"/>
          <w:sz w:val="30"/>
          <w:szCs w:val="30"/>
          <w:lang w:val="en-US"/>
        </w:rPr>
      </w:pPr>
      <w:r w:rsidRPr="00A9366F">
        <w:rPr>
          <w:rFonts w:ascii="Calibri" w:hAnsi="Calibri"/>
          <w:sz w:val="30"/>
          <w:szCs w:val="30"/>
          <w:lang w:val="en-US"/>
        </w:rPr>
        <w:t xml:space="preserve">During </w:t>
      </w:r>
      <w:r w:rsidR="00551431" w:rsidRPr="00A9366F">
        <w:rPr>
          <w:rFonts w:ascii="Calibri" w:hAnsi="Calibri"/>
          <w:sz w:val="30"/>
          <w:szCs w:val="30"/>
          <w:lang w:val="en-US"/>
        </w:rPr>
        <w:t xml:space="preserve">2016 </w:t>
      </w:r>
      <w:r w:rsidRPr="00A9366F">
        <w:rPr>
          <w:rFonts w:ascii="Calibri" w:hAnsi="Calibri"/>
          <w:b/>
          <w:sz w:val="30"/>
          <w:szCs w:val="30"/>
          <w:lang w:val="en-US"/>
        </w:rPr>
        <w:t xml:space="preserve">the </w:t>
      </w:r>
      <w:r w:rsidR="00A57450" w:rsidRPr="00A9366F">
        <w:rPr>
          <w:rFonts w:ascii="Calibri" w:hAnsi="Calibri"/>
          <w:b/>
          <w:sz w:val="30"/>
          <w:szCs w:val="30"/>
          <w:lang w:val="en-US"/>
        </w:rPr>
        <w:t>331.</w:t>
      </w:r>
      <w:r w:rsidR="00C47D67" w:rsidRPr="00A9366F">
        <w:rPr>
          <w:rFonts w:ascii="Calibri" w:hAnsi="Calibri"/>
          <w:b/>
          <w:sz w:val="30"/>
          <w:szCs w:val="30"/>
          <w:lang w:val="en-US"/>
        </w:rPr>
        <w:t xml:space="preserve">1 </w:t>
      </w:r>
      <w:r w:rsidR="000C4D1F" w:rsidRPr="00A9366F">
        <w:rPr>
          <w:rFonts w:ascii="Calibri" w:hAnsi="Calibri"/>
          <w:b/>
          <w:sz w:val="30"/>
          <w:szCs w:val="30"/>
          <w:lang w:val="en-US"/>
        </w:rPr>
        <w:t>million</w:t>
      </w:r>
      <w:r w:rsidR="00C47D67" w:rsidRPr="00A9366F">
        <w:rPr>
          <w:rFonts w:ascii="Calibri" w:hAnsi="Calibri"/>
          <w:b/>
          <w:sz w:val="30"/>
          <w:szCs w:val="30"/>
          <w:lang w:val="en-US"/>
        </w:rPr>
        <w:t xml:space="preserve"> </w:t>
      </w:r>
      <w:r w:rsidRPr="00A9366F">
        <w:rPr>
          <w:rFonts w:ascii="Calibri" w:hAnsi="Calibri"/>
          <w:b/>
          <w:sz w:val="30"/>
          <w:szCs w:val="30"/>
          <w:lang w:val="en-US"/>
        </w:rPr>
        <w:t xml:space="preserve">transactions </w:t>
      </w:r>
      <w:r w:rsidR="00C47D67" w:rsidRPr="00A9366F">
        <w:rPr>
          <w:rFonts w:ascii="Calibri" w:hAnsi="Calibri"/>
          <w:b/>
          <w:sz w:val="30"/>
          <w:szCs w:val="30"/>
          <w:lang w:val="en-US"/>
        </w:rPr>
        <w:t xml:space="preserve">for KZT 10.4 </w:t>
      </w:r>
      <w:r w:rsidR="00C32095" w:rsidRPr="00A9366F">
        <w:rPr>
          <w:rFonts w:ascii="Calibri" w:hAnsi="Calibri"/>
          <w:b/>
          <w:sz w:val="30"/>
          <w:szCs w:val="30"/>
          <w:lang w:val="en-US"/>
        </w:rPr>
        <w:t>trillion</w:t>
      </w:r>
      <w:r w:rsidR="00C47D67" w:rsidRPr="00A9366F">
        <w:rPr>
          <w:rFonts w:ascii="Calibri" w:hAnsi="Calibri"/>
          <w:b/>
          <w:sz w:val="30"/>
          <w:szCs w:val="30"/>
          <w:lang w:val="en-US"/>
        </w:rPr>
        <w:t xml:space="preserve"> were </w:t>
      </w:r>
      <w:r w:rsidR="007F1ACE" w:rsidRPr="00A9366F">
        <w:rPr>
          <w:rFonts w:ascii="Calibri" w:hAnsi="Calibri"/>
          <w:b/>
          <w:sz w:val="30"/>
          <w:szCs w:val="30"/>
          <w:lang w:val="en-US"/>
        </w:rPr>
        <w:t>settled</w:t>
      </w:r>
      <w:r w:rsidRPr="00A9366F">
        <w:rPr>
          <w:rFonts w:ascii="Calibri" w:hAnsi="Calibri"/>
          <w:b/>
          <w:sz w:val="30"/>
          <w:szCs w:val="30"/>
          <w:lang w:val="en-US"/>
        </w:rPr>
        <w:t xml:space="preserve"> using the payment cards of Kazakhstani issuers</w:t>
      </w:r>
      <w:r w:rsidRPr="00A9366F">
        <w:rPr>
          <w:rFonts w:ascii="Calibri" w:hAnsi="Calibri"/>
          <w:sz w:val="30"/>
          <w:szCs w:val="30"/>
          <w:lang w:val="en-US"/>
        </w:rPr>
        <w:t xml:space="preserve"> </w:t>
      </w:r>
      <w:r w:rsidR="00C47D67" w:rsidRPr="00A9366F">
        <w:rPr>
          <w:rFonts w:ascii="Calibri" w:hAnsi="Calibri"/>
          <w:sz w:val="30"/>
          <w:szCs w:val="30"/>
          <w:lang w:val="en-US"/>
        </w:rPr>
        <w:t xml:space="preserve">(compared </w:t>
      </w:r>
      <w:r w:rsidR="00812573" w:rsidRPr="00A9366F">
        <w:rPr>
          <w:rFonts w:ascii="Calibri" w:hAnsi="Calibri"/>
          <w:sz w:val="30"/>
          <w:szCs w:val="30"/>
          <w:lang w:val="en-US"/>
        </w:rPr>
        <w:t xml:space="preserve">with </w:t>
      </w:r>
      <w:r w:rsidR="00C47D67" w:rsidRPr="00A9366F">
        <w:rPr>
          <w:rFonts w:ascii="Calibri" w:hAnsi="Calibri"/>
          <w:sz w:val="30"/>
          <w:szCs w:val="30"/>
          <w:lang w:val="en-US"/>
        </w:rPr>
        <w:t xml:space="preserve">2015 the number of transaction increased by 22.0%, while the amount increased by </w:t>
      </w:r>
      <w:r w:rsidR="00551431" w:rsidRPr="00A9366F">
        <w:rPr>
          <w:rFonts w:ascii="Calibri" w:hAnsi="Calibri"/>
          <w:sz w:val="30"/>
          <w:szCs w:val="30"/>
          <w:lang w:val="en-US"/>
        </w:rPr>
        <w:t>25</w:t>
      </w:r>
      <w:r w:rsidR="00C47D67" w:rsidRPr="00A9366F">
        <w:rPr>
          <w:rFonts w:ascii="Calibri" w:hAnsi="Calibri"/>
          <w:sz w:val="30"/>
          <w:szCs w:val="30"/>
          <w:lang w:val="en-US"/>
        </w:rPr>
        <w:t>.</w:t>
      </w:r>
      <w:r w:rsidR="00551431" w:rsidRPr="00A9366F">
        <w:rPr>
          <w:rFonts w:ascii="Calibri" w:hAnsi="Calibri"/>
          <w:sz w:val="30"/>
          <w:szCs w:val="30"/>
          <w:lang w:val="en-US"/>
        </w:rPr>
        <w:t xml:space="preserve">9%). </w:t>
      </w:r>
      <w:r w:rsidR="00C47D67" w:rsidRPr="00A9366F">
        <w:rPr>
          <w:rFonts w:ascii="Calibri" w:hAnsi="Calibri"/>
          <w:sz w:val="30"/>
          <w:szCs w:val="30"/>
          <w:lang w:val="en-US"/>
        </w:rPr>
        <w:t>Out of said transactions</w:t>
      </w:r>
      <w:r w:rsidR="00C1621F" w:rsidRPr="00A9366F">
        <w:rPr>
          <w:rFonts w:ascii="Calibri" w:hAnsi="Calibri"/>
          <w:sz w:val="30"/>
          <w:szCs w:val="30"/>
          <w:lang w:val="en-US"/>
        </w:rPr>
        <w:t>,</w:t>
      </w:r>
      <w:r w:rsidR="00C47D67" w:rsidRPr="00A9366F">
        <w:rPr>
          <w:rFonts w:ascii="Calibri" w:hAnsi="Calibri"/>
          <w:sz w:val="30"/>
          <w:szCs w:val="30"/>
          <w:lang w:val="en-US"/>
        </w:rPr>
        <w:t xml:space="preserve"> the </w:t>
      </w:r>
      <w:r w:rsidR="00C1621F" w:rsidRPr="00A9366F">
        <w:rPr>
          <w:rFonts w:ascii="Calibri" w:hAnsi="Calibri"/>
          <w:sz w:val="30"/>
          <w:szCs w:val="30"/>
          <w:lang w:val="en-US"/>
        </w:rPr>
        <w:t>cashless</w:t>
      </w:r>
      <w:r w:rsidR="00C47D67" w:rsidRPr="00A9366F">
        <w:rPr>
          <w:rFonts w:ascii="Calibri" w:hAnsi="Calibri"/>
          <w:sz w:val="30"/>
          <w:szCs w:val="30"/>
          <w:lang w:val="en-US"/>
        </w:rPr>
        <w:t xml:space="preserve"> transactions account for 36.4% of the total number of transactions and </w:t>
      </w:r>
      <w:r w:rsidR="00A02639" w:rsidRPr="00A9366F">
        <w:rPr>
          <w:rFonts w:ascii="Calibri" w:hAnsi="Calibri"/>
          <w:sz w:val="30"/>
          <w:szCs w:val="30"/>
          <w:lang w:val="en-US"/>
        </w:rPr>
        <w:t xml:space="preserve">for </w:t>
      </w:r>
      <w:r w:rsidR="00C47D67" w:rsidRPr="00A9366F">
        <w:rPr>
          <w:rFonts w:ascii="Calibri" w:hAnsi="Calibri"/>
          <w:sz w:val="30"/>
          <w:szCs w:val="30"/>
          <w:lang w:val="en-US"/>
        </w:rPr>
        <w:t xml:space="preserve">15.6% of the total amount; cash </w:t>
      </w:r>
      <w:r w:rsidR="00A02639" w:rsidRPr="00A9366F">
        <w:rPr>
          <w:rFonts w:ascii="Calibri" w:hAnsi="Calibri"/>
          <w:sz w:val="30"/>
          <w:szCs w:val="30"/>
          <w:lang w:val="en-US"/>
        </w:rPr>
        <w:t>withdrawals</w:t>
      </w:r>
      <w:r w:rsidR="00C47D67" w:rsidRPr="00A9366F">
        <w:rPr>
          <w:rFonts w:ascii="Calibri" w:hAnsi="Calibri"/>
          <w:sz w:val="30"/>
          <w:szCs w:val="30"/>
          <w:lang w:val="en-US"/>
        </w:rPr>
        <w:t xml:space="preserve"> </w:t>
      </w:r>
      <w:r w:rsidR="00A02639" w:rsidRPr="00A9366F">
        <w:rPr>
          <w:rFonts w:ascii="Calibri" w:hAnsi="Calibri"/>
          <w:sz w:val="30"/>
          <w:szCs w:val="30"/>
          <w:lang w:val="en-US"/>
        </w:rPr>
        <w:t xml:space="preserve">account for 63.6% and 84.4%, respectively. In this regard, it is possible to note an outrunning growth of the number and amount of </w:t>
      </w:r>
      <w:r w:rsidR="00C1621F" w:rsidRPr="00A9366F">
        <w:rPr>
          <w:rFonts w:ascii="Calibri" w:hAnsi="Calibri"/>
          <w:sz w:val="30"/>
          <w:szCs w:val="30"/>
          <w:lang w:val="en-US"/>
        </w:rPr>
        <w:t>cashless</w:t>
      </w:r>
      <w:r w:rsidR="00A02639" w:rsidRPr="00A9366F">
        <w:rPr>
          <w:rFonts w:ascii="Calibri" w:hAnsi="Calibri"/>
          <w:sz w:val="30"/>
          <w:szCs w:val="30"/>
          <w:lang w:val="en-US"/>
        </w:rPr>
        <w:t xml:space="preserve"> transaction</w:t>
      </w:r>
      <w:r w:rsidR="00FD2FB4" w:rsidRPr="002C72D1">
        <w:rPr>
          <w:rFonts w:ascii="Calibri" w:hAnsi="Calibri"/>
          <w:sz w:val="30"/>
          <w:szCs w:val="30"/>
          <w:lang w:val="en-US"/>
        </w:rPr>
        <w:t>s</w:t>
      </w:r>
      <w:r w:rsidR="00A02639" w:rsidRPr="00A9366F">
        <w:rPr>
          <w:rFonts w:ascii="Calibri" w:hAnsi="Calibri"/>
          <w:sz w:val="30"/>
          <w:szCs w:val="30"/>
          <w:lang w:val="en-US"/>
        </w:rPr>
        <w:t>, which ha</w:t>
      </w:r>
      <w:r w:rsidR="00550E0F" w:rsidRPr="00A9366F">
        <w:rPr>
          <w:rFonts w:ascii="Calibri" w:hAnsi="Calibri"/>
          <w:sz w:val="30"/>
          <w:szCs w:val="30"/>
          <w:lang w:val="en-US"/>
        </w:rPr>
        <w:t>s</w:t>
      </w:r>
      <w:r w:rsidR="00A02639" w:rsidRPr="00A9366F">
        <w:rPr>
          <w:rFonts w:ascii="Calibri" w:hAnsi="Calibri"/>
          <w:sz w:val="30"/>
          <w:szCs w:val="30"/>
          <w:lang w:val="en-US"/>
        </w:rPr>
        <w:t xml:space="preserve"> increased by 42.5% and 57.2%, respectively, compared </w:t>
      </w:r>
      <w:r w:rsidR="00812573" w:rsidRPr="00A9366F">
        <w:rPr>
          <w:rFonts w:ascii="Calibri" w:hAnsi="Calibri"/>
          <w:sz w:val="30"/>
          <w:szCs w:val="30"/>
          <w:lang w:val="en-US"/>
        </w:rPr>
        <w:t xml:space="preserve">with </w:t>
      </w:r>
      <w:r w:rsidR="00A02639" w:rsidRPr="00A9366F">
        <w:rPr>
          <w:rFonts w:ascii="Calibri" w:hAnsi="Calibri"/>
          <w:sz w:val="30"/>
          <w:szCs w:val="30"/>
          <w:lang w:val="en-US"/>
        </w:rPr>
        <w:t xml:space="preserve">2015 and comprised 120.5 million transactions for KZT 1,620.6 billion. </w:t>
      </w:r>
    </w:p>
    <w:p w:rsidR="00EB5BA1" w:rsidRPr="00A9366F" w:rsidRDefault="00EB5BA1" w:rsidP="00EB5BA1">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Dynamics in transactions </w:t>
      </w:r>
      <w:r w:rsidR="007F1ACE" w:rsidRPr="00A9366F">
        <w:rPr>
          <w:rFonts w:ascii="Calibri" w:hAnsi="Calibri" w:cs="Arial"/>
          <w:b/>
          <w:color w:val="0E4C28"/>
          <w:sz w:val="28"/>
          <w:szCs w:val="28"/>
          <w:lang w:val="en-US"/>
        </w:rPr>
        <w:t>settled</w:t>
      </w:r>
      <w:r w:rsidRPr="00A9366F">
        <w:rPr>
          <w:rFonts w:ascii="Calibri" w:hAnsi="Calibri" w:cs="Arial"/>
          <w:b/>
          <w:color w:val="0E4C28"/>
          <w:sz w:val="28"/>
          <w:szCs w:val="28"/>
          <w:lang w:val="en-US"/>
        </w:rPr>
        <w:t xml:space="preserve"> using payment cards of Kazakhstani issuers </w:t>
      </w:r>
    </w:p>
    <w:p w:rsidR="00551431" w:rsidRPr="00A9366F" w:rsidRDefault="00B41594" w:rsidP="00176F0A">
      <w:pPr>
        <w:jc w:val="center"/>
        <w:rPr>
          <w:rFonts w:ascii="Calibri" w:hAnsi="Calibri"/>
          <w:b/>
          <w:color w:val="FF0000"/>
          <w:sz w:val="30"/>
          <w:szCs w:val="30"/>
          <w:lang w:val="en-US"/>
        </w:rPr>
      </w:pPr>
      <w:r w:rsidRPr="00A9366F">
        <w:rPr>
          <w:rFonts w:ascii="Calibri" w:hAnsi="Calibri"/>
          <w:b/>
          <w:noProof/>
          <w:color w:val="FF0000"/>
          <w:sz w:val="30"/>
          <w:szCs w:val="30"/>
        </w:rPr>
        <w:drawing>
          <wp:inline distT="0" distB="0" distL="0" distR="0">
            <wp:extent cx="2918129" cy="2122501"/>
            <wp:effectExtent l="0" t="0" r="0" b="0"/>
            <wp:docPr id="29"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A9366F">
        <w:rPr>
          <w:rFonts w:ascii="Calibri" w:hAnsi="Calibri"/>
          <w:b/>
          <w:noProof/>
          <w:color w:val="FF0000"/>
          <w:sz w:val="30"/>
          <w:szCs w:val="30"/>
        </w:rPr>
        <w:drawing>
          <wp:inline distT="0" distB="0" distL="0" distR="0">
            <wp:extent cx="2918129" cy="2104611"/>
            <wp:effectExtent l="0" t="0" r="0" b="0"/>
            <wp:docPr id="30"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B5BA1" w:rsidRPr="00A9366F" w:rsidRDefault="00EB5BA1" w:rsidP="00176F0A">
      <w:pPr>
        <w:widowControl w:val="0"/>
        <w:spacing w:line="235" w:lineRule="auto"/>
        <w:ind w:firstLine="709"/>
        <w:jc w:val="both"/>
        <w:rPr>
          <w:rFonts w:ascii="Calibri" w:hAnsi="Calibri"/>
          <w:sz w:val="30"/>
          <w:szCs w:val="30"/>
          <w:lang w:val="en-US"/>
        </w:rPr>
      </w:pPr>
    </w:p>
    <w:p w:rsidR="00EB5BA1" w:rsidRPr="00A9366F" w:rsidRDefault="00EB5BA1" w:rsidP="00176F0A">
      <w:pPr>
        <w:widowControl w:val="0"/>
        <w:spacing w:line="235" w:lineRule="auto"/>
        <w:ind w:firstLine="709"/>
        <w:jc w:val="both"/>
        <w:rPr>
          <w:rFonts w:ascii="Calibri" w:hAnsi="Calibri"/>
          <w:sz w:val="30"/>
          <w:szCs w:val="30"/>
          <w:lang w:val="en-US"/>
        </w:rPr>
      </w:pPr>
      <w:r w:rsidRPr="00A9366F">
        <w:rPr>
          <w:rFonts w:ascii="Calibri" w:hAnsi="Calibri"/>
          <w:sz w:val="30"/>
          <w:szCs w:val="30"/>
          <w:lang w:val="en-US"/>
        </w:rPr>
        <w:t xml:space="preserve">On average, one of two citizens of Kazakhstan is a payment card holder (in South Kazakhstan Oblast and Almaty Oblast – on average, one of three citizens). Almaty </w:t>
      </w:r>
      <w:r w:rsidR="00C44A56" w:rsidRPr="00A9366F">
        <w:rPr>
          <w:rFonts w:ascii="Calibri" w:hAnsi="Calibri"/>
          <w:sz w:val="30"/>
          <w:szCs w:val="30"/>
          <w:lang w:val="en-US"/>
        </w:rPr>
        <w:t xml:space="preserve">is in sharp contrast to such background as many of its residents hold a few payment cards issued by different banks. </w:t>
      </w:r>
    </w:p>
    <w:p w:rsidR="00551431" w:rsidRPr="00A9366F" w:rsidRDefault="00C44A56" w:rsidP="00176F0A">
      <w:pPr>
        <w:widowControl w:val="0"/>
        <w:spacing w:line="235" w:lineRule="auto"/>
        <w:ind w:firstLine="708"/>
        <w:jc w:val="both"/>
        <w:rPr>
          <w:rFonts w:ascii="Calibri" w:hAnsi="Calibri"/>
          <w:sz w:val="30"/>
          <w:szCs w:val="30"/>
          <w:lang w:val="en-US"/>
        </w:rPr>
      </w:pPr>
      <w:proofErr w:type="gramStart"/>
      <w:r w:rsidRPr="00A9366F">
        <w:rPr>
          <w:rFonts w:ascii="Calibri" w:hAnsi="Calibri"/>
          <w:b/>
          <w:sz w:val="30"/>
          <w:szCs w:val="30"/>
          <w:lang w:val="en-US"/>
        </w:rPr>
        <w:t>Interbank payments</w:t>
      </w:r>
      <w:r w:rsidRPr="00A9366F">
        <w:rPr>
          <w:rFonts w:ascii="Calibri" w:hAnsi="Calibri"/>
          <w:sz w:val="30"/>
          <w:szCs w:val="30"/>
          <w:lang w:val="en-US"/>
        </w:rPr>
        <w:t>.</w:t>
      </w:r>
      <w:proofErr w:type="gramEnd"/>
      <w:r w:rsidR="00551431" w:rsidRPr="00A9366F">
        <w:rPr>
          <w:rFonts w:ascii="Calibri" w:hAnsi="Calibri"/>
          <w:b/>
          <w:sz w:val="30"/>
          <w:szCs w:val="30"/>
          <w:lang w:val="en-US"/>
        </w:rPr>
        <w:t xml:space="preserve"> </w:t>
      </w:r>
      <w:r w:rsidRPr="00A9366F">
        <w:rPr>
          <w:rFonts w:ascii="Calibri" w:hAnsi="Calibri"/>
          <w:sz w:val="30"/>
          <w:szCs w:val="30"/>
          <w:lang w:val="en-US"/>
        </w:rPr>
        <w:t>Interbank payments</w:t>
      </w:r>
      <w:r w:rsidRPr="00A9366F">
        <w:rPr>
          <w:rFonts w:ascii="Calibri" w:hAnsi="Calibri"/>
          <w:b/>
          <w:sz w:val="30"/>
          <w:szCs w:val="30"/>
          <w:lang w:val="en-US"/>
        </w:rPr>
        <w:t xml:space="preserve"> </w:t>
      </w:r>
      <w:r w:rsidR="00551431" w:rsidRPr="00A9366F">
        <w:rPr>
          <w:rFonts w:ascii="Calibri" w:hAnsi="Calibri"/>
          <w:sz w:val="30"/>
          <w:szCs w:val="30"/>
          <w:lang w:val="en-US"/>
        </w:rPr>
        <w:t>(</w:t>
      </w:r>
      <w:r w:rsidRPr="00A9366F">
        <w:rPr>
          <w:rFonts w:ascii="Calibri" w:hAnsi="Calibri"/>
          <w:sz w:val="30"/>
          <w:szCs w:val="30"/>
          <w:lang w:val="en-US"/>
        </w:rPr>
        <w:t>other issuers’ cards in the bank’s network</w:t>
      </w:r>
      <w:r w:rsidR="00551431" w:rsidRPr="00A9366F">
        <w:rPr>
          <w:rFonts w:ascii="Calibri" w:hAnsi="Calibri"/>
          <w:sz w:val="30"/>
          <w:szCs w:val="30"/>
          <w:lang w:val="en-US"/>
        </w:rPr>
        <w:t>)</w:t>
      </w:r>
      <w:r w:rsidR="00551431" w:rsidRPr="00A9366F">
        <w:rPr>
          <w:rStyle w:val="a6"/>
          <w:rFonts w:ascii="Calibri" w:hAnsi="Calibri"/>
          <w:sz w:val="30"/>
          <w:szCs w:val="30"/>
          <w:lang w:val="en-US"/>
        </w:rPr>
        <w:footnoteReference w:id="15"/>
      </w:r>
      <w:r w:rsidR="00551431" w:rsidRPr="00A9366F">
        <w:rPr>
          <w:rFonts w:ascii="Calibri" w:hAnsi="Calibri"/>
          <w:sz w:val="30"/>
          <w:szCs w:val="30"/>
          <w:lang w:val="en-US"/>
        </w:rPr>
        <w:t xml:space="preserve"> </w:t>
      </w:r>
      <w:r w:rsidRPr="00A9366F">
        <w:rPr>
          <w:rFonts w:ascii="Calibri" w:hAnsi="Calibri"/>
          <w:sz w:val="30"/>
          <w:szCs w:val="30"/>
          <w:lang w:val="en-US"/>
        </w:rPr>
        <w:t>using payment cards of Kazakhstani issuers accounted for 56.</w:t>
      </w:r>
      <w:r w:rsidR="00551431" w:rsidRPr="00A9366F">
        <w:rPr>
          <w:rFonts w:ascii="Calibri" w:hAnsi="Calibri"/>
          <w:sz w:val="30"/>
          <w:szCs w:val="30"/>
          <w:lang w:val="en-US"/>
        </w:rPr>
        <w:t xml:space="preserve">3 </w:t>
      </w:r>
      <w:r w:rsidRPr="00A9366F">
        <w:rPr>
          <w:rFonts w:ascii="Calibri" w:hAnsi="Calibri"/>
          <w:sz w:val="30"/>
          <w:szCs w:val="30"/>
          <w:lang w:val="en-US"/>
        </w:rPr>
        <w:t>million transactions for the amount of KZT 1,137.</w:t>
      </w:r>
      <w:r w:rsidR="00551431" w:rsidRPr="00A9366F">
        <w:rPr>
          <w:rFonts w:ascii="Calibri" w:hAnsi="Calibri"/>
          <w:sz w:val="30"/>
          <w:szCs w:val="30"/>
          <w:lang w:val="en-US"/>
        </w:rPr>
        <w:t xml:space="preserve">9 </w:t>
      </w:r>
      <w:r w:rsidRPr="00A9366F">
        <w:rPr>
          <w:rFonts w:ascii="Calibri" w:hAnsi="Calibri"/>
          <w:sz w:val="30"/>
          <w:szCs w:val="30"/>
          <w:lang w:val="en-US"/>
        </w:rPr>
        <w:t>billion</w:t>
      </w:r>
      <w:r w:rsidR="00551431" w:rsidRPr="00A9366F">
        <w:rPr>
          <w:rFonts w:ascii="Calibri" w:hAnsi="Calibri"/>
          <w:sz w:val="30"/>
          <w:szCs w:val="30"/>
          <w:lang w:val="en-US"/>
        </w:rPr>
        <w:t xml:space="preserve">, </w:t>
      </w:r>
      <w:r w:rsidRPr="00A9366F">
        <w:rPr>
          <w:rFonts w:ascii="Calibri" w:hAnsi="Calibri"/>
          <w:sz w:val="30"/>
          <w:szCs w:val="30"/>
          <w:lang w:val="en-US"/>
        </w:rPr>
        <w:t>which corresponds to 17.</w:t>
      </w:r>
      <w:r w:rsidR="00551431" w:rsidRPr="00A9366F">
        <w:rPr>
          <w:rFonts w:ascii="Calibri" w:hAnsi="Calibri"/>
          <w:sz w:val="30"/>
          <w:szCs w:val="30"/>
          <w:lang w:val="en-US"/>
        </w:rPr>
        <w:t xml:space="preserve">9% </w:t>
      </w:r>
      <w:r w:rsidRPr="00A9366F">
        <w:rPr>
          <w:rFonts w:ascii="Calibri" w:hAnsi="Calibri"/>
          <w:sz w:val="30"/>
          <w:szCs w:val="30"/>
          <w:lang w:val="en-US"/>
        </w:rPr>
        <w:t>and</w:t>
      </w:r>
      <w:r w:rsidR="00551431" w:rsidRPr="00A9366F">
        <w:rPr>
          <w:rFonts w:ascii="Calibri" w:hAnsi="Calibri"/>
          <w:sz w:val="30"/>
          <w:szCs w:val="30"/>
          <w:lang w:val="en-US"/>
        </w:rPr>
        <w:t xml:space="preserve"> </w:t>
      </w:r>
      <w:r w:rsidRPr="00A9366F">
        <w:rPr>
          <w:rFonts w:ascii="Calibri" w:hAnsi="Calibri"/>
          <w:sz w:val="30"/>
          <w:szCs w:val="30"/>
          <w:lang w:val="en-US"/>
        </w:rPr>
        <w:t>11.</w:t>
      </w:r>
      <w:r w:rsidR="00551431" w:rsidRPr="00A9366F">
        <w:rPr>
          <w:rFonts w:ascii="Calibri" w:hAnsi="Calibri"/>
          <w:sz w:val="30"/>
          <w:szCs w:val="30"/>
          <w:lang w:val="en-US"/>
        </w:rPr>
        <w:t xml:space="preserve">4% </w:t>
      </w:r>
      <w:r w:rsidRPr="00A9366F">
        <w:rPr>
          <w:rFonts w:ascii="Calibri" w:hAnsi="Calibri"/>
          <w:sz w:val="30"/>
          <w:szCs w:val="30"/>
          <w:lang w:val="en-US"/>
        </w:rPr>
        <w:t xml:space="preserve">of the total number and amount of in-country payments </w:t>
      </w:r>
      <w:r w:rsidR="007F1ACE" w:rsidRPr="00A9366F">
        <w:rPr>
          <w:rFonts w:ascii="Calibri" w:hAnsi="Calibri"/>
          <w:sz w:val="30"/>
          <w:szCs w:val="30"/>
          <w:lang w:val="en-US"/>
        </w:rPr>
        <w:t>settled</w:t>
      </w:r>
      <w:r w:rsidRPr="00A9366F">
        <w:rPr>
          <w:rFonts w:ascii="Calibri" w:hAnsi="Calibri"/>
          <w:sz w:val="30"/>
          <w:szCs w:val="30"/>
          <w:lang w:val="en-US"/>
        </w:rPr>
        <w:t xml:space="preserve"> using the payment cards of Kazakhstani issuers</w:t>
      </w:r>
      <w:r w:rsidR="00551431" w:rsidRPr="00A9366F">
        <w:rPr>
          <w:rFonts w:ascii="Calibri" w:hAnsi="Calibri"/>
          <w:sz w:val="30"/>
          <w:szCs w:val="30"/>
          <w:lang w:val="en-US"/>
        </w:rPr>
        <w:t>.</w:t>
      </w:r>
    </w:p>
    <w:tbl>
      <w:tblPr>
        <w:tblStyle w:val="a3"/>
        <w:tblW w:w="0" w:type="auto"/>
        <w:shd w:val="clear" w:color="auto" w:fill="E6E6E6"/>
        <w:tblLook w:val="01E0" w:firstRow="1" w:lastRow="1" w:firstColumn="1" w:lastColumn="1" w:noHBand="0" w:noVBand="0"/>
      </w:tblPr>
      <w:tblGrid>
        <w:gridCol w:w="9344"/>
      </w:tblGrid>
      <w:tr w:rsidR="00C11292" w:rsidRPr="00EA720F" w:rsidTr="00B40D3C">
        <w:tc>
          <w:tcPr>
            <w:tcW w:w="9344" w:type="dxa"/>
            <w:shd w:val="clear" w:color="auto" w:fill="E6E6E6"/>
          </w:tcPr>
          <w:p w:rsidR="00C11292" w:rsidRPr="00A9366F" w:rsidRDefault="007E22AB" w:rsidP="00176F0A">
            <w:pPr>
              <w:widowControl w:val="0"/>
              <w:autoSpaceDE w:val="0"/>
              <w:autoSpaceDN w:val="0"/>
              <w:adjustRightInd w:val="0"/>
              <w:jc w:val="center"/>
              <w:rPr>
                <w:rFonts w:ascii="Calibri" w:hAnsi="Calibri" w:cs="Arial"/>
                <w:b/>
                <w:spacing w:val="-4"/>
                <w:lang w:val="en-US"/>
              </w:rPr>
            </w:pPr>
            <w:r w:rsidRPr="00A9366F">
              <w:rPr>
                <w:rFonts w:ascii="Calibri" w:hAnsi="Calibri" w:cs="Arial"/>
                <w:b/>
                <w:spacing w:val="-4"/>
                <w:lang w:val="en-US"/>
              </w:rPr>
              <w:t>Box</w:t>
            </w:r>
            <w:r w:rsidR="00C11292" w:rsidRPr="00A9366F">
              <w:rPr>
                <w:rFonts w:ascii="Calibri" w:hAnsi="Calibri" w:cs="Arial"/>
                <w:b/>
                <w:spacing w:val="-4"/>
                <w:lang w:val="en-US"/>
              </w:rPr>
              <w:t xml:space="preserve"> </w:t>
            </w:r>
            <w:r w:rsidR="007E45C2" w:rsidRPr="00A9366F">
              <w:rPr>
                <w:rFonts w:ascii="Calibri" w:hAnsi="Calibri" w:cs="Arial"/>
                <w:b/>
                <w:spacing w:val="-4"/>
                <w:lang w:val="en-US"/>
              </w:rPr>
              <w:t>5</w:t>
            </w:r>
            <w:r w:rsidR="00C11292" w:rsidRPr="00A9366F">
              <w:rPr>
                <w:rFonts w:ascii="Calibri" w:hAnsi="Calibri" w:cs="Arial"/>
                <w:b/>
                <w:spacing w:val="-4"/>
                <w:lang w:val="en-US"/>
              </w:rPr>
              <w:t xml:space="preserve"> – </w:t>
            </w:r>
            <w:r w:rsidR="00C44A56" w:rsidRPr="00A9366F">
              <w:rPr>
                <w:rFonts w:ascii="Calibri" w:hAnsi="Calibri" w:cs="Arial"/>
                <w:b/>
                <w:spacing w:val="-4"/>
                <w:lang w:val="en-US"/>
              </w:rPr>
              <w:t>Processing services</w:t>
            </w:r>
          </w:p>
          <w:p w:rsidR="00C11292" w:rsidRPr="00A9366F" w:rsidRDefault="00C11292" w:rsidP="00176F0A">
            <w:pPr>
              <w:widowControl w:val="0"/>
              <w:autoSpaceDE w:val="0"/>
              <w:autoSpaceDN w:val="0"/>
              <w:adjustRightInd w:val="0"/>
              <w:ind w:firstLine="720"/>
              <w:jc w:val="both"/>
              <w:rPr>
                <w:rFonts w:ascii="Calibri" w:hAnsi="Calibri" w:cs="Arial"/>
                <w:spacing w:val="-4"/>
                <w:sz w:val="2"/>
                <w:lang w:val="en-US"/>
              </w:rPr>
            </w:pPr>
          </w:p>
          <w:p w:rsidR="00745ECF" w:rsidRPr="00A9366F" w:rsidRDefault="00745ECF" w:rsidP="00176F0A">
            <w:pPr>
              <w:widowControl w:val="0"/>
              <w:autoSpaceDE w:val="0"/>
              <w:autoSpaceDN w:val="0"/>
              <w:adjustRightInd w:val="0"/>
              <w:ind w:firstLine="720"/>
              <w:jc w:val="both"/>
              <w:rPr>
                <w:rFonts w:ascii="Calibri" w:hAnsi="Calibri" w:cs="Arial"/>
                <w:spacing w:val="-4"/>
                <w:sz w:val="2"/>
                <w:lang w:val="en-US"/>
              </w:rPr>
            </w:pPr>
          </w:p>
          <w:p w:rsidR="00C11292" w:rsidRPr="00A9366F" w:rsidRDefault="00C44A56" w:rsidP="00C44A56">
            <w:pPr>
              <w:widowControl w:val="0"/>
              <w:autoSpaceDE w:val="0"/>
              <w:autoSpaceDN w:val="0"/>
              <w:adjustRightInd w:val="0"/>
              <w:ind w:firstLine="720"/>
              <w:jc w:val="both"/>
              <w:rPr>
                <w:rFonts w:ascii="Calibri" w:hAnsi="Calibri" w:cs="Arial"/>
                <w:spacing w:val="-4"/>
                <w:sz w:val="8"/>
                <w:lang w:val="en-US"/>
              </w:rPr>
            </w:pPr>
            <w:r w:rsidRPr="00A9366F">
              <w:rPr>
                <w:rFonts w:ascii="Calibri" w:hAnsi="Calibri" w:cs="Arial"/>
                <w:spacing w:val="-4"/>
                <w:lang w:val="en-US"/>
              </w:rPr>
              <w:t>In Kazakhstan, the card transactions are processed by 18 processing centers, of which 14 centers are located in the Republic of Kazakhstan; 4 subsidiaries of the foreign banks use the processing centers of the parent companies.  In this regard, a share of banks, which have established their own processing centers, is 70.4% of the total number of issuing banks</w:t>
            </w:r>
          </w:p>
        </w:tc>
      </w:tr>
    </w:tbl>
    <w:p w:rsidR="00B40D3C" w:rsidRPr="00A9366F" w:rsidRDefault="00B40D3C" w:rsidP="00176F0A">
      <w:pPr>
        <w:widowControl w:val="0"/>
        <w:spacing w:line="235" w:lineRule="auto"/>
        <w:ind w:firstLine="709"/>
        <w:jc w:val="both"/>
        <w:rPr>
          <w:rFonts w:ascii="Calibri" w:hAnsi="Calibri"/>
          <w:sz w:val="30"/>
          <w:szCs w:val="30"/>
          <w:lang w:val="en-US"/>
        </w:rPr>
      </w:pPr>
      <w:r w:rsidRPr="00A9366F">
        <w:rPr>
          <w:rFonts w:ascii="Calibri" w:hAnsi="Calibri"/>
          <w:sz w:val="30"/>
          <w:szCs w:val="30"/>
          <w:lang w:val="en-US"/>
        </w:rPr>
        <w:t>The majority of the cash withdrawal transactions is performed by the customers in the networks of their own banks that have issued the cards (</w:t>
      </w:r>
      <w:r w:rsidR="0051421C" w:rsidRPr="00A9366F">
        <w:rPr>
          <w:rFonts w:ascii="Calibri" w:hAnsi="Calibri"/>
          <w:sz w:val="30"/>
          <w:szCs w:val="30"/>
          <w:lang w:val="en-US"/>
        </w:rPr>
        <w:t xml:space="preserve">88.0% and 92.6% of the total number and amount, respectively), which is due to the low charges for such transactions in the bank’s own network (usually zero rates are provided under the companies’ wages and salaries packages) as compared </w:t>
      </w:r>
      <w:r w:rsidR="00812573" w:rsidRPr="00A9366F">
        <w:rPr>
          <w:rFonts w:ascii="Calibri" w:hAnsi="Calibri"/>
          <w:sz w:val="30"/>
          <w:szCs w:val="30"/>
          <w:lang w:val="en-US"/>
        </w:rPr>
        <w:t>with</w:t>
      </w:r>
      <w:r w:rsidR="0051421C" w:rsidRPr="00A9366F">
        <w:rPr>
          <w:rFonts w:ascii="Calibri" w:hAnsi="Calibri"/>
          <w:sz w:val="30"/>
          <w:szCs w:val="30"/>
          <w:lang w:val="en-US"/>
        </w:rPr>
        <w:t xml:space="preserve"> the rates for such transactions in the networks of other banks. The customers can make </w:t>
      </w:r>
      <w:r w:rsidR="00C1621F" w:rsidRPr="00A9366F">
        <w:rPr>
          <w:rFonts w:ascii="Calibri" w:hAnsi="Calibri"/>
          <w:sz w:val="30"/>
          <w:szCs w:val="30"/>
          <w:lang w:val="en-US"/>
        </w:rPr>
        <w:t xml:space="preserve">cashless </w:t>
      </w:r>
      <w:r w:rsidR="0051421C" w:rsidRPr="00A9366F">
        <w:rPr>
          <w:rFonts w:ascii="Calibri" w:hAnsi="Calibri"/>
          <w:sz w:val="30"/>
          <w:szCs w:val="30"/>
          <w:lang w:val="en-US"/>
        </w:rPr>
        <w:t xml:space="preserve">payments through the payment cards </w:t>
      </w:r>
      <w:r w:rsidR="00F5691D" w:rsidRPr="00A9366F">
        <w:rPr>
          <w:rFonts w:ascii="Calibri" w:hAnsi="Calibri"/>
          <w:sz w:val="30"/>
          <w:szCs w:val="30"/>
          <w:lang w:val="en-US"/>
        </w:rPr>
        <w:t xml:space="preserve">both in the networks of their issuing banks and other banks of Kazakhstan, as in this case the payment card holders bear no expenses on such transactions. </w:t>
      </w:r>
    </w:p>
    <w:p w:rsidR="00551431" w:rsidRPr="00A9366F" w:rsidRDefault="00551431" w:rsidP="00176F0A">
      <w:pPr>
        <w:widowControl w:val="0"/>
        <w:spacing w:line="235" w:lineRule="auto"/>
        <w:ind w:firstLine="709"/>
        <w:jc w:val="both"/>
        <w:rPr>
          <w:rFonts w:ascii="Calibri" w:hAnsi="Calibri"/>
          <w:sz w:val="30"/>
          <w:szCs w:val="30"/>
          <w:lang w:val="en-US"/>
        </w:rPr>
      </w:pPr>
    </w:p>
    <w:p w:rsidR="00F5691D" w:rsidRPr="00A9366F" w:rsidRDefault="00B123E1" w:rsidP="00B123E1">
      <w:pPr>
        <w:widowControl w:val="0"/>
        <w:spacing w:line="235" w:lineRule="auto"/>
        <w:jc w:val="both"/>
        <w:rPr>
          <w:rFonts w:ascii="Calibri" w:hAnsi="Calibri"/>
          <w:sz w:val="30"/>
          <w:szCs w:val="30"/>
          <w:lang w:val="en-US"/>
        </w:rPr>
      </w:pPr>
      <w:r>
        <w:rPr>
          <w:noProof/>
        </w:rPr>
        <w:drawing>
          <wp:inline distT="0" distB="0" distL="0" distR="0" wp14:anchorId="55A7EE92" wp14:editId="7002CADA">
            <wp:extent cx="2819400" cy="2743200"/>
            <wp:effectExtent l="0" t="0" r="19050" b="1905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9E7D83">
        <w:rPr>
          <w:noProof/>
          <w:lang w:val="en-US"/>
        </w:rPr>
        <w:t xml:space="preserve"> </w:t>
      </w:r>
      <w:r>
        <w:rPr>
          <w:noProof/>
        </w:rPr>
        <w:drawing>
          <wp:inline distT="0" distB="0" distL="0" distR="0" wp14:anchorId="430DB800" wp14:editId="6699EC0B">
            <wp:extent cx="3009900" cy="27432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83F9B" w:rsidRPr="00A9366F" w:rsidRDefault="00091FB8" w:rsidP="00091FB8">
      <w:pPr>
        <w:widowControl w:val="0"/>
        <w:spacing w:line="235" w:lineRule="auto"/>
        <w:ind w:firstLine="709"/>
        <w:jc w:val="both"/>
        <w:rPr>
          <w:rFonts w:ascii="Calibri" w:hAnsi="Calibri"/>
          <w:sz w:val="30"/>
          <w:szCs w:val="30"/>
          <w:lang w:val="en-US"/>
        </w:rPr>
      </w:pPr>
      <w:r w:rsidRPr="00A9366F">
        <w:rPr>
          <w:rFonts w:ascii="Calibri" w:hAnsi="Calibri"/>
          <w:sz w:val="30"/>
          <w:szCs w:val="30"/>
          <w:lang w:val="en-US"/>
        </w:rPr>
        <w:t xml:space="preserve">In this case the interbank payments using payment cards are </w:t>
      </w:r>
      <w:r w:rsidR="007F1ACE" w:rsidRPr="00A9366F">
        <w:rPr>
          <w:rFonts w:ascii="Calibri" w:hAnsi="Calibri"/>
          <w:sz w:val="30"/>
          <w:szCs w:val="30"/>
          <w:lang w:val="en-US"/>
        </w:rPr>
        <w:t xml:space="preserve">settled </w:t>
      </w:r>
      <w:r w:rsidRPr="00A9366F">
        <w:rPr>
          <w:rFonts w:ascii="Calibri" w:hAnsi="Calibri"/>
          <w:sz w:val="30"/>
          <w:szCs w:val="30"/>
          <w:lang w:val="en-US"/>
        </w:rPr>
        <w:t xml:space="preserve">in Kazakhstan through the infrastructure of the international payment systems (VISA, </w:t>
      </w:r>
      <w:proofErr w:type="spellStart"/>
      <w:r w:rsidRPr="00A9366F">
        <w:rPr>
          <w:rFonts w:ascii="Calibri" w:hAnsi="Calibri"/>
          <w:sz w:val="30"/>
          <w:szCs w:val="30"/>
          <w:lang w:val="en-US"/>
        </w:rPr>
        <w:t>Mastercard</w:t>
      </w:r>
      <w:proofErr w:type="spellEnd"/>
      <w:r w:rsidRPr="00A9366F">
        <w:rPr>
          <w:rFonts w:ascii="Calibri" w:hAnsi="Calibri"/>
          <w:sz w:val="30"/>
          <w:szCs w:val="30"/>
          <w:lang w:val="en-US"/>
        </w:rPr>
        <w:t xml:space="preserve">, </w:t>
      </w:r>
      <w:proofErr w:type="spellStart"/>
      <w:r w:rsidRPr="00A9366F">
        <w:rPr>
          <w:rFonts w:ascii="Calibri" w:hAnsi="Calibri"/>
          <w:sz w:val="30"/>
          <w:szCs w:val="30"/>
          <w:lang w:val="en-US"/>
        </w:rPr>
        <w:t>UnionPay</w:t>
      </w:r>
      <w:proofErr w:type="spellEnd"/>
      <w:r w:rsidRPr="00A9366F">
        <w:rPr>
          <w:rFonts w:ascii="Calibri" w:hAnsi="Calibri"/>
          <w:sz w:val="30"/>
          <w:szCs w:val="30"/>
          <w:lang w:val="en-US"/>
        </w:rPr>
        <w:t>, American Express), using Host 2 Host connections</w:t>
      </w:r>
      <w:r w:rsidRPr="00A9366F">
        <w:rPr>
          <w:rStyle w:val="a6"/>
          <w:rFonts w:ascii="Calibri" w:hAnsi="Calibri"/>
          <w:sz w:val="30"/>
          <w:szCs w:val="30"/>
          <w:lang w:val="en-US"/>
        </w:rPr>
        <w:footnoteReference w:id="16"/>
      </w:r>
      <w:r w:rsidRPr="00A9366F">
        <w:rPr>
          <w:rFonts w:ascii="Calibri" w:hAnsi="Calibri"/>
          <w:sz w:val="30"/>
          <w:szCs w:val="30"/>
          <w:lang w:val="en-US"/>
        </w:rPr>
        <w:t xml:space="preserve"> between the banks, which are served in different processing centers, and within one and the same processing center (1 PC). </w:t>
      </w:r>
      <w:r w:rsidR="00846DC9" w:rsidRPr="00A9366F">
        <w:rPr>
          <w:noProof/>
          <w:lang w:val="en-US"/>
        </w:rPr>
        <w:t xml:space="preserve"> </w:t>
      </w:r>
    </w:p>
    <w:p w:rsidR="00846DC9" w:rsidRPr="00A9366F" w:rsidRDefault="00FB60A9" w:rsidP="00583F9B">
      <w:pPr>
        <w:widowControl w:val="0"/>
        <w:spacing w:line="235" w:lineRule="auto"/>
        <w:jc w:val="both"/>
        <w:rPr>
          <w:rFonts w:ascii="Calibri" w:hAnsi="Calibri"/>
          <w:sz w:val="30"/>
          <w:szCs w:val="30"/>
          <w:lang w:val="en-US"/>
        </w:rPr>
      </w:pPr>
      <w:r w:rsidRPr="00A9366F">
        <w:rPr>
          <w:noProof/>
        </w:rPr>
        <mc:AlternateContent>
          <mc:Choice Requires="wps">
            <w:drawing>
              <wp:inline distT="0" distB="0" distL="0" distR="0">
                <wp:extent cx="5939790" cy="7776845"/>
                <wp:effectExtent l="13335" t="8890" r="9525" b="5715"/>
                <wp:docPr id="448"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7776845"/>
                        </a:xfrm>
                        <a:prstGeom prst="roundRect">
                          <a:avLst>
                            <a:gd name="adj" fmla="val 3079"/>
                          </a:avLst>
                        </a:prstGeom>
                        <a:solidFill>
                          <a:srgbClr val="CCFFCC">
                            <a:alpha val="27058"/>
                          </a:srgbClr>
                        </a:solidFill>
                        <a:ln w="9525">
                          <a:solidFill>
                            <a:srgbClr val="000000"/>
                          </a:solidFill>
                          <a:round/>
                          <a:headEnd/>
                          <a:tailEnd/>
                        </a:ln>
                      </wps:spPr>
                      <wps:txbx>
                        <w:txbxContent>
                          <w:p w:rsidR="00541D5F" w:rsidRDefault="00541D5F" w:rsidP="00176F0A">
                            <w:pPr>
                              <w:spacing w:line="235" w:lineRule="auto"/>
                              <w:ind w:firstLine="709"/>
                              <w:jc w:val="both"/>
                              <w:rPr>
                                <w:rFonts w:ascii="Calibri" w:hAnsi="Calibri"/>
                                <w:sz w:val="30"/>
                                <w:szCs w:val="30"/>
                                <w:lang w:val="en-US"/>
                              </w:rPr>
                            </w:pPr>
                            <w:r>
                              <w:rPr>
                                <w:rFonts w:ascii="Calibri" w:hAnsi="Calibri"/>
                                <w:sz w:val="30"/>
                                <w:szCs w:val="30"/>
                                <w:lang w:val="en-US"/>
                              </w:rPr>
                              <w:t xml:space="preserve">The level of development of the payment services market depends on the extent, in which payment services of accessible for the general public, and how convenient and rapid they are. To make remote payments Kazakhstani banks provide their customers with such remote access devices as POS-terminals, ATMs, bank kiosks and instant settlement terminals as well as Internet and mobile banking services. </w:t>
                            </w:r>
                          </w:p>
                          <w:p w:rsidR="00541D5F" w:rsidRPr="00C1621F" w:rsidRDefault="00541D5F" w:rsidP="00176F0A">
                            <w:pPr>
                              <w:spacing w:line="235" w:lineRule="auto"/>
                              <w:ind w:firstLine="709"/>
                              <w:jc w:val="both"/>
                              <w:rPr>
                                <w:rFonts w:ascii="Calibri" w:hAnsi="Calibri"/>
                                <w:sz w:val="30"/>
                                <w:szCs w:val="30"/>
                                <w:lang w:val="en-US"/>
                              </w:rPr>
                            </w:pPr>
                            <w:bookmarkStart w:id="78" w:name="OLE_LINK11"/>
                            <w:bookmarkStart w:id="79" w:name="OLE_LINK12"/>
                            <w:r>
                              <w:rPr>
                                <w:rFonts w:ascii="Calibri" w:hAnsi="Calibri"/>
                                <w:sz w:val="30"/>
                                <w:szCs w:val="30"/>
                                <w:lang w:val="en-US"/>
                              </w:rPr>
                              <w:t>Development and active implementation of Internet and mobile communication promoted changes in the available business models and to a greater degree of transition to the use of remote communication channels. Given the global trends – to switch to electronic banking services, over the last five years the volume of transactions made through the remote communication channels and electronic terminals has almost doubled and reached 474.7 million transactions for KZT 12.</w:t>
                            </w:r>
                            <w:r w:rsidRPr="00C1621F">
                              <w:rPr>
                                <w:rFonts w:ascii="Calibri" w:hAnsi="Calibri"/>
                                <w:sz w:val="30"/>
                                <w:szCs w:val="30"/>
                                <w:lang w:val="en-US"/>
                              </w:rPr>
                              <w:t>4</w:t>
                            </w:r>
                            <w:r>
                              <w:rPr>
                                <w:rFonts w:ascii="Calibri" w:hAnsi="Calibri"/>
                                <w:sz w:val="30"/>
                                <w:szCs w:val="30"/>
                                <w:lang w:val="en-US"/>
                              </w:rPr>
                              <w:t xml:space="preserve"> trillion in 2016. Countrywide implementation of digital technologies has resulted in increased volume of transactions made through Internet/mobile banking, which amounted to KZT 934.0 billion in 2015 and exceeded that of 2015 by 2.3 times. </w:t>
                            </w:r>
                          </w:p>
                          <w:bookmarkEnd w:id="78"/>
                          <w:bookmarkEnd w:id="79"/>
                          <w:p w:rsidR="00541D5F" w:rsidRPr="001942E1" w:rsidRDefault="00541D5F" w:rsidP="00176F0A">
                            <w:pPr>
                              <w:widowControl w:val="0"/>
                              <w:spacing w:line="235" w:lineRule="auto"/>
                              <w:ind w:firstLine="709"/>
                              <w:jc w:val="both"/>
                              <w:rPr>
                                <w:rFonts w:ascii="Calibri" w:hAnsi="Calibri"/>
                                <w:sz w:val="30"/>
                                <w:szCs w:val="30"/>
                                <w:lang w:val="en-US"/>
                              </w:rPr>
                            </w:pPr>
                            <w:r>
                              <w:rPr>
                                <w:rFonts w:ascii="Calibri" w:hAnsi="Calibri"/>
                                <w:sz w:val="30"/>
                                <w:szCs w:val="30"/>
                                <w:lang w:val="en-US"/>
                              </w:rPr>
                              <w:t>Positive dynamics has been preserved on the payment card market. More than 50% of the payment cards in the circulation have been actively used. In this regard, the banks focus increasingly on development of cashless methods of payments. Given the works carried out by the banks and government, a network for acceptance of payment cards to make payments for goods and services has expanded significantly: the number of POS-terminals as well as the number of entrepreneurs that accept payment cards increased (by 2.3 times and 2.9 times, respectively, over the last three years), which promoted increase in the number of the cashless payments. Thus</w:t>
                            </w:r>
                            <w:r w:rsidRPr="001942E1">
                              <w:rPr>
                                <w:rFonts w:ascii="Calibri" w:hAnsi="Calibri"/>
                                <w:sz w:val="30"/>
                                <w:szCs w:val="30"/>
                                <w:lang w:val="en-US"/>
                              </w:rPr>
                              <w:t xml:space="preserve">, </w:t>
                            </w:r>
                            <w:r>
                              <w:rPr>
                                <w:rFonts w:ascii="Calibri" w:hAnsi="Calibri"/>
                                <w:sz w:val="30"/>
                                <w:szCs w:val="30"/>
                                <w:lang w:val="en-US"/>
                              </w:rPr>
                              <w:t>the amount of cashless payments made using payment cards increased by 57.2% as compared with 2015, while the amounts of cash withdrawals grew by 21.4%.</w:t>
                            </w:r>
                          </w:p>
                        </w:txbxContent>
                      </wps:txbx>
                      <wps:bodyPr rot="0" vert="horz" wrap="square" lIns="91440" tIns="45720" rIns="91440" bIns="45720" anchor="t" anchorCtr="0" upright="1">
                        <a:noAutofit/>
                      </wps:bodyPr>
                    </wps:wsp>
                  </a:graphicData>
                </a:graphic>
              </wp:inline>
            </w:drawing>
          </mc:Choice>
          <mc:Fallback>
            <w:pict>
              <v:roundrect id="AutoShape 77" o:spid="_x0000_s1053" style="width:467.7pt;height:612.3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" fillcolor="#cfc">
                <v:fill opacity="17733f"/>
                <v:textbox>
                  <w:txbxContent>
                    <w:p w:rsidR="00541D5F" w:rsidRDefault="00541D5F" w:rsidP="00176F0A">
                      <w:pPr>
                        <w:spacing w:line="235" w:lineRule="auto"/>
                        <w:ind w:firstLine="709"/>
                        <w:jc w:val="both"/>
                        <w:rPr>
                          <w:rFonts w:ascii="Calibri" w:hAnsi="Calibri"/>
                          <w:sz w:val="30"/>
                          <w:szCs w:val="30"/>
                          <w:lang w:val="en-US"/>
                        </w:rPr>
                      </w:pPr>
                      <w:r>
                        <w:rPr>
                          <w:rFonts w:ascii="Calibri" w:hAnsi="Calibri"/>
                          <w:sz w:val="30"/>
                          <w:szCs w:val="30"/>
                          <w:lang w:val="en-US"/>
                        </w:rPr>
                        <w:t xml:space="preserve">The level of development of the payment services market depends on the extent, in which payment services of accessible for the general public, and how convenient and rapid they are. To make remote payments Kazakhstani banks provide their customers with such remote access devices as POS-terminals, ATMs, bank kiosks and instant settlement terminals as well as Internet and mobile banking services. </w:t>
                      </w:r>
                    </w:p>
                    <w:p w:rsidR="00541D5F" w:rsidRPr="00C1621F" w:rsidRDefault="00541D5F" w:rsidP="00176F0A">
                      <w:pPr>
                        <w:spacing w:line="235" w:lineRule="auto"/>
                        <w:ind w:firstLine="709"/>
                        <w:jc w:val="both"/>
                        <w:rPr>
                          <w:rFonts w:ascii="Calibri" w:hAnsi="Calibri"/>
                          <w:sz w:val="30"/>
                          <w:szCs w:val="30"/>
                          <w:lang w:val="en-US"/>
                        </w:rPr>
                      </w:pPr>
                      <w:bookmarkStart w:id="79" w:name="OLE_LINK11"/>
                      <w:bookmarkStart w:id="80" w:name="OLE_LINK12"/>
                      <w:r>
                        <w:rPr>
                          <w:rFonts w:ascii="Calibri" w:hAnsi="Calibri"/>
                          <w:sz w:val="30"/>
                          <w:szCs w:val="30"/>
                          <w:lang w:val="en-US"/>
                        </w:rPr>
                        <w:t>Development and active implementation of Internet and mobile communication promoted changes in the available business models and to a greater degree of transition to the use of remote communication channels. Given the global trends – to switch to electronic banking services, over the last five years the volume of transactions made through the remote communication channels and electronic terminals has almost doubled and reached 474.7 million transactions for KZT 12.</w:t>
                      </w:r>
                      <w:r w:rsidRPr="00C1621F">
                        <w:rPr>
                          <w:rFonts w:ascii="Calibri" w:hAnsi="Calibri"/>
                          <w:sz w:val="30"/>
                          <w:szCs w:val="30"/>
                          <w:lang w:val="en-US"/>
                        </w:rPr>
                        <w:t>4</w:t>
                      </w:r>
                      <w:r>
                        <w:rPr>
                          <w:rFonts w:ascii="Calibri" w:hAnsi="Calibri"/>
                          <w:sz w:val="30"/>
                          <w:szCs w:val="30"/>
                          <w:lang w:val="en-US"/>
                        </w:rPr>
                        <w:t xml:space="preserve"> trillion in 2016. Countrywide implementation of digital technologies has resulted in increased volume of transactions made through Internet/mobile banking, which amounted to KZT 934.0 billion in 2015 and exceeded that of 2015 by 2.3 times. </w:t>
                      </w:r>
                    </w:p>
                    <w:bookmarkEnd w:id="79"/>
                    <w:bookmarkEnd w:id="80"/>
                    <w:p w:rsidR="00541D5F" w:rsidRPr="001942E1" w:rsidRDefault="00541D5F" w:rsidP="00176F0A">
                      <w:pPr>
                        <w:widowControl w:val="0"/>
                        <w:spacing w:line="235" w:lineRule="auto"/>
                        <w:ind w:firstLine="709"/>
                        <w:jc w:val="both"/>
                        <w:rPr>
                          <w:rFonts w:ascii="Calibri" w:hAnsi="Calibri"/>
                          <w:sz w:val="30"/>
                          <w:szCs w:val="30"/>
                          <w:lang w:val="en-US"/>
                        </w:rPr>
                      </w:pPr>
                      <w:r>
                        <w:rPr>
                          <w:rFonts w:ascii="Calibri" w:hAnsi="Calibri"/>
                          <w:sz w:val="30"/>
                          <w:szCs w:val="30"/>
                          <w:lang w:val="en-US"/>
                        </w:rPr>
                        <w:t>Positive dynamics has been preserved on the payment card market. More than 50% of the payment cards in the circulation have been actively used. In this regard, the banks focus increasingly on development of cashless methods of payments. Given the works carried out by the banks and government, a network for acceptance of payment cards to make payments for goods and services has expanded significantly: the number of POS-terminals as well as the number of entrepreneurs that accept payment cards increased (by 2.3 times and 2.9 times, respectively, over the last three years), which promoted increase in the number of the cashless payments. Thus</w:t>
                      </w:r>
                      <w:r w:rsidRPr="001942E1">
                        <w:rPr>
                          <w:rFonts w:ascii="Calibri" w:hAnsi="Calibri"/>
                          <w:sz w:val="30"/>
                          <w:szCs w:val="30"/>
                          <w:lang w:val="en-US"/>
                        </w:rPr>
                        <w:t xml:space="preserve">, </w:t>
                      </w:r>
                      <w:r>
                        <w:rPr>
                          <w:rFonts w:ascii="Calibri" w:hAnsi="Calibri"/>
                          <w:sz w:val="30"/>
                          <w:szCs w:val="30"/>
                          <w:lang w:val="en-US"/>
                        </w:rPr>
                        <w:t>the amount of cashless payments made using payment cards increased by 57.2% as compared with 2015, while the amounts of cash withdrawals grew by 21.4%.</w:t>
                      </w:r>
                    </w:p>
                  </w:txbxContent>
                </v:textbox>
                <w10:anchorlock/>
              </v:roundrect>
            </w:pict>
          </mc:Fallback>
        </mc:AlternateContent>
      </w:r>
    </w:p>
    <w:p w:rsidR="007E45C2" w:rsidRPr="00A9366F" w:rsidRDefault="007E45C2" w:rsidP="00583F9B">
      <w:pPr>
        <w:spacing w:line="235" w:lineRule="auto"/>
        <w:rPr>
          <w:lang w:val="en-US"/>
        </w:rPr>
        <w:sectPr w:rsidR="007E45C2" w:rsidRPr="00A9366F" w:rsidSect="00CB3CE6">
          <w:pgSz w:w="11906" w:h="16838"/>
          <w:pgMar w:top="1134" w:right="851" w:bottom="426" w:left="1701" w:header="709" w:footer="709" w:gutter="0"/>
          <w:cols w:space="708"/>
          <w:docGrid w:linePitch="360"/>
        </w:sectPr>
      </w:pPr>
    </w:p>
    <w:p w:rsidR="00476637" w:rsidRPr="00A9366F" w:rsidRDefault="001942E1" w:rsidP="0008527A">
      <w:pPr>
        <w:pStyle w:val="1"/>
        <w:spacing w:before="0" w:after="0"/>
        <w:jc w:val="center"/>
        <w:rPr>
          <w:rFonts w:ascii="Calibri" w:hAnsi="Calibri"/>
          <w:bCs w:val="0"/>
          <w:snapToGrid w:val="0"/>
          <w:color w:val="0E4C28"/>
          <w:spacing w:val="-2"/>
          <w:kern w:val="0"/>
          <w:sz w:val="36"/>
          <w:szCs w:val="36"/>
          <w:lang w:val="en-US"/>
        </w:rPr>
      </w:pPr>
      <w:bookmarkStart w:id="80" w:name="_Toc485627008"/>
      <w:proofErr w:type="gramStart"/>
      <w:r w:rsidRPr="00A9366F">
        <w:rPr>
          <w:rFonts w:ascii="Calibri" w:hAnsi="Calibri"/>
          <w:bCs w:val="0"/>
          <w:snapToGrid w:val="0"/>
          <w:color w:val="0E4C28"/>
          <w:spacing w:val="-2"/>
          <w:kern w:val="0"/>
          <w:sz w:val="36"/>
          <w:szCs w:val="36"/>
          <w:lang w:val="en-US"/>
        </w:rPr>
        <w:t>SECTION</w:t>
      </w:r>
      <w:r w:rsidR="005C7913" w:rsidRPr="00A9366F">
        <w:rPr>
          <w:rFonts w:ascii="Calibri" w:hAnsi="Calibri"/>
          <w:bCs w:val="0"/>
          <w:snapToGrid w:val="0"/>
          <w:color w:val="0E4C28"/>
          <w:spacing w:val="-2"/>
          <w:kern w:val="0"/>
          <w:sz w:val="36"/>
          <w:szCs w:val="36"/>
          <w:lang w:val="en-US"/>
        </w:rPr>
        <w:t xml:space="preserve"> 4</w:t>
      </w:r>
      <w:r w:rsidR="00476637" w:rsidRPr="00A9366F">
        <w:rPr>
          <w:rFonts w:ascii="Calibri" w:hAnsi="Calibri"/>
          <w:bCs w:val="0"/>
          <w:snapToGrid w:val="0"/>
          <w:color w:val="0E4C28"/>
          <w:spacing w:val="-2"/>
          <w:kern w:val="0"/>
          <w:sz w:val="36"/>
          <w:szCs w:val="36"/>
          <w:lang w:val="en-US"/>
        </w:rPr>
        <w:t>.</w:t>
      </w:r>
      <w:proofErr w:type="gramEnd"/>
      <w:r w:rsidR="00476637"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MONEY TRANSFER SYSTEMS</w:t>
      </w:r>
      <w:bookmarkEnd w:id="80"/>
      <w:r w:rsidRPr="00A9366F">
        <w:rPr>
          <w:rFonts w:ascii="Calibri" w:hAnsi="Calibri"/>
          <w:bCs w:val="0"/>
          <w:snapToGrid w:val="0"/>
          <w:color w:val="0E4C28"/>
          <w:spacing w:val="-2"/>
          <w:kern w:val="0"/>
          <w:sz w:val="36"/>
          <w:szCs w:val="36"/>
          <w:lang w:val="en-US"/>
        </w:rPr>
        <w:t xml:space="preserve"> </w:t>
      </w:r>
    </w:p>
    <w:p w:rsidR="00A76649" w:rsidRPr="00A9366F" w:rsidRDefault="00A76649" w:rsidP="00476637">
      <w:pPr>
        <w:ind w:firstLine="709"/>
        <w:jc w:val="both"/>
        <w:rPr>
          <w:rFonts w:ascii="Calibri" w:hAnsi="Calibri" w:cs="Arial"/>
          <w:sz w:val="30"/>
          <w:szCs w:val="30"/>
          <w:lang w:val="en-US"/>
        </w:rPr>
      </w:pPr>
    </w:p>
    <w:p w:rsidR="001942E1" w:rsidRPr="00A9366F" w:rsidRDefault="00FB60A9" w:rsidP="00DD08FE">
      <w:pPr>
        <w:ind w:firstLine="709"/>
        <w:jc w:val="both"/>
        <w:rPr>
          <w:rFonts w:ascii="Calibri" w:hAnsi="Calibri" w:cs="Arial"/>
          <w:sz w:val="30"/>
          <w:szCs w:val="30"/>
          <w:lang w:val="en-US"/>
        </w:rPr>
      </w:pPr>
      <w:r w:rsidRPr="00A9366F">
        <w:rPr>
          <w:rFonts w:ascii="Calibri" w:hAnsi="Calibri" w:cs="Arial"/>
          <w:noProof/>
          <w:sz w:val="30"/>
          <w:szCs w:val="30"/>
        </w:rPr>
        <mc:AlternateContent>
          <mc:Choice Requires="wps">
            <w:drawing>
              <wp:anchor distT="0" distB="0" distL="114300" distR="114300" simplePos="0" relativeHeight="251669504" behindDoc="0" locked="0" layoutInCell="1" allowOverlap="1">
                <wp:simplePos x="0" y="0"/>
                <wp:positionH relativeFrom="column">
                  <wp:posOffset>2514600</wp:posOffset>
                </wp:positionH>
                <wp:positionV relativeFrom="paragraph">
                  <wp:posOffset>25400</wp:posOffset>
                </wp:positionV>
                <wp:extent cx="3314700" cy="2926080"/>
                <wp:effectExtent l="0" t="0" r="38100" b="64770"/>
                <wp:wrapSquare wrapText="bothSides"/>
                <wp:docPr id="463"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92608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Convenience (no need to open account) and quickness</w:t>
                            </w:r>
                            <w:r w:rsidRPr="006C0E53">
                              <w:rPr>
                                <w:rFonts w:ascii="Calibri" w:hAnsi="Calibri" w:cs="Arial"/>
                                <w:sz w:val="30"/>
                                <w:szCs w:val="30"/>
                                <w:lang w:val="en-US"/>
                              </w:rPr>
                              <w:t xml:space="preserve">; </w:t>
                            </w:r>
                          </w:p>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Insignificant volume of money transfers – covers the needs of the general public in making immediate transfers</w:t>
                            </w:r>
                            <w:r w:rsidRPr="006C0E53">
                              <w:rPr>
                                <w:rFonts w:ascii="Calibri" w:hAnsi="Calibri" w:cs="Arial"/>
                                <w:sz w:val="30"/>
                                <w:szCs w:val="30"/>
                                <w:lang w:val="en-US"/>
                              </w:rPr>
                              <w:t>;</w:t>
                            </w:r>
                          </w:p>
                          <w:p w:rsidR="00541D5F"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Mostly free money transfers</w:t>
                            </w:r>
                            <w:r>
                              <w:rPr>
                                <w:rFonts w:ascii="Calibri" w:hAnsi="Calibri" w:cs="Arial"/>
                                <w:sz w:val="30"/>
                                <w:szCs w:val="30"/>
                              </w:rPr>
                              <w:t>;</w:t>
                            </w:r>
                          </w:p>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Transfers</w:t>
                            </w:r>
                            <w:r w:rsidRPr="006C0E53">
                              <w:rPr>
                                <w:rFonts w:ascii="Calibri" w:hAnsi="Calibri" w:cs="Arial"/>
                                <w:sz w:val="30"/>
                                <w:szCs w:val="30"/>
                                <w:lang w:val="en-US"/>
                              </w:rPr>
                              <w:t xml:space="preserve"> </w:t>
                            </w:r>
                            <w:r>
                              <w:rPr>
                                <w:rFonts w:ascii="Calibri" w:hAnsi="Calibri" w:cs="Arial"/>
                                <w:sz w:val="30"/>
                                <w:szCs w:val="30"/>
                                <w:lang w:val="en-US"/>
                              </w:rPr>
                              <w:t>from</w:t>
                            </w:r>
                            <w:r w:rsidRPr="006C0E53">
                              <w:rPr>
                                <w:rFonts w:ascii="Calibri" w:hAnsi="Calibri" w:cs="Arial"/>
                                <w:sz w:val="30"/>
                                <w:szCs w:val="30"/>
                                <w:lang w:val="en-US"/>
                              </w:rPr>
                              <w:t xml:space="preserve"> </w:t>
                            </w:r>
                            <w:r>
                              <w:rPr>
                                <w:rFonts w:ascii="Calibri" w:hAnsi="Calibri" w:cs="Arial"/>
                                <w:sz w:val="30"/>
                                <w:szCs w:val="30"/>
                                <w:lang w:val="en-US"/>
                              </w:rPr>
                              <w:t>Kazakhstan</w:t>
                            </w:r>
                            <w:r w:rsidRPr="006C0E53">
                              <w:rPr>
                                <w:rFonts w:ascii="Calibri" w:hAnsi="Calibri" w:cs="Arial"/>
                                <w:sz w:val="30"/>
                                <w:szCs w:val="30"/>
                                <w:lang w:val="en-US"/>
                              </w:rPr>
                              <w:t xml:space="preserve"> </w:t>
                            </w:r>
                            <w:r>
                              <w:rPr>
                                <w:rFonts w:ascii="Calibri" w:hAnsi="Calibri" w:cs="Arial"/>
                                <w:sz w:val="30"/>
                                <w:szCs w:val="30"/>
                                <w:lang w:val="en-US"/>
                              </w:rPr>
                              <w:t xml:space="preserve">exceed significantly transfers to Kazakhstan </w:t>
                            </w:r>
                            <w:r w:rsidRPr="006C0E53">
                              <w:rPr>
                                <w:rFonts w:ascii="Calibri" w:hAnsi="Calibri" w:cs="Arial"/>
                                <w:sz w:val="30"/>
                                <w:szCs w:val="30"/>
                                <w:lang w:val="en-US"/>
                              </w:rPr>
                              <w:t>(</w:t>
                            </w:r>
                            <w:r>
                              <w:rPr>
                                <w:rFonts w:ascii="Calibri" w:hAnsi="Calibri" w:cs="Arial"/>
                                <w:sz w:val="30"/>
                                <w:szCs w:val="30"/>
                                <w:lang w:val="en-US"/>
                              </w:rPr>
                              <w:t>negative net position</w:t>
                            </w:r>
                            <w:r w:rsidRPr="006C0E53">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54" style="position:absolute;left:0;text-align:left;margin-left:198pt;margin-top:2pt;width:261pt;height:23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" fillcolor="#cf9" strokecolor="#cf9" strokeweight="1pt">
                <v:shadow on="t" color="#205867" opacity=".5" offset="1pt"/>
                <v:textbox>
                  <w:txbxContent>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Convenience (no need to open account) and quickness</w:t>
                      </w:r>
                      <w:r w:rsidRPr="006C0E53">
                        <w:rPr>
                          <w:rFonts w:ascii="Calibri" w:hAnsi="Calibri" w:cs="Arial"/>
                          <w:sz w:val="30"/>
                          <w:szCs w:val="30"/>
                          <w:lang w:val="en-US"/>
                        </w:rPr>
                        <w:t xml:space="preserve">; </w:t>
                      </w:r>
                    </w:p>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Insignificant volume of money transfers – covers the needs of the general public in making immediate transfers</w:t>
                      </w:r>
                      <w:r w:rsidRPr="006C0E53">
                        <w:rPr>
                          <w:rFonts w:ascii="Calibri" w:hAnsi="Calibri" w:cs="Arial"/>
                          <w:sz w:val="30"/>
                          <w:szCs w:val="30"/>
                          <w:lang w:val="en-US"/>
                        </w:rPr>
                        <w:t>;</w:t>
                      </w:r>
                    </w:p>
                    <w:p w:rsidR="00541D5F"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rPr>
                      </w:pPr>
                      <w:r>
                        <w:rPr>
                          <w:rFonts w:ascii="Calibri" w:hAnsi="Calibri" w:cs="Arial"/>
                          <w:sz w:val="30"/>
                          <w:szCs w:val="30"/>
                          <w:lang w:val="en-US"/>
                        </w:rPr>
                        <w:t>Mostly free money transfers</w:t>
                      </w:r>
                      <w:r>
                        <w:rPr>
                          <w:rFonts w:ascii="Calibri" w:hAnsi="Calibri" w:cs="Arial"/>
                          <w:sz w:val="30"/>
                          <w:szCs w:val="30"/>
                        </w:rPr>
                        <w:t>;</w:t>
                      </w:r>
                    </w:p>
                    <w:p w:rsidR="00541D5F" w:rsidRPr="006C0E53" w:rsidRDefault="00541D5F" w:rsidP="00C77E3B">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Transfers</w:t>
                      </w:r>
                      <w:r w:rsidRPr="006C0E53">
                        <w:rPr>
                          <w:rFonts w:ascii="Calibri" w:hAnsi="Calibri" w:cs="Arial"/>
                          <w:sz w:val="30"/>
                          <w:szCs w:val="30"/>
                          <w:lang w:val="en-US"/>
                        </w:rPr>
                        <w:t xml:space="preserve"> </w:t>
                      </w:r>
                      <w:r>
                        <w:rPr>
                          <w:rFonts w:ascii="Calibri" w:hAnsi="Calibri" w:cs="Arial"/>
                          <w:sz w:val="30"/>
                          <w:szCs w:val="30"/>
                          <w:lang w:val="en-US"/>
                        </w:rPr>
                        <w:t>from</w:t>
                      </w:r>
                      <w:r w:rsidRPr="006C0E53">
                        <w:rPr>
                          <w:rFonts w:ascii="Calibri" w:hAnsi="Calibri" w:cs="Arial"/>
                          <w:sz w:val="30"/>
                          <w:szCs w:val="30"/>
                          <w:lang w:val="en-US"/>
                        </w:rPr>
                        <w:t xml:space="preserve"> </w:t>
                      </w:r>
                      <w:r>
                        <w:rPr>
                          <w:rFonts w:ascii="Calibri" w:hAnsi="Calibri" w:cs="Arial"/>
                          <w:sz w:val="30"/>
                          <w:szCs w:val="30"/>
                          <w:lang w:val="en-US"/>
                        </w:rPr>
                        <w:t>Kazakhstan</w:t>
                      </w:r>
                      <w:r w:rsidRPr="006C0E53">
                        <w:rPr>
                          <w:rFonts w:ascii="Calibri" w:hAnsi="Calibri" w:cs="Arial"/>
                          <w:sz w:val="30"/>
                          <w:szCs w:val="30"/>
                          <w:lang w:val="en-US"/>
                        </w:rPr>
                        <w:t xml:space="preserve"> </w:t>
                      </w:r>
                      <w:r>
                        <w:rPr>
                          <w:rFonts w:ascii="Calibri" w:hAnsi="Calibri" w:cs="Arial"/>
                          <w:sz w:val="30"/>
                          <w:szCs w:val="30"/>
                          <w:lang w:val="en-US"/>
                        </w:rPr>
                        <w:t xml:space="preserve">exceed significantly transfers to Kazakhstan </w:t>
                      </w:r>
                      <w:r w:rsidRPr="006C0E53">
                        <w:rPr>
                          <w:rFonts w:ascii="Calibri" w:hAnsi="Calibri" w:cs="Arial"/>
                          <w:sz w:val="30"/>
                          <w:szCs w:val="30"/>
                          <w:lang w:val="en-US"/>
                        </w:rPr>
                        <w:t>(</w:t>
                      </w:r>
                      <w:r>
                        <w:rPr>
                          <w:rFonts w:ascii="Calibri" w:hAnsi="Calibri" w:cs="Arial"/>
                          <w:sz w:val="30"/>
                          <w:szCs w:val="30"/>
                          <w:lang w:val="en-US"/>
                        </w:rPr>
                        <w:t>negative net position</w:t>
                      </w:r>
                      <w:r w:rsidRPr="006C0E53">
                        <w:rPr>
                          <w:rFonts w:ascii="Calibri" w:hAnsi="Calibri" w:cs="Arial"/>
                          <w:sz w:val="30"/>
                          <w:szCs w:val="30"/>
                          <w:lang w:val="en-US"/>
                        </w:rPr>
                        <w:t>).</w:t>
                      </w:r>
                    </w:p>
                  </w:txbxContent>
                </v:textbox>
                <w10:wrap type="square"/>
              </v:roundrect>
            </w:pict>
          </mc:Fallback>
        </mc:AlternateContent>
      </w:r>
      <w:r w:rsidR="001942E1" w:rsidRPr="00A9366F">
        <w:rPr>
          <w:rFonts w:ascii="Calibri" w:hAnsi="Calibri" w:cs="Arial"/>
          <w:sz w:val="30"/>
          <w:szCs w:val="30"/>
          <w:lang w:val="en-US"/>
        </w:rPr>
        <w:t xml:space="preserve">The volumes of transfers through the systems of money transfers satisfy the needs of the </w:t>
      </w:r>
      <w:r w:rsidR="006C0E53" w:rsidRPr="00A9366F">
        <w:rPr>
          <w:rFonts w:ascii="Calibri" w:hAnsi="Calibri" w:cs="Arial"/>
          <w:sz w:val="30"/>
          <w:szCs w:val="30"/>
          <w:lang w:val="en-US"/>
        </w:rPr>
        <w:t>general public</w:t>
      </w:r>
      <w:r w:rsidR="001942E1" w:rsidRPr="00A9366F">
        <w:rPr>
          <w:rFonts w:ascii="Calibri" w:hAnsi="Calibri" w:cs="Arial"/>
          <w:sz w:val="30"/>
          <w:szCs w:val="30"/>
          <w:lang w:val="en-US"/>
        </w:rPr>
        <w:t xml:space="preserve"> in the immediate and, as a rule, free money transfers. </w:t>
      </w:r>
      <w:r w:rsidR="006C0E53" w:rsidRPr="00A9366F">
        <w:rPr>
          <w:rFonts w:ascii="Calibri" w:hAnsi="Calibri" w:cs="Arial"/>
          <w:sz w:val="30"/>
          <w:szCs w:val="30"/>
          <w:lang w:val="en-US"/>
        </w:rPr>
        <w:t xml:space="preserve">In Kazakhstan during 2016, </w:t>
      </w:r>
      <w:r w:rsidR="000C2237" w:rsidRPr="00A9366F">
        <w:rPr>
          <w:rFonts w:ascii="Calibri" w:hAnsi="Calibri" w:cs="Arial"/>
          <w:sz w:val="30"/>
          <w:szCs w:val="30"/>
          <w:lang w:val="en-US"/>
        </w:rPr>
        <w:t xml:space="preserve">payment services for immediate </w:t>
      </w:r>
      <w:r w:rsidR="006C0E53" w:rsidRPr="00A9366F">
        <w:rPr>
          <w:rFonts w:ascii="Calibri" w:hAnsi="Calibri" w:cs="Arial"/>
          <w:sz w:val="30"/>
          <w:szCs w:val="30"/>
          <w:lang w:val="en-US"/>
        </w:rPr>
        <w:t>money transfer</w:t>
      </w:r>
      <w:r w:rsidR="000C2237" w:rsidRPr="00A9366F">
        <w:rPr>
          <w:rFonts w:ascii="Calibri" w:hAnsi="Calibri" w:cs="Arial"/>
          <w:sz w:val="30"/>
          <w:szCs w:val="30"/>
          <w:lang w:val="en-US"/>
        </w:rPr>
        <w:t>s</w:t>
      </w:r>
      <w:r w:rsidR="006C0E53" w:rsidRPr="00A9366F">
        <w:rPr>
          <w:rFonts w:ascii="Calibri" w:hAnsi="Calibri" w:cs="Arial"/>
          <w:sz w:val="30"/>
          <w:szCs w:val="30"/>
          <w:lang w:val="en-US"/>
        </w:rPr>
        <w:t xml:space="preserve"> for the </w:t>
      </w:r>
      <w:r w:rsidR="000C2237" w:rsidRPr="00A9366F">
        <w:rPr>
          <w:rFonts w:ascii="Calibri" w:hAnsi="Calibri" w:cs="Arial"/>
          <w:sz w:val="30"/>
          <w:szCs w:val="30"/>
          <w:lang w:val="en-US"/>
        </w:rPr>
        <w:t>public</w:t>
      </w:r>
      <w:r w:rsidR="006C0E53" w:rsidRPr="00A9366F">
        <w:rPr>
          <w:rFonts w:ascii="Calibri" w:hAnsi="Calibri" w:cs="Arial"/>
          <w:sz w:val="30"/>
          <w:szCs w:val="30"/>
          <w:lang w:val="en-US"/>
        </w:rPr>
        <w:t xml:space="preserve"> </w:t>
      </w:r>
      <w:r w:rsidR="000C2237" w:rsidRPr="00A9366F">
        <w:rPr>
          <w:rFonts w:ascii="Calibri" w:hAnsi="Calibri" w:cs="Arial"/>
          <w:sz w:val="30"/>
          <w:szCs w:val="30"/>
          <w:lang w:val="en-US"/>
        </w:rPr>
        <w:t xml:space="preserve">were provided through 16 systems of money transfers, the amount of which has changed insignificantly over the last three years. </w:t>
      </w:r>
    </w:p>
    <w:p w:rsidR="000C2237" w:rsidRPr="00EA720F" w:rsidRDefault="000C2237" w:rsidP="00DD08FE">
      <w:pPr>
        <w:ind w:firstLine="709"/>
        <w:jc w:val="both"/>
        <w:rPr>
          <w:rFonts w:ascii="Calibri" w:hAnsi="Calibri" w:cs="Arial"/>
          <w:sz w:val="30"/>
          <w:szCs w:val="30"/>
          <w:lang w:val="en-US"/>
        </w:rPr>
      </w:pPr>
      <w:r w:rsidRPr="00A9366F">
        <w:rPr>
          <w:rFonts w:ascii="Calibri" w:hAnsi="Calibri" w:cs="Arial"/>
          <w:sz w:val="30"/>
          <w:szCs w:val="30"/>
          <w:lang w:val="en-US"/>
        </w:rPr>
        <w:t>Thus, in 2014 payment services for money transfers through the second</w:t>
      </w:r>
      <w:r w:rsidR="00FD3353" w:rsidRPr="00A9366F">
        <w:rPr>
          <w:rFonts w:ascii="Calibri" w:hAnsi="Calibri" w:cs="Arial"/>
          <w:sz w:val="30"/>
          <w:szCs w:val="30"/>
          <w:lang w:val="en-US"/>
        </w:rPr>
        <w:t>-</w:t>
      </w:r>
      <w:r w:rsidRPr="00A9366F">
        <w:rPr>
          <w:rFonts w:ascii="Calibri" w:hAnsi="Calibri" w:cs="Arial"/>
          <w:sz w:val="30"/>
          <w:szCs w:val="30"/>
          <w:lang w:val="en-US"/>
        </w:rPr>
        <w:t>tie</w:t>
      </w:r>
      <w:r w:rsidR="00FD3353" w:rsidRPr="00A9366F">
        <w:rPr>
          <w:rFonts w:ascii="Calibri" w:hAnsi="Calibri" w:cs="Arial"/>
          <w:sz w:val="30"/>
          <w:szCs w:val="30"/>
          <w:lang w:val="en-US"/>
        </w:rPr>
        <w:t>r</w:t>
      </w:r>
      <w:r w:rsidRPr="00A9366F">
        <w:rPr>
          <w:rFonts w:ascii="Calibri" w:hAnsi="Calibri" w:cs="Arial"/>
          <w:sz w:val="30"/>
          <w:szCs w:val="30"/>
          <w:lang w:val="en-US"/>
        </w:rPr>
        <w:t xml:space="preserve"> banks and branches of </w:t>
      </w:r>
      <w:proofErr w:type="spellStart"/>
      <w:r w:rsidRPr="00A9366F">
        <w:rPr>
          <w:rFonts w:ascii="Calibri" w:hAnsi="Calibri" w:cs="Arial"/>
          <w:sz w:val="30"/>
          <w:szCs w:val="30"/>
          <w:lang w:val="en-US"/>
        </w:rPr>
        <w:t>Kazpost</w:t>
      </w:r>
      <w:proofErr w:type="spellEnd"/>
      <w:r w:rsidRPr="00A9366F">
        <w:rPr>
          <w:rFonts w:ascii="Calibri" w:hAnsi="Calibri" w:cs="Arial"/>
          <w:sz w:val="30"/>
          <w:szCs w:val="30"/>
          <w:lang w:val="en-US"/>
        </w:rPr>
        <w:t xml:space="preserve"> JSC were provided through 18 </w:t>
      </w:r>
      <w:r w:rsidR="00FD3353" w:rsidRPr="00A9366F">
        <w:rPr>
          <w:rFonts w:ascii="Calibri" w:hAnsi="Calibri" w:cs="Arial"/>
          <w:sz w:val="30"/>
          <w:szCs w:val="30"/>
          <w:lang w:val="en-US"/>
        </w:rPr>
        <w:t xml:space="preserve">money transfer systems, while during </w:t>
      </w:r>
      <w:r w:rsidRPr="00A9366F">
        <w:rPr>
          <w:rFonts w:ascii="Calibri" w:hAnsi="Calibri" w:cs="Arial"/>
          <w:sz w:val="30"/>
          <w:szCs w:val="30"/>
          <w:lang w:val="en-US"/>
        </w:rPr>
        <w:t xml:space="preserve">2015 there were operating 15 </w:t>
      </w:r>
      <w:r w:rsidR="00FD3353" w:rsidRPr="00A9366F">
        <w:rPr>
          <w:rFonts w:ascii="Calibri" w:hAnsi="Calibri" w:cs="Arial"/>
          <w:sz w:val="30"/>
          <w:szCs w:val="30"/>
          <w:lang w:val="en-US"/>
        </w:rPr>
        <w:t>money transfer systems.</w:t>
      </w:r>
    </w:p>
    <w:p w:rsidR="00AF349C" w:rsidRPr="00EA720F" w:rsidRDefault="00AF349C" w:rsidP="00DD08FE">
      <w:pPr>
        <w:ind w:firstLine="709"/>
        <w:jc w:val="both"/>
        <w:rPr>
          <w:rFonts w:ascii="Calibri" w:hAnsi="Calibri" w:cs="Arial"/>
          <w:sz w:val="30"/>
          <w:szCs w:val="30"/>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AF349C" w:rsidRPr="00EA720F" w:rsidTr="00AF349C">
        <w:tc>
          <w:tcPr>
            <w:tcW w:w="4928" w:type="dxa"/>
          </w:tcPr>
          <w:p w:rsidR="00AF349C" w:rsidRPr="00AF349C" w:rsidRDefault="00AF349C" w:rsidP="00AF349C">
            <w:pPr>
              <w:jc w:val="center"/>
              <w:rPr>
                <w:rFonts w:ascii="Calibri" w:hAnsi="Calibri" w:cs="Arial"/>
                <w:b/>
                <w:color w:val="0E4C28"/>
                <w:sz w:val="28"/>
                <w:szCs w:val="28"/>
                <w:lang w:val="en-US"/>
              </w:rPr>
            </w:pPr>
            <w:r w:rsidRPr="00A9366F">
              <w:rPr>
                <w:rFonts w:ascii="Calibri" w:hAnsi="Calibri" w:cs="Arial"/>
                <w:b/>
                <w:color w:val="0E4C28"/>
                <w:sz w:val="28"/>
                <w:szCs w:val="28"/>
                <w:lang w:val="en-US"/>
              </w:rPr>
              <w:t>Volumes of money transfers through the money transfer systems</w:t>
            </w:r>
          </w:p>
          <w:p w:rsidR="00AF349C" w:rsidRPr="00AF349C" w:rsidRDefault="00AF349C" w:rsidP="00DD08FE">
            <w:pPr>
              <w:jc w:val="both"/>
              <w:rPr>
                <w:rFonts w:ascii="Calibri" w:hAnsi="Calibri" w:cs="Arial"/>
                <w:sz w:val="30"/>
                <w:szCs w:val="30"/>
              </w:rPr>
            </w:pPr>
            <w:r w:rsidRPr="00A9366F">
              <w:rPr>
                <w:rFonts w:ascii="Calibri" w:hAnsi="Calibri" w:cs="Arial"/>
                <w:b/>
                <w:noProof/>
                <w:color w:val="0E4C28"/>
                <w:sz w:val="28"/>
                <w:szCs w:val="28"/>
              </w:rPr>
              <w:drawing>
                <wp:inline distT="0" distB="0" distL="0" distR="0" wp14:anchorId="5ABDF706" wp14:editId="44BA9757">
                  <wp:extent cx="2992120" cy="2059940"/>
                  <wp:effectExtent l="0" t="0" r="0" b="0"/>
                  <wp:docPr id="462" name="Диаграмма 4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4642" w:type="dxa"/>
          </w:tcPr>
          <w:p w:rsidR="00AF349C" w:rsidRPr="00A9366F" w:rsidRDefault="00AF349C" w:rsidP="00AF349C">
            <w:pPr>
              <w:ind w:firstLine="708"/>
              <w:jc w:val="both"/>
              <w:rPr>
                <w:rFonts w:ascii="Calibri" w:hAnsi="Calibri" w:cs="Arial"/>
                <w:sz w:val="30"/>
                <w:szCs w:val="30"/>
                <w:lang w:val="en-US"/>
              </w:rPr>
            </w:pPr>
            <w:r w:rsidRPr="00A9366F">
              <w:rPr>
                <w:rFonts w:ascii="Calibri" w:hAnsi="Calibri" w:cs="Arial"/>
                <w:sz w:val="30"/>
                <w:szCs w:val="30"/>
                <w:lang w:val="en-US"/>
              </w:rPr>
              <w:t xml:space="preserve">Total volume of </w:t>
            </w:r>
            <w:r w:rsidRPr="00A9366F">
              <w:rPr>
                <w:rFonts w:ascii="Calibri" w:hAnsi="Calibri" w:cs="Arial"/>
                <w:b/>
                <w:sz w:val="30"/>
                <w:szCs w:val="30"/>
                <w:lang w:val="en-US"/>
              </w:rPr>
              <w:t>transactions settled through the money transfer systems</w:t>
            </w:r>
            <w:r w:rsidRPr="00A9366F">
              <w:rPr>
                <w:rFonts w:ascii="Calibri" w:hAnsi="Calibri" w:cs="Arial"/>
                <w:sz w:val="30"/>
                <w:szCs w:val="30"/>
                <w:lang w:val="en-US"/>
              </w:rPr>
              <w:t xml:space="preserve"> in 2016 comprised </w:t>
            </w:r>
            <w:r w:rsidRPr="00A9366F">
              <w:rPr>
                <w:rFonts w:ascii="Calibri" w:hAnsi="Calibri" w:cs="Arial"/>
                <w:b/>
                <w:sz w:val="30"/>
                <w:szCs w:val="30"/>
                <w:lang w:val="en-US"/>
              </w:rPr>
              <w:t>2.4 million transactions for the amount of KZT 405.3 billion</w:t>
            </w:r>
            <w:r w:rsidRPr="00A9366F">
              <w:rPr>
                <w:rFonts w:ascii="Calibri" w:hAnsi="Calibri" w:cs="Arial"/>
                <w:sz w:val="30"/>
                <w:szCs w:val="30"/>
                <w:lang w:val="en-US"/>
              </w:rPr>
              <w:t xml:space="preserve">, and increased by 26.2% as compared with 2014 and by 6% as compared with 2015. </w:t>
            </w:r>
          </w:p>
          <w:p w:rsidR="00AF349C" w:rsidRPr="00AF349C" w:rsidRDefault="00AF349C" w:rsidP="00AF349C">
            <w:pPr>
              <w:jc w:val="both"/>
              <w:rPr>
                <w:rFonts w:ascii="Calibri" w:hAnsi="Calibri" w:cs="Arial"/>
                <w:sz w:val="30"/>
                <w:szCs w:val="30"/>
                <w:lang w:val="en-US"/>
              </w:rPr>
            </w:pPr>
            <w:r w:rsidRPr="00A9366F">
              <w:rPr>
                <w:rFonts w:ascii="Calibri" w:hAnsi="Calibri" w:cs="Arial"/>
                <w:sz w:val="30"/>
                <w:szCs w:val="30"/>
                <w:lang w:val="en-US"/>
              </w:rPr>
              <w:t xml:space="preserve">Money transfer systems are mostly oriented at making specific free transfers in favor of other individuals – 2.4 million transfers for KZT </w:t>
            </w:r>
            <w:r w:rsidRPr="00AF349C">
              <w:rPr>
                <w:rFonts w:ascii="Calibri" w:hAnsi="Calibri" w:cs="Arial"/>
                <w:sz w:val="30"/>
                <w:szCs w:val="30"/>
                <w:lang w:val="en-US"/>
              </w:rPr>
              <w:t xml:space="preserve">  </w:t>
            </w:r>
            <w:r w:rsidRPr="00A9366F">
              <w:rPr>
                <w:rFonts w:ascii="Calibri" w:hAnsi="Calibri" w:cs="Arial"/>
                <w:sz w:val="30"/>
                <w:szCs w:val="30"/>
                <w:lang w:val="en-US"/>
              </w:rPr>
              <w:t xml:space="preserve">402.5 </w:t>
            </w:r>
            <w:r w:rsidRPr="00AF349C">
              <w:rPr>
                <w:rFonts w:ascii="Calibri" w:hAnsi="Calibri" w:cs="Arial"/>
                <w:sz w:val="30"/>
                <w:szCs w:val="30"/>
                <w:lang w:val="en-US"/>
              </w:rPr>
              <w:t xml:space="preserve">   </w:t>
            </w:r>
            <w:r w:rsidRPr="00A9366F">
              <w:rPr>
                <w:rFonts w:ascii="Calibri" w:hAnsi="Calibri" w:cs="Arial"/>
                <w:sz w:val="30"/>
                <w:szCs w:val="30"/>
                <w:lang w:val="en-US"/>
              </w:rPr>
              <w:t xml:space="preserve">billion </w:t>
            </w:r>
            <w:r w:rsidRPr="00AF349C">
              <w:rPr>
                <w:rFonts w:ascii="Calibri" w:hAnsi="Calibri" w:cs="Arial"/>
                <w:sz w:val="30"/>
                <w:szCs w:val="30"/>
                <w:lang w:val="en-US"/>
              </w:rPr>
              <w:t xml:space="preserve">   </w:t>
            </w:r>
            <w:r w:rsidRPr="00A9366F">
              <w:rPr>
                <w:rFonts w:ascii="Calibri" w:hAnsi="Calibri" w:cs="Arial"/>
                <w:sz w:val="30"/>
                <w:szCs w:val="30"/>
                <w:lang w:val="en-US"/>
              </w:rPr>
              <w:t xml:space="preserve">were made </w:t>
            </w:r>
          </w:p>
        </w:tc>
      </w:tr>
    </w:tbl>
    <w:p w:rsidR="00AF349C" w:rsidRPr="00AF349C" w:rsidRDefault="00AF349C" w:rsidP="00AF349C">
      <w:pPr>
        <w:jc w:val="both"/>
        <w:rPr>
          <w:rFonts w:ascii="Calibri" w:hAnsi="Calibri" w:cs="Arial"/>
          <w:sz w:val="30"/>
          <w:szCs w:val="30"/>
          <w:lang w:val="en-US"/>
        </w:rPr>
      </w:pPr>
      <w:proofErr w:type="gramStart"/>
      <w:r w:rsidRPr="00A9366F">
        <w:rPr>
          <w:rFonts w:ascii="Calibri" w:hAnsi="Calibri" w:cs="Arial"/>
          <w:sz w:val="30"/>
          <w:szCs w:val="30"/>
          <w:lang w:val="en-US"/>
        </w:rPr>
        <w:t>during</w:t>
      </w:r>
      <w:proofErr w:type="gramEnd"/>
      <w:r w:rsidRPr="00A9366F">
        <w:rPr>
          <w:rFonts w:ascii="Calibri" w:hAnsi="Calibri" w:cs="Arial"/>
          <w:sz w:val="30"/>
          <w:szCs w:val="30"/>
          <w:lang w:val="en-US"/>
        </w:rPr>
        <w:t xml:space="preserve"> 2016,which accounted for 99.6% of the total number of transactions and 99.4% of the total amount of transfers made by the individuals.</w:t>
      </w:r>
    </w:p>
    <w:p w:rsidR="00AF349C" w:rsidRPr="00AF349C" w:rsidRDefault="00AF349C" w:rsidP="00DD08FE">
      <w:pPr>
        <w:ind w:firstLine="709"/>
        <w:jc w:val="both"/>
        <w:rPr>
          <w:rFonts w:ascii="Calibri" w:hAnsi="Calibri" w:cs="Arial"/>
          <w:sz w:val="30"/>
          <w:szCs w:val="30"/>
          <w:lang w:val="en-US"/>
        </w:rPr>
      </w:pPr>
    </w:p>
    <w:tbl>
      <w:tblPr>
        <w:tblW w:w="9468" w:type="dxa"/>
        <w:tblLayout w:type="fixed"/>
        <w:tblLook w:val="04A0" w:firstRow="1" w:lastRow="0" w:firstColumn="1" w:lastColumn="0" w:noHBand="0" w:noVBand="1"/>
      </w:tblPr>
      <w:tblGrid>
        <w:gridCol w:w="4968"/>
        <w:gridCol w:w="4500"/>
      </w:tblGrid>
      <w:tr w:rsidR="00DD08FE" w:rsidRPr="00EA720F" w:rsidTr="008F27AD">
        <w:trPr>
          <w:trHeight w:val="4100"/>
        </w:trPr>
        <w:tc>
          <w:tcPr>
            <w:tcW w:w="4968" w:type="dxa"/>
            <w:shd w:val="clear" w:color="auto" w:fill="auto"/>
          </w:tcPr>
          <w:p w:rsidR="00DD08FE" w:rsidRPr="00A9366F" w:rsidRDefault="00B41594" w:rsidP="008F27AD">
            <w:pPr>
              <w:tabs>
                <w:tab w:val="left" w:pos="0"/>
                <w:tab w:val="left" w:pos="4500"/>
              </w:tabs>
              <w:jc w:val="center"/>
              <w:rPr>
                <w:rFonts w:ascii="Calibri" w:hAnsi="Calibri" w:cs="Arial"/>
                <w:color w:val="0E4C28"/>
                <w:sz w:val="28"/>
                <w:szCs w:val="28"/>
                <w:lang w:val="en-US"/>
              </w:rPr>
            </w:pPr>
            <w:r w:rsidRPr="00A9366F">
              <w:rPr>
                <w:noProof/>
                <w:sz w:val="28"/>
                <w:szCs w:val="28"/>
              </w:rPr>
              <w:drawing>
                <wp:anchor distT="0" distB="0" distL="114300" distR="114300" simplePos="0" relativeHeight="251636736" behindDoc="0" locked="0" layoutInCell="1" allowOverlap="1" wp14:anchorId="12BA49D3" wp14:editId="0FAEEB36">
                  <wp:simplePos x="0" y="0"/>
                  <wp:positionH relativeFrom="column">
                    <wp:posOffset>-114935</wp:posOffset>
                  </wp:positionH>
                  <wp:positionV relativeFrom="paragraph">
                    <wp:posOffset>438150</wp:posOffset>
                  </wp:positionV>
                  <wp:extent cx="3038475" cy="2026920"/>
                  <wp:effectExtent l="0" t="0" r="0" b="0"/>
                  <wp:wrapSquare wrapText="bothSides"/>
                  <wp:docPr id="461"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8F27AD" w:rsidRPr="00A9366F">
              <w:rPr>
                <w:rFonts w:ascii="Calibri" w:hAnsi="Calibri" w:cs="Arial"/>
                <w:b/>
                <w:color w:val="0E4C28"/>
                <w:sz w:val="28"/>
                <w:szCs w:val="28"/>
                <w:lang w:val="en-US"/>
              </w:rPr>
              <w:t xml:space="preserve">Dynamics in change of volumes of money transfers during </w:t>
            </w:r>
            <w:r w:rsidR="00DD08FE" w:rsidRPr="00A9366F">
              <w:rPr>
                <w:rFonts w:ascii="Calibri" w:hAnsi="Calibri" w:cs="Arial"/>
                <w:b/>
                <w:color w:val="0E4C28"/>
                <w:sz w:val="28"/>
                <w:szCs w:val="28"/>
                <w:lang w:val="en-US"/>
              </w:rPr>
              <w:t>2014 - 2016</w:t>
            </w:r>
          </w:p>
        </w:tc>
        <w:tc>
          <w:tcPr>
            <w:tcW w:w="4500" w:type="dxa"/>
            <w:shd w:val="clear" w:color="auto" w:fill="auto"/>
          </w:tcPr>
          <w:p w:rsidR="00DD08FE" w:rsidRPr="00A9366F" w:rsidRDefault="008F27AD" w:rsidP="007F1ACE">
            <w:pPr>
              <w:ind w:firstLine="708"/>
              <w:jc w:val="both"/>
              <w:rPr>
                <w:rFonts w:ascii="Calibri" w:hAnsi="Calibri" w:cs="Calibri"/>
                <w:sz w:val="30"/>
                <w:szCs w:val="30"/>
                <w:lang w:val="en-US"/>
              </w:rPr>
            </w:pPr>
            <w:r w:rsidRPr="00A9366F">
              <w:rPr>
                <w:rFonts w:ascii="Calibri" w:hAnsi="Calibri" w:cs="Calibri"/>
                <w:b/>
                <w:sz w:val="30"/>
                <w:szCs w:val="30"/>
                <w:lang w:val="en-US"/>
              </w:rPr>
              <w:t xml:space="preserve">In most cases the money transfer systems use used by the general public to make transfers abroad </w:t>
            </w:r>
            <w:r w:rsidRPr="00A9366F">
              <w:rPr>
                <w:rFonts w:ascii="Calibri" w:hAnsi="Calibri" w:cs="Calibri"/>
                <w:sz w:val="30"/>
                <w:szCs w:val="30"/>
                <w:lang w:val="en-US"/>
              </w:rPr>
              <w:t xml:space="preserve">(payments and transfers abroad </w:t>
            </w:r>
            <w:r w:rsidR="007F1ACE" w:rsidRPr="00A9366F">
              <w:rPr>
                <w:rFonts w:ascii="Calibri" w:hAnsi="Calibri" w:cs="Calibri"/>
                <w:sz w:val="30"/>
                <w:szCs w:val="30"/>
                <w:lang w:val="en-US"/>
              </w:rPr>
              <w:t xml:space="preserve">settled </w:t>
            </w:r>
            <w:r w:rsidRPr="00A9366F">
              <w:rPr>
                <w:rFonts w:ascii="Calibri" w:hAnsi="Calibri" w:cs="Calibri"/>
                <w:sz w:val="30"/>
                <w:szCs w:val="30"/>
                <w:lang w:val="en-US"/>
              </w:rPr>
              <w:t xml:space="preserve">through the systems accounted for 90.3% of the total number and 94.3% of the total amount of transactions </w:t>
            </w:r>
            <w:r w:rsidR="007F1ACE" w:rsidRPr="00A9366F">
              <w:rPr>
                <w:rFonts w:ascii="Calibri" w:hAnsi="Calibri" w:cs="Calibri"/>
                <w:sz w:val="30"/>
                <w:szCs w:val="30"/>
                <w:lang w:val="en-US"/>
              </w:rPr>
              <w:t>settled</w:t>
            </w:r>
            <w:r w:rsidRPr="00A9366F">
              <w:rPr>
                <w:rFonts w:ascii="Calibri" w:hAnsi="Calibri" w:cs="Calibri"/>
                <w:sz w:val="30"/>
                <w:szCs w:val="30"/>
                <w:lang w:val="en-US"/>
              </w:rPr>
              <w:t xml:space="preserve"> through the systems).  </w:t>
            </w:r>
          </w:p>
        </w:tc>
      </w:tr>
    </w:tbl>
    <w:tbl>
      <w:tblPr>
        <w:tblStyle w:val="a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148"/>
        <w:gridCol w:w="4500"/>
      </w:tblGrid>
      <w:tr w:rsidR="001575F9" w:rsidRPr="00A9366F" w:rsidTr="00AF349C">
        <w:trPr>
          <w:trHeight w:val="3606"/>
        </w:trPr>
        <w:tc>
          <w:tcPr>
            <w:tcW w:w="5148" w:type="dxa"/>
          </w:tcPr>
          <w:p w:rsidR="00AF349C" w:rsidRPr="00AF349C" w:rsidRDefault="008F27AD" w:rsidP="00AF349C">
            <w:pPr>
              <w:ind w:firstLine="708"/>
              <w:jc w:val="both"/>
              <w:rPr>
                <w:rFonts w:ascii="Calibri" w:hAnsi="Calibri" w:cs="Calibri"/>
                <w:sz w:val="30"/>
                <w:szCs w:val="30"/>
                <w:lang w:val="en-US"/>
              </w:rPr>
            </w:pPr>
            <w:r w:rsidRPr="00A9366F">
              <w:rPr>
                <w:rFonts w:ascii="Calibri" w:hAnsi="Calibri" w:cs="Calibri"/>
                <w:sz w:val="30"/>
                <w:szCs w:val="30"/>
                <w:lang w:val="en-US"/>
              </w:rPr>
              <w:t xml:space="preserve">At the same time, these systems are also used to make immediate payments inside Kazakhstan, with an average amount of transfer being about KZT 100 thousand. Thus, </w:t>
            </w:r>
            <w:r w:rsidR="00C555F1" w:rsidRPr="00A9366F">
              <w:rPr>
                <w:rFonts w:ascii="Calibri" w:hAnsi="Calibri" w:cs="Calibri"/>
                <w:b/>
                <w:sz w:val="30"/>
                <w:szCs w:val="30"/>
                <w:lang w:val="en-US"/>
              </w:rPr>
              <w:t xml:space="preserve">in 2016 </w:t>
            </w:r>
            <w:r w:rsidRPr="00A9366F">
              <w:rPr>
                <w:rFonts w:ascii="Calibri" w:hAnsi="Calibri" w:cs="Calibri"/>
                <w:b/>
                <w:sz w:val="30"/>
                <w:szCs w:val="30"/>
                <w:lang w:val="en-US"/>
              </w:rPr>
              <w:t>volumes of money transfers</w:t>
            </w:r>
            <w:r w:rsidR="00C555F1" w:rsidRPr="00A9366F">
              <w:rPr>
                <w:rFonts w:ascii="Calibri" w:hAnsi="Calibri" w:cs="Calibri"/>
                <w:b/>
                <w:sz w:val="30"/>
                <w:szCs w:val="30"/>
                <w:lang w:val="en-US"/>
              </w:rPr>
              <w:t xml:space="preserve"> inside Kazakhstan</w:t>
            </w:r>
            <w:r w:rsidRPr="00A9366F">
              <w:rPr>
                <w:rFonts w:ascii="Calibri" w:hAnsi="Calibri" w:cs="Calibri"/>
                <w:b/>
                <w:sz w:val="30"/>
                <w:szCs w:val="30"/>
                <w:lang w:val="en-US"/>
              </w:rPr>
              <w:t xml:space="preserve"> </w:t>
            </w:r>
            <w:r w:rsidR="007F1ACE" w:rsidRPr="00A9366F">
              <w:rPr>
                <w:rFonts w:ascii="Calibri" w:hAnsi="Calibri" w:cs="Calibri"/>
                <w:b/>
                <w:sz w:val="30"/>
                <w:szCs w:val="30"/>
                <w:lang w:val="en-US"/>
              </w:rPr>
              <w:t>settled</w:t>
            </w:r>
            <w:r w:rsidR="00C555F1" w:rsidRPr="00A9366F">
              <w:rPr>
                <w:rFonts w:ascii="Calibri" w:hAnsi="Calibri" w:cs="Calibri"/>
                <w:b/>
                <w:sz w:val="30"/>
                <w:szCs w:val="30"/>
                <w:lang w:val="en-US"/>
              </w:rPr>
              <w:t xml:space="preserve"> </w:t>
            </w:r>
            <w:r w:rsidRPr="00A9366F">
              <w:rPr>
                <w:rFonts w:ascii="Calibri" w:hAnsi="Calibri" w:cs="Calibri"/>
                <w:b/>
                <w:sz w:val="30"/>
                <w:szCs w:val="30"/>
                <w:lang w:val="en-US"/>
              </w:rPr>
              <w:t xml:space="preserve">through </w:t>
            </w:r>
            <w:r w:rsidR="00C555F1" w:rsidRPr="00A9366F">
              <w:rPr>
                <w:rFonts w:ascii="Calibri" w:hAnsi="Calibri" w:cs="Calibri"/>
                <w:b/>
                <w:sz w:val="30"/>
                <w:szCs w:val="30"/>
                <w:lang w:val="en-US"/>
              </w:rPr>
              <w:t>the money transfer systems comprised 230.7 thousand transactions for the amount of KZT</w:t>
            </w:r>
            <w:r w:rsidR="00AF349C" w:rsidRPr="00AF349C">
              <w:rPr>
                <w:rFonts w:ascii="Calibri" w:hAnsi="Calibri" w:cs="Calibri"/>
                <w:b/>
                <w:sz w:val="30"/>
                <w:szCs w:val="30"/>
                <w:lang w:val="en-US"/>
              </w:rPr>
              <w:t xml:space="preserve">   </w:t>
            </w:r>
            <w:r w:rsidR="00C555F1" w:rsidRPr="00A9366F">
              <w:rPr>
                <w:rFonts w:ascii="Calibri" w:hAnsi="Calibri" w:cs="Calibri"/>
                <w:b/>
                <w:sz w:val="30"/>
                <w:szCs w:val="30"/>
                <w:lang w:val="en-US"/>
              </w:rPr>
              <w:t xml:space="preserve">23.1 </w:t>
            </w:r>
            <w:r w:rsidR="00AF349C" w:rsidRPr="00AF349C">
              <w:rPr>
                <w:rFonts w:ascii="Calibri" w:hAnsi="Calibri" w:cs="Calibri"/>
                <w:b/>
                <w:sz w:val="30"/>
                <w:szCs w:val="30"/>
                <w:lang w:val="en-US"/>
              </w:rPr>
              <w:t xml:space="preserve">   </w:t>
            </w:r>
            <w:r w:rsidR="00C555F1" w:rsidRPr="00A9366F">
              <w:rPr>
                <w:rFonts w:ascii="Calibri" w:hAnsi="Calibri" w:cs="Calibri"/>
                <w:b/>
                <w:sz w:val="30"/>
                <w:szCs w:val="30"/>
                <w:lang w:val="en-US"/>
              </w:rPr>
              <w:t>billion</w:t>
            </w:r>
            <w:r w:rsidR="00C555F1" w:rsidRPr="00A9366F">
              <w:rPr>
                <w:rFonts w:ascii="Calibri" w:hAnsi="Calibri" w:cs="Calibri"/>
                <w:sz w:val="30"/>
                <w:szCs w:val="30"/>
                <w:lang w:val="en-US"/>
              </w:rPr>
              <w:t xml:space="preserve">, </w:t>
            </w:r>
            <w:r w:rsidR="00AF349C" w:rsidRPr="00AF349C">
              <w:rPr>
                <w:rFonts w:ascii="Calibri" w:hAnsi="Calibri" w:cs="Calibri"/>
                <w:sz w:val="30"/>
                <w:szCs w:val="30"/>
                <w:lang w:val="en-US"/>
              </w:rPr>
              <w:t xml:space="preserve">   </w:t>
            </w:r>
            <w:r w:rsidR="00C555F1" w:rsidRPr="00A9366F">
              <w:rPr>
                <w:rFonts w:ascii="Calibri" w:hAnsi="Calibri" w:cs="Calibri"/>
                <w:sz w:val="30"/>
                <w:szCs w:val="30"/>
                <w:lang w:val="en-US"/>
              </w:rPr>
              <w:t>and</w:t>
            </w:r>
            <w:r w:rsidR="00AF349C" w:rsidRPr="00AF349C">
              <w:rPr>
                <w:rFonts w:ascii="Calibri" w:hAnsi="Calibri" w:cs="Calibri"/>
                <w:sz w:val="30"/>
                <w:szCs w:val="30"/>
                <w:lang w:val="en-US"/>
              </w:rPr>
              <w:t xml:space="preserve">   </w:t>
            </w:r>
            <w:r w:rsidR="00C555F1" w:rsidRPr="00A9366F">
              <w:rPr>
                <w:rFonts w:ascii="Calibri" w:hAnsi="Calibri" w:cs="Calibri"/>
                <w:sz w:val="30"/>
                <w:szCs w:val="30"/>
                <w:lang w:val="en-US"/>
              </w:rPr>
              <w:t xml:space="preserve"> decreased</w:t>
            </w:r>
          </w:p>
        </w:tc>
        <w:tc>
          <w:tcPr>
            <w:tcW w:w="4500" w:type="dxa"/>
          </w:tcPr>
          <w:p w:rsidR="001575F9" w:rsidRPr="00A9366F" w:rsidRDefault="008F27AD" w:rsidP="001575F9">
            <w:pPr>
              <w:shd w:val="clear" w:color="auto" w:fill="FFFFFF"/>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Money transfers inside Kazakhstan in 2016 by types of payments </w:t>
            </w:r>
          </w:p>
          <w:p w:rsidR="001575F9" w:rsidRPr="00A9366F" w:rsidRDefault="000C42CC" w:rsidP="00DD08FE">
            <w:pPr>
              <w:jc w:val="both"/>
              <w:rPr>
                <w:rFonts w:ascii="Calibri" w:hAnsi="Calibri" w:cs="Calibri"/>
                <w:sz w:val="20"/>
                <w:szCs w:val="20"/>
                <w:lang w:val="en-US"/>
              </w:rPr>
            </w:pPr>
            <w:r w:rsidRPr="00A9366F">
              <w:rPr>
                <w:rFonts w:ascii="Calibri" w:hAnsi="Calibri" w:cs="Calibri"/>
                <w:noProof/>
                <w:sz w:val="20"/>
                <w:szCs w:val="20"/>
              </w:rPr>
              <w:drawing>
                <wp:inline distT="0" distB="0" distL="0" distR="0" wp14:anchorId="3D717952" wp14:editId="45482478">
                  <wp:extent cx="2556164" cy="1655272"/>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AF349C" w:rsidRPr="00EA720F" w:rsidTr="00AF349C">
        <w:trPr>
          <w:trHeight w:val="1679"/>
        </w:trPr>
        <w:tc>
          <w:tcPr>
            <w:tcW w:w="9648" w:type="dxa"/>
            <w:gridSpan w:val="2"/>
          </w:tcPr>
          <w:p w:rsidR="00AF349C" w:rsidRPr="00A9366F" w:rsidRDefault="00AF349C" w:rsidP="00AF349C">
            <w:pPr>
              <w:shd w:val="clear" w:color="auto" w:fill="FFFFFF"/>
              <w:jc w:val="both"/>
              <w:rPr>
                <w:rFonts w:ascii="Calibri" w:hAnsi="Calibri" w:cs="Arial"/>
                <w:b/>
                <w:color w:val="0E4C28"/>
                <w:sz w:val="28"/>
                <w:szCs w:val="28"/>
                <w:lang w:val="en-US"/>
              </w:rPr>
            </w:pPr>
            <w:proofErr w:type="gramStart"/>
            <w:r w:rsidRPr="00A9366F">
              <w:rPr>
                <w:rFonts w:ascii="Calibri" w:hAnsi="Calibri" w:cs="Calibri"/>
                <w:sz w:val="30"/>
                <w:szCs w:val="30"/>
                <w:lang w:val="en-US"/>
              </w:rPr>
              <w:t>by</w:t>
            </w:r>
            <w:proofErr w:type="gramEnd"/>
            <w:r w:rsidRPr="00A9366F">
              <w:rPr>
                <w:rFonts w:ascii="Calibri" w:hAnsi="Calibri" w:cs="Calibri"/>
                <w:sz w:val="30"/>
                <w:szCs w:val="30"/>
                <w:lang w:val="en-US"/>
              </w:rPr>
              <w:t xml:space="preserve"> 2.2 times as compared with 2015 in terms of the volume of payments.</w:t>
            </w:r>
            <w:r w:rsidRPr="00A9366F">
              <w:rPr>
                <w:rFonts w:ascii="Calibri" w:hAnsi="Calibri" w:cs="Arial"/>
                <w:b/>
                <w:sz w:val="30"/>
                <w:szCs w:val="30"/>
                <w:lang w:val="en-US"/>
              </w:rPr>
              <w:t xml:space="preserve"> </w:t>
            </w:r>
            <w:r w:rsidRPr="00A9366F">
              <w:rPr>
                <w:rFonts w:ascii="Calibri" w:hAnsi="Calibri" w:cs="Arial"/>
                <w:sz w:val="30"/>
                <w:szCs w:val="30"/>
                <w:lang w:val="en-US"/>
              </w:rPr>
              <w:t>In this case, out of the total number of transfers, 193.5 thousand transactions for KZT 10.3 billion were settled in the national currency (83.9% and 44.7% of the total number and total amount of money transfers settled through the money transfer systems inside Kazakhstan).</w:t>
            </w:r>
          </w:p>
        </w:tc>
      </w:tr>
    </w:tbl>
    <w:tbl>
      <w:tblPr>
        <w:tblW w:w="10260" w:type="dxa"/>
        <w:tblInd w:w="-432" w:type="dxa"/>
        <w:tblLayout w:type="fixed"/>
        <w:tblLook w:val="00A0" w:firstRow="1" w:lastRow="0" w:firstColumn="1" w:lastColumn="0" w:noHBand="0" w:noVBand="0"/>
      </w:tblPr>
      <w:tblGrid>
        <w:gridCol w:w="5400"/>
        <w:gridCol w:w="4860"/>
      </w:tblGrid>
      <w:tr w:rsidR="00DD08FE" w:rsidRPr="00EA720F" w:rsidTr="00956D7B">
        <w:trPr>
          <w:trHeight w:val="142"/>
        </w:trPr>
        <w:tc>
          <w:tcPr>
            <w:tcW w:w="5400" w:type="dxa"/>
          </w:tcPr>
          <w:p w:rsidR="00AF349C" w:rsidRPr="00EA720F" w:rsidRDefault="00AF349C" w:rsidP="009E09D9">
            <w:pPr>
              <w:jc w:val="center"/>
              <w:rPr>
                <w:rFonts w:ascii="Calibri" w:hAnsi="Calibri" w:cs="Arial"/>
                <w:b/>
                <w:color w:val="0E4C28"/>
                <w:sz w:val="28"/>
                <w:szCs w:val="28"/>
                <w:lang w:val="en-US"/>
              </w:rPr>
            </w:pPr>
          </w:p>
          <w:p w:rsidR="00DD08FE" w:rsidRPr="00A9366F" w:rsidRDefault="00C555F1" w:rsidP="009E09D9">
            <w:pPr>
              <w:jc w:val="center"/>
              <w:rPr>
                <w:rFonts w:ascii="Calibri" w:hAnsi="Calibri" w:cs="Arial"/>
                <w:b/>
                <w:color w:val="0E4C28"/>
                <w:sz w:val="28"/>
                <w:szCs w:val="28"/>
                <w:lang w:val="en-US"/>
              </w:rPr>
            </w:pPr>
            <w:r w:rsidRPr="00A9366F">
              <w:rPr>
                <w:rFonts w:ascii="Calibri" w:hAnsi="Calibri" w:cs="Arial"/>
                <w:b/>
                <w:color w:val="0E4C28"/>
                <w:sz w:val="28"/>
                <w:szCs w:val="28"/>
                <w:lang w:val="en-US"/>
              </w:rPr>
              <w:t>Proportion of total number of transfers inside Kazakhstan sent through MTS</w:t>
            </w:r>
            <w:r w:rsidR="007E45C2" w:rsidRPr="00A9366F">
              <w:rPr>
                <w:rStyle w:val="a6"/>
                <w:rFonts w:ascii="Calibri" w:hAnsi="Calibri" w:cs="Arial"/>
                <w:b/>
                <w:color w:val="0E4C28"/>
                <w:sz w:val="28"/>
                <w:szCs w:val="28"/>
                <w:lang w:val="en-US"/>
              </w:rPr>
              <w:footnoteReference w:id="17"/>
            </w:r>
          </w:p>
          <w:p w:rsidR="00DD08FE" w:rsidRPr="00A9366F" w:rsidRDefault="00B41594" w:rsidP="009E09D9">
            <w:pPr>
              <w:tabs>
                <w:tab w:val="num" w:pos="993"/>
              </w:tabs>
              <w:jc w:val="both"/>
              <w:rPr>
                <w:lang w:val="en-US"/>
              </w:rPr>
            </w:pPr>
            <w:r w:rsidRPr="00A9366F">
              <w:rPr>
                <w:noProof/>
              </w:rPr>
              <w:drawing>
                <wp:inline distT="0" distB="0" distL="0" distR="0" wp14:anchorId="01DFB998" wp14:editId="7EDFBB88">
                  <wp:extent cx="3307080" cy="1584960"/>
                  <wp:effectExtent l="38100" t="0" r="45720" b="0"/>
                  <wp:docPr id="36" name="Диаграмма 4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4860" w:type="dxa"/>
          </w:tcPr>
          <w:p w:rsidR="00AF349C" w:rsidRDefault="00AF349C" w:rsidP="009E09D9">
            <w:pPr>
              <w:tabs>
                <w:tab w:val="num" w:pos="993"/>
              </w:tabs>
              <w:jc w:val="center"/>
              <w:rPr>
                <w:rFonts w:ascii="Calibri" w:hAnsi="Calibri" w:cs="Arial"/>
                <w:b/>
                <w:color w:val="0E4C28"/>
                <w:sz w:val="28"/>
                <w:szCs w:val="28"/>
              </w:rPr>
            </w:pPr>
          </w:p>
          <w:p w:rsidR="00DD08FE" w:rsidRPr="00A9366F" w:rsidRDefault="00C555F1" w:rsidP="009E09D9">
            <w:pPr>
              <w:tabs>
                <w:tab w:val="num" w:pos="993"/>
              </w:tabs>
              <w:jc w:val="center"/>
              <w:rPr>
                <w:b/>
                <w:sz w:val="20"/>
                <w:szCs w:val="20"/>
                <w:lang w:val="en-US"/>
              </w:rPr>
            </w:pPr>
            <w:r w:rsidRPr="00A9366F">
              <w:rPr>
                <w:rFonts w:ascii="Calibri" w:hAnsi="Calibri" w:cs="Arial"/>
                <w:b/>
                <w:color w:val="0E4C28"/>
                <w:sz w:val="28"/>
                <w:szCs w:val="28"/>
                <w:lang w:val="en-US"/>
              </w:rPr>
              <w:t xml:space="preserve">Proportion of total amount of transfers inside Kazakhstan sent through MTS </w:t>
            </w:r>
            <w:r w:rsidR="00B41594" w:rsidRPr="00A9366F">
              <w:rPr>
                <w:noProof/>
                <w:sz w:val="20"/>
                <w:szCs w:val="20"/>
              </w:rPr>
              <w:drawing>
                <wp:inline distT="0" distB="0" distL="0" distR="0" wp14:anchorId="682A3CE7" wp14:editId="376F5B49">
                  <wp:extent cx="3009900" cy="1584960"/>
                  <wp:effectExtent l="38100" t="0" r="38100" b="0"/>
                  <wp:docPr id="37" name="Диаграмма 4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D08FE" w:rsidRPr="00A9366F" w:rsidRDefault="00DD08FE" w:rsidP="009E09D9">
            <w:pPr>
              <w:tabs>
                <w:tab w:val="num" w:pos="993"/>
              </w:tabs>
              <w:jc w:val="both"/>
              <w:rPr>
                <w:lang w:val="en-US"/>
              </w:rPr>
            </w:pPr>
          </w:p>
        </w:tc>
      </w:tr>
    </w:tbl>
    <w:p w:rsidR="00C555F1" w:rsidRPr="00A9366F" w:rsidRDefault="00C555F1" w:rsidP="00DD08FE">
      <w:pPr>
        <w:ind w:firstLine="709"/>
        <w:jc w:val="both"/>
        <w:rPr>
          <w:rFonts w:ascii="Calibri" w:hAnsi="Calibri" w:cs="Calibri"/>
          <w:sz w:val="30"/>
          <w:szCs w:val="30"/>
          <w:lang w:val="en-US"/>
        </w:rPr>
      </w:pPr>
      <w:r w:rsidRPr="00A9366F">
        <w:rPr>
          <w:rFonts w:ascii="Calibri" w:hAnsi="Calibri" w:cs="Calibri"/>
          <w:b/>
          <w:sz w:val="30"/>
          <w:szCs w:val="30"/>
          <w:lang w:val="en-US"/>
        </w:rPr>
        <w:t xml:space="preserve">The most popular money transfer system inside Kazakhstan is </w:t>
      </w:r>
      <w:proofErr w:type="gramStart"/>
      <w:r w:rsidRPr="00A9366F">
        <w:rPr>
          <w:rFonts w:ascii="Calibri" w:hAnsi="Calibri" w:cs="Calibri"/>
          <w:b/>
          <w:sz w:val="30"/>
          <w:szCs w:val="30"/>
          <w:lang w:val="en-US"/>
        </w:rPr>
        <w:t>Faster</w:t>
      </w:r>
      <w:proofErr w:type="gramEnd"/>
      <w:r w:rsidRPr="00A9366F">
        <w:rPr>
          <w:rFonts w:ascii="Calibri" w:hAnsi="Calibri" w:cs="Calibri"/>
          <w:b/>
          <w:sz w:val="30"/>
          <w:szCs w:val="30"/>
          <w:lang w:val="en-US"/>
        </w:rPr>
        <w:t xml:space="preserve"> system, </w:t>
      </w:r>
      <w:r w:rsidRPr="00A9366F">
        <w:rPr>
          <w:rFonts w:ascii="Calibri" w:hAnsi="Calibri" w:cs="Calibri"/>
          <w:sz w:val="30"/>
          <w:szCs w:val="30"/>
          <w:lang w:val="en-US"/>
        </w:rPr>
        <w:t xml:space="preserve">which </w:t>
      </w:r>
      <w:r w:rsidR="00452C35" w:rsidRPr="00A9366F">
        <w:rPr>
          <w:rFonts w:ascii="Calibri" w:hAnsi="Calibri" w:cs="Calibri"/>
          <w:sz w:val="30"/>
          <w:szCs w:val="30"/>
          <w:lang w:val="en-US"/>
        </w:rPr>
        <w:t xml:space="preserve">accounted for </w:t>
      </w:r>
      <w:r w:rsidRPr="00A9366F">
        <w:rPr>
          <w:rFonts w:ascii="Calibri" w:hAnsi="Calibri" w:cs="Calibri"/>
          <w:sz w:val="30"/>
          <w:szCs w:val="30"/>
          <w:lang w:val="en-US"/>
        </w:rPr>
        <w:t>36.0% and 29.7% of the total number of transactions and total amount</w:t>
      </w:r>
      <w:r w:rsidR="00452C35" w:rsidRPr="00A9366F">
        <w:rPr>
          <w:rFonts w:ascii="Calibri" w:hAnsi="Calibri" w:cs="Calibri"/>
          <w:sz w:val="30"/>
          <w:szCs w:val="30"/>
          <w:lang w:val="en-US"/>
        </w:rPr>
        <w:t xml:space="preserve"> of transactions</w:t>
      </w:r>
      <w:r w:rsidRPr="00A9366F">
        <w:rPr>
          <w:rFonts w:ascii="Calibri" w:hAnsi="Calibri" w:cs="Calibri"/>
          <w:sz w:val="30"/>
          <w:szCs w:val="30"/>
          <w:lang w:val="en-US"/>
        </w:rPr>
        <w:t xml:space="preserve">, respectively, </w:t>
      </w:r>
      <w:r w:rsidR="007F1ACE" w:rsidRPr="00A9366F">
        <w:rPr>
          <w:rFonts w:ascii="Calibri" w:hAnsi="Calibri" w:cs="Calibri"/>
          <w:sz w:val="30"/>
          <w:szCs w:val="30"/>
          <w:lang w:val="en-US"/>
        </w:rPr>
        <w:t>settled</w:t>
      </w:r>
      <w:r w:rsidR="00452C35" w:rsidRPr="00A9366F">
        <w:rPr>
          <w:rFonts w:ascii="Calibri" w:hAnsi="Calibri" w:cs="Calibri"/>
          <w:sz w:val="30"/>
          <w:szCs w:val="30"/>
          <w:lang w:val="en-US"/>
        </w:rPr>
        <w:t xml:space="preserve"> in Kazakhstan in 2016 using the money transfer systems. Citizens of Kazakhstan also actively use such systems as Western Union and “</w:t>
      </w:r>
      <w:proofErr w:type="spellStart"/>
      <w:r w:rsidR="00452C35" w:rsidRPr="00A9366F">
        <w:rPr>
          <w:rFonts w:ascii="Calibri" w:hAnsi="Calibri" w:cs="Calibri"/>
          <w:sz w:val="30"/>
          <w:szCs w:val="30"/>
          <w:lang w:val="en-US"/>
        </w:rPr>
        <w:t>Zolotaya</w:t>
      </w:r>
      <w:proofErr w:type="spellEnd"/>
      <w:r w:rsidR="00452C35" w:rsidRPr="00A9366F">
        <w:rPr>
          <w:rFonts w:ascii="Calibri" w:hAnsi="Calibri" w:cs="Calibri"/>
          <w:sz w:val="30"/>
          <w:szCs w:val="30"/>
          <w:lang w:val="en-US"/>
        </w:rPr>
        <w:t xml:space="preserve"> </w:t>
      </w:r>
      <w:proofErr w:type="spellStart"/>
      <w:r w:rsidR="00452C35" w:rsidRPr="00A9366F">
        <w:rPr>
          <w:rFonts w:ascii="Calibri" w:hAnsi="Calibri" w:cs="Calibri"/>
          <w:sz w:val="30"/>
          <w:szCs w:val="30"/>
          <w:lang w:val="en-US"/>
        </w:rPr>
        <w:t>Korona</w:t>
      </w:r>
      <w:proofErr w:type="spellEnd"/>
      <w:r w:rsidR="00452C35" w:rsidRPr="00A9366F">
        <w:rPr>
          <w:rFonts w:ascii="Calibri" w:hAnsi="Calibri" w:cs="Calibri"/>
          <w:sz w:val="30"/>
          <w:szCs w:val="30"/>
          <w:lang w:val="en-US"/>
        </w:rPr>
        <w:t>” (“Golden Crown”) to make money transfers inside Kazakhstan.</w:t>
      </w:r>
    </w:p>
    <w:p w:rsidR="00DD08FE" w:rsidRPr="00A9366F" w:rsidRDefault="00DD08FE" w:rsidP="00DD08FE">
      <w:pPr>
        <w:ind w:firstLine="709"/>
        <w:jc w:val="both"/>
        <w:rPr>
          <w:rFonts w:ascii="Calibri" w:hAnsi="Calibri" w:cs="Calibri"/>
          <w:sz w:val="30"/>
          <w:szCs w:val="30"/>
          <w:lang w:val="en-US"/>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4"/>
        <w:gridCol w:w="1655"/>
        <w:gridCol w:w="1409"/>
        <w:gridCol w:w="1478"/>
        <w:gridCol w:w="1829"/>
      </w:tblGrid>
      <w:tr w:rsidR="00DD08FE" w:rsidRPr="00EA720F" w:rsidTr="00015E28">
        <w:trPr>
          <w:trHeight w:val="255"/>
        </w:trPr>
        <w:tc>
          <w:tcPr>
            <w:tcW w:w="3524" w:type="dxa"/>
            <w:shd w:val="clear" w:color="auto" w:fill="9BBB59"/>
            <w:noWrap/>
            <w:vAlign w:val="center"/>
          </w:tcPr>
          <w:p w:rsidR="00DD08FE" w:rsidRPr="00A9366F" w:rsidRDefault="00A57450" w:rsidP="0048654C">
            <w:pPr>
              <w:jc w:val="center"/>
              <w:rPr>
                <w:rFonts w:ascii="Calibri" w:hAnsi="Calibri" w:cs="Calibri"/>
                <w:b/>
                <w:lang w:val="en-US"/>
              </w:rPr>
            </w:pPr>
            <w:r w:rsidRPr="00A9366F">
              <w:rPr>
                <w:rFonts w:ascii="Calibri" w:hAnsi="Calibri" w:cs="Calibri"/>
                <w:b/>
                <w:lang w:val="en-US"/>
              </w:rPr>
              <w:t>System</w:t>
            </w:r>
          </w:p>
        </w:tc>
        <w:tc>
          <w:tcPr>
            <w:tcW w:w="1655" w:type="dxa"/>
            <w:shd w:val="clear" w:color="auto" w:fill="9BBB59"/>
            <w:noWrap/>
            <w:vAlign w:val="center"/>
          </w:tcPr>
          <w:p w:rsidR="00DD08FE" w:rsidRPr="00A9366F" w:rsidRDefault="0048654C" w:rsidP="009E09D9">
            <w:pPr>
              <w:jc w:val="center"/>
              <w:rPr>
                <w:rFonts w:ascii="Calibri" w:hAnsi="Calibri" w:cs="Calibri"/>
                <w:b/>
                <w:lang w:val="en-US"/>
              </w:rPr>
            </w:pPr>
            <w:r w:rsidRPr="00A9366F">
              <w:rPr>
                <w:rFonts w:ascii="Calibri" w:hAnsi="Calibri" w:cs="Calibri"/>
                <w:b/>
                <w:lang w:val="en-US"/>
              </w:rPr>
              <w:t>Number</w:t>
            </w:r>
          </w:p>
          <w:p w:rsidR="00DD08FE" w:rsidRPr="00A9366F" w:rsidRDefault="00DD08FE" w:rsidP="0048654C">
            <w:pPr>
              <w:jc w:val="center"/>
              <w:rPr>
                <w:rFonts w:ascii="Calibri" w:hAnsi="Calibri" w:cs="Calibri"/>
                <w:b/>
                <w:lang w:val="en-US"/>
              </w:rPr>
            </w:pPr>
            <w:r w:rsidRPr="00A9366F">
              <w:rPr>
                <w:rFonts w:ascii="Calibri" w:hAnsi="Calibri" w:cs="Calibri"/>
                <w:b/>
                <w:lang w:val="en-US"/>
              </w:rPr>
              <w:t>(</w:t>
            </w:r>
            <w:r w:rsidR="0048654C" w:rsidRPr="00A9366F">
              <w:rPr>
                <w:rFonts w:ascii="Calibri" w:hAnsi="Calibri" w:cs="Calibri"/>
                <w:b/>
                <w:lang w:val="en-US"/>
              </w:rPr>
              <w:t>thousand transactions</w:t>
            </w:r>
            <w:r w:rsidRPr="00A9366F">
              <w:rPr>
                <w:rFonts w:ascii="Calibri" w:hAnsi="Calibri" w:cs="Calibri"/>
                <w:b/>
                <w:lang w:val="en-US"/>
              </w:rPr>
              <w:t>)</w:t>
            </w:r>
          </w:p>
        </w:tc>
        <w:tc>
          <w:tcPr>
            <w:tcW w:w="1409" w:type="dxa"/>
            <w:shd w:val="clear" w:color="auto" w:fill="9BBB59"/>
            <w:noWrap/>
            <w:vAlign w:val="center"/>
          </w:tcPr>
          <w:p w:rsidR="00DD08FE" w:rsidRPr="00A9366F" w:rsidRDefault="0048654C" w:rsidP="0048654C">
            <w:pPr>
              <w:jc w:val="center"/>
              <w:rPr>
                <w:rFonts w:ascii="Calibri" w:hAnsi="Calibri" w:cs="Calibri"/>
                <w:b/>
                <w:i/>
                <w:lang w:val="en-US"/>
              </w:rPr>
            </w:pPr>
            <w:r w:rsidRPr="00A9366F">
              <w:rPr>
                <w:rFonts w:ascii="Calibri" w:hAnsi="Calibri" w:cs="Calibri"/>
                <w:b/>
                <w:i/>
                <w:lang w:val="en-US"/>
              </w:rPr>
              <w:t>Proportion of total number</w:t>
            </w:r>
            <w:r w:rsidR="00DD08FE" w:rsidRPr="00A9366F">
              <w:rPr>
                <w:rFonts w:ascii="Calibri" w:hAnsi="Calibri" w:cs="Calibri"/>
                <w:b/>
                <w:i/>
                <w:lang w:val="en-US"/>
              </w:rPr>
              <w:t>,</w:t>
            </w:r>
            <w:r w:rsidRPr="00A9366F">
              <w:rPr>
                <w:rFonts w:ascii="Calibri" w:hAnsi="Calibri" w:cs="Calibri"/>
                <w:b/>
                <w:i/>
                <w:lang w:val="en-US"/>
              </w:rPr>
              <w:br/>
              <w:t>in</w:t>
            </w:r>
            <w:r w:rsidR="00DD08FE" w:rsidRPr="00A9366F">
              <w:rPr>
                <w:rFonts w:ascii="Calibri" w:hAnsi="Calibri" w:cs="Calibri"/>
                <w:b/>
                <w:i/>
                <w:lang w:val="en-US"/>
              </w:rPr>
              <w:t xml:space="preserve"> %</w:t>
            </w:r>
          </w:p>
        </w:tc>
        <w:tc>
          <w:tcPr>
            <w:tcW w:w="1478" w:type="dxa"/>
            <w:shd w:val="clear" w:color="auto" w:fill="9BBB59"/>
            <w:noWrap/>
            <w:vAlign w:val="center"/>
          </w:tcPr>
          <w:p w:rsidR="00DD08FE" w:rsidRPr="00A9366F" w:rsidRDefault="0048654C" w:rsidP="009E09D9">
            <w:pPr>
              <w:jc w:val="center"/>
              <w:rPr>
                <w:rFonts w:ascii="Calibri" w:hAnsi="Calibri" w:cs="Calibri"/>
                <w:b/>
                <w:lang w:val="en-US"/>
              </w:rPr>
            </w:pPr>
            <w:r w:rsidRPr="00A9366F">
              <w:rPr>
                <w:rFonts w:ascii="Calibri" w:hAnsi="Calibri" w:cs="Calibri"/>
                <w:b/>
                <w:lang w:val="en-US"/>
              </w:rPr>
              <w:t>Amount</w:t>
            </w:r>
          </w:p>
          <w:p w:rsidR="00DD08FE" w:rsidRPr="00A9366F" w:rsidRDefault="00DD08FE" w:rsidP="0048654C">
            <w:pPr>
              <w:jc w:val="center"/>
              <w:rPr>
                <w:rFonts w:ascii="Calibri" w:hAnsi="Calibri" w:cs="Calibri"/>
                <w:b/>
                <w:lang w:val="en-US"/>
              </w:rPr>
            </w:pPr>
            <w:r w:rsidRPr="00A9366F">
              <w:rPr>
                <w:rFonts w:ascii="Calibri" w:hAnsi="Calibri" w:cs="Calibri"/>
                <w:b/>
                <w:lang w:val="en-US"/>
              </w:rPr>
              <w:t>(</w:t>
            </w:r>
            <w:r w:rsidR="0048654C" w:rsidRPr="00A9366F">
              <w:rPr>
                <w:rFonts w:ascii="Calibri" w:hAnsi="Calibri" w:cs="Calibri"/>
                <w:b/>
                <w:lang w:val="en-US"/>
              </w:rPr>
              <w:t>KZT million</w:t>
            </w:r>
            <w:r w:rsidRPr="00A9366F">
              <w:rPr>
                <w:rFonts w:ascii="Calibri" w:hAnsi="Calibri" w:cs="Calibri"/>
                <w:b/>
                <w:lang w:val="en-US"/>
              </w:rPr>
              <w:t>)</w:t>
            </w:r>
          </w:p>
        </w:tc>
        <w:tc>
          <w:tcPr>
            <w:tcW w:w="1829" w:type="dxa"/>
            <w:shd w:val="clear" w:color="auto" w:fill="9BBB59"/>
            <w:noWrap/>
            <w:vAlign w:val="center"/>
          </w:tcPr>
          <w:p w:rsidR="00DD08FE" w:rsidRPr="00A9366F" w:rsidRDefault="0048654C" w:rsidP="0048654C">
            <w:pPr>
              <w:jc w:val="center"/>
              <w:rPr>
                <w:rFonts w:ascii="Calibri" w:hAnsi="Calibri" w:cs="Calibri"/>
                <w:b/>
                <w:i/>
                <w:lang w:val="en-US"/>
              </w:rPr>
            </w:pPr>
            <w:r w:rsidRPr="00A9366F">
              <w:rPr>
                <w:rFonts w:ascii="Calibri" w:hAnsi="Calibri" w:cs="Calibri"/>
                <w:b/>
                <w:i/>
                <w:lang w:val="en-US"/>
              </w:rPr>
              <w:t>Proportion of total amount</w:t>
            </w:r>
            <w:r w:rsidR="00DD08FE" w:rsidRPr="00A9366F">
              <w:rPr>
                <w:rFonts w:ascii="Calibri" w:hAnsi="Calibri" w:cs="Calibri"/>
                <w:b/>
                <w:i/>
                <w:lang w:val="en-US"/>
              </w:rPr>
              <w:t>,</w:t>
            </w:r>
            <w:r w:rsidRPr="00A9366F">
              <w:rPr>
                <w:rFonts w:ascii="Calibri" w:hAnsi="Calibri" w:cs="Calibri"/>
                <w:b/>
                <w:i/>
                <w:lang w:val="en-US"/>
              </w:rPr>
              <w:br/>
              <w:t>in</w:t>
            </w:r>
            <w:r w:rsidR="00DD08FE" w:rsidRPr="00A9366F">
              <w:rPr>
                <w:rFonts w:ascii="Calibri" w:hAnsi="Calibri" w:cs="Calibri"/>
                <w:b/>
                <w:i/>
                <w:lang w:val="en-US"/>
              </w:rPr>
              <w:t xml:space="preserve"> %</w:t>
            </w:r>
          </w:p>
        </w:tc>
      </w:tr>
      <w:tr w:rsidR="00DD08FE" w:rsidRPr="00A9366F" w:rsidTr="009E09D9">
        <w:trPr>
          <w:trHeight w:val="171"/>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Faster</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83,0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36,0%</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6 857,1</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29,7%</w:t>
            </w:r>
          </w:p>
        </w:tc>
      </w:tr>
      <w:tr w:rsidR="00DD08FE" w:rsidRPr="00A9366F" w:rsidTr="009E09D9">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Western Union</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19,5</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8,4%</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5 099,1</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22,1%</w:t>
            </w:r>
          </w:p>
        </w:tc>
      </w:tr>
      <w:tr w:rsidR="00DD08FE" w:rsidRPr="00A9366F" w:rsidTr="009E09D9">
        <w:trPr>
          <w:trHeight w:val="255"/>
        </w:trPr>
        <w:tc>
          <w:tcPr>
            <w:tcW w:w="3524" w:type="dxa"/>
            <w:noWrap/>
            <w:vAlign w:val="center"/>
          </w:tcPr>
          <w:p w:rsidR="00DD08FE" w:rsidRPr="00A9366F" w:rsidRDefault="0048654C" w:rsidP="009E09D9">
            <w:pPr>
              <w:rPr>
                <w:rFonts w:ascii="Calibri" w:hAnsi="Calibri" w:cs="Calibri"/>
                <w:lang w:val="en-US"/>
              </w:rPr>
            </w:pPr>
            <w:r w:rsidRPr="00A9366F">
              <w:rPr>
                <w:rFonts w:ascii="Calibri" w:hAnsi="Calibri" w:cs="Calibri"/>
                <w:lang w:val="en-US"/>
              </w:rPr>
              <w:t xml:space="preserve">Golden Crown </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15,2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6,6%</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3 674,2</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15,9%</w:t>
            </w:r>
          </w:p>
        </w:tc>
      </w:tr>
      <w:tr w:rsidR="00DD08FE" w:rsidRPr="00A9366F" w:rsidTr="009E09D9">
        <w:trPr>
          <w:trHeight w:val="255"/>
        </w:trPr>
        <w:tc>
          <w:tcPr>
            <w:tcW w:w="3524" w:type="dxa"/>
            <w:noWrap/>
            <w:vAlign w:val="center"/>
          </w:tcPr>
          <w:p w:rsidR="00DD08FE" w:rsidRPr="00A9366F" w:rsidRDefault="0048654C" w:rsidP="009E09D9">
            <w:pPr>
              <w:rPr>
                <w:rFonts w:ascii="Calibri" w:hAnsi="Calibri" w:cs="Calibri"/>
                <w:lang w:val="en-US"/>
              </w:rPr>
            </w:pPr>
            <w:r w:rsidRPr="00A9366F">
              <w:rPr>
                <w:rFonts w:ascii="Calibri" w:hAnsi="Calibri" w:cs="Calibri"/>
                <w:lang w:val="en-US"/>
              </w:rPr>
              <w:t>Blitz</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12,2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5,3%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1 933,6</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8,4%</w:t>
            </w:r>
          </w:p>
        </w:tc>
      </w:tr>
      <w:tr w:rsidR="00DD08FE" w:rsidRPr="00A9366F" w:rsidTr="009E09D9">
        <w:trPr>
          <w:trHeight w:val="255"/>
        </w:trPr>
        <w:tc>
          <w:tcPr>
            <w:tcW w:w="3524" w:type="dxa"/>
            <w:noWrap/>
            <w:vAlign w:val="center"/>
          </w:tcPr>
          <w:p w:rsidR="00DD08FE" w:rsidRPr="00A9366F" w:rsidRDefault="0048654C" w:rsidP="0048654C">
            <w:pPr>
              <w:rPr>
                <w:rFonts w:ascii="Calibri" w:hAnsi="Calibri" w:cs="Calibri"/>
                <w:lang w:val="en-US"/>
              </w:rPr>
            </w:pPr>
            <w:proofErr w:type="spellStart"/>
            <w:r w:rsidRPr="00A9366F">
              <w:rPr>
                <w:rFonts w:ascii="Calibri" w:hAnsi="Calibri" w:cs="Calibri"/>
                <w:lang w:val="en-US"/>
              </w:rPr>
              <w:t>Unistream</w:t>
            </w:r>
            <w:proofErr w:type="spellEnd"/>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6,0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2,6%</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1 726,7</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7,5%</w:t>
            </w:r>
          </w:p>
        </w:tc>
      </w:tr>
      <w:tr w:rsidR="00DD08FE" w:rsidRPr="00A9366F" w:rsidTr="009E09D9">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Contact</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2,4</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1,1%</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1 537,7</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6,7%</w:t>
            </w:r>
          </w:p>
        </w:tc>
      </w:tr>
      <w:tr w:rsidR="00DD08FE" w:rsidRPr="00A9366F" w:rsidTr="009E09D9">
        <w:trPr>
          <w:trHeight w:val="255"/>
        </w:trPr>
        <w:tc>
          <w:tcPr>
            <w:tcW w:w="3524" w:type="dxa"/>
            <w:noWrap/>
            <w:vAlign w:val="center"/>
          </w:tcPr>
          <w:p w:rsidR="00DD08FE" w:rsidRPr="00A9366F" w:rsidRDefault="0048654C" w:rsidP="009E09D9">
            <w:pPr>
              <w:rPr>
                <w:rFonts w:ascii="Calibri" w:hAnsi="Calibri" w:cs="Calibri"/>
                <w:lang w:val="en-US"/>
              </w:rPr>
            </w:pPr>
            <w:r w:rsidRPr="00A9366F">
              <w:rPr>
                <w:rFonts w:ascii="Calibri" w:hAnsi="Calibri" w:cs="Calibri"/>
                <w:lang w:val="en-US"/>
              </w:rPr>
              <w:t>Postal transfers</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89,2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38,7%</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1 247,4</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5,4%</w:t>
            </w:r>
          </w:p>
        </w:tc>
      </w:tr>
      <w:tr w:rsidR="00DD08FE" w:rsidRPr="00A9366F" w:rsidTr="009E09D9">
        <w:trPr>
          <w:trHeight w:val="255"/>
        </w:trPr>
        <w:tc>
          <w:tcPr>
            <w:tcW w:w="3524" w:type="dxa"/>
            <w:noWrap/>
            <w:vAlign w:val="center"/>
          </w:tcPr>
          <w:p w:rsidR="00DD08FE" w:rsidRPr="00A9366F" w:rsidRDefault="0048654C" w:rsidP="0048654C">
            <w:pPr>
              <w:rPr>
                <w:rFonts w:ascii="Calibri" w:hAnsi="Calibri" w:cs="Calibri"/>
                <w:lang w:val="en-US"/>
              </w:rPr>
            </w:pPr>
            <w:r w:rsidRPr="00A9366F">
              <w:rPr>
                <w:rFonts w:ascii="Calibri" w:hAnsi="Calibri" w:cs="Calibri"/>
                <w:lang w:val="en-US"/>
              </w:rPr>
              <w:t xml:space="preserve">Instant money transfers without opening a bank account </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574,1</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2,5%</w:t>
            </w:r>
          </w:p>
        </w:tc>
      </w:tr>
      <w:tr w:rsidR="00DD08FE" w:rsidRPr="00A9366F" w:rsidTr="009E09D9">
        <w:trPr>
          <w:trHeight w:val="255"/>
        </w:trPr>
        <w:tc>
          <w:tcPr>
            <w:tcW w:w="3524" w:type="dxa"/>
            <w:noWrap/>
            <w:vAlign w:val="center"/>
          </w:tcPr>
          <w:p w:rsidR="00DD08FE" w:rsidRPr="00A9366F" w:rsidRDefault="0048654C" w:rsidP="009E09D9">
            <w:pPr>
              <w:rPr>
                <w:rFonts w:ascii="Calibri" w:hAnsi="Calibri" w:cs="Calibri"/>
                <w:lang w:val="en-US"/>
              </w:rPr>
            </w:pPr>
            <w:r w:rsidRPr="00A9366F">
              <w:rPr>
                <w:rFonts w:ascii="Calibri" w:hAnsi="Calibri" w:cs="Calibri"/>
                <w:lang w:val="en-US"/>
              </w:rPr>
              <w:t>Leader</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0,1%</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429,2</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1,9%</w:t>
            </w:r>
          </w:p>
        </w:tc>
      </w:tr>
      <w:tr w:rsidR="00DD08FE" w:rsidRPr="00A9366F" w:rsidTr="009E09D9">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MoneyGram</w:t>
            </w:r>
          </w:p>
        </w:tc>
        <w:tc>
          <w:tcPr>
            <w:tcW w:w="1655"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1,7</w:t>
            </w:r>
          </w:p>
        </w:tc>
        <w:tc>
          <w:tcPr>
            <w:tcW w:w="182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0,007%</w:t>
            </w:r>
          </w:p>
        </w:tc>
      </w:tr>
      <w:tr w:rsidR="00DD08FE" w:rsidRPr="00A9366F" w:rsidTr="00015E28">
        <w:trPr>
          <w:trHeight w:val="255"/>
        </w:trPr>
        <w:tc>
          <w:tcPr>
            <w:tcW w:w="3524" w:type="dxa"/>
            <w:shd w:val="clear" w:color="auto" w:fill="9BBB59"/>
            <w:noWrap/>
            <w:vAlign w:val="center"/>
          </w:tcPr>
          <w:p w:rsidR="00DD08FE" w:rsidRPr="00A9366F" w:rsidRDefault="0048654C" w:rsidP="009E09D9">
            <w:pPr>
              <w:rPr>
                <w:rFonts w:ascii="Calibri" w:hAnsi="Calibri" w:cs="Calibri"/>
                <w:b/>
                <w:bCs/>
                <w:color w:val="000000"/>
                <w:lang w:val="en-US"/>
              </w:rPr>
            </w:pPr>
            <w:r w:rsidRPr="00A9366F">
              <w:rPr>
                <w:rFonts w:ascii="Calibri" w:hAnsi="Calibri" w:cs="Calibri"/>
                <w:b/>
                <w:bCs/>
                <w:color w:val="000000"/>
                <w:lang w:val="en-US"/>
              </w:rPr>
              <w:t>Total</w:t>
            </w:r>
          </w:p>
        </w:tc>
        <w:tc>
          <w:tcPr>
            <w:tcW w:w="1655" w:type="dxa"/>
            <w:shd w:val="clear" w:color="auto" w:fill="9BBB59"/>
            <w:noWrap/>
            <w:vAlign w:val="center"/>
          </w:tcPr>
          <w:p w:rsidR="00DD08FE" w:rsidRPr="00A9366F" w:rsidRDefault="00DD08FE" w:rsidP="009E09D9">
            <w:pPr>
              <w:jc w:val="center"/>
              <w:rPr>
                <w:rFonts w:ascii="Calibri" w:hAnsi="Calibri" w:cs="Calibri"/>
                <w:b/>
                <w:bCs/>
                <w:color w:val="000000"/>
                <w:lang w:val="en-US"/>
              </w:rPr>
            </w:pPr>
            <w:r w:rsidRPr="00A9366F">
              <w:rPr>
                <w:rFonts w:ascii="Calibri" w:hAnsi="Calibri" w:cs="Calibri"/>
                <w:b/>
                <w:bCs/>
                <w:color w:val="000000"/>
                <w:lang w:val="en-US"/>
              </w:rPr>
              <w:t>230,7</w:t>
            </w:r>
          </w:p>
        </w:tc>
        <w:tc>
          <w:tcPr>
            <w:tcW w:w="1409"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c>
          <w:tcPr>
            <w:tcW w:w="1478" w:type="dxa"/>
            <w:shd w:val="clear" w:color="auto" w:fill="9BBB59"/>
            <w:noWrap/>
            <w:vAlign w:val="center"/>
          </w:tcPr>
          <w:p w:rsidR="00DD08FE" w:rsidRPr="00A9366F" w:rsidRDefault="00DD08FE" w:rsidP="009E09D9">
            <w:pPr>
              <w:jc w:val="center"/>
              <w:rPr>
                <w:rFonts w:ascii="Calibri" w:hAnsi="Calibri" w:cs="Calibri"/>
                <w:b/>
                <w:bCs/>
                <w:color w:val="000000"/>
                <w:lang w:val="en-US"/>
              </w:rPr>
            </w:pPr>
            <w:r w:rsidRPr="00A9366F">
              <w:rPr>
                <w:rFonts w:ascii="Calibri" w:hAnsi="Calibri" w:cs="Calibri"/>
                <w:b/>
                <w:bCs/>
                <w:color w:val="000000"/>
                <w:lang w:val="en-US"/>
              </w:rPr>
              <w:t>23 080,7</w:t>
            </w:r>
          </w:p>
        </w:tc>
        <w:tc>
          <w:tcPr>
            <w:tcW w:w="1829"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r>
    </w:tbl>
    <w:p w:rsidR="00DD08FE" w:rsidRPr="00A9366F" w:rsidRDefault="00B41594" w:rsidP="00DD08FE">
      <w:pPr>
        <w:tabs>
          <w:tab w:val="left" w:pos="5670"/>
        </w:tabs>
        <w:jc w:val="both"/>
        <w:rPr>
          <w:rFonts w:ascii="Calibri" w:hAnsi="Calibri" w:cs="Arial"/>
          <w:sz w:val="30"/>
          <w:szCs w:val="30"/>
          <w:lang w:val="en-US"/>
        </w:rPr>
      </w:pPr>
      <w:r w:rsidRPr="00A9366F">
        <w:rPr>
          <w:noProof/>
        </w:rPr>
        <w:drawing>
          <wp:anchor distT="0" distB="0" distL="114300" distR="114300" simplePos="0" relativeHeight="251635712" behindDoc="1" locked="0" layoutInCell="1" allowOverlap="1" wp14:anchorId="460DD28A" wp14:editId="1B52DBDD">
            <wp:simplePos x="0" y="0"/>
            <wp:positionH relativeFrom="column">
              <wp:posOffset>0</wp:posOffset>
            </wp:positionH>
            <wp:positionV relativeFrom="paragraph">
              <wp:posOffset>149225</wp:posOffset>
            </wp:positionV>
            <wp:extent cx="3169920" cy="2456815"/>
            <wp:effectExtent l="0" t="0" r="0" b="635"/>
            <wp:wrapSquare wrapText="bothSides"/>
            <wp:docPr id="460" name="Диаграмма 4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9D0180" w:rsidRPr="00A9366F" w:rsidRDefault="009D0180" w:rsidP="00DD08FE">
      <w:pPr>
        <w:tabs>
          <w:tab w:val="left" w:pos="5670"/>
        </w:tabs>
        <w:jc w:val="both"/>
        <w:rPr>
          <w:rFonts w:ascii="Calibri" w:hAnsi="Calibri" w:cs="Arial"/>
          <w:sz w:val="30"/>
          <w:szCs w:val="30"/>
          <w:lang w:val="en-US"/>
        </w:rPr>
      </w:pPr>
      <w:r w:rsidRPr="00A9366F">
        <w:rPr>
          <w:rFonts w:ascii="Calibri" w:hAnsi="Calibri" w:cs="Arial"/>
          <w:sz w:val="30"/>
          <w:szCs w:val="30"/>
          <w:lang w:val="en-US"/>
        </w:rPr>
        <w:t xml:space="preserve">Volume of money transfers aboard </w:t>
      </w:r>
      <w:r w:rsidR="006A4C0A" w:rsidRPr="00A9366F">
        <w:rPr>
          <w:rFonts w:ascii="Calibri" w:hAnsi="Calibri" w:cs="Arial"/>
          <w:sz w:val="30"/>
          <w:szCs w:val="30"/>
          <w:lang w:val="en-US"/>
        </w:rPr>
        <w:t>settled</w:t>
      </w:r>
      <w:r w:rsidR="008B12E9" w:rsidRPr="00A9366F">
        <w:rPr>
          <w:rFonts w:ascii="Calibri" w:hAnsi="Calibri" w:cs="Arial"/>
          <w:sz w:val="30"/>
          <w:szCs w:val="30"/>
          <w:lang w:val="en-US"/>
        </w:rPr>
        <w:t xml:space="preserve"> through the money transfer systems for </w:t>
      </w:r>
      <w:r w:rsidR="008B12E9" w:rsidRPr="00BF32A7">
        <w:rPr>
          <w:rFonts w:ascii="Calibri" w:hAnsi="Calibri" w:cs="Arial"/>
          <w:sz w:val="30"/>
          <w:szCs w:val="30"/>
          <w:lang w:val="en-US"/>
        </w:rPr>
        <w:t>20</w:t>
      </w:r>
      <w:r w:rsidR="00297BAA" w:rsidRPr="00BF32A7">
        <w:rPr>
          <w:rFonts w:ascii="Calibri" w:hAnsi="Calibri" w:cs="Arial"/>
          <w:sz w:val="30"/>
          <w:szCs w:val="30"/>
          <w:lang w:val="en-US"/>
        </w:rPr>
        <w:t>1</w:t>
      </w:r>
      <w:r w:rsidR="008B12E9" w:rsidRPr="00BF32A7">
        <w:rPr>
          <w:rFonts w:ascii="Calibri" w:hAnsi="Calibri" w:cs="Arial"/>
          <w:sz w:val="30"/>
          <w:szCs w:val="30"/>
          <w:lang w:val="en-US"/>
        </w:rPr>
        <w:t xml:space="preserve">6 </w:t>
      </w:r>
      <w:r w:rsidR="008B12E9" w:rsidRPr="00A9366F">
        <w:rPr>
          <w:rFonts w:ascii="Calibri" w:hAnsi="Calibri" w:cs="Arial"/>
          <w:b/>
          <w:sz w:val="30"/>
          <w:szCs w:val="30"/>
          <w:lang w:val="en-US"/>
        </w:rPr>
        <w:t>comprised 2,136.8 thousand transactions for the amount of KZT 382.2 billion</w:t>
      </w:r>
      <w:r w:rsidR="008B12E9" w:rsidRPr="00A9366F">
        <w:rPr>
          <w:rFonts w:ascii="Calibri" w:hAnsi="Calibri" w:cs="Arial"/>
          <w:sz w:val="30"/>
          <w:szCs w:val="30"/>
          <w:lang w:val="en-US"/>
        </w:rPr>
        <w:t xml:space="preserve">, which were by </w:t>
      </w:r>
      <w:r w:rsidR="008B12E9" w:rsidRPr="00A9366F">
        <w:rPr>
          <w:rFonts w:ascii="Calibri" w:hAnsi="Calibri" w:cs="Arial"/>
          <w:b/>
          <w:sz w:val="30"/>
          <w:szCs w:val="30"/>
          <w:lang w:val="en-US"/>
        </w:rPr>
        <w:t xml:space="preserve">4.1% </w:t>
      </w:r>
      <w:r w:rsidR="008B12E9" w:rsidRPr="00A9366F">
        <w:rPr>
          <w:rFonts w:ascii="Calibri" w:hAnsi="Calibri" w:cs="Arial"/>
          <w:sz w:val="30"/>
          <w:szCs w:val="30"/>
          <w:lang w:val="en-US"/>
        </w:rPr>
        <w:t xml:space="preserve">less in terms of the number of transactions but by </w:t>
      </w:r>
      <w:r w:rsidR="008B12E9" w:rsidRPr="00A9366F">
        <w:rPr>
          <w:rFonts w:ascii="Calibri" w:hAnsi="Calibri" w:cs="Arial"/>
          <w:b/>
          <w:sz w:val="30"/>
          <w:szCs w:val="30"/>
          <w:lang w:val="en-US"/>
        </w:rPr>
        <w:t>14.9%</w:t>
      </w:r>
      <w:r w:rsidR="008B12E9" w:rsidRPr="00A9366F">
        <w:rPr>
          <w:rFonts w:ascii="Calibri" w:hAnsi="Calibri" w:cs="Arial"/>
          <w:sz w:val="30"/>
          <w:szCs w:val="30"/>
          <w:lang w:val="en-US"/>
        </w:rPr>
        <w:t xml:space="preserve"> more in terms of the amount of payments </w:t>
      </w:r>
      <w:r w:rsidR="00812573" w:rsidRPr="00A9366F">
        <w:rPr>
          <w:rFonts w:ascii="Calibri" w:hAnsi="Calibri" w:cs="Arial"/>
          <w:sz w:val="30"/>
          <w:szCs w:val="30"/>
          <w:lang w:val="en-US"/>
        </w:rPr>
        <w:t>compared with</w:t>
      </w:r>
      <w:r w:rsidR="008B12E9" w:rsidRPr="00A9366F">
        <w:rPr>
          <w:rFonts w:ascii="Calibri" w:hAnsi="Calibri" w:cs="Arial"/>
          <w:sz w:val="30"/>
          <w:szCs w:val="30"/>
          <w:lang w:val="en-US"/>
        </w:rPr>
        <w:t xml:space="preserve"> 2015.</w:t>
      </w:r>
    </w:p>
    <w:p w:rsidR="00DD08FE" w:rsidRPr="00A9366F" w:rsidRDefault="00DD08FE" w:rsidP="00DD08FE">
      <w:pPr>
        <w:tabs>
          <w:tab w:val="left" w:pos="5670"/>
        </w:tabs>
        <w:jc w:val="both"/>
        <w:rPr>
          <w:rFonts w:ascii="Calibri" w:hAnsi="Calibri" w:cs="Arial"/>
          <w:b/>
          <w:color w:val="0E4C28"/>
          <w:szCs w:val="28"/>
          <w:lang w:val="en-US"/>
        </w:rPr>
      </w:pPr>
    </w:p>
    <w:tbl>
      <w:tblPr>
        <w:tblW w:w="9719" w:type="dxa"/>
        <w:tblInd w:w="93" w:type="dxa"/>
        <w:tblLook w:val="04A0" w:firstRow="1" w:lastRow="0" w:firstColumn="1" w:lastColumn="0" w:noHBand="0" w:noVBand="1"/>
      </w:tblPr>
      <w:tblGrid>
        <w:gridCol w:w="9850"/>
      </w:tblGrid>
      <w:tr w:rsidR="00BC1404" w:rsidRPr="00EA720F" w:rsidTr="00BC1404">
        <w:trPr>
          <w:trHeight w:val="264"/>
        </w:trPr>
        <w:tc>
          <w:tcPr>
            <w:tcW w:w="9719" w:type="dxa"/>
            <w:shd w:val="clear" w:color="auto" w:fill="auto"/>
            <w:noWrap/>
            <w:vAlign w:val="bottom"/>
          </w:tcPr>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6"/>
              <w:gridCol w:w="4808"/>
            </w:tblGrid>
            <w:tr w:rsidR="0073388E" w:rsidRPr="00EA720F" w:rsidTr="009E1B53">
              <w:trPr>
                <w:trHeight w:val="3049"/>
              </w:trPr>
              <w:tc>
                <w:tcPr>
                  <w:tcW w:w="4826" w:type="dxa"/>
                </w:tcPr>
                <w:p w:rsidR="008B12E9" w:rsidRPr="00A9366F" w:rsidRDefault="008B12E9" w:rsidP="009E1B53">
                  <w:pPr>
                    <w:ind w:firstLine="709"/>
                    <w:jc w:val="both"/>
                    <w:rPr>
                      <w:rFonts w:ascii="Calibri" w:hAnsi="Calibri" w:cs="Arial"/>
                      <w:sz w:val="30"/>
                      <w:szCs w:val="30"/>
                      <w:lang w:val="en-US"/>
                    </w:rPr>
                  </w:pPr>
                  <w:r w:rsidRPr="00A9366F">
                    <w:rPr>
                      <w:rFonts w:ascii="Calibri" w:hAnsi="Calibri" w:cs="Arial"/>
                      <w:sz w:val="30"/>
                      <w:szCs w:val="30"/>
                      <w:lang w:val="en-US"/>
                    </w:rPr>
                    <w:t xml:space="preserve">Comparative analysis of data for three years shows that the volume of money transferred aboard through the money transfer systems has increased significantly from 2014 to 2016 (from KZT </w:t>
                  </w:r>
                  <w:r w:rsidR="00915A26" w:rsidRPr="00A9366F">
                    <w:rPr>
                      <w:rFonts w:ascii="Calibri" w:hAnsi="Calibri" w:cs="Arial"/>
                      <w:sz w:val="30"/>
                      <w:szCs w:val="30"/>
                      <w:lang w:val="en-US"/>
                    </w:rPr>
                    <w:t>280.</w:t>
                  </w:r>
                  <w:r w:rsidRPr="00A9366F">
                    <w:rPr>
                      <w:rFonts w:ascii="Calibri" w:hAnsi="Calibri" w:cs="Arial"/>
                      <w:sz w:val="30"/>
                      <w:szCs w:val="30"/>
                      <w:lang w:val="en-US"/>
                    </w:rPr>
                    <w:t>4 billion to KZT 382.2 billion).</w:t>
                  </w:r>
                </w:p>
                <w:p w:rsidR="0073388E" w:rsidRPr="00A9366F" w:rsidRDefault="0073388E" w:rsidP="009E1B53">
                  <w:pPr>
                    <w:ind w:firstLine="709"/>
                    <w:jc w:val="both"/>
                    <w:rPr>
                      <w:rFonts w:ascii="Calibri" w:hAnsi="Calibri" w:cs="Calibri"/>
                      <w:sz w:val="30"/>
                      <w:szCs w:val="30"/>
                      <w:lang w:val="en-US"/>
                    </w:rPr>
                  </w:pPr>
                </w:p>
              </w:tc>
              <w:tc>
                <w:tcPr>
                  <w:tcW w:w="4808" w:type="dxa"/>
                </w:tcPr>
                <w:p w:rsidR="0073388E" w:rsidRPr="00A9366F" w:rsidRDefault="008B12E9" w:rsidP="008B12E9">
                  <w:pPr>
                    <w:jc w:val="center"/>
                    <w:rPr>
                      <w:rFonts w:ascii="Calibri" w:hAnsi="Calibri" w:cs="Calibri"/>
                      <w:sz w:val="30"/>
                      <w:szCs w:val="30"/>
                      <w:lang w:val="en-US"/>
                    </w:rPr>
                  </w:pPr>
                  <w:r w:rsidRPr="00A9366F">
                    <w:rPr>
                      <w:rFonts w:ascii="Calibri" w:hAnsi="Calibri" w:cs="Arial"/>
                      <w:b/>
                      <w:color w:val="0E4C28"/>
                      <w:sz w:val="28"/>
                      <w:szCs w:val="28"/>
                      <w:lang w:val="en-US"/>
                    </w:rPr>
                    <w:t xml:space="preserve">Money transfers through MTS in 2016 by types of payments </w:t>
                  </w:r>
                  <w:r w:rsidR="00B41594" w:rsidRPr="00A9366F">
                    <w:rPr>
                      <w:rFonts w:ascii="Calibri" w:hAnsi="Calibri" w:cs="Calibri"/>
                      <w:noProof/>
                      <w:sz w:val="30"/>
                      <w:szCs w:val="30"/>
                    </w:rPr>
                    <w:drawing>
                      <wp:inline distT="0" distB="0" distL="0" distR="0" wp14:anchorId="54C97E0F" wp14:editId="50F5D7F2">
                        <wp:extent cx="2750820" cy="1383030"/>
                        <wp:effectExtent l="0" t="0" r="0" b="0"/>
                        <wp:docPr id="38" name="Объект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r>
          </w:tbl>
          <w:p w:rsidR="00BC1404" w:rsidRPr="00A9366F" w:rsidRDefault="00BC1404" w:rsidP="00BC1404">
            <w:pPr>
              <w:rPr>
                <w:rFonts w:ascii="Calibri" w:hAnsi="Calibri" w:cs="Calibri"/>
                <w:sz w:val="30"/>
                <w:szCs w:val="30"/>
                <w:lang w:val="en-US"/>
              </w:rPr>
            </w:pPr>
          </w:p>
        </w:tc>
      </w:tr>
    </w:tbl>
    <w:p w:rsidR="008B12E9" w:rsidRPr="00A9366F" w:rsidRDefault="008B12E9" w:rsidP="00DD08FE">
      <w:pPr>
        <w:ind w:firstLine="708"/>
        <w:jc w:val="both"/>
        <w:rPr>
          <w:rFonts w:ascii="Calibri" w:hAnsi="Calibri" w:cs="Arial"/>
          <w:sz w:val="30"/>
          <w:szCs w:val="30"/>
          <w:lang w:val="en-US"/>
        </w:rPr>
      </w:pPr>
      <w:r w:rsidRPr="00A9366F">
        <w:rPr>
          <w:rFonts w:ascii="Calibri" w:hAnsi="Calibri" w:cs="Arial"/>
          <w:sz w:val="30"/>
          <w:szCs w:val="30"/>
          <w:lang w:val="en-US"/>
        </w:rPr>
        <w:t xml:space="preserve">In this regard, transfers from Kazakhstan made through the money transfer systems </w:t>
      </w:r>
      <w:r w:rsidRPr="00A9366F">
        <w:rPr>
          <w:rFonts w:ascii="Calibri" w:hAnsi="Calibri" w:cs="Arial"/>
          <w:b/>
          <w:sz w:val="30"/>
          <w:szCs w:val="30"/>
          <w:lang w:val="en-US"/>
        </w:rPr>
        <w:t>exceed significantly transfers to Kazakhstan</w:t>
      </w:r>
      <w:r w:rsidRPr="00A9366F">
        <w:rPr>
          <w:rFonts w:ascii="Calibri" w:hAnsi="Calibri" w:cs="Arial"/>
          <w:sz w:val="30"/>
          <w:szCs w:val="30"/>
          <w:lang w:val="en-US"/>
        </w:rPr>
        <w:t xml:space="preserve">. Thus, for 2016 </w:t>
      </w:r>
      <w:r w:rsidRPr="00A9366F">
        <w:rPr>
          <w:rFonts w:ascii="Calibri" w:hAnsi="Calibri" w:cs="Arial"/>
          <w:b/>
          <w:sz w:val="30"/>
          <w:szCs w:val="30"/>
          <w:lang w:val="en-US"/>
        </w:rPr>
        <w:t xml:space="preserve">money transfers received from abroad comprised 1.2 million transactions for the amount of KZT 248.5 billion </w:t>
      </w:r>
      <w:r w:rsidRPr="00A9366F">
        <w:rPr>
          <w:rFonts w:ascii="Calibri" w:hAnsi="Calibri" w:cs="Arial"/>
          <w:sz w:val="30"/>
          <w:szCs w:val="30"/>
          <w:lang w:val="en-US"/>
        </w:rPr>
        <w:t>(negative balance was as high as KZT 133.7 billion).</w:t>
      </w:r>
    </w:p>
    <w:p w:rsidR="00915A26" w:rsidRPr="00A9366F" w:rsidRDefault="008B12E9" w:rsidP="00915A26">
      <w:pPr>
        <w:ind w:firstLine="708"/>
        <w:jc w:val="both"/>
        <w:rPr>
          <w:rFonts w:ascii="Calibri" w:hAnsi="Calibri" w:cs="Calibri"/>
          <w:sz w:val="30"/>
          <w:szCs w:val="30"/>
          <w:lang w:val="en-US"/>
        </w:rPr>
      </w:pPr>
      <w:r w:rsidRPr="00A9366F">
        <w:rPr>
          <w:rFonts w:ascii="Calibri" w:hAnsi="Calibri" w:cs="Calibri"/>
          <w:sz w:val="30"/>
          <w:szCs w:val="30"/>
          <w:lang w:val="en-US"/>
        </w:rPr>
        <w:t xml:space="preserve">“Golden Crown” MTS remains the leader in money transfers abroad and from abroad to Kazakhstan. </w:t>
      </w:r>
      <w:r w:rsidR="00915A26" w:rsidRPr="00A9366F">
        <w:rPr>
          <w:rFonts w:ascii="Calibri" w:hAnsi="Calibri" w:cs="Calibri"/>
          <w:sz w:val="30"/>
          <w:szCs w:val="30"/>
          <w:lang w:val="en-US"/>
        </w:rPr>
        <w:t>Other systems that have significant proportions in money transfers are:</w:t>
      </w:r>
      <w:r w:rsidR="00A57450" w:rsidRPr="00A9366F">
        <w:rPr>
          <w:rFonts w:ascii="Calibri" w:hAnsi="Calibri" w:cs="Calibri"/>
          <w:sz w:val="30"/>
          <w:szCs w:val="30"/>
          <w:lang w:val="en-US"/>
        </w:rPr>
        <w:t xml:space="preserve"> </w:t>
      </w:r>
      <w:r w:rsidR="00915A26" w:rsidRPr="00A9366F">
        <w:rPr>
          <w:rFonts w:ascii="Calibri" w:hAnsi="Calibri" w:cs="Calibri"/>
          <w:sz w:val="30"/>
          <w:szCs w:val="30"/>
          <w:lang w:val="en-US"/>
        </w:rPr>
        <w:t xml:space="preserve">Western Union, Contact, </w:t>
      </w:r>
      <w:proofErr w:type="spellStart"/>
      <w:r w:rsidR="00915A26" w:rsidRPr="00A9366F">
        <w:rPr>
          <w:rFonts w:ascii="Calibri" w:hAnsi="Calibri" w:cs="Calibri"/>
          <w:sz w:val="30"/>
          <w:szCs w:val="30"/>
          <w:lang w:val="en-US"/>
        </w:rPr>
        <w:t>Unistream</w:t>
      </w:r>
      <w:proofErr w:type="spellEnd"/>
      <w:r w:rsidR="00915A26" w:rsidRPr="00A9366F">
        <w:rPr>
          <w:rFonts w:ascii="Calibri" w:hAnsi="Calibri" w:cs="Calibri"/>
          <w:sz w:val="30"/>
          <w:szCs w:val="30"/>
          <w:lang w:val="en-US"/>
        </w:rPr>
        <w:t xml:space="preserve">, </w:t>
      </w:r>
      <w:r w:rsidR="00550E0F" w:rsidRPr="00A9366F">
        <w:rPr>
          <w:rFonts w:ascii="Calibri" w:hAnsi="Calibri" w:cs="Calibri"/>
          <w:sz w:val="30"/>
          <w:szCs w:val="30"/>
          <w:lang w:val="en-US"/>
        </w:rPr>
        <w:t>Blitz</w:t>
      </w:r>
      <w:r w:rsidR="00915A26" w:rsidRPr="00A9366F">
        <w:rPr>
          <w:rFonts w:ascii="Calibri" w:hAnsi="Calibri" w:cs="Calibri"/>
          <w:sz w:val="30"/>
          <w:szCs w:val="30"/>
          <w:lang w:val="en-US"/>
        </w:rPr>
        <w:t xml:space="preserve"> and Faster.</w:t>
      </w:r>
    </w:p>
    <w:p w:rsidR="00DD08FE" w:rsidRPr="00A9366F" w:rsidRDefault="00DD08FE" w:rsidP="00915A26">
      <w:pPr>
        <w:jc w:val="both"/>
        <w:rPr>
          <w:rFonts w:ascii="Calibri" w:hAnsi="Calibri" w:cs="Calibri"/>
          <w:sz w:val="30"/>
          <w:szCs w:val="30"/>
          <w:lang w:val="en-US"/>
        </w:rPr>
      </w:pPr>
    </w:p>
    <w:tbl>
      <w:tblPr>
        <w:tblW w:w="9679" w:type="dxa"/>
        <w:tblLayout w:type="fixed"/>
        <w:tblLook w:val="00A0" w:firstRow="1" w:lastRow="0" w:firstColumn="1" w:lastColumn="0" w:noHBand="0" w:noVBand="0"/>
      </w:tblPr>
      <w:tblGrid>
        <w:gridCol w:w="3524"/>
        <w:gridCol w:w="1624"/>
        <w:gridCol w:w="1409"/>
        <w:gridCol w:w="1478"/>
        <w:gridCol w:w="1433"/>
        <w:gridCol w:w="211"/>
      </w:tblGrid>
      <w:tr w:rsidR="00DD08FE" w:rsidRPr="00EA720F" w:rsidTr="007E45C2">
        <w:trPr>
          <w:gridAfter w:val="1"/>
          <w:wAfter w:w="211" w:type="dxa"/>
          <w:trHeight w:val="4103"/>
        </w:trPr>
        <w:tc>
          <w:tcPr>
            <w:tcW w:w="5148" w:type="dxa"/>
            <w:gridSpan w:val="2"/>
          </w:tcPr>
          <w:p w:rsidR="00DD08FE" w:rsidRPr="00A9366F" w:rsidRDefault="00A57450" w:rsidP="009E09D9">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Proportion of total number of money transfers sent aboard through MTS </w:t>
            </w:r>
          </w:p>
          <w:p w:rsidR="00DD08FE" w:rsidRPr="00A9366F" w:rsidRDefault="00B41594" w:rsidP="009E09D9">
            <w:pPr>
              <w:tabs>
                <w:tab w:val="num" w:pos="993"/>
              </w:tabs>
              <w:jc w:val="both"/>
              <w:rPr>
                <w:lang w:val="en-US"/>
              </w:rPr>
            </w:pPr>
            <w:r w:rsidRPr="00A9366F">
              <w:rPr>
                <w:rFonts w:ascii="Calibri" w:hAnsi="Calibri" w:cs="Calibri"/>
                <w:noProof/>
                <w:szCs w:val="28"/>
              </w:rPr>
              <w:drawing>
                <wp:inline distT="0" distB="0" distL="0" distR="0" wp14:anchorId="026A383C" wp14:editId="3FFBF6B1">
                  <wp:extent cx="3096895" cy="1957070"/>
                  <wp:effectExtent l="0" t="0" r="46355" b="5080"/>
                  <wp:docPr id="39" name="Диаграмма 4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F5468" w:rsidRPr="00A9366F" w:rsidRDefault="002F5468" w:rsidP="009E09D9">
            <w:pPr>
              <w:tabs>
                <w:tab w:val="num" w:pos="993"/>
              </w:tabs>
              <w:jc w:val="both"/>
              <w:rPr>
                <w:rFonts w:ascii="Calibri" w:hAnsi="Calibri" w:cs="Calibri"/>
                <w:szCs w:val="28"/>
                <w:lang w:val="en-US"/>
              </w:rPr>
            </w:pPr>
          </w:p>
        </w:tc>
        <w:tc>
          <w:tcPr>
            <w:tcW w:w="4320" w:type="dxa"/>
            <w:gridSpan w:val="3"/>
          </w:tcPr>
          <w:p w:rsidR="00DD08FE" w:rsidRPr="00A9366F" w:rsidRDefault="00A57450" w:rsidP="009E09D9">
            <w:pPr>
              <w:tabs>
                <w:tab w:val="num" w:pos="993"/>
              </w:tabs>
              <w:jc w:val="center"/>
              <w:rPr>
                <w:rFonts w:ascii="Calibri" w:hAnsi="Calibri" w:cs="Calibri"/>
                <w:b/>
                <w:lang w:val="en-US"/>
              </w:rPr>
            </w:pPr>
            <w:r w:rsidRPr="00A9366F">
              <w:rPr>
                <w:rFonts w:ascii="Calibri" w:hAnsi="Calibri" w:cs="Arial"/>
                <w:b/>
                <w:color w:val="0E4C28"/>
                <w:sz w:val="28"/>
                <w:szCs w:val="28"/>
                <w:lang w:val="en-US"/>
              </w:rPr>
              <w:t xml:space="preserve">Proportion of total amount of money transfers sent aboard through MTS </w:t>
            </w:r>
            <w:r w:rsidR="00B41594" w:rsidRPr="00A9366F">
              <w:rPr>
                <w:rFonts w:ascii="Calibri" w:hAnsi="Calibri" w:cs="Calibri"/>
                <w:b/>
                <w:noProof/>
              </w:rPr>
              <w:drawing>
                <wp:inline distT="0" distB="0" distL="0" distR="0" wp14:anchorId="4033B42D" wp14:editId="1A9404F5">
                  <wp:extent cx="2895600" cy="1957070"/>
                  <wp:effectExtent l="0" t="0" r="38100" b="5080"/>
                  <wp:docPr id="40" name="Диаграмма 4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A57450" w:rsidRPr="00EA720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shd w:val="clear" w:color="auto" w:fill="9BBB59"/>
            <w:noWrap/>
            <w:vAlign w:val="center"/>
          </w:tcPr>
          <w:p w:rsidR="00A57450" w:rsidRPr="00A9366F" w:rsidRDefault="00A57450" w:rsidP="00A57450">
            <w:pPr>
              <w:jc w:val="center"/>
              <w:rPr>
                <w:rFonts w:ascii="Calibri" w:hAnsi="Calibri" w:cs="Calibri"/>
                <w:b/>
                <w:lang w:val="en-US"/>
              </w:rPr>
            </w:pPr>
            <w:r w:rsidRPr="00A9366F">
              <w:rPr>
                <w:rFonts w:ascii="Calibri" w:hAnsi="Calibri" w:cs="Calibri"/>
                <w:b/>
                <w:lang w:val="en-US"/>
              </w:rPr>
              <w:t>System</w:t>
            </w:r>
          </w:p>
        </w:tc>
        <w:tc>
          <w:tcPr>
            <w:tcW w:w="1624" w:type="dxa"/>
            <w:shd w:val="clear" w:color="auto" w:fill="9BBB59"/>
            <w:noWrap/>
            <w:vAlign w:val="center"/>
          </w:tcPr>
          <w:p w:rsidR="00A57450" w:rsidRPr="00A9366F" w:rsidRDefault="00A57450" w:rsidP="00A57450">
            <w:pPr>
              <w:jc w:val="center"/>
              <w:rPr>
                <w:rFonts w:ascii="Calibri" w:hAnsi="Calibri" w:cs="Calibri"/>
                <w:b/>
                <w:lang w:val="en-US"/>
              </w:rPr>
            </w:pPr>
            <w:r w:rsidRPr="00A9366F">
              <w:rPr>
                <w:rFonts w:ascii="Calibri" w:hAnsi="Calibri" w:cs="Calibri"/>
                <w:b/>
                <w:lang w:val="en-US"/>
              </w:rPr>
              <w:t>Number</w:t>
            </w:r>
          </w:p>
          <w:p w:rsidR="00A57450" w:rsidRPr="00A9366F" w:rsidRDefault="00A57450" w:rsidP="00A57450">
            <w:pPr>
              <w:jc w:val="center"/>
              <w:rPr>
                <w:rFonts w:ascii="Calibri" w:hAnsi="Calibri" w:cs="Calibri"/>
                <w:b/>
                <w:lang w:val="en-US"/>
              </w:rPr>
            </w:pPr>
            <w:r w:rsidRPr="00A9366F">
              <w:rPr>
                <w:rFonts w:ascii="Calibri" w:hAnsi="Calibri" w:cs="Calibri"/>
                <w:b/>
                <w:lang w:val="en-US"/>
              </w:rPr>
              <w:t>(thousand transactions)</w:t>
            </w:r>
          </w:p>
        </w:tc>
        <w:tc>
          <w:tcPr>
            <w:tcW w:w="1409" w:type="dxa"/>
            <w:shd w:val="clear" w:color="auto" w:fill="9BBB59"/>
            <w:noWrap/>
            <w:vAlign w:val="center"/>
          </w:tcPr>
          <w:p w:rsidR="00A57450" w:rsidRPr="00A9366F" w:rsidRDefault="00A57450" w:rsidP="00A57450">
            <w:pPr>
              <w:jc w:val="center"/>
              <w:rPr>
                <w:rFonts w:ascii="Calibri" w:hAnsi="Calibri" w:cs="Calibri"/>
                <w:b/>
                <w:i/>
                <w:lang w:val="en-US"/>
              </w:rPr>
            </w:pPr>
            <w:r w:rsidRPr="00A9366F">
              <w:rPr>
                <w:rFonts w:ascii="Calibri" w:hAnsi="Calibri" w:cs="Calibri"/>
                <w:b/>
                <w:i/>
                <w:lang w:val="en-US"/>
              </w:rPr>
              <w:t>Proportion of total number,</w:t>
            </w:r>
            <w:r w:rsidRPr="00A9366F">
              <w:rPr>
                <w:rFonts w:ascii="Calibri" w:hAnsi="Calibri" w:cs="Calibri"/>
                <w:b/>
                <w:i/>
                <w:lang w:val="en-US"/>
              </w:rPr>
              <w:br/>
              <w:t>in %</w:t>
            </w:r>
          </w:p>
        </w:tc>
        <w:tc>
          <w:tcPr>
            <w:tcW w:w="1478" w:type="dxa"/>
            <w:shd w:val="clear" w:color="auto" w:fill="9BBB59"/>
            <w:noWrap/>
            <w:vAlign w:val="center"/>
          </w:tcPr>
          <w:p w:rsidR="00A57450" w:rsidRPr="00A9366F" w:rsidRDefault="00A57450" w:rsidP="00A57450">
            <w:pPr>
              <w:jc w:val="center"/>
              <w:rPr>
                <w:rFonts w:ascii="Calibri" w:hAnsi="Calibri" w:cs="Calibri"/>
                <w:b/>
                <w:lang w:val="en-US"/>
              </w:rPr>
            </w:pPr>
            <w:r w:rsidRPr="00A9366F">
              <w:rPr>
                <w:rFonts w:ascii="Calibri" w:hAnsi="Calibri" w:cs="Calibri"/>
                <w:b/>
                <w:lang w:val="en-US"/>
              </w:rPr>
              <w:t>Amount</w:t>
            </w:r>
          </w:p>
          <w:p w:rsidR="00A57450" w:rsidRPr="00A9366F" w:rsidRDefault="00A57450" w:rsidP="00A57450">
            <w:pPr>
              <w:jc w:val="center"/>
              <w:rPr>
                <w:rFonts w:ascii="Calibri" w:hAnsi="Calibri" w:cs="Calibri"/>
                <w:b/>
                <w:lang w:val="en-US"/>
              </w:rPr>
            </w:pPr>
            <w:r w:rsidRPr="00A9366F">
              <w:rPr>
                <w:rFonts w:ascii="Calibri" w:hAnsi="Calibri" w:cs="Calibri"/>
                <w:b/>
                <w:lang w:val="en-US"/>
              </w:rPr>
              <w:t>(KZT million)</w:t>
            </w:r>
          </w:p>
        </w:tc>
        <w:tc>
          <w:tcPr>
            <w:tcW w:w="1644" w:type="dxa"/>
            <w:gridSpan w:val="2"/>
            <w:shd w:val="clear" w:color="auto" w:fill="9BBB59"/>
            <w:noWrap/>
            <w:vAlign w:val="center"/>
          </w:tcPr>
          <w:p w:rsidR="00A57450" w:rsidRPr="00A9366F" w:rsidRDefault="00A57450" w:rsidP="00A57450">
            <w:pPr>
              <w:jc w:val="center"/>
              <w:rPr>
                <w:rFonts w:ascii="Calibri" w:hAnsi="Calibri" w:cs="Calibri"/>
                <w:b/>
                <w:i/>
                <w:lang w:val="en-US"/>
              </w:rPr>
            </w:pPr>
            <w:r w:rsidRPr="00A9366F">
              <w:rPr>
                <w:rFonts w:ascii="Calibri" w:hAnsi="Calibri" w:cs="Calibri"/>
                <w:b/>
                <w:i/>
                <w:lang w:val="en-US"/>
              </w:rPr>
              <w:t>Proportion of total amount,</w:t>
            </w:r>
            <w:r w:rsidRPr="00A9366F">
              <w:rPr>
                <w:rFonts w:ascii="Calibri" w:hAnsi="Calibri" w:cs="Calibri"/>
                <w:b/>
                <w:i/>
                <w:lang w:val="en-US"/>
              </w:rPr>
              <w:br/>
              <w:t>in %</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3524" w:type="dxa"/>
            <w:noWrap/>
            <w:vAlign w:val="center"/>
          </w:tcPr>
          <w:p w:rsidR="00DD08FE" w:rsidRPr="00A9366F" w:rsidRDefault="00550E0F" w:rsidP="009E09D9">
            <w:pPr>
              <w:rPr>
                <w:rFonts w:ascii="Calibri" w:hAnsi="Calibri" w:cs="Calibri"/>
                <w:lang w:val="en-US"/>
              </w:rPr>
            </w:pPr>
            <w:r w:rsidRPr="00A9366F">
              <w:rPr>
                <w:rFonts w:ascii="Calibri" w:hAnsi="Calibri" w:cs="Calibri"/>
                <w:lang w:val="en-US"/>
              </w:rPr>
              <w:t>Golden</w:t>
            </w:r>
            <w:r w:rsidR="00346487" w:rsidRPr="00A9366F">
              <w:rPr>
                <w:rFonts w:ascii="Calibri" w:hAnsi="Calibri" w:cs="Calibri"/>
                <w:lang w:val="en-US"/>
              </w:rPr>
              <w:t xml:space="preserve"> Crown</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911,0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42,6%</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150 432,9</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39,4%</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Western Union</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262,8</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12,3%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78 341,0</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20,5%</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Contact</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156,3</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7,3%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44 941,4</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11,8%</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proofErr w:type="spellStart"/>
            <w:r w:rsidRPr="00A9366F">
              <w:rPr>
                <w:rFonts w:ascii="Calibri" w:hAnsi="Calibri" w:cs="Calibri"/>
                <w:lang w:val="en-US"/>
              </w:rPr>
              <w:t>Unistream</w:t>
            </w:r>
            <w:proofErr w:type="spellEnd"/>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233,3</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10,9%</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41 147,9</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10,8%</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550E0F" w:rsidP="009E09D9">
            <w:pPr>
              <w:rPr>
                <w:rFonts w:ascii="Calibri" w:hAnsi="Calibri" w:cs="Calibri"/>
                <w:lang w:val="en-US"/>
              </w:rPr>
            </w:pPr>
            <w:r w:rsidRPr="00A9366F">
              <w:rPr>
                <w:rFonts w:ascii="Calibri" w:hAnsi="Calibri" w:cs="Calibri"/>
                <w:lang w:val="en-US"/>
              </w:rPr>
              <w:t>Blitz</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278,6</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13,0%</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29 048,5</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7,6%</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Faster</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189,5</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8,9%</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23 792,9</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6,2%</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MoneyGram</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24,7</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7 036,4</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1,8%</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r w:rsidRPr="00A9366F">
              <w:rPr>
                <w:rFonts w:ascii="Calibri" w:hAnsi="Calibri" w:cs="Calibri"/>
                <w:lang w:val="en-US"/>
              </w:rPr>
              <w:t>Universal Postal Union system</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73,2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3,4%</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3 629,3</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0,9%</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r w:rsidRPr="00A9366F">
              <w:rPr>
                <w:rFonts w:ascii="Calibri" w:hAnsi="Calibri" w:cs="Calibri"/>
                <w:lang w:val="en-US"/>
              </w:rPr>
              <w:t>Leader</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6,8</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3 295,2</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0,9%</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DD08FE" w:rsidP="009E09D9">
            <w:pPr>
              <w:rPr>
                <w:rFonts w:ascii="Calibri" w:hAnsi="Calibri" w:cs="Calibri"/>
                <w:lang w:val="en-US"/>
              </w:rPr>
            </w:pPr>
            <w:proofErr w:type="spellStart"/>
            <w:r w:rsidRPr="00A9366F">
              <w:rPr>
                <w:rFonts w:ascii="Calibri" w:hAnsi="Calibri" w:cs="Calibri"/>
                <w:lang w:val="en-US"/>
              </w:rPr>
              <w:t>InterBanking</w:t>
            </w:r>
            <w:proofErr w:type="spellEnd"/>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0,4</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390,2</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0,1%</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proofErr w:type="spellStart"/>
            <w:r w:rsidRPr="00A9366F">
              <w:rPr>
                <w:rFonts w:ascii="Calibri" w:hAnsi="Calibri" w:cs="Calibri"/>
                <w:lang w:val="en-US"/>
              </w:rPr>
              <w:t>Blizko</w:t>
            </w:r>
            <w:proofErr w:type="spellEnd"/>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0,1</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0,005%</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87,0</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0,02%</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proofErr w:type="spellStart"/>
            <w:r w:rsidRPr="00A9366F">
              <w:rPr>
                <w:rFonts w:ascii="Calibri" w:hAnsi="Calibri" w:cs="Calibri"/>
                <w:lang w:val="en-US"/>
              </w:rPr>
              <w:t>Anelik</w:t>
            </w:r>
            <w:proofErr w:type="spellEnd"/>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0,1</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0,003%</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26,5</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0,01%</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A3629">
            <w:pPr>
              <w:rPr>
                <w:rFonts w:ascii="Calibri" w:hAnsi="Calibri" w:cs="Calibri"/>
                <w:lang w:val="en-US"/>
              </w:rPr>
            </w:pPr>
            <w:proofErr w:type="spellStart"/>
            <w:r w:rsidRPr="00A9366F">
              <w:rPr>
                <w:rFonts w:ascii="Calibri" w:hAnsi="Calibri" w:cs="Calibri"/>
                <w:lang w:val="en-US"/>
              </w:rPr>
              <w:t>Bystraya</w:t>
            </w:r>
            <w:proofErr w:type="spellEnd"/>
            <w:r w:rsidRPr="00A9366F">
              <w:rPr>
                <w:rFonts w:ascii="Calibri" w:hAnsi="Calibri" w:cs="Calibri"/>
                <w:lang w:val="en-US"/>
              </w:rPr>
              <w:t xml:space="preserve"> </w:t>
            </w:r>
            <w:proofErr w:type="spellStart"/>
            <w:r w:rsidRPr="00A9366F">
              <w:rPr>
                <w:rFonts w:ascii="Calibri" w:hAnsi="Calibri" w:cs="Calibri"/>
                <w:lang w:val="en-US"/>
              </w:rPr>
              <w:t>pochta</w:t>
            </w:r>
            <w:proofErr w:type="spellEnd"/>
            <w:r w:rsidRPr="00A9366F">
              <w:rPr>
                <w:rFonts w:ascii="Calibri" w:hAnsi="Calibri" w:cs="Calibri"/>
                <w:lang w:val="en-US"/>
              </w:rPr>
              <w:t xml:space="preserve"> (Quick </w:t>
            </w:r>
            <w:r w:rsidR="009A3629" w:rsidRPr="00A9366F">
              <w:rPr>
                <w:rFonts w:ascii="Calibri" w:hAnsi="Calibri" w:cs="Calibri"/>
                <w:lang w:val="en-US"/>
              </w:rPr>
              <w:t>Mail</w:t>
            </w:r>
            <w:r w:rsidRPr="00A9366F">
              <w:rPr>
                <w:rFonts w:ascii="Calibri" w:hAnsi="Calibri" w:cs="Calibri"/>
                <w:lang w:val="en-US"/>
              </w:rPr>
              <w:t>)</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0,0002%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2,5</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0,001%</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noWrap/>
            <w:vAlign w:val="center"/>
          </w:tcPr>
          <w:p w:rsidR="00DD08FE" w:rsidRPr="00A9366F" w:rsidRDefault="00346487" w:rsidP="009E09D9">
            <w:pPr>
              <w:rPr>
                <w:rFonts w:ascii="Calibri" w:hAnsi="Calibri" w:cs="Calibri"/>
                <w:lang w:val="en-US"/>
              </w:rPr>
            </w:pPr>
            <w:r w:rsidRPr="00A9366F">
              <w:rPr>
                <w:rFonts w:ascii="Calibri" w:hAnsi="Calibri" w:cs="Calibri"/>
                <w:lang w:val="en-US"/>
              </w:rPr>
              <w:t xml:space="preserve">International postal transfers </w:t>
            </w:r>
          </w:p>
        </w:tc>
        <w:tc>
          <w:tcPr>
            <w:tcW w:w="1624"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0,0</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1,5</w:t>
            </w:r>
          </w:p>
        </w:tc>
        <w:tc>
          <w:tcPr>
            <w:tcW w:w="1644" w:type="dxa"/>
            <w:gridSpan w:val="2"/>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0,0004%</w:t>
            </w:r>
          </w:p>
        </w:tc>
      </w:tr>
      <w:tr w:rsidR="00DD08FE" w:rsidRPr="00A9366F" w:rsidTr="007E4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524" w:type="dxa"/>
            <w:shd w:val="clear" w:color="auto" w:fill="9BBB59"/>
            <w:noWrap/>
            <w:vAlign w:val="center"/>
          </w:tcPr>
          <w:p w:rsidR="00DD08FE" w:rsidRPr="00A9366F" w:rsidRDefault="00346487" w:rsidP="009E09D9">
            <w:pPr>
              <w:rPr>
                <w:rFonts w:ascii="Calibri" w:hAnsi="Calibri" w:cs="Calibri"/>
                <w:b/>
                <w:bCs/>
                <w:color w:val="000000"/>
                <w:lang w:val="en-US"/>
              </w:rPr>
            </w:pPr>
            <w:r w:rsidRPr="00A9366F">
              <w:rPr>
                <w:rFonts w:ascii="Calibri" w:hAnsi="Calibri" w:cs="Calibri"/>
                <w:b/>
                <w:bCs/>
                <w:color w:val="000000"/>
                <w:lang w:val="en-US"/>
              </w:rPr>
              <w:t>Total</w:t>
            </w:r>
          </w:p>
        </w:tc>
        <w:tc>
          <w:tcPr>
            <w:tcW w:w="1624"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2 136,8</w:t>
            </w:r>
          </w:p>
        </w:tc>
        <w:tc>
          <w:tcPr>
            <w:tcW w:w="1409"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c>
          <w:tcPr>
            <w:tcW w:w="1478"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382 173,1</w:t>
            </w:r>
          </w:p>
        </w:tc>
        <w:tc>
          <w:tcPr>
            <w:tcW w:w="1644" w:type="dxa"/>
            <w:gridSpan w:val="2"/>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r>
    </w:tbl>
    <w:p w:rsidR="00346487" w:rsidRPr="00A9366F" w:rsidRDefault="00346487" w:rsidP="00DD08FE">
      <w:pPr>
        <w:tabs>
          <w:tab w:val="num" w:pos="993"/>
        </w:tabs>
        <w:ind w:firstLine="709"/>
        <w:jc w:val="both"/>
        <w:rPr>
          <w:rFonts w:ascii="Calibri" w:hAnsi="Calibri" w:cs="Calibri"/>
          <w:sz w:val="30"/>
          <w:szCs w:val="30"/>
          <w:lang w:val="en-US"/>
        </w:rPr>
      </w:pPr>
      <w:r w:rsidRPr="00A9366F">
        <w:rPr>
          <w:rFonts w:ascii="Calibri" w:hAnsi="Calibri" w:cs="Calibri"/>
          <w:sz w:val="30"/>
          <w:szCs w:val="30"/>
          <w:lang w:val="en-US"/>
        </w:rPr>
        <w:t xml:space="preserve">Majority of payments and money transfers flows to Kazakhstan through such systems as Golden Crown, Western Union, </w:t>
      </w:r>
      <w:proofErr w:type="spellStart"/>
      <w:r w:rsidRPr="00A9366F">
        <w:rPr>
          <w:rFonts w:ascii="Calibri" w:hAnsi="Calibri" w:cs="Calibri"/>
          <w:sz w:val="30"/>
          <w:szCs w:val="30"/>
          <w:lang w:val="en-US"/>
        </w:rPr>
        <w:t>Unistream</w:t>
      </w:r>
      <w:proofErr w:type="spellEnd"/>
      <w:r w:rsidRPr="00A9366F">
        <w:rPr>
          <w:rFonts w:ascii="Calibri" w:hAnsi="Calibri" w:cs="Calibri"/>
          <w:sz w:val="30"/>
          <w:szCs w:val="30"/>
          <w:lang w:val="en-US"/>
        </w:rPr>
        <w:t xml:space="preserve"> and Faster </w:t>
      </w:r>
    </w:p>
    <w:tbl>
      <w:tblPr>
        <w:tblW w:w="9778" w:type="dxa"/>
        <w:tblLayout w:type="fixed"/>
        <w:tblLook w:val="00A0" w:firstRow="1" w:lastRow="0" w:firstColumn="1" w:lastColumn="0" w:noHBand="0" w:noVBand="0"/>
      </w:tblPr>
      <w:tblGrid>
        <w:gridCol w:w="3168"/>
        <w:gridCol w:w="1444"/>
        <w:gridCol w:w="571"/>
        <w:gridCol w:w="1409"/>
        <w:gridCol w:w="1478"/>
        <w:gridCol w:w="1578"/>
        <w:gridCol w:w="130"/>
      </w:tblGrid>
      <w:tr w:rsidR="00DD08FE" w:rsidRPr="00EA720F" w:rsidTr="002E5C2F">
        <w:trPr>
          <w:trHeight w:val="3341"/>
        </w:trPr>
        <w:tc>
          <w:tcPr>
            <w:tcW w:w="4612" w:type="dxa"/>
            <w:gridSpan w:val="2"/>
          </w:tcPr>
          <w:p w:rsidR="00DD08FE" w:rsidRPr="00A9366F" w:rsidRDefault="00346487" w:rsidP="009E09D9">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Proportion of total number of money transfers received from abroad through MTS </w:t>
            </w:r>
          </w:p>
          <w:p w:rsidR="00DD08FE" w:rsidRPr="00A9366F" w:rsidRDefault="00B41594" w:rsidP="009E09D9">
            <w:pPr>
              <w:tabs>
                <w:tab w:val="num" w:pos="993"/>
              </w:tabs>
              <w:jc w:val="both"/>
              <w:rPr>
                <w:rFonts w:ascii="Calibri" w:hAnsi="Calibri" w:cs="Calibri"/>
                <w:sz w:val="20"/>
                <w:szCs w:val="20"/>
                <w:lang w:val="en-US"/>
              </w:rPr>
            </w:pPr>
            <w:r w:rsidRPr="00A9366F">
              <w:rPr>
                <w:rFonts w:ascii="Calibri" w:hAnsi="Calibri" w:cs="Calibri"/>
                <w:noProof/>
                <w:sz w:val="20"/>
                <w:szCs w:val="20"/>
              </w:rPr>
              <w:drawing>
                <wp:inline distT="0" distB="0" distL="0" distR="0" wp14:anchorId="3B8EDFFB" wp14:editId="733363C4">
                  <wp:extent cx="3169920" cy="1945005"/>
                  <wp:effectExtent l="0" t="0" r="0" b="0"/>
                  <wp:docPr id="41"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5166" w:type="dxa"/>
            <w:gridSpan w:val="5"/>
          </w:tcPr>
          <w:p w:rsidR="00DD08FE" w:rsidRPr="00A9366F" w:rsidRDefault="00550E0F" w:rsidP="009E09D9">
            <w:pPr>
              <w:tabs>
                <w:tab w:val="num" w:pos="993"/>
              </w:tabs>
              <w:jc w:val="center"/>
              <w:rPr>
                <w:rFonts w:ascii="Calibri" w:hAnsi="Calibri" w:cs="Calibri"/>
                <w:b/>
                <w:lang w:val="en-US"/>
              </w:rPr>
            </w:pPr>
            <w:r w:rsidRPr="00A9366F">
              <w:rPr>
                <w:rFonts w:ascii="Calibri" w:hAnsi="Calibri" w:cs="Arial"/>
                <w:b/>
                <w:color w:val="0E4C28"/>
                <w:sz w:val="28"/>
                <w:szCs w:val="28"/>
                <w:lang w:val="en-US"/>
              </w:rPr>
              <w:t xml:space="preserve">Proportion of total amount of money transfers received from abroad through MTS </w:t>
            </w:r>
            <w:r w:rsidRPr="00A9366F">
              <w:rPr>
                <w:rFonts w:ascii="Calibri" w:hAnsi="Calibri" w:cs="Calibri"/>
                <w:b/>
                <w:noProof/>
              </w:rPr>
              <w:drawing>
                <wp:inline distT="0" distB="0" distL="0" distR="0" wp14:anchorId="15875044" wp14:editId="031EF023">
                  <wp:extent cx="3115310" cy="1946910"/>
                  <wp:effectExtent l="0" t="0" r="0" b="0"/>
                  <wp:docPr id="6" name="Диаграмма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56D7B" w:rsidRPr="002C72D1" w:rsidRDefault="00956D7B" w:rsidP="009E09D9">
            <w:pPr>
              <w:tabs>
                <w:tab w:val="num" w:pos="993"/>
              </w:tabs>
              <w:jc w:val="center"/>
              <w:rPr>
                <w:rFonts w:ascii="Calibri" w:hAnsi="Calibri" w:cs="Calibri"/>
                <w:b/>
                <w:lang w:val="en-US"/>
              </w:rPr>
            </w:pPr>
          </w:p>
        </w:tc>
      </w:tr>
      <w:tr w:rsidR="00346487" w:rsidRPr="00EA720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shd w:val="clear" w:color="auto" w:fill="9BBB59"/>
            <w:noWrap/>
            <w:vAlign w:val="center"/>
          </w:tcPr>
          <w:p w:rsidR="00346487" w:rsidRPr="00A9366F" w:rsidRDefault="00346487" w:rsidP="00346487">
            <w:pPr>
              <w:jc w:val="center"/>
              <w:rPr>
                <w:rFonts w:ascii="Calibri" w:hAnsi="Calibri" w:cs="Calibri"/>
                <w:b/>
                <w:lang w:val="en-US"/>
              </w:rPr>
            </w:pPr>
            <w:r w:rsidRPr="00A9366F">
              <w:rPr>
                <w:rFonts w:ascii="Calibri" w:hAnsi="Calibri" w:cs="Calibri"/>
                <w:b/>
                <w:lang w:val="en-US"/>
              </w:rPr>
              <w:t>System</w:t>
            </w:r>
          </w:p>
        </w:tc>
        <w:tc>
          <w:tcPr>
            <w:tcW w:w="2015" w:type="dxa"/>
            <w:gridSpan w:val="2"/>
            <w:shd w:val="clear" w:color="auto" w:fill="9BBB59"/>
            <w:noWrap/>
            <w:vAlign w:val="center"/>
          </w:tcPr>
          <w:p w:rsidR="00346487" w:rsidRPr="00A9366F" w:rsidRDefault="00346487" w:rsidP="00346487">
            <w:pPr>
              <w:jc w:val="center"/>
              <w:rPr>
                <w:rFonts w:ascii="Calibri" w:hAnsi="Calibri" w:cs="Calibri"/>
                <w:b/>
                <w:lang w:val="en-US"/>
              </w:rPr>
            </w:pPr>
            <w:r w:rsidRPr="00A9366F">
              <w:rPr>
                <w:rFonts w:ascii="Calibri" w:hAnsi="Calibri" w:cs="Calibri"/>
                <w:b/>
                <w:lang w:val="en-US"/>
              </w:rPr>
              <w:t>Number</w:t>
            </w:r>
          </w:p>
          <w:p w:rsidR="00346487" w:rsidRPr="00A9366F" w:rsidRDefault="00346487" w:rsidP="00346487">
            <w:pPr>
              <w:jc w:val="center"/>
              <w:rPr>
                <w:rFonts w:ascii="Calibri" w:hAnsi="Calibri" w:cs="Calibri"/>
                <w:b/>
                <w:lang w:val="en-US"/>
              </w:rPr>
            </w:pPr>
            <w:r w:rsidRPr="00A9366F">
              <w:rPr>
                <w:rFonts w:ascii="Calibri" w:hAnsi="Calibri" w:cs="Calibri"/>
                <w:b/>
                <w:lang w:val="en-US"/>
              </w:rPr>
              <w:t>(thousand transactions)</w:t>
            </w:r>
          </w:p>
        </w:tc>
        <w:tc>
          <w:tcPr>
            <w:tcW w:w="1409" w:type="dxa"/>
            <w:shd w:val="clear" w:color="auto" w:fill="9BBB59"/>
            <w:noWrap/>
            <w:vAlign w:val="center"/>
          </w:tcPr>
          <w:p w:rsidR="00346487" w:rsidRPr="00A9366F" w:rsidRDefault="00346487" w:rsidP="00346487">
            <w:pPr>
              <w:jc w:val="center"/>
              <w:rPr>
                <w:rFonts w:ascii="Calibri" w:hAnsi="Calibri" w:cs="Calibri"/>
                <w:b/>
                <w:i/>
                <w:lang w:val="en-US"/>
              </w:rPr>
            </w:pPr>
            <w:r w:rsidRPr="00A9366F">
              <w:rPr>
                <w:rFonts w:ascii="Calibri" w:hAnsi="Calibri" w:cs="Calibri"/>
                <w:b/>
                <w:i/>
                <w:lang w:val="en-US"/>
              </w:rPr>
              <w:t>Proportion of total number,</w:t>
            </w:r>
            <w:r w:rsidRPr="00A9366F">
              <w:rPr>
                <w:rFonts w:ascii="Calibri" w:hAnsi="Calibri" w:cs="Calibri"/>
                <w:b/>
                <w:i/>
                <w:lang w:val="en-US"/>
              </w:rPr>
              <w:br/>
              <w:t>in %</w:t>
            </w:r>
          </w:p>
        </w:tc>
        <w:tc>
          <w:tcPr>
            <w:tcW w:w="1478" w:type="dxa"/>
            <w:shd w:val="clear" w:color="auto" w:fill="9BBB59"/>
            <w:noWrap/>
            <w:vAlign w:val="center"/>
          </w:tcPr>
          <w:p w:rsidR="00346487" w:rsidRPr="00A9366F" w:rsidRDefault="00346487" w:rsidP="00346487">
            <w:pPr>
              <w:jc w:val="center"/>
              <w:rPr>
                <w:rFonts w:ascii="Calibri" w:hAnsi="Calibri" w:cs="Calibri"/>
                <w:b/>
                <w:lang w:val="en-US"/>
              </w:rPr>
            </w:pPr>
            <w:r w:rsidRPr="00A9366F">
              <w:rPr>
                <w:rFonts w:ascii="Calibri" w:hAnsi="Calibri" w:cs="Calibri"/>
                <w:b/>
                <w:lang w:val="en-US"/>
              </w:rPr>
              <w:t>Amount</w:t>
            </w:r>
          </w:p>
          <w:p w:rsidR="00346487" w:rsidRPr="00A9366F" w:rsidRDefault="00346487" w:rsidP="00346487">
            <w:pPr>
              <w:jc w:val="center"/>
              <w:rPr>
                <w:rFonts w:ascii="Calibri" w:hAnsi="Calibri" w:cs="Calibri"/>
                <w:b/>
                <w:lang w:val="en-US"/>
              </w:rPr>
            </w:pPr>
            <w:r w:rsidRPr="00A9366F">
              <w:rPr>
                <w:rFonts w:ascii="Calibri" w:hAnsi="Calibri" w:cs="Calibri"/>
                <w:b/>
                <w:lang w:val="en-US"/>
              </w:rPr>
              <w:t>(KZT million)</w:t>
            </w:r>
          </w:p>
        </w:tc>
        <w:tc>
          <w:tcPr>
            <w:tcW w:w="1578" w:type="dxa"/>
            <w:shd w:val="clear" w:color="auto" w:fill="9BBB59"/>
            <w:noWrap/>
            <w:vAlign w:val="center"/>
          </w:tcPr>
          <w:p w:rsidR="00346487" w:rsidRPr="00A9366F" w:rsidRDefault="00346487" w:rsidP="00346487">
            <w:pPr>
              <w:jc w:val="center"/>
              <w:rPr>
                <w:rFonts w:ascii="Calibri" w:hAnsi="Calibri" w:cs="Calibri"/>
                <w:b/>
                <w:i/>
                <w:lang w:val="en-US"/>
              </w:rPr>
            </w:pPr>
            <w:r w:rsidRPr="00A9366F">
              <w:rPr>
                <w:rFonts w:ascii="Calibri" w:hAnsi="Calibri" w:cs="Calibri"/>
                <w:b/>
                <w:i/>
                <w:lang w:val="en-US"/>
              </w:rPr>
              <w:t>Proportion of total amount,</w:t>
            </w:r>
            <w:r w:rsidRPr="00A9366F">
              <w:rPr>
                <w:rFonts w:ascii="Calibri" w:hAnsi="Calibri" w:cs="Calibri"/>
                <w:b/>
                <w:i/>
                <w:lang w:val="en-US"/>
              </w:rPr>
              <w:br/>
              <w:t>in %</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171"/>
        </w:trPr>
        <w:tc>
          <w:tcPr>
            <w:tcW w:w="3168" w:type="dxa"/>
            <w:noWrap/>
            <w:vAlign w:val="center"/>
          </w:tcPr>
          <w:p w:rsidR="00DD08FE" w:rsidRPr="00A9366F" w:rsidRDefault="00346487" w:rsidP="009E09D9">
            <w:pPr>
              <w:rPr>
                <w:rFonts w:ascii="Calibri" w:hAnsi="Calibri" w:cs="Calibri"/>
                <w:lang w:val="en-US"/>
              </w:rPr>
            </w:pPr>
            <w:r w:rsidRPr="00A9366F">
              <w:rPr>
                <w:rFonts w:ascii="Calibri" w:hAnsi="Calibri" w:cs="Calibri"/>
                <w:lang w:val="en-US"/>
              </w:rPr>
              <w:t>Golden Crown</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417,2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34,7%</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117 600,7</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47,3%</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Western Union</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287,2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23,9%</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49 419,0</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19,9%</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346487" w:rsidP="009E09D9">
            <w:pPr>
              <w:rPr>
                <w:rFonts w:ascii="Calibri" w:hAnsi="Calibri" w:cs="Calibri"/>
                <w:lang w:val="en-US"/>
              </w:rPr>
            </w:pPr>
            <w:proofErr w:type="spellStart"/>
            <w:r w:rsidRPr="00A9366F">
              <w:rPr>
                <w:rFonts w:ascii="Calibri" w:hAnsi="Calibri" w:cs="Calibri"/>
                <w:lang w:val="en-US"/>
              </w:rPr>
              <w:t>Unistream</w:t>
            </w:r>
            <w:proofErr w:type="spellEnd"/>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65,7</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5,5%</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25 518,6</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10,3%</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Faster</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94,2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7,8%</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18 932,3</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7,6%</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550E0F" w:rsidP="009E09D9">
            <w:pPr>
              <w:rPr>
                <w:rFonts w:ascii="Calibri" w:hAnsi="Calibri" w:cs="Calibri"/>
                <w:lang w:val="en-US"/>
              </w:rPr>
            </w:pPr>
            <w:r w:rsidRPr="00A9366F">
              <w:rPr>
                <w:rFonts w:ascii="Calibri" w:hAnsi="Calibri" w:cs="Calibri"/>
                <w:lang w:val="en-US"/>
              </w:rPr>
              <w:t>Blitz</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135,2</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11,2%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15 366,8</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6,2%</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MoneyGram</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56,6</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4,7%</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10 022,0</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4,0%</w:t>
            </w:r>
          </w:p>
        </w:tc>
      </w:tr>
      <w:tr w:rsidR="00DD08FE"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DD08FE" w:rsidRPr="00A9366F" w:rsidRDefault="00DD08FE" w:rsidP="009E09D9">
            <w:pPr>
              <w:rPr>
                <w:rFonts w:ascii="Calibri" w:hAnsi="Calibri" w:cs="Calibri"/>
                <w:lang w:val="en-US"/>
              </w:rPr>
            </w:pPr>
            <w:r w:rsidRPr="00A9366F">
              <w:rPr>
                <w:rFonts w:ascii="Calibri" w:hAnsi="Calibri" w:cs="Calibri"/>
                <w:lang w:val="en-US"/>
              </w:rPr>
              <w:t>Contact</w:t>
            </w:r>
          </w:p>
        </w:tc>
        <w:tc>
          <w:tcPr>
            <w:tcW w:w="2015" w:type="dxa"/>
            <w:gridSpan w:val="2"/>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38,8</w:t>
            </w:r>
          </w:p>
        </w:tc>
        <w:tc>
          <w:tcPr>
            <w:tcW w:w="1409"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3,2%</w:t>
            </w:r>
          </w:p>
        </w:tc>
        <w:tc>
          <w:tcPr>
            <w:tcW w:w="1478"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6 970,4</w:t>
            </w:r>
          </w:p>
        </w:tc>
        <w:tc>
          <w:tcPr>
            <w:tcW w:w="1578"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2,8%</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346487" w:rsidRPr="00A9366F" w:rsidRDefault="00346487" w:rsidP="00346487">
            <w:pPr>
              <w:rPr>
                <w:rFonts w:ascii="Calibri" w:hAnsi="Calibri" w:cs="Calibri"/>
                <w:lang w:val="en-US"/>
              </w:rPr>
            </w:pPr>
            <w:r w:rsidRPr="00A9366F">
              <w:rPr>
                <w:rFonts w:ascii="Calibri" w:hAnsi="Calibri" w:cs="Calibri"/>
                <w:lang w:val="en-US"/>
              </w:rPr>
              <w:t>Universal Postal Union system</w:t>
            </w:r>
          </w:p>
        </w:tc>
        <w:tc>
          <w:tcPr>
            <w:tcW w:w="2015" w:type="dxa"/>
            <w:gridSpan w:val="2"/>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100,9</w:t>
            </w:r>
          </w:p>
        </w:tc>
        <w:tc>
          <w:tcPr>
            <w:tcW w:w="1409"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8,4%</w:t>
            </w:r>
          </w:p>
        </w:tc>
        <w:tc>
          <w:tcPr>
            <w:tcW w:w="1478" w:type="dxa"/>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2 972,9</w:t>
            </w:r>
          </w:p>
        </w:tc>
        <w:tc>
          <w:tcPr>
            <w:tcW w:w="1578"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1,2%</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346487" w:rsidRPr="00A9366F" w:rsidRDefault="00346487" w:rsidP="00346487">
            <w:pPr>
              <w:rPr>
                <w:rFonts w:ascii="Calibri" w:hAnsi="Calibri" w:cs="Calibri"/>
                <w:lang w:val="en-US"/>
              </w:rPr>
            </w:pPr>
            <w:r w:rsidRPr="00A9366F">
              <w:rPr>
                <w:rFonts w:ascii="Calibri" w:hAnsi="Calibri" w:cs="Calibri"/>
                <w:lang w:val="en-US"/>
              </w:rPr>
              <w:t>Leader</w:t>
            </w:r>
          </w:p>
        </w:tc>
        <w:tc>
          <w:tcPr>
            <w:tcW w:w="2015" w:type="dxa"/>
            <w:gridSpan w:val="2"/>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7,3</w:t>
            </w:r>
          </w:p>
        </w:tc>
        <w:tc>
          <w:tcPr>
            <w:tcW w:w="1409"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0,6%</w:t>
            </w:r>
          </w:p>
        </w:tc>
        <w:tc>
          <w:tcPr>
            <w:tcW w:w="1478" w:type="dxa"/>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1 575,4</w:t>
            </w:r>
          </w:p>
        </w:tc>
        <w:tc>
          <w:tcPr>
            <w:tcW w:w="1578"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0,6%</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346487" w:rsidRPr="00A9366F" w:rsidRDefault="00346487" w:rsidP="00346487">
            <w:pPr>
              <w:rPr>
                <w:rFonts w:ascii="Calibri" w:hAnsi="Calibri" w:cs="Calibri"/>
                <w:lang w:val="en-US"/>
              </w:rPr>
            </w:pPr>
            <w:proofErr w:type="spellStart"/>
            <w:r w:rsidRPr="00A9366F">
              <w:rPr>
                <w:rFonts w:ascii="Calibri" w:hAnsi="Calibri" w:cs="Calibri"/>
                <w:lang w:val="en-US"/>
              </w:rPr>
              <w:t>Blizko</w:t>
            </w:r>
            <w:proofErr w:type="spellEnd"/>
          </w:p>
        </w:tc>
        <w:tc>
          <w:tcPr>
            <w:tcW w:w="2015" w:type="dxa"/>
            <w:gridSpan w:val="2"/>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0,4</w:t>
            </w:r>
          </w:p>
        </w:tc>
        <w:tc>
          <w:tcPr>
            <w:tcW w:w="1409"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0,03%</w:t>
            </w:r>
          </w:p>
        </w:tc>
        <w:tc>
          <w:tcPr>
            <w:tcW w:w="1478" w:type="dxa"/>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113,2</w:t>
            </w:r>
          </w:p>
        </w:tc>
        <w:tc>
          <w:tcPr>
            <w:tcW w:w="1578"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0,05%</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346487" w:rsidRPr="00A9366F" w:rsidRDefault="00346487" w:rsidP="00346487">
            <w:pPr>
              <w:rPr>
                <w:rFonts w:ascii="Calibri" w:hAnsi="Calibri" w:cs="Calibri"/>
                <w:lang w:val="en-US"/>
              </w:rPr>
            </w:pPr>
            <w:proofErr w:type="spellStart"/>
            <w:r w:rsidRPr="00A9366F">
              <w:rPr>
                <w:rFonts w:ascii="Calibri" w:hAnsi="Calibri" w:cs="Calibri"/>
                <w:lang w:val="en-US"/>
              </w:rPr>
              <w:t>Anelik</w:t>
            </w:r>
            <w:proofErr w:type="spellEnd"/>
          </w:p>
        </w:tc>
        <w:tc>
          <w:tcPr>
            <w:tcW w:w="2015" w:type="dxa"/>
            <w:gridSpan w:val="2"/>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0,0</w:t>
            </w:r>
          </w:p>
        </w:tc>
        <w:tc>
          <w:tcPr>
            <w:tcW w:w="1409"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0,002%</w:t>
            </w:r>
          </w:p>
        </w:tc>
        <w:tc>
          <w:tcPr>
            <w:tcW w:w="1478" w:type="dxa"/>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18,4</w:t>
            </w:r>
          </w:p>
        </w:tc>
        <w:tc>
          <w:tcPr>
            <w:tcW w:w="1578"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0,01%</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noWrap/>
            <w:vAlign w:val="center"/>
          </w:tcPr>
          <w:p w:rsidR="00346487" w:rsidRPr="00A9366F" w:rsidRDefault="00346487" w:rsidP="00346487">
            <w:pPr>
              <w:rPr>
                <w:rFonts w:ascii="Calibri" w:hAnsi="Calibri" w:cs="Calibri"/>
                <w:lang w:val="en-US"/>
              </w:rPr>
            </w:pPr>
            <w:r w:rsidRPr="00A9366F">
              <w:rPr>
                <w:rFonts w:ascii="Calibri" w:hAnsi="Calibri" w:cs="Calibri"/>
                <w:lang w:val="en-US"/>
              </w:rPr>
              <w:t xml:space="preserve">International postal transfers </w:t>
            </w:r>
          </w:p>
        </w:tc>
        <w:tc>
          <w:tcPr>
            <w:tcW w:w="2015" w:type="dxa"/>
            <w:gridSpan w:val="2"/>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0,1</w:t>
            </w:r>
          </w:p>
        </w:tc>
        <w:tc>
          <w:tcPr>
            <w:tcW w:w="1409"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0,01%</w:t>
            </w:r>
          </w:p>
        </w:tc>
        <w:tc>
          <w:tcPr>
            <w:tcW w:w="1478" w:type="dxa"/>
            <w:noWrap/>
            <w:vAlign w:val="center"/>
          </w:tcPr>
          <w:p w:rsidR="00346487" w:rsidRPr="00A9366F" w:rsidRDefault="00346487" w:rsidP="00346487">
            <w:pPr>
              <w:jc w:val="center"/>
              <w:rPr>
                <w:rFonts w:ascii="Calibri" w:hAnsi="Calibri" w:cs="Calibri"/>
                <w:lang w:val="en-US"/>
              </w:rPr>
            </w:pPr>
            <w:r w:rsidRPr="00A9366F">
              <w:rPr>
                <w:rFonts w:ascii="Calibri" w:hAnsi="Calibri" w:cs="Calibri"/>
                <w:lang w:val="en-US"/>
              </w:rPr>
              <w:t>7,1</w:t>
            </w:r>
          </w:p>
        </w:tc>
        <w:tc>
          <w:tcPr>
            <w:tcW w:w="1578" w:type="dxa"/>
            <w:noWrap/>
            <w:vAlign w:val="center"/>
          </w:tcPr>
          <w:p w:rsidR="00346487" w:rsidRPr="00A9366F" w:rsidRDefault="00346487" w:rsidP="00346487">
            <w:pPr>
              <w:jc w:val="center"/>
              <w:rPr>
                <w:rFonts w:ascii="Calibri" w:hAnsi="Calibri" w:cs="Calibri"/>
                <w:i/>
                <w:lang w:val="en-US"/>
              </w:rPr>
            </w:pPr>
            <w:r w:rsidRPr="00A9366F">
              <w:rPr>
                <w:rFonts w:ascii="Calibri" w:hAnsi="Calibri" w:cs="Calibri"/>
                <w:i/>
                <w:lang w:val="en-US"/>
              </w:rPr>
              <w:t>0,003%</w:t>
            </w:r>
          </w:p>
        </w:tc>
      </w:tr>
      <w:tr w:rsidR="00346487" w:rsidRPr="00A9366F" w:rsidTr="002E5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0" w:type="dxa"/>
          <w:trHeight w:val="255"/>
        </w:trPr>
        <w:tc>
          <w:tcPr>
            <w:tcW w:w="3168" w:type="dxa"/>
            <w:shd w:val="clear" w:color="auto" w:fill="9BBB59"/>
            <w:noWrap/>
            <w:vAlign w:val="center"/>
          </w:tcPr>
          <w:p w:rsidR="00346487" w:rsidRPr="00A9366F" w:rsidRDefault="00346487" w:rsidP="00346487">
            <w:pPr>
              <w:rPr>
                <w:rFonts w:ascii="Calibri" w:hAnsi="Calibri" w:cs="Calibri"/>
                <w:b/>
                <w:bCs/>
                <w:color w:val="000000"/>
                <w:lang w:val="en-US"/>
              </w:rPr>
            </w:pPr>
            <w:r w:rsidRPr="00A9366F">
              <w:rPr>
                <w:rFonts w:ascii="Calibri" w:hAnsi="Calibri" w:cs="Calibri"/>
                <w:b/>
                <w:bCs/>
                <w:color w:val="000000"/>
                <w:lang w:val="en-US"/>
              </w:rPr>
              <w:t>Total</w:t>
            </w:r>
          </w:p>
        </w:tc>
        <w:tc>
          <w:tcPr>
            <w:tcW w:w="2015" w:type="dxa"/>
            <w:gridSpan w:val="2"/>
            <w:shd w:val="clear" w:color="auto" w:fill="9BBB59"/>
            <w:noWrap/>
            <w:vAlign w:val="center"/>
          </w:tcPr>
          <w:p w:rsidR="00346487" w:rsidRPr="00A9366F" w:rsidRDefault="00346487" w:rsidP="00346487">
            <w:pPr>
              <w:jc w:val="center"/>
              <w:rPr>
                <w:rFonts w:ascii="Calibri" w:hAnsi="Calibri" w:cs="Calibri"/>
                <w:b/>
                <w:lang w:val="en-US"/>
              </w:rPr>
            </w:pPr>
            <w:r w:rsidRPr="00A9366F">
              <w:rPr>
                <w:rFonts w:ascii="Calibri" w:hAnsi="Calibri" w:cs="Calibri"/>
                <w:b/>
                <w:lang w:val="en-US"/>
              </w:rPr>
              <w:t>1 203,8</w:t>
            </w:r>
          </w:p>
        </w:tc>
        <w:tc>
          <w:tcPr>
            <w:tcW w:w="1409" w:type="dxa"/>
            <w:shd w:val="clear" w:color="auto" w:fill="9BBB59"/>
            <w:noWrap/>
            <w:vAlign w:val="center"/>
          </w:tcPr>
          <w:p w:rsidR="00346487" w:rsidRPr="00A9366F" w:rsidRDefault="00346487" w:rsidP="00346487">
            <w:pPr>
              <w:jc w:val="center"/>
              <w:rPr>
                <w:rFonts w:ascii="Calibri" w:hAnsi="Calibri" w:cs="Calibri"/>
                <w:b/>
                <w:i/>
                <w:lang w:val="en-US"/>
              </w:rPr>
            </w:pPr>
            <w:r w:rsidRPr="00A9366F">
              <w:rPr>
                <w:rFonts w:ascii="Calibri" w:hAnsi="Calibri" w:cs="Calibri"/>
                <w:b/>
                <w:i/>
                <w:lang w:val="en-US"/>
              </w:rPr>
              <w:t>100,0%</w:t>
            </w:r>
          </w:p>
        </w:tc>
        <w:tc>
          <w:tcPr>
            <w:tcW w:w="1478" w:type="dxa"/>
            <w:shd w:val="clear" w:color="auto" w:fill="9BBB59"/>
            <w:noWrap/>
            <w:vAlign w:val="center"/>
          </w:tcPr>
          <w:p w:rsidR="00346487" w:rsidRPr="00A9366F" w:rsidRDefault="00346487" w:rsidP="00346487">
            <w:pPr>
              <w:jc w:val="center"/>
              <w:rPr>
                <w:rFonts w:ascii="Calibri" w:hAnsi="Calibri" w:cs="Calibri"/>
                <w:b/>
                <w:lang w:val="en-US"/>
              </w:rPr>
            </w:pPr>
            <w:r w:rsidRPr="00A9366F">
              <w:rPr>
                <w:rFonts w:ascii="Calibri" w:hAnsi="Calibri" w:cs="Calibri"/>
                <w:b/>
                <w:lang w:val="en-US"/>
              </w:rPr>
              <w:t>248 516,9</w:t>
            </w:r>
          </w:p>
        </w:tc>
        <w:tc>
          <w:tcPr>
            <w:tcW w:w="1578" w:type="dxa"/>
            <w:shd w:val="clear" w:color="auto" w:fill="9BBB59"/>
            <w:noWrap/>
            <w:vAlign w:val="center"/>
          </w:tcPr>
          <w:p w:rsidR="00346487" w:rsidRPr="00A9366F" w:rsidRDefault="00346487" w:rsidP="00346487">
            <w:pPr>
              <w:jc w:val="center"/>
              <w:rPr>
                <w:rFonts w:ascii="Calibri" w:hAnsi="Calibri" w:cs="Calibri"/>
                <w:b/>
                <w:i/>
                <w:lang w:val="en-US"/>
              </w:rPr>
            </w:pPr>
            <w:r w:rsidRPr="00A9366F">
              <w:rPr>
                <w:rFonts w:ascii="Calibri" w:hAnsi="Calibri" w:cs="Calibri"/>
                <w:b/>
                <w:i/>
                <w:lang w:val="en-US"/>
              </w:rPr>
              <w:t>100,0%</w:t>
            </w:r>
          </w:p>
        </w:tc>
      </w:tr>
    </w:tbl>
    <w:p w:rsidR="009A3629" w:rsidRPr="00A9366F" w:rsidRDefault="009A3629" w:rsidP="00DD08FE">
      <w:pPr>
        <w:ind w:firstLine="709"/>
        <w:jc w:val="both"/>
        <w:rPr>
          <w:rFonts w:ascii="Calibri" w:hAnsi="Calibri" w:cs="Calibri"/>
          <w:sz w:val="30"/>
          <w:szCs w:val="30"/>
          <w:lang w:val="en-US"/>
        </w:rPr>
      </w:pPr>
      <w:r w:rsidRPr="00A9366F">
        <w:rPr>
          <w:rFonts w:ascii="Calibri" w:hAnsi="Calibri" w:cs="Calibri"/>
          <w:sz w:val="30"/>
          <w:szCs w:val="30"/>
          <w:lang w:val="en-US"/>
        </w:rPr>
        <w:t xml:space="preserve">The main flows of money transfers through the money transfer systems were directed to the Russian Federation, Republic of Kazakhstan, </w:t>
      </w:r>
      <w:proofErr w:type="gramStart"/>
      <w:r w:rsidRPr="00A9366F">
        <w:rPr>
          <w:rFonts w:ascii="Calibri" w:hAnsi="Calibri" w:cs="Calibri"/>
          <w:sz w:val="30"/>
          <w:szCs w:val="30"/>
          <w:lang w:val="en-US"/>
        </w:rPr>
        <w:t>People’s</w:t>
      </w:r>
      <w:proofErr w:type="gramEnd"/>
      <w:r w:rsidRPr="00A9366F">
        <w:rPr>
          <w:rFonts w:ascii="Calibri" w:hAnsi="Calibri" w:cs="Calibri"/>
          <w:sz w:val="30"/>
          <w:szCs w:val="30"/>
          <w:lang w:val="en-US"/>
        </w:rPr>
        <w:t xml:space="preserve"> Republic of China, Kyrgyz Republic and Republic of Turkey. </w:t>
      </w:r>
    </w:p>
    <w:p w:rsidR="00DD08FE" w:rsidRPr="00A9366F" w:rsidRDefault="009A3629" w:rsidP="0073388E">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Money transfer destination countries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620"/>
        <w:gridCol w:w="1440"/>
        <w:gridCol w:w="1620"/>
        <w:gridCol w:w="1620"/>
      </w:tblGrid>
      <w:tr w:rsidR="009A3629" w:rsidRPr="00EA720F" w:rsidTr="002E5C2F">
        <w:trPr>
          <w:trHeight w:val="255"/>
        </w:trPr>
        <w:tc>
          <w:tcPr>
            <w:tcW w:w="3348"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Country</w:t>
            </w:r>
          </w:p>
        </w:tc>
        <w:tc>
          <w:tcPr>
            <w:tcW w:w="1620"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Number</w:t>
            </w:r>
          </w:p>
          <w:p w:rsidR="009A3629" w:rsidRPr="00A9366F" w:rsidRDefault="009A3629" w:rsidP="009A3629">
            <w:pPr>
              <w:jc w:val="center"/>
              <w:rPr>
                <w:rFonts w:ascii="Calibri" w:hAnsi="Calibri" w:cs="Calibri"/>
                <w:b/>
                <w:lang w:val="en-US"/>
              </w:rPr>
            </w:pPr>
            <w:r w:rsidRPr="00A9366F">
              <w:rPr>
                <w:rFonts w:ascii="Calibri" w:hAnsi="Calibri" w:cs="Calibri"/>
                <w:b/>
                <w:lang w:val="en-US"/>
              </w:rPr>
              <w:t>(thousand transactions)</w:t>
            </w:r>
          </w:p>
        </w:tc>
        <w:tc>
          <w:tcPr>
            <w:tcW w:w="1440" w:type="dxa"/>
            <w:shd w:val="clear" w:color="auto" w:fill="9BBB59"/>
            <w:noWrap/>
            <w:vAlign w:val="center"/>
          </w:tcPr>
          <w:p w:rsidR="009A3629" w:rsidRPr="00A9366F" w:rsidRDefault="009A3629" w:rsidP="009A3629">
            <w:pPr>
              <w:jc w:val="center"/>
              <w:rPr>
                <w:rFonts w:ascii="Calibri" w:hAnsi="Calibri" w:cs="Calibri"/>
                <w:b/>
                <w:i/>
                <w:lang w:val="en-US"/>
              </w:rPr>
            </w:pPr>
            <w:r w:rsidRPr="00A9366F">
              <w:rPr>
                <w:rFonts w:ascii="Calibri" w:hAnsi="Calibri" w:cs="Calibri"/>
                <w:b/>
                <w:i/>
                <w:lang w:val="en-US"/>
              </w:rPr>
              <w:t>Proportion of total number,</w:t>
            </w:r>
            <w:r w:rsidRPr="00A9366F">
              <w:rPr>
                <w:rFonts w:ascii="Calibri" w:hAnsi="Calibri" w:cs="Calibri"/>
                <w:b/>
                <w:i/>
                <w:lang w:val="en-US"/>
              </w:rPr>
              <w:br/>
              <w:t>in %</w:t>
            </w:r>
          </w:p>
        </w:tc>
        <w:tc>
          <w:tcPr>
            <w:tcW w:w="1620"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Amount</w:t>
            </w:r>
          </w:p>
          <w:p w:rsidR="009A3629" w:rsidRPr="00A9366F" w:rsidRDefault="009A3629" w:rsidP="009A3629">
            <w:pPr>
              <w:jc w:val="center"/>
              <w:rPr>
                <w:rFonts w:ascii="Calibri" w:hAnsi="Calibri" w:cs="Calibri"/>
                <w:b/>
                <w:lang w:val="en-US"/>
              </w:rPr>
            </w:pPr>
            <w:r w:rsidRPr="00A9366F">
              <w:rPr>
                <w:rFonts w:ascii="Calibri" w:hAnsi="Calibri" w:cs="Calibri"/>
                <w:b/>
                <w:lang w:val="en-US"/>
              </w:rPr>
              <w:t>(KZT million)</w:t>
            </w:r>
          </w:p>
        </w:tc>
        <w:tc>
          <w:tcPr>
            <w:tcW w:w="1620" w:type="dxa"/>
            <w:shd w:val="clear" w:color="auto" w:fill="9BBB59"/>
            <w:noWrap/>
            <w:vAlign w:val="center"/>
          </w:tcPr>
          <w:p w:rsidR="009A3629" w:rsidRPr="00A9366F" w:rsidRDefault="009A3629" w:rsidP="009A3629">
            <w:pPr>
              <w:jc w:val="center"/>
              <w:rPr>
                <w:rFonts w:ascii="Calibri" w:hAnsi="Calibri" w:cs="Calibri"/>
                <w:b/>
                <w:i/>
                <w:lang w:val="en-US"/>
              </w:rPr>
            </w:pPr>
            <w:r w:rsidRPr="00A9366F">
              <w:rPr>
                <w:rFonts w:ascii="Calibri" w:hAnsi="Calibri" w:cs="Calibri"/>
                <w:b/>
                <w:i/>
                <w:lang w:val="en-US"/>
              </w:rPr>
              <w:t>Proportion of total amount,</w:t>
            </w:r>
            <w:r w:rsidRPr="00A9366F">
              <w:rPr>
                <w:rFonts w:ascii="Calibri" w:hAnsi="Calibri" w:cs="Calibri"/>
                <w:b/>
                <w:i/>
                <w:lang w:val="en-US"/>
              </w:rPr>
              <w:br/>
              <w:t>in %</w:t>
            </w:r>
          </w:p>
        </w:tc>
      </w:tr>
      <w:tr w:rsidR="00DD08FE" w:rsidRPr="00A9366F" w:rsidTr="002E5C2F">
        <w:trPr>
          <w:trHeight w:val="171"/>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Russian Federation</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1 058,5</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49,5%</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162 235,7</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42,5%</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Uzbekistan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426,4</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20,0%</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64 367,7</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16,8%</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China</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35,3</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1,7%</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29 408,1</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7,7%</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Kyrgyzstan</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149,1</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7,0%</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23 654,9</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6,2%</w:t>
            </w:r>
          </w:p>
        </w:tc>
      </w:tr>
      <w:tr w:rsidR="00DD08FE" w:rsidRPr="00A9366F" w:rsidTr="002E5C2F">
        <w:trPr>
          <w:trHeight w:val="255"/>
        </w:trPr>
        <w:tc>
          <w:tcPr>
            <w:tcW w:w="3348" w:type="dxa"/>
            <w:noWrap/>
            <w:vAlign w:val="bottom"/>
          </w:tcPr>
          <w:p w:rsidR="00DD08FE" w:rsidRPr="00A9366F" w:rsidRDefault="009A3629" w:rsidP="009A3629">
            <w:pPr>
              <w:rPr>
                <w:rFonts w:ascii="Calibri" w:hAnsi="Calibri" w:cs="Calibri"/>
                <w:lang w:val="en-US"/>
              </w:rPr>
            </w:pPr>
            <w:r w:rsidRPr="00A9366F">
              <w:rPr>
                <w:rFonts w:ascii="Calibri" w:hAnsi="Calibri" w:cs="Calibri"/>
                <w:lang w:val="en-US"/>
              </w:rPr>
              <w:t>Turkey</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50,2</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2,4%</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20 141,4</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5,3%</w:t>
            </w:r>
          </w:p>
        </w:tc>
      </w:tr>
      <w:tr w:rsidR="00DD08FE" w:rsidRPr="00A9366F" w:rsidTr="002E5C2F">
        <w:trPr>
          <w:trHeight w:val="255"/>
        </w:trPr>
        <w:tc>
          <w:tcPr>
            <w:tcW w:w="3348" w:type="dxa"/>
            <w:noWrap/>
            <w:vAlign w:val="bottom"/>
          </w:tcPr>
          <w:p w:rsidR="00DD08FE" w:rsidRPr="00A9366F" w:rsidRDefault="009A3629" w:rsidP="009A3629">
            <w:pPr>
              <w:rPr>
                <w:rFonts w:ascii="Calibri" w:hAnsi="Calibri" w:cs="Calibri"/>
                <w:lang w:val="en-US"/>
              </w:rPr>
            </w:pPr>
            <w:r w:rsidRPr="00A9366F">
              <w:rPr>
                <w:rFonts w:ascii="Calibri" w:hAnsi="Calibri" w:cs="Calibri"/>
                <w:lang w:val="en-US"/>
              </w:rPr>
              <w:t xml:space="preserve">Ukraine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68,0</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3,2%</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12 411,1</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3,2%</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Azerbaijan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33,8</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1,6%</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7 319,8</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1,9%</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Tajikistan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62,8</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2,9%</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6 985,3</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1,8%</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Armenia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12,3</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0,6%</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3 857,1</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1,0%</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Georgia</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16,8</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0,8%</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3 232,2</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0,8%</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United Arab Emirates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4,7</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0,2%</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2 905,9</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0,8%</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United States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6,0</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0,3%</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2 066,2</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0,5%</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Belarus</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14,5</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0,7%</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2 025,8</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0,5%</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Other </w:t>
            </w:r>
          </w:p>
        </w:tc>
        <w:tc>
          <w:tcPr>
            <w:tcW w:w="1620" w:type="dxa"/>
            <w:noWrap/>
            <w:vAlign w:val="center"/>
          </w:tcPr>
          <w:p w:rsidR="00DD08FE" w:rsidRPr="00A9366F" w:rsidRDefault="00DD08FE" w:rsidP="009E09D9">
            <w:pPr>
              <w:jc w:val="center"/>
              <w:rPr>
                <w:rFonts w:ascii="Calibri" w:hAnsi="Calibri" w:cs="Calibri"/>
                <w:lang w:val="en-US"/>
              </w:rPr>
            </w:pPr>
            <w:r w:rsidRPr="00A9366F">
              <w:rPr>
                <w:rFonts w:ascii="Arial" w:hAnsi="Arial" w:cs="Arial"/>
                <w:sz w:val="20"/>
                <w:lang w:val="en-US"/>
              </w:rPr>
              <w:t>198,6</w:t>
            </w:r>
          </w:p>
        </w:tc>
        <w:tc>
          <w:tcPr>
            <w:tcW w:w="1440"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9,3%</w:t>
            </w:r>
          </w:p>
        </w:tc>
        <w:tc>
          <w:tcPr>
            <w:tcW w:w="1620" w:type="dxa"/>
            <w:noWrap/>
            <w:vAlign w:val="center"/>
          </w:tcPr>
          <w:p w:rsidR="00DD08FE" w:rsidRPr="00A9366F" w:rsidRDefault="00DD08FE" w:rsidP="009E09D9">
            <w:pPr>
              <w:jc w:val="center"/>
              <w:rPr>
                <w:rFonts w:ascii="Arial" w:hAnsi="Arial" w:cs="Arial"/>
                <w:sz w:val="20"/>
                <w:lang w:val="en-US"/>
              </w:rPr>
            </w:pPr>
            <w:r w:rsidRPr="00A9366F">
              <w:rPr>
                <w:rFonts w:ascii="Arial" w:hAnsi="Arial" w:cs="Arial"/>
                <w:sz w:val="20"/>
                <w:lang w:val="en-US"/>
              </w:rPr>
              <w:t>41 561,8</w:t>
            </w:r>
          </w:p>
        </w:tc>
        <w:tc>
          <w:tcPr>
            <w:tcW w:w="1620"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10,9%</w:t>
            </w:r>
          </w:p>
        </w:tc>
      </w:tr>
      <w:tr w:rsidR="00DD08FE" w:rsidRPr="00A9366F" w:rsidTr="002E5C2F">
        <w:trPr>
          <w:trHeight w:val="255"/>
        </w:trPr>
        <w:tc>
          <w:tcPr>
            <w:tcW w:w="3348" w:type="dxa"/>
            <w:shd w:val="clear" w:color="auto" w:fill="9BBB59"/>
            <w:noWrap/>
            <w:vAlign w:val="center"/>
          </w:tcPr>
          <w:p w:rsidR="00DD08FE" w:rsidRPr="00A9366F" w:rsidRDefault="009A3629" w:rsidP="009E09D9">
            <w:pPr>
              <w:rPr>
                <w:rFonts w:ascii="Calibri" w:hAnsi="Calibri" w:cs="Calibri"/>
                <w:b/>
                <w:lang w:val="en-US"/>
              </w:rPr>
            </w:pPr>
            <w:r w:rsidRPr="00A9366F">
              <w:rPr>
                <w:rFonts w:ascii="Calibri" w:hAnsi="Calibri" w:cs="Calibri"/>
                <w:b/>
                <w:lang w:val="en-US"/>
              </w:rPr>
              <w:t>Total</w:t>
            </w:r>
          </w:p>
        </w:tc>
        <w:tc>
          <w:tcPr>
            <w:tcW w:w="1620"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2 136,8</w:t>
            </w:r>
          </w:p>
        </w:tc>
        <w:tc>
          <w:tcPr>
            <w:tcW w:w="1440"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c>
          <w:tcPr>
            <w:tcW w:w="1620"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382 173,1</w:t>
            </w:r>
          </w:p>
        </w:tc>
        <w:tc>
          <w:tcPr>
            <w:tcW w:w="1620"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r>
    </w:tbl>
    <w:p w:rsidR="000B33C3" w:rsidRPr="00A9366F" w:rsidRDefault="009A3629" w:rsidP="00DD08FE">
      <w:pPr>
        <w:ind w:firstLine="709"/>
        <w:jc w:val="both"/>
        <w:rPr>
          <w:rFonts w:ascii="Calibri" w:hAnsi="Calibri" w:cs="Calibri"/>
          <w:sz w:val="30"/>
          <w:szCs w:val="30"/>
          <w:lang w:val="en-US"/>
        </w:rPr>
      </w:pPr>
      <w:r w:rsidRPr="00A9366F">
        <w:rPr>
          <w:rFonts w:ascii="Calibri" w:hAnsi="Calibri" w:cs="Calibri"/>
          <w:sz w:val="30"/>
          <w:szCs w:val="30"/>
          <w:lang w:val="en-US"/>
        </w:rPr>
        <w:t>The main source of money transfers to Kazakhstan is the Russian Federation</w:t>
      </w:r>
      <w:r w:rsidR="00DD08FE" w:rsidRPr="00A9366F">
        <w:rPr>
          <w:rFonts w:ascii="Calibri" w:hAnsi="Calibri" w:cs="Calibri"/>
          <w:sz w:val="30"/>
          <w:szCs w:val="30"/>
          <w:lang w:val="en-US"/>
        </w:rPr>
        <w:t>.</w:t>
      </w:r>
    </w:p>
    <w:p w:rsidR="00DD08FE" w:rsidRPr="00A9366F" w:rsidRDefault="009A3629" w:rsidP="0073388E">
      <w:pPr>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Money transfer originating countries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620"/>
        <w:gridCol w:w="1440"/>
        <w:gridCol w:w="1620"/>
        <w:gridCol w:w="1620"/>
      </w:tblGrid>
      <w:tr w:rsidR="009A3629" w:rsidRPr="00EA720F" w:rsidTr="002E5C2F">
        <w:trPr>
          <w:trHeight w:val="255"/>
        </w:trPr>
        <w:tc>
          <w:tcPr>
            <w:tcW w:w="3348"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Country</w:t>
            </w:r>
          </w:p>
        </w:tc>
        <w:tc>
          <w:tcPr>
            <w:tcW w:w="1620"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Number</w:t>
            </w:r>
          </w:p>
          <w:p w:rsidR="009A3629" w:rsidRPr="00A9366F" w:rsidRDefault="009A3629" w:rsidP="009A3629">
            <w:pPr>
              <w:jc w:val="center"/>
              <w:rPr>
                <w:rFonts w:ascii="Calibri" w:hAnsi="Calibri" w:cs="Calibri"/>
                <w:b/>
                <w:lang w:val="en-US"/>
              </w:rPr>
            </w:pPr>
            <w:r w:rsidRPr="00A9366F">
              <w:rPr>
                <w:rFonts w:ascii="Calibri" w:hAnsi="Calibri" w:cs="Calibri"/>
                <w:b/>
                <w:lang w:val="en-US"/>
              </w:rPr>
              <w:t>(thousand transactions)</w:t>
            </w:r>
          </w:p>
        </w:tc>
        <w:tc>
          <w:tcPr>
            <w:tcW w:w="1440" w:type="dxa"/>
            <w:shd w:val="clear" w:color="auto" w:fill="9BBB59"/>
            <w:noWrap/>
            <w:vAlign w:val="center"/>
          </w:tcPr>
          <w:p w:rsidR="009A3629" w:rsidRPr="00A9366F" w:rsidRDefault="009A3629" w:rsidP="009A3629">
            <w:pPr>
              <w:jc w:val="center"/>
              <w:rPr>
                <w:rFonts w:ascii="Calibri" w:hAnsi="Calibri" w:cs="Calibri"/>
                <w:b/>
                <w:i/>
                <w:lang w:val="en-US"/>
              </w:rPr>
            </w:pPr>
            <w:r w:rsidRPr="00A9366F">
              <w:rPr>
                <w:rFonts w:ascii="Calibri" w:hAnsi="Calibri" w:cs="Calibri"/>
                <w:b/>
                <w:i/>
                <w:lang w:val="en-US"/>
              </w:rPr>
              <w:t>Proportion of total number,</w:t>
            </w:r>
            <w:r w:rsidRPr="00A9366F">
              <w:rPr>
                <w:rFonts w:ascii="Calibri" w:hAnsi="Calibri" w:cs="Calibri"/>
                <w:b/>
                <w:i/>
                <w:lang w:val="en-US"/>
              </w:rPr>
              <w:br/>
              <w:t>in %</w:t>
            </w:r>
          </w:p>
        </w:tc>
        <w:tc>
          <w:tcPr>
            <w:tcW w:w="1620" w:type="dxa"/>
            <w:shd w:val="clear" w:color="auto" w:fill="9BBB59"/>
            <w:noWrap/>
            <w:vAlign w:val="center"/>
          </w:tcPr>
          <w:p w:rsidR="009A3629" w:rsidRPr="00A9366F" w:rsidRDefault="009A3629" w:rsidP="009A3629">
            <w:pPr>
              <w:jc w:val="center"/>
              <w:rPr>
                <w:rFonts w:ascii="Calibri" w:hAnsi="Calibri" w:cs="Calibri"/>
                <w:b/>
                <w:lang w:val="en-US"/>
              </w:rPr>
            </w:pPr>
            <w:r w:rsidRPr="00A9366F">
              <w:rPr>
                <w:rFonts w:ascii="Calibri" w:hAnsi="Calibri" w:cs="Calibri"/>
                <w:b/>
                <w:lang w:val="en-US"/>
              </w:rPr>
              <w:t>Amount</w:t>
            </w:r>
          </w:p>
          <w:p w:rsidR="009A3629" w:rsidRPr="00A9366F" w:rsidRDefault="009A3629" w:rsidP="009A3629">
            <w:pPr>
              <w:jc w:val="center"/>
              <w:rPr>
                <w:rFonts w:ascii="Calibri" w:hAnsi="Calibri" w:cs="Calibri"/>
                <w:b/>
                <w:lang w:val="en-US"/>
              </w:rPr>
            </w:pPr>
            <w:r w:rsidRPr="00A9366F">
              <w:rPr>
                <w:rFonts w:ascii="Calibri" w:hAnsi="Calibri" w:cs="Calibri"/>
                <w:b/>
                <w:lang w:val="en-US"/>
              </w:rPr>
              <w:t>(KZT million)</w:t>
            </w:r>
          </w:p>
        </w:tc>
        <w:tc>
          <w:tcPr>
            <w:tcW w:w="1620" w:type="dxa"/>
            <w:shd w:val="clear" w:color="auto" w:fill="9BBB59"/>
            <w:noWrap/>
            <w:vAlign w:val="center"/>
          </w:tcPr>
          <w:p w:rsidR="009A3629" w:rsidRPr="00A9366F" w:rsidRDefault="009A3629" w:rsidP="009A3629">
            <w:pPr>
              <w:jc w:val="center"/>
              <w:rPr>
                <w:rFonts w:ascii="Calibri" w:hAnsi="Calibri" w:cs="Calibri"/>
                <w:b/>
                <w:i/>
                <w:lang w:val="en-US"/>
              </w:rPr>
            </w:pPr>
            <w:r w:rsidRPr="00A9366F">
              <w:rPr>
                <w:rFonts w:ascii="Calibri" w:hAnsi="Calibri" w:cs="Calibri"/>
                <w:b/>
                <w:i/>
                <w:lang w:val="en-US"/>
              </w:rPr>
              <w:t>Proportion of total amount,</w:t>
            </w:r>
            <w:r w:rsidRPr="00A9366F">
              <w:rPr>
                <w:rFonts w:ascii="Calibri" w:hAnsi="Calibri" w:cs="Calibri"/>
                <w:b/>
                <w:i/>
                <w:lang w:val="en-US"/>
              </w:rPr>
              <w:br/>
              <w:t>in %</w:t>
            </w:r>
          </w:p>
        </w:tc>
      </w:tr>
      <w:tr w:rsidR="00DD08FE" w:rsidRPr="00A9366F" w:rsidTr="002E5C2F">
        <w:trPr>
          <w:trHeight w:val="171"/>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Russian Federation</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701,4</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58,3%</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135 867,1</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54,7%</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Kyrgyzstan</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33,0</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2,7%</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16 255,0</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6,5%</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Uzbekistan</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31,6</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2,6%</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11 518,7</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4,6%</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Republic of Korea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30,1</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2,5%</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10 279,8</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4,1%</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Germany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85,7</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7,1%</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8 430,1</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3,4%</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United States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53,6</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4,5%</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8 363,6</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3,4%</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Turkey </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30,3</w:t>
            </w:r>
          </w:p>
        </w:tc>
        <w:tc>
          <w:tcPr>
            <w:tcW w:w="144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2,5%</w:t>
            </w:r>
          </w:p>
        </w:tc>
        <w:tc>
          <w:tcPr>
            <w:tcW w:w="1620" w:type="dxa"/>
            <w:noWrap/>
            <w:vAlign w:val="bottom"/>
          </w:tcPr>
          <w:p w:rsidR="00DD08FE" w:rsidRPr="00A9366F" w:rsidRDefault="00DD08FE" w:rsidP="009E09D9">
            <w:pPr>
              <w:jc w:val="center"/>
              <w:rPr>
                <w:rFonts w:ascii="Calibri" w:hAnsi="Calibri" w:cs="Calibri"/>
                <w:lang w:val="en-US"/>
              </w:rPr>
            </w:pPr>
            <w:r w:rsidRPr="00A9366F">
              <w:rPr>
                <w:rFonts w:ascii="Calibri" w:hAnsi="Calibri" w:cs="Calibri"/>
                <w:lang w:val="en-US"/>
              </w:rPr>
              <w:t>4 974,8</w:t>
            </w:r>
          </w:p>
        </w:tc>
        <w:tc>
          <w:tcPr>
            <w:tcW w:w="1620" w:type="dxa"/>
            <w:noWrap/>
            <w:vAlign w:val="bottom"/>
          </w:tcPr>
          <w:p w:rsidR="00DD08FE" w:rsidRPr="00A9366F" w:rsidRDefault="00DD08FE" w:rsidP="009E09D9">
            <w:pPr>
              <w:jc w:val="center"/>
              <w:rPr>
                <w:rFonts w:ascii="Calibri" w:hAnsi="Calibri" w:cs="Calibri"/>
                <w:i/>
                <w:lang w:val="en-US"/>
              </w:rPr>
            </w:pPr>
            <w:r w:rsidRPr="00A9366F">
              <w:rPr>
                <w:rFonts w:ascii="Calibri" w:hAnsi="Calibri" w:cs="Calibri"/>
                <w:i/>
                <w:lang w:val="en-US"/>
              </w:rPr>
              <w:t>2,0%</w:t>
            </w:r>
          </w:p>
        </w:tc>
      </w:tr>
      <w:tr w:rsidR="00DD08FE" w:rsidRPr="00A9366F" w:rsidTr="002E5C2F">
        <w:trPr>
          <w:trHeight w:val="255"/>
        </w:trPr>
        <w:tc>
          <w:tcPr>
            <w:tcW w:w="3348" w:type="dxa"/>
            <w:noWrap/>
            <w:vAlign w:val="bottom"/>
          </w:tcPr>
          <w:p w:rsidR="00DD08FE" w:rsidRPr="00A9366F" w:rsidRDefault="009A3629" w:rsidP="009E09D9">
            <w:pPr>
              <w:rPr>
                <w:rFonts w:ascii="Calibri" w:hAnsi="Calibri" w:cs="Calibri"/>
                <w:lang w:val="en-US"/>
              </w:rPr>
            </w:pPr>
            <w:r w:rsidRPr="00A9366F">
              <w:rPr>
                <w:rFonts w:ascii="Calibri" w:hAnsi="Calibri" w:cs="Calibri"/>
                <w:lang w:val="en-US"/>
              </w:rPr>
              <w:t xml:space="preserve">Other </w:t>
            </w:r>
          </w:p>
        </w:tc>
        <w:tc>
          <w:tcPr>
            <w:tcW w:w="1620"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238,3</w:t>
            </w:r>
          </w:p>
        </w:tc>
        <w:tc>
          <w:tcPr>
            <w:tcW w:w="1440"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19,8%</w:t>
            </w:r>
          </w:p>
        </w:tc>
        <w:tc>
          <w:tcPr>
            <w:tcW w:w="1620" w:type="dxa"/>
            <w:noWrap/>
            <w:vAlign w:val="center"/>
          </w:tcPr>
          <w:p w:rsidR="00DD08FE" w:rsidRPr="00A9366F" w:rsidRDefault="00DD08FE" w:rsidP="009E09D9">
            <w:pPr>
              <w:jc w:val="center"/>
              <w:rPr>
                <w:rFonts w:ascii="Calibri" w:hAnsi="Calibri" w:cs="Calibri"/>
                <w:lang w:val="en-US"/>
              </w:rPr>
            </w:pPr>
            <w:r w:rsidRPr="00A9366F">
              <w:rPr>
                <w:rFonts w:ascii="Calibri" w:hAnsi="Calibri" w:cs="Calibri"/>
                <w:lang w:val="en-US"/>
              </w:rPr>
              <w:t>52 827,8</w:t>
            </w:r>
          </w:p>
        </w:tc>
        <w:tc>
          <w:tcPr>
            <w:tcW w:w="1620" w:type="dxa"/>
            <w:noWrap/>
            <w:vAlign w:val="center"/>
          </w:tcPr>
          <w:p w:rsidR="00DD08FE" w:rsidRPr="00A9366F" w:rsidRDefault="00DD08FE" w:rsidP="009E09D9">
            <w:pPr>
              <w:jc w:val="center"/>
              <w:rPr>
                <w:rFonts w:ascii="Calibri" w:hAnsi="Calibri" w:cs="Calibri"/>
                <w:i/>
                <w:lang w:val="en-US"/>
              </w:rPr>
            </w:pPr>
            <w:r w:rsidRPr="00A9366F">
              <w:rPr>
                <w:rFonts w:ascii="Calibri" w:hAnsi="Calibri" w:cs="Calibri"/>
                <w:i/>
                <w:lang w:val="en-US"/>
              </w:rPr>
              <w:t>21,3%</w:t>
            </w:r>
          </w:p>
        </w:tc>
      </w:tr>
      <w:tr w:rsidR="00DD08FE" w:rsidRPr="00A9366F" w:rsidTr="002E5C2F">
        <w:trPr>
          <w:trHeight w:val="255"/>
        </w:trPr>
        <w:tc>
          <w:tcPr>
            <w:tcW w:w="3348" w:type="dxa"/>
            <w:shd w:val="clear" w:color="auto" w:fill="9BBB59"/>
            <w:noWrap/>
            <w:vAlign w:val="center"/>
          </w:tcPr>
          <w:p w:rsidR="00DD08FE" w:rsidRPr="00A9366F" w:rsidRDefault="009A3629" w:rsidP="009E09D9">
            <w:pPr>
              <w:rPr>
                <w:rFonts w:ascii="Calibri" w:hAnsi="Calibri" w:cs="Calibri"/>
                <w:b/>
                <w:lang w:val="en-US"/>
              </w:rPr>
            </w:pPr>
            <w:r w:rsidRPr="00A9366F">
              <w:rPr>
                <w:rFonts w:ascii="Calibri" w:hAnsi="Calibri" w:cs="Calibri"/>
                <w:b/>
                <w:lang w:val="en-US"/>
              </w:rPr>
              <w:t xml:space="preserve">Total </w:t>
            </w:r>
          </w:p>
        </w:tc>
        <w:tc>
          <w:tcPr>
            <w:tcW w:w="1620"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1 203,8</w:t>
            </w:r>
          </w:p>
        </w:tc>
        <w:tc>
          <w:tcPr>
            <w:tcW w:w="1440"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c>
          <w:tcPr>
            <w:tcW w:w="1620" w:type="dxa"/>
            <w:shd w:val="clear" w:color="auto" w:fill="9BBB59"/>
            <w:noWrap/>
            <w:vAlign w:val="center"/>
          </w:tcPr>
          <w:p w:rsidR="00DD08FE" w:rsidRPr="00A9366F" w:rsidRDefault="00DD08FE" w:rsidP="009E09D9">
            <w:pPr>
              <w:jc w:val="center"/>
              <w:rPr>
                <w:rFonts w:ascii="Calibri" w:hAnsi="Calibri" w:cs="Calibri"/>
                <w:b/>
                <w:lang w:val="en-US"/>
              </w:rPr>
            </w:pPr>
            <w:r w:rsidRPr="00A9366F">
              <w:rPr>
                <w:rFonts w:ascii="Calibri" w:hAnsi="Calibri" w:cs="Calibri"/>
                <w:b/>
                <w:lang w:val="en-US"/>
              </w:rPr>
              <w:t>248 516,9</w:t>
            </w:r>
          </w:p>
        </w:tc>
        <w:tc>
          <w:tcPr>
            <w:tcW w:w="1620" w:type="dxa"/>
            <w:shd w:val="clear" w:color="auto" w:fill="9BBB59"/>
            <w:noWrap/>
            <w:vAlign w:val="center"/>
          </w:tcPr>
          <w:p w:rsidR="00DD08FE" w:rsidRPr="00A9366F" w:rsidRDefault="00DD08FE" w:rsidP="009E09D9">
            <w:pPr>
              <w:jc w:val="center"/>
              <w:rPr>
                <w:rFonts w:ascii="Calibri" w:hAnsi="Calibri" w:cs="Calibri"/>
                <w:b/>
                <w:i/>
                <w:lang w:val="en-US"/>
              </w:rPr>
            </w:pPr>
            <w:r w:rsidRPr="00A9366F">
              <w:rPr>
                <w:rFonts w:ascii="Calibri" w:hAnsi="Calibri" w:cs="Calibri"/>
                <w:b/>
                <w:i/>
                <w:lang w:val="en-US"/>
              </w:rPr>
              <w:t>100,0%</w:t>
            </w:r>
          </w:p>
        </w:tc>
      </w:tr>
    </w:tbl>
    <w:p w:rsidR="00C77E3B" w:rsidRPr="00A9366F" w:rsidRDefault="00C77E3B" w:rsidP="000B33C3">
      <w:pPr>
        <w:pStyle w:val="1"/>
        <w:spacing w:before="0" w:after="0"/>
        <w:jc w:val="center"/>
        <w:rPr>
          <w:rFonts w:ascii="Calibri" w:hAnsi="Calibri"/>
          <w:bCs w:val="0"/>
          <w:snapToGrid w:val="0"/>
          <w:color w:val="0E4C28"/>
          <w:spacing w:val="-2"/>
          <w:kern w:val="0"/>
          <w:sz w:val="20"/>
          <w:szCs w:val="36"/>
          <w:lang w:val="en-US"/>
        </w:rPr>
      </w:pPr>
    </w:p>
    <w:bookmarkStart w:id="81" w:name="_Toc480825670"/>
    <w:bookmarkStart w:id="82" w:name="_Toc481139510"/>
    <w:p w:rsidR="00C77E3B" w:rsidRPr="00A9366F" w:rsidRDefault="00FB60A9" w:rsidP="002E5C2F">
      <w:pPr>
        <w:widowControl w:val="0"/>
        <w:autoSpaceDE w:val="0"/>
        <w:autoSpaceDN w:val="0"/>
        <w:adjustRightInd w:val="0"/>
        <w:jc w:val="both"/>
        <w:rPr>
          <w:rFonts w:ascii="Calibri" w:hAnsi="Calibri" w:cs="Arial"/>
          <w:spacing w:val="-4"/>
          <w:sz w:val="30"/>
          <w:szCs w:val="30"/>
          <w:lang w:val="en-US"/>
        </w:rPr>
      </w:pPr>
      <w:r w:rsidRPr="00A9366F">
        <w:rPr>
          <w:rFonts w:ascii="Calibri" w:hAnsi="Calibri"/>
          <w:bCs/>
          <w:noProof/>
          <w:color w:val="0E4C28"/>
          <w:spacing w:val="-2"/>
          <w:sz w:val="36"/>
          <w:szCs w:val="36"/>
        </w:rPr>
        <mc:AlternateContent>
          <mc:Choice Requires="wps">
            <w:drawing>
              <wp:inline distT="0" distB="0" distL="0" distR="0" wp14:anchorId="54EF215E" wp14:editId="74DFE4E5">
                <wp:extent cx="5943600" cy="3698240"/>
                <wp:effectExtent l="13335" t="9525" r="5715" b="10160"/>
                <wp:docPr id="2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723515"/>
                        </a:xfrm>
                        <a:prstGeom prst="roundRect">
                          <a:avLst>
                            <a:gd name="adj" fmla="val 3079"/>
                          </a:avLst>
                        </a:prstGeom>
                        <a:solidFill>
                          <a:srgbClr val="CCFFCC">
                            <a:alpha val="27058"/>
                          </a:srgbClr>
                        </a:solidFill>
                        <a:ln w="9525">
                          <a:solidFill>
                            <a:srgbClr val="000000"/>
                          </a:solidFill>
                          <a:round/>
                          <a:headEnd/>
                          <a:tailEnd/>
                        </a:ln>
                      </wps:spPr>
                      <wps:txbx>
                        <w:txbxContent>
                          <w:p w:rsidR="00541D5F" w:rsidRPr="009A3629" w:rsidRDefault="00541D5F" w:rsidP="002E5C2F">
                            <w:pPr>
                              <w:widowControl w:val="0"/>
                              <w:ind w:firstLine="709"/>
                              <w:jc w:val="both"/>
                              <w:rPr>
                                <w:rFonts w:ascii="Calibri" w:hAnsi="Calibri"/>
                                <w:sz w:val="30"/>
                                <w:szCs w:val="30"/>
                                <w:lang w:val="en-US"/>
                              </w:rPr>
                            </w:pPr>
                            <w:r w:rsidRPr="00BF32A7">
                              <w:rPr>
                                <w:rFonts w:ascii="Calibri" w:hAnsi="Calibri"/>
                                <w:sz w:val="30"/>
                                <w:szCs w:val="30"/>
                                <w:lang w:val="en-US"/>
                              </w:rPr>
                              <w:t xml:space="preserve">To make rapid transfers can be used the services of such money </w:t>
                            </w:r>
                            <w:r>
                              <w:rPr>
                                <w:rFonts w:ascii="Calibri" w:hAnsi="Calibri"/>
                                <w:sz w:val="30"/>
                                <w:szCs w:val="30"/>
                                <w:lang w:val="en-US"/>
                              </w:rPr>
                              <w:t xml:space="preserve">transfer systems as Golden Crown, </w:t>
                            </w:r>
                            <w:r w:rsidRPr="009A3629">
                              <w:rPr>
                                <w:rFonts w:ascii="Calibri" w:hAnsi="Calibri"/>
                                <w:sz w:val="30"/>
                                <w:szCs w:val="30"/>
                                <w:lang w:val="en-US"/>
                              </w:rPr>
                              <w:t xml:space="preserve">Western Union, </w:t>
                            </w:r>
                            <w:proofErr w:type="spellStart"/>
                            <w:r w:rsidRPr="009A3629">
                              <w:rPr>
                                <w:rFonts w:ascii="Calibri" w:hAnsi="Calibri"/>
                                <w:sz w:val="30"/>
                                <w:szCs w:val="30"/>
                                <w:lang w:val="en-US"/>
                              </w:rPr>
                              <w:t>Unistream</w:t>
                            </w:r>
                            <w:proofErr w:type="spellEnd"/>
                            <w:r w:rsidRPr="009A3629">
                              <w:rPr>
                                <w:rFonts w:ascii="Calibri" w:hAnsi="Calibri"/>
                                <w:sz w:val="30"/>
                                <w:szCs w:val="30"/>
                                <w:lang w:val="en-US"/>
                              </w:rPr>
                              <w:t>, Contact,</w:t>
                            </w:r>
                            <w:r>
                              <w:rPr>
                                <w:rFonts w:ascii="Calibri" w:hAnsi="Calibri"/>
                                <w:sz w:val="30"/>
                                <w:szCs w:val="30"/>
                                <w:lang w:val="en-US"/>
                              </w:rPr>
                              <w:t xml:space="preserve"> Leader, </w:t>
                            </w:r>
                            <w:proofErr w:type="spellStart"/>
                            <w:r>
                              <w:rPr>
                                <w:rFonts w:ascii="Calibri" w:hAnsi="Calibri"/>
                                <w:sz w:val="30"/>
                                <w:szCs w:val="30"/>
                                <w:lang w:val="en-US"/>
                              </w:rPr>
                              <w:t>Anelik</w:t>
                            </w:r>
                            <w:proofErr w:type="spellEnd"/>
                            <w:r>
                              <w:rPr>
                                <w:rFonts w:ascii="Calibri" w:hAnsi="Calibri"/>
                                <w:sz w:val="30"/>
                                <w:szCs w:val="30"/>
                                <w:lang w:val="en-US"/>
                              </w:rPr>
                              <w:t xml:space="preserve">, </w:t>
                            </w:r>
                            <w:r w:rsidRPr="009A3629">
                              <w:rPr>
                                <w:rFonts w:ascii="Calibri" w:hAnsi="Calibri"/>
                                <w:sz w:val="30"/>
                                <w:szCs w:val="30"/>
                                <w:lang w:val="en-US"/>
                              </w:rPr>
                              <w:t>Universal Postal Union system</w:t>
                            </w:r>
                            <w:r>
                              <w:rPr>
                                <w:rFonts w:ascii="Calibri" w:hAnsi="Calibri"/>
                                <w:sz w:val="30"/>
                                <w:szCs w:val="30"/>
                                <w:lang w:val="en-US"/>
                              </w:rPr>
                              <w:t xml:space="preserve">, </w:t>
                            </w:r>
                            <w:proofErr w:type="spellStart"/>
                            <w:r>
                              <w:rPr>
                                <w:rFonts w:ascii="Calibri" w:hAnsi="Calibri"/>
                                <w:sz w:val="30"/>
                                <w:szCs w:val="30"/>
                                <w:lang w:val="en-US"/>
                              </w:rPr>
                              <w:t>Bystraya</w:t>
                            </w:r>
                            <w:proofErr w:type="spellEnd"/>
                            <w:r>
                              <w:rPr>
                                <w:rFonts w:ascii="Calibri" w:hAnsi="Calibri"/>
                                <w:sz w:val="30"/>
                                <w:szCs w:val="30"/>
                                <w:lang w:val="en-US"/>
                              </w:rPr>
                              <w:t xml:space="preserve"> </w:t>
                            </w:r>
                            <w:proofErr w:type="spellStart"/>
                            <w:r>
                              <w:rPr>
                                <w:rFonts w:ascii="Calibri" w:hAnsi="Calibri"/>
                                <w:sz w:val="30"/>
                                <w:szCs w:val="30"/>
                                <w:lang w:val="en-US"/>
                              </w:rPr>
                              <w:t>Pochta</w:t>
                            </w:r>
                            <w:proofErr w:type="spellEnd"/>
                            <w:r>
                              <w:rPr>
                                <w:rFonts w:ascii="Calibri" w:hAnsi="Calibri"/>
                                <w:sz w:val="30"/>
                                <w:szCs w:val="30"/>
                                <w:lang w:val="en-US"/>
                              </w:rPr>
                              <w:t xml:space="preserve"> (Quick Mail),</w:t>
                            </w:r>
                            <w:r w:rsidRPr="009A3629">
                              <w:rPr>
                                <w:rFonts w:ascii="Calibri" w:hAnsi="Calibri"/>
                                <w:sz w:val="30"/>
                                <w:szCs w:val="30"/>
                                <w:lang w:val="en-US"/>
                              </w:rPr>
                              <w:t xml:space="preserve"> MoneyGram, Faster</w:t>
                            </w:r>
                            <w:r>
                              <w:rPr>
                                <w:rFonts w:ascii="Calibri" w:hAnsi="Calibri"/>
                                <w:sz w:val="30"/>
                                <w:szCs w:val="30"/>
                                <w:lang w:val="en-US"/>
                              </w:rPr>
                              <w:t xml:space="preserve"> and other. These systems are used as a rule to make free transfers of the individuals. In this regard, in most cases the citizens use the money transfer systems to make transfers abroad (proportion of transfers made abroad through the above systems was 93.4% of the total amount of transfers abroad). In this case, money transfers from Kazakhstan through money transfer systems significantly exceed money transfers to Kazakhstan (negative net position is KZT 133.7 billion).</w:t>
                            </w:r>
                          </w:p>
                        </w:txbxContent>
                      </wps:txbx>
                      <wps:bodyPr rot="0" vert="horz" wrap="square" lIns="91440" tIns="45720" rIns="91440" bIns="45720" anchor="t" anchorCtr="0" upright="1">
                        <a:spAutoFit/>
                      </wps:bodyPr>
                    </wps:wsp>
                  </a:graphicData>
                </a:graphic>
              </wp:inline>
            </w:drawing>
          </mc:Choice>
          <mc:Fallback>
            <w:pict>
              <v:roundrect id="AutoShape 158" o:spid="_x0000_s1055" style="width:468pt;height:291.2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" fillcolor="#cfc">
                <v:fill opacity="17733f"/>
                <v:textbox style="mso-fit-shape-to-text:t">
                  <w:txbxContent>
                    <w:p w:rsidR="00541D5F" w:rsidRPr="009A3629" w:rsidRDefault="00541D5F" w:rsidP="002E5C2F">
                      <w:pPr>
                        <w:widowControl w:val="0"/>
                        <w:ind w:firstLine="709"/>
                        <w:jc w:val="both"/>
                        <w:rPr>
                          <w:rFonts w:ascii="Calibri" w:hAnsi="Calibri"/>
                          <w:sz w:val="30"/>
                          <w:szCs w:val="30"/>
                          <w:lang w:val="en-US"/>
                        </w:rPr>
                      </w:pPr>
                      <w:r w:rsidRPr="00BF32A7">
                        <w:rPr>
                          <w:rFonts w:ascii="Calibri" w:hAnsi="Calibri"/>
                          <w:sz w:val="30"/>
                          <w:szCs w:val="30"/>
                          <w:lang w:val="en-US"/>
                        </w:rPr>
                        <w:t xml:space="preserve">To make rapid transfers can be used the services of such money </w:t>
                      </w:r>
                      <w:r>
                        <w:rPr>
                          <w:rFonts w:ascii="Calibri" w:hAnsi="Calibri"/>
                          <w:sz w:val="30"/>
                          <w:szCs w:val="30"/>
                          <w:lang w:val="en-US"/>
                        </w:rPr>
                        <w:t xml:space="preserve">transfer systems as Golden Crown, </w:t>
                      </w:r>
                      <w:r w:rsidRPr="009A3629">
                        <w:rPr>
                          <w:rFonts w:ascii="Calibri" w:hAnsi="Calibri"/>
                          <w:sz w:val="30"/>
                          <w:szCs w:val="30"/>
                          <w:lang w:val="en-US"/>
                        </w:rPr>
                        <w:t>Western Union, Unistream, Contact,</w:t>
                      </w:r>
                      <w:r>
                        <w:rPr>
                          <w:rFonts w:ascii="Calibri" w:hAnsi="Calibri"/>
                          <w:sz w:val="30"/>
                          <w:szCs w:val="30"/>
                          <w:lang w:val="en-US"/>
                        </w:rPr>
                        <w:t xml:space="preserve"> Leader, Anelik, </w:t>
                      </w:r>
                      <w:r w:rsidRPr="009A3629">
                        <w:rPr>
                          <w:rFonts w:ascii="Calibri" w:hAnsi="Calibri"/>
                          <w:sz w:val="30"/>
                          <w:szCs w:val="30"/>
                          <w:lang w:val="en-US"/>
                        </w:rPr>
                        <w:t>Universal Postal Union system</w:t>
                      </w:r>
                      <w:r>
                        <w:rPr>
                          <w:rFonts w:ascii="Calibri" w:hAnsi="Calibri"/>
                          <w:sz w:val="30"/>
                          <w:szCs w:val="30"/>
                          <w:lang w:val="en-US"/>
                        </w:rPr>
                        <w:t>, Bystraya Pochta (Quick Mail),</w:t>
                      </w:r>
                      <w:r w:rsidRPr="009A3629">
                        <w:rPr>
                          <w:rFonts w:ascii="Calibri" w:hAnsi="Calibri"/>
                          <w:sz w:val="30"/>
                          <w:szCs w:val="30"/>
                          <w:lang w:val="en-US"/>
                        </w:rPr>
                        <w:t xml:space="preserve"> MoneyGram, Faster</w:t>
                      </w:r>
                      <w:r>
                        <w:rPr>
                          <w:rFonts w:ascii="Calibri" w:hAnsi="Calibri"/>
                          <w:sz w:val="30"/>
                          <w:szCs w:val="30"/>
                          <w:lang w:val="en-US"/>
                        </w:rPr>
                        <w:t xml:space="preserve"> and other. These systems are used as a rule to make free transfers of the individuals. In this regard, in most cases the citizens use the money transfer systems to make transfers abroad (proportion of transfers made abroad through the above systems was 93.4% of the total amount of transfers abroad). In this case, money transfers from Kazakhstan through money transfer systems significantly exceed money transfers to Kazakhstan (negative net position is KZT 133.7 billion).</w:t>
                      </w:r>
                    </w:p>
                  </w:txbxContent>
                </v:textbox>
                <w10:anchorlock/>
              </v:roundrect>
            </w:pict>
          </mc:Fallback>
        </mc:AlternateContent>
      </w:r>
      <w:bookmarkEnd w:id="81"/>
      <w:bookmarkEnd w:id="82"/>
    </w:p>
    <w:p w:rsidR="004E7C3A" w:rsidRPr="00A9366F" w:rsidRDefault="004E7C3A" w:rsidP="00C77E3B">
      <w:pPr>
        <w:pStyle w:val="1"/>
        <w:widowControl w:val="0"/>
        <w:tabs>
          <w:tab w:val="left" w:pos="561"/>
        </w:tabs>
        <w:spacing w:before="0" w:after="0" w:line="233" w:lineRule="auto"/>
        <w:ind w:firstLine="720"/>
        <w:jc w:val="center"/>
        <w:rPr>
          <w:rFonts w:ascii="Calibri" w:hAnsi="Calibri"/>
          <w:bCs w:val="0"/>
          <w:snapToGrid w:val="0"/>
          <w:color w:val="0E4C28"/>
          <w:spacing w:val="-2"/>
          <w:kern w:val="0"/>
          <w:sz w:val="36"/>
          <w:szCs w:val="36"/>
          <w:lang w:val="en-US"/>
        </w:rPr>
        <w:sectPr w:rsidR="004E7C3A" w:rsidRPr="00A9366F" w:rsidSect="00297BAA">
          <w:pgSz w:w="11906" w:h="16838"/>
          <w:pgMar w:top="1134" w:right="851" w:bottom="568" w:left="1701" w:header="709" w:footer="709" w:gutter="0"/>
          <w:cols w:space="708"/>
          <w:docGrid w:linePitch="360"/>
        </w:sectPr>
      </w:pPr>
    </w:p>
    <w:p w:rsidR="00C77E3B" w:rsidRPr="00A9366F" w:rsidRDefault="00A86BA8" w:rsidP="00650980">
      <w:pPr>
        <w:pStyle w:val="1"/>
        <w:widowControl w:val="0"/>
        <w:tabs>
          <w:tab w:val="left" w:pos="561"/>
        </w:tabs>
        <w:spacing w:before="0" w:after="0" w:line="233" w:lineRule="auto"/>
        <w:jc w:val="center"/>
        <w:rPr>
          <w:rFonts w:ascii="Calibri" w:hAnsi="Calibri"/>
          <w:bCs w:val="0"/>
          <w:snapToGrid w:val="0"/>
          <w:color w:val="0E4C28"/>
          <w:spacing w:val="-2"/>
          <w:kern w:val="0"/>
          <w:sz w:val="36"/>
          <w:szCs w:val="36"/>
          <w:lang w:val="en-US"/>
        </w:rPr>
      </w:pPr>
      <w:bookmarkStart w:id="83" w:name="_Toc485627009"/>
      <w:proofErr w:type="gramStart"/>
      <w:r w:rsidRPr="00A9366F">
        <w:rPr>
          <w:rFonts w:ascii="Calibri" w:hAnsi="Calibri"/>
          <w:bCs w:val="0"/>
          <w:snapToGrid w:val="0"/>
          <w:color w:val="0E4C28"/>
          <w:spacing w:val="-2"/>
          <w:kern w:val="0"/>
          <w:sz w:val="36"/>
          <w:szCs w:val="36"/>
          <w:lang w:val="en-US"/>
        </w:rPr>
        <w:t>SECTION</w:t>
      </w:r>
      <w:r w:rsidR="00650980" w:rsidRPr="00A9366F">
        <w:rPr>
          <w:rFonts w:ascii="Calibri" w:hAnsi="Calibri"/>
          <w:bCs w:val="0"/>
          <w:snapToGrid w:val="0"/>
          <w:color w:val="0E4C28"/>
          <w:spacing w:val="-2"/>
          <w:kern w:val="0"/>
          <w:sz w:val="36"/>
          <w:szCs w:val="36"/>
          <w:lang w:val="en-US"/>
        </w:rPr>
        <w:t xml:space="preserve"> </w:t>
      </w:r>
      <w:r w:rsidR="002E1073" w:rsidRPr="00A9366F">
        <w:rPr>
          <w:rFonts w:ascii="Calibri" w:hAnsi="Calibri"/>
          <w:bCs w:val="0"/>
          <w:snapToGrid w:val="0"/>
          <w:color w:val="0E4C28"/>
          <w:spacing w:val="-2"/>
          <w:kern w:val="0"/>
          <w:sz w:val="36"/>
          <w:szCs w:val="36"/>
          <w:lang w:val="en-US"/>
        </w:rPr>
        <w:t>5</w:t>
      </w:r>
      <w:r w:rsidR="00C77E3B" w:rsidRPr="00A9366F">
        <w:rPr>
          <w:rFonts w:ascii="Calibri" w:hAnsi="Calibri"/>
          <w:bCs w:val="0"/>
          <w:snapToGrid w:val="0"/>
          <w:color w:val="0E4C28"/>
          <w:spacing w:val="-2"/>
          <w:kern w:val="0"/>
          <w:sz w:val="36"/>
          <w:szCs w:val="36"/>
          <w:lang w:val="en-US"/>
        </w:rPr>
        <w:t>.</w:t>
      </w:r>
      <w:proofErr w:type="gramEnd"/>
      <w:r w:rsidR="00C77E3B"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PAYMENTS THROUGH</w:t>
      </w:r>
      <w:r w:rsidRPr="00A9366F">
        <w:rPr>
          <w:rFonts w:ascii="Calibri" w:hAnsi="Calibri"/>
          <w:bCs w:val="0"/>
          <w:snapToGrid w:val="0"/>
          <w:color w:val="0E4C28"/>
          <w:spacing w:val="-2"/>
          <w:kern w:val="0"/>
          <w:sz w:val="36"/>
          <w:szCs w:val="36"/>
          <w:lang w:val="en-US"/>
        </w:rPr>
        <w:br/>
        <w:t xml:space="preserve"> DIRECT CORRESPONDENT ACCOUNTS</w:t>
      </w:r>
      <w:bookmarkEnd w:id="83"/>
      <w:r w:rsidRPr="00A9366F">
        <w:rPr>
          <w:rFonts w:ascii="Calibri" w:hAnsi="Calibri"/>
          <w:bCs w:val="0"/>
          <w:snapToGrid w:val="0"/>
          <w:color w:val="0E4C28"/>
          <w:spacing w:val="-2"/>
          <w:kern w:val="0"/>
          <w:sz w:val="36"/>
          <w:szCs w:val="36"/>
          <w:lang w:val="en-US"/>
        </w:rPr>
        <w:t xml:space="preserve"> </w:t>
      </w:r>
    </w:p>
    <w:p w:rsidR="00C77E3B" w:rsidRPr="00A9366F" w:rsidRDefault="00C77E3B" w:rsidP="00C77E3B">
      <w:pPr>
        <w:ind w:firstLine="709"/>
        <w:jc w:val="both"/>
        <w:rPr>
          <w:rFonts w:ascii="Calibri" w:hAnsi="Calibri" w:cs="Arial"/>
          <w:sz w:val="10"/>
          <w:szCs w:val="30"/>
          <w:lang w:val="en-US"/>
        </w:rPr>
      </w:pPr>
    </w:p>
    <w:p w:rsidR="00A86BA8" w:rsidRPr="00A9366F" w:rsidRDefault="00A86BA8" w:rsidP="00C77E3B">
      <w:pPr>
        <w:ind w:firstLine="709"/>
        <w:jc w:val="both"/>
        <w:rPr>
          <w:rFonts w:ascii="Calibri" w:hAnsi="Calibri" w:cs="Calibri"/>
          <w:sz w:val="30"/>
          <w:szCs w:val="30"/>
          <w:lang w:val="en-US"/>
        </w:rPr>
      </w:pPr>
      <w:r w:rsidRPr="00BF32A7">
        <w:rPr>
          <w:rFonts w:ascii="Calibri" w:hAnsi="Calibri" w:cs="Calibri"/>
          <w:sz w:val="30"/>
          <w:szCs w:val="30"/>
          <w:lang w:val="en-US"/>
        </w:rPr>
        <w:t>Banks and organization</w:t>
      </w:r>
      <w:r w:rsidR="00F85D5B" w:rsidRPr="00BF32A7">
        <w:rPr>
          <w:rFonts w:ascii="Calibri" w:hAnsi="Calibri" w:cs="Calibri"/>
          <w:sz w:val="30"/>
          <w:szCs w:val="30"/>
          <w:lang w:val="en-US"/>
        </w:rPr>
        <w:t>s</w:t>
      </w:r>
      <w:r w:rsidRPr="00BF32A7">
        <w:rPr>
          <w:rFonts w:ascii="Calibri" w:hAnsi="Calibri" w:cs="Calibri"/>
          <w:sz w:val="30"/>
          <w:szCs w:val="30"/>
          <w:lang w:val="en-US"/>
        </w:rPr>
        <w:t xml:space="preserve"> </w:t>
      </w:r>
      <w:r w:rsidR="00297BAA" w:rsidRPr="00BF32A7">
        <w:rPr>
          <w:rFonts w:ascii="Calibri" w:hAnsi="Calibri" w:cs="Calibri"/>
          <w:sz w:val="30"/>
          <w:szCs w:val="30"/>
          <w:lang w:val="en-US"/>
        </w:rPr>
        <w:t xml:space="preserve">engaged in </w:t>
      </w:r>
      <w:r w:rsidRPr="00BF32A7">
        <w:rPr>
          <w:rFonts w:ascii="Calibri" w:hAnsi="Calibri" w:cs="Calibri"/>
          <w:sz w:val="30"/>
          <w:szCs w:val="30"/>
          <w:lang w:val="en-US"/>
        </w:rPr>
        <w:t xml:space="preserve">certain types of banking </w:t>
      </w:r>
      <w:r w:rsidRPr="00A9366F">
        <w:rPr>
          <w:rFonts w:ascii="Calibri" w:hAnsi="Calibri" w:cs="Calibri"/>
          <w:sz w:val="30"/>
          <w:szCs w:val="30"/>
          <w:lang w:val="en-US"/>
        </w:rPr>
        <w:t>operations can also make payments through direct correspondent accounts opened between them. Direct correspondent relations are the contract relations between the banks as well as between the banks a</w:t>
      </w:r>
      <w:r w:rsidR="00F85D5B" w:rsidRPr="00A9366F">
        <w:rPr>
          <w:rFonts w:ascii="Calibri" w:hAnsi="Calibri" w:cs="Calibri"/>
          <w:sz w:val="30"/>
          <w:szCs w:val="30"/>
          <w:lang w:val="en-US"/>
        </w:rPr>
        <w:t>n</w:t>
      </w:r>
      <w:r w:rsidRPr="00A9366F">
        <w:rPr>
          <w:rFonts w:ascii="Calibri" w:hAnsi="Calibri" w:cs="Calibri"/>
          <w:sz w:val="30"/>
          <w:szCs w:val="30"/>
          <w:lang w:val="en-US"/>
        </w:rPr>
        <w:t>d non</w:t>
      </w:r>
      <w:r w:rsidR="00F85D5B" w:rsidRPr="00A9366F">
        <w:rPr>
          <w:rFonts w:ascii="Calibri" w:hAnsi="Calibri" w:cs="Calibri"/>
          <w:sz w:val="30"/>
          <w:szCs w:val="30"/>
          <w:lang w:val="en-US"/>
        </w:rPr>
        <w:t xml:space="preserve">-bank organizations, which arise when banks and non-bank organizations open correspondent accounts to make transactions related to delivery of the banking services provided for by the correspondent account contract and legislation of the Republic of Kazakhstan. </w:t>
      </w:r>
    </w:p>
    <w:p w:rsidR="00F85D5B" w:rsidRPr="00A9366F" w:rsidRDefault="00D75E7F" w:rsidP="00C77E3B">
      <w:pPr>
        <w:ind w:firstLine="709"/>
        <w:jc w:val="both"/>
        <w:rPr>
          <w:rFonts w:ascii="Calibri" w:hAnsi="Calibri" w:cs="Calibri"/>
          <w:sz w:val="30"/>
          <w:szCs w:val="30"/>
          <w:lang w:val="en-US"/>
        </w:rPr>
      </w:pPr>
      <w:r w:rsidRPr="00A9366F">
        <w:rPr>
          <w:rFonts w:ascii="Calibri" w:hAnsi="Calibri" w:cs="Calibri"/>
          <w:b/>
          <w:sz w:val="30"/>
          <w:szCs w:val="30"/>
          <w:lang w:val="en-US"/>
        </w:rPr>
        <w:t>In 2016</w:t>
      </w:r>
      <w:r w:rsidRPr="00A9366F">
        <w:rPr>
          <w:rFonts w:ascii="Calibri" w:hAnsi="Calibri" w:cs="Calibri"/>
          <w:sz w:val="30"/>
          <w:szCs w:val="30"/>
          <w:lang w:val="en-US"/>
        </w:rPr>
        <w:t xml:space="preserve"> the total payments and money transfers </w:t>
      </w:r>
      <w:r w:rsidR="00F66BA7" w:rsidRPr="00A9366F">
        <w:rPr>
          <w:rFonts w:ascii="Calibri" w:hAnsi="Calibri" w:cs="Calibri"/>
          <w:sz w:val="30"/>
          <w:szCs w:val="30"/>
          <w:lang w:val="en-US"/>
        </w:rPr>
        <w:t>settled</w:t>
      </w:r>
      <w:r w:rsidRPr="00A9366F">
        <w:rPr>
          <w:rFonts w:ascii="Calibri" w:hAnsi="Calibri" w:cs="Calibri"/>
          <w:sz w:val="30"/>
          <w:szCs w:val="30"/>
          <w:lang w:val="en-US"/>
        </w:rPr>
        <w:t xml:space="preserve"> through correspondent accounts of the banks (both inside Kazakhstan and aboard) </w:t>
      </w:r>
      <w:r w:rsidRPr="00A9366F">
        <w:rPr>
          <w:rFonts w:ascii="Calibri" w:hAnsi="Calibri" w:cs="Calibri"/>
          <w:b/>
          <w:sz w:val="30"/>
          <w:szCs w:val="30"/>
          <w:lang w:val="en-US"/>
        </w:rPr>
        <w:t>amounted to KZT 229.9 trillion, while the number of transaction was 9,200.6 thousand</w:t>
      </w:r>
      <w:r w:rsidRPr="00A9366F">
        <w:rPr>
          <w:rFonts w:ascii="Calibri" w:hAnsi="Calibri" w:cs="Calibri"/>
          <w:sz w:val="30"/>
          <w:szCs w:val="30"/>
          <w:lang w:val="en-US"/>
        </w:rPr>
        <w:t xml:space="preserve">. </w:t>
      </w:r>
    </w:p>
    <w:p w:rsidR="00C77E3B" w:rsidRPr="00A9366F" w:rsidRDefault="00D75E7F" w:rsidP="00D75E7F">
      <w:pPr>
        <w:widowControl w:val="0"/>
        <w:jc w:val="center"/>
        <w:rPr>
          <w:rFonts w:ascii="Calibri" w:hAnsi="Calibri" w:cs="Calibri"/>
          <w:b/>
          <w:color w:val="0E4C28"/>
          <w:sz w:val="30"/>
          <w:szCs w:val="30"/>
          <w:lang w:val="en-US"/>
        </w:rPr>
      </w:pPr>
      <w:r w:rsidRPr="00A9366F">
        <w:rPr>
          <w:rFonts w:ascii="Calibri" w:hAnsi="Calibri" w:cs="Calibri"/>
          <w:b/>
          <w:color w:val="0E4C28"/>
          <w:sz w:val="30"/>
          <w:szCs w:val="30"/>
          <w:lang w:val="en-US"/>
        </w:rPr>
        <w:t xml:space="preserve">Volumes of payments and money transfers </w:t>
      </w:r>
      <w:r w:rsidR="006A4C0A" w:rsidRPr="00A9366F">
        <w:rPr>
          <w:rFonts w:ascii="Calibri" w:hAnsi="Calibri" w:cs="Calibri"/>
          <w:b/>
          <w:color w:val="0E4C28"/>
          <w:sz w:val="30"/>
          <w:szCs w:val="30"/>
          <w:lang w:val="en-US"/>
        </w:rPr>
        <w:t xml:space="preserve">settled </w:t>
      </w:r>
      <w:r w:rsidRPr="00A9366F">
        <w:rPr>
          <w:rFonts w:ascii="Calibri" w:hAnsi="Calibri" w:cs="Calibri"/>
          <w:b/>
          <w:color w:val="0E4C28"/>
          <w:sz w:val="30"/>
          <w:szCs w:val="30"/>
          <w:lang w:val="en-US"/>
        </w:rPr>
        <w:t xml:space="preserve">through the systems of correspondent relations between the banks </w:t>
      </w:r>
    </w:p>
    <w:p w:rsidR="00C77E3B" w:rsidRPr="00A9366F" w:rsidRDefault="00B41594" w:rsidP="00C77E3B">
      <w:pPr>
        <w:autoSpaceDE w:val="0"/>
        <w:autoSpaceDN w:val="0"/>
        <w:adjustRightInd w:val="0"/>
        <w:jc w:val="both"/>
        <w:rPr>
          <w:rFonts w:ascii="Calibri" w:hAnsi="Calibri" w:cs="Arial"/>
          <w:sz w:val="30"/>
          <w:szCs w:val="30"/>
          <w:lang w:val="en-US"/>
        </w:rPr>
      </w:pPr>
      <w:r w:rsidRPr="00A9366F">
        <w:rPr>
          <w:rFonts w:ascii="Calibri" w:hAnsi="Calibri"/>
          <w:noProof/>
          <w:color w:val="0E4C28"/>
          <w:sz w:val="28"/>
          <w:szCs w:val="28"/>
        </w:rPr>
        <w:drawing>
          <wp:inline distT="0" distB="0" distL="0" distR="0">
            <wp:extent cx="2941320" cy="1893570"/>
            <wp:effectExtent l="0" t="0" r="0" b="0"/>
            <wp:docPr id="45" name="Объект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A9366F">
        <w:rPr>
          <w:rFonts w:ascii="Calibri" w:hAnsi="Calibri"/>
          <w:noProof/>
          <w:color w:val="0E4C28"/>
          <w:sz w:val="20"/>
          <w:szCs w:val="20"/>
        </w:rPr>
        <w:drawing>
          <wp:inline distT="0" distB="0" distL="0" distR="0">
            <wp:extent cx="2994660" cy="1889760"/>
            <wp:effectExtent l="0" t="0" r="0" b="0"/>
            <wp:docPr id="46" name="Объект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W w:w="9997" w:type="dxa"/>
        <w:tblLook w:val="04A0" w:firstRow="1" w:lastRow="0" w:firstColumn="1" w:lastColumn="0" w:noHBand="0" w:noVBand="1"/>
      </w:tblPr>
      <w:tblGrid>
        <w:gridCol w:w="4968"/>
        <w:gridCol w:w="5029"/>
      </w:tblGrid>
      <w:tr w:rsidR="00C77E3B" w:rsidRPr="00EA720F" w:rsidTr="005E3FFC">
        <w:tc>
          <w:tcPr>
            <w:tcW w:w="4968" w:type="dxa"/>
            <w:shd w:val="clear" w:color="auto" w:fill="auto"/>
          </w:tcPr>
          <w:p w:rsidR="00D75E7F" w:rsidRPr="00A9366F" w:rsidRDefault="00D75E7F" w:rsidP="005E3FFC">
            <w:pPr>
              <w:ind w:firstLine="720"/>
              <w:jc w:val="both"/>
              <w:rPr>
                <w:rFonts w:ascii="Calibri" w:hAnsi="Calibri" w:cs="Calibri"/>
                <w:b/>
                <w:sz w:val="30"/>
                <w:szCs w:val="30"/>
                <w:lang w:val="en-US"/>
              </w:rPr>
            </w:pPr>
            <w:r w:rsidRPr="00A9366F">
              <w:rPr>
                <w:rFonts w:ascii="Calibri" w:hAnsi="Calibri" w:cs="Calibri"/>
                <w:sz w:val="30"/>
                <w:szCs w:val="30"/>
                <w:lang w:val="en-US"/>
              </w:rPr>
              <w:t xml:space="preserve">In this case, the volume of payments and money transfers </w:t>
            </w:r>
            <w:r w:rsidR="006A4C0A" w:rsidRPr="00A9366F">
              <w:rPr>
                <w:rFonts w:ascii="Calibri" w:hAnsi="Calibri" w:cs="Calibri"/>
                <w:sz w:val="30"/>
                <w:szCs w:val="30"/>
                <w:lang w:val="en-US"/>
              </w:rPr>
              <w:t>settled</w:t>
            </w:r>
            <w:r w:rsidRPr="00A9366F">
              <w:rPr>
                <w:rFonts w:ascii="Calibri" w:hAnsi="Calibri" w:cs="Calibri"/>
                <w:sz w:val="30"/>
                <w:szCs w:val="30"/>
                <w:lang w:val="en-US"/>
              </w:rPr>
              <w:t xml:space="preserve"> through the correspondent accounts </w:t>
            </w:r>
            <w:r w:rsidRPr="00A9366F">
              <w:rPr>
                <w:rFonts w:ascii="Calibri" w:hAnsi="Calibri" w:cs="Calibri"/>
                <w:b/>
                <w:sz w:val="30"/>
                <w:szCs w:val="30"/>
                <w:lang w:val="en-US"/>
              </w:rPr>
              <w:t>inside Kazakhstan comprised 6.5 million transactions for the amount of KZT 18.3 trillion.</w:t>
            </w:r>
          </w:p>
          <w:p w:rsidR="00C77E3B" w:rsidRPr="00A9366F" w:rsidRDefault="00550E0F" w:rsidP="006A4C0A">
            <w:pPr>
              <w:ind w:firstLine="720"/>
              <w:jc w:val="both"/>
              <w:rPr>
                <w:rFonts w:ascii="Calibri" w:hAnsi="Calibri" w:cs="Calibri"/>
                <w:sz w:val="30"/>
                <w:szCs w:val="30"/>
                <w:lang w:val="en-US"/>
              </w:rPr>
            </w:pPr>
            <w:r w:rsidRPr="00A9366F">
              <w:rPr>
                <w:rFonts w:ascii="Calibri" w:hAnsi="Calibri" w:cs="Calibri"/>
                <w:sz w:val="30"/>
                <w:szCs w:val="30"/>
                <w:lang w:val="en-US"/>
              </w:rPr>
              <w:t xml:space="preserve">Most of the payments and money transfers </w:t>
            </w:r>
            <w:r w:rsidR="006A4C0A" w:rsidRPr="00A9366F">
              <w:rPr>
                <w:rFonts w:ascii="Calibri" w:hAnsi="Calibri" w:cs="Calibri"/>
                <w:sz w:val="30"/>
                <w:szCs w:val="30"/>
                <w:lang w:val="en-US"/>
              </w:rPr>
              <w:t>settled</w:t>
            </w:r>
            <w:r w:rsidRPr="00A9366F">
              <w:rPr>
                <w:rFonts w:ascii="Calibri" w:hAnsi="Calibri" w:cs="Calibri"/>
                <w:sz w:val="30"/>
                <w:szCs w:val="30"/>
                <w:lang w:val="en-US"/>
              </w:rPr>
              <w:t xml:space="preserve"> through correspondent accounts in Kazakhstan were denominated in USD (62%) and KZT (33.6%).</w:t>
            </w:r>
          </w:p>
        </w:tc>
        <w:tc>
          <w:tcPr>
            <w:tcW w:w="5029" w:type="dxa"/>
            <w:shd w:val="clear" w:color="auto" w:fill="auto"/>
          </w:tcPr>
          <w:p w:rsidR="00C77E3B" w:rsidRPr="00A9366F" w:rsidRDefault="00D75E7F" w:rsidP="006A4C0A">
            <w:pPr>
              <w:jc w:val="center"/>
              <w:rPr>
                <w:rFonts w:ascii="Calibri" w:hAnsi="Calibri" w:cs="Calibri"/>
                <w:sz w:val="30"/>
                <w:szCs w:val="30"/>
                <w:lang w:val="en-US"/>
              </w:rPr>
            </w:pPr>
            <w:r w:rsidRPr="00A9366F">
              <w:rPr>
                <w:rFonts w:ascii="Calibri" w:hAnsi="Calibri" w:cs="Arial"/>
                <w:b/>
                <w:color w:val="0E4C28"/>
                <w:sz w:val="28"/>
                <w:szCs w:val="28"/>
                <w:lang w:val="en-US"/>
              </w:rPr>
              <w:t>Proportion of the total amount of payment</w:t>
            </w:r>
            <w:r w:rsidR="006A4C0A" w:rsidRPr="00A9366F">
              <w:rPr>
                <w:rFonts w:ascii="Calibri" w:hAnsi="Calibri" w:cs="Arial"/>
                <w:b/>
                <w:color w:val="0E4C28"/>
                <w:sz w:val="28"/>
                <w:szCs w:val="28"/>
                <w:lang w:val="en-US"/>
              </w:rPr>
              <w:t>s</w:t>
            </w:r>
            <w:r w:rsidRPr="00A9366F">
              <w:rPr>
                <w:rFonts w:ascii="Calibri" w:hAnsi="Calibri" w:cs="Arial"/>
                <w:b/>
                <w:color w:val="0E4C28"/>
                <w:sz w:val="28"/>
                <w:szCs w:val="28"/>
                <w:lang w:val="en-US"/>
              </w:rPr>
              <w:t xml:space="preserve"> and money transfers </w:t>
            </w:r>
            <w:r w:rsidR="006A4C0A" w:rsidRPr="00A9366F">
              <w:rPr>
                <w:rFonts w:ascii="Calibri" w:hAnsi="Calibri" w:cs="Arial"/>
                <w:b/>
                <w:color w:val="0E4C28"/>
                <w:sz w:val="28"/>
                <w:szCs w:val="28"/>
                <w:lang w:val="en-US"/>
              </w:rPr>
              <w:t xml:space="preserve">settled </w:t>
            </w:r>
            <w:r w:rsidRPr="00A9366F">
              <w:rPr>
                <w:rFonts w:ascii="Calibri" w:hAnsi="Calibri" w:cs="Arial"/>
                <w:b/>
                <w:color w:val="0E4C28"/>
                <w:sz w:val="28"/>
                <w:szCs w:val="28"/>
                <w:lang w:val="en-US"/>
              </w:rPr>
              <w:t xml:space="preserve">inside Kazakhstan </w:t>
            </w:r>
            <w:r w:rsidR="00B41594" w:rsidRPr="00A9366F">
              <w:rPr>
                <w:rFonts w:ascii="Calibri" w:hAnsi="Calibri" w:cs="Calibri"/>
                <w:b/>
                <w:noProof/>
              </w:rPr>
              <w:drawing>
                <wp:inline distT="0" distB="0" distL="0" distR="0">
                  <wp:extent cx="2735580" cy="1985010"/>
                  <wp:effectExtent l="0" t="0" r="45720" b="0"/>
                  <wp:docPr id="47" name="Объект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bl>
    <w:p w:rsidR="00D75E7F" w:rsidRPr="00A9366F" w:rsidRDefault="00550E0F" w:rsidP="00C77E3B">
      <w:pPr>
        <w:ind w:firstLine="709"/>
        <w:jc w:val="both"/>
        <w:rPr>
          <w:rFonts w:ascii="Calibri" w:hAnsi="Calibri" w:cs="Calibri"/>
          <w:spacing w:val="-2"/>
          <w:sz w:val="30"/>
          <w:szCs w:val="30"/>
          <w:lang w:val="en-US"/>
        </w:rPr>
      </w:pPr>
      <w:r w:rsidRPr="00A9366F">
        <w:rPr>
          <w:rFonts w:ascii="Calibri" w:hAnsi="Calibri" w:cs="Calibri"/>
          <w:spacing w:val="-2"/>
          <w:sz w:val="30"/>
          <w:szCs w:val="30"/>
          <w:lang w:val="en-US"/>
        </w:rPr>
        <w:t xml:space="preserve">Inside Kazakhstan the direct correspondent accounts are used to make payments related to deposits and transfers of the banks’ and their customers’ own funds (44.1%), and payments related to transactions with foreign currency and precious metals (22.2%). </w:t>
      </w:r>
    </w:p>
    <w:p w:rsidR="00C77E3B" w:rsidRPr="00A9366F" w:rsidRDefault="00F62BC0" w:rsidP="009B3B2D">
      <w:pPr>
        <w:ind w:firstLine="709"/>
        <w:jc w:val="center"/>
        <w:rPr>
          <w:rFonts w:ascii="Calibri" w:hAnsi="Calibri" w:cs="Calibri"/>
          <w:b/>
          <w:color w:val="0E4C28"/>
          <w:sz w:val="30"/>
          <w:szCs w:val="30"/>
          <w:lang w:val="en-US"/>
        </w:rPr>
      </w:pPr>
      <w:r w:rsidRPr="00A9366F">
        <w:rPr>
          <w:rFonts w:ascii="Calibri" w:hAnsi="Calibri" w:cs="Calibri"/>
          <w:b/>
          <w:color w:val="0E4C28"/>
          <w:sz w:val="30"/>
          <w:szCs w:val="30"/>
          <w:lang w:val="en-US"/>
        </w:rPr>
        <w:t xml:space="preserve">Volumes of payments and money transfers through correspondent accounts by types of the payment purposes </w:t>
      </w:r>
    </w:p>
    <w:p w:rsidR="00F62BC0" w:rsidRPr="00A9366F" w:rsidRDefault="00B41594" w:rsidP="009B3B2D">
      <w:pPr>
        <w:spacing w:line="238" w:lineRule="auto"/>
        <w:jc w:val="both"/>
        <w:rPr>
          <w:rFonts w:ascii="Calibri" w:hAnsi="Calibri" w:cs="Calibri"/>
          <w:sz w:val="30"/>
          <w:szCs w:val="30"/>
          <w:lang w:val="en-US"/>
        </w:rPr>
      </w:pPr>
      <w:r w:rsidRPr="00A9366F">
        <w:rPr>
          <w:rFonts w:ascii="Calibri" w:hAnsi="Calibri" w:cs="Calibri"/>
          <w:b/>
          <w:i/>
          <w:noProof/>
          <w:color w:val="00B050"/>
          <w:sz w:val="30"/>
          <w:szCs w:val="30"/>
        </w:rPr>
        <w:drawing>
          <wp:inline distT="0" distB="0" distL="0" distR="0">
            <wp:extent cx="6066692" cy="1915844"/>
            <wp:effectExtent l="0" t="0" r="0" b="0"/>
            <wp:docPr id="48" name="Объект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00C77E3B" w:rsidRPr="00A9366F">
        <w:rPr>
          <w:lang w:val="en-US"/>
        </w:rPr>
        <w:tab/>
      </w:r>
      <w:r w:rsidR="00F62BC0" w:rsidRPr="00A9366F">
        <w:rPr>
          <w:rFonts w:ascii="Calibri" w:hAnsi="Calibri" w:cs="Calibri"/>
          <w:sz w:val="30"/>
          <w:szCs w:val="30"/>
          <w:lang w:val="en-US"/>
        </w:rPr>
        <w:t>At the same time, the system of correspondent relations is associated with the risk</w:t>
      </w:r>
      <w:r w:rsidR="00AD4E6E" w:rsidRPr="00A9366F">
        <w:rPr>
          <w:rFonts w:ascii="Calibri" w:hAnsi="Calibri" w:cs="Calibri"/>
          <w:sz w:val="30"/>
          <w:szCs w:val="30"/>
          <w:lang w:val="en-US"/>
        </w:rPr>
        <w:t>s</w:t>
      </w:r>
      <w:r w:rsidR="00F62BC0" w:rsidRPr="00A9366F">
        <w:rPr>
          <w:rFonts w:ascii="Calibri" w:hAnsi="Calibri" w:cs="Calibri"/>
          <w:sz w:val="30"/>
          <w:szCs w:val="30"/>
          <w:lang w:val="en-US"/>
        </w:rPr>
        <w:t xml:space="preserve"> of financial reliability of counteragents. </w:t>
      </w:r>
      <w:r w:rsidR="00AD4E6E" w:rsidRPr="00A9366F">
        <w:rPr>
          <w:rFonts w:ascii="Calibri" w:hAnsi="Calibri" w:cs="Calibri"/>
          <w:sz w:val="30"/>
          <w:szCs w:val="30"/>
          <w:lang w:val="en-US"/>
        </w:rPr>
        <w:t xml:space="preserve">In this regard, to manage the </w:t>
      </w:r>
      <w:r w:rsidR="00382F2E" w:rsidRPr="00A9366F">
        <w:rPr>
          <w:rFonts w:ascii="Calibri" w:hAnsi="Calibri" w:cs="Calibri"/>
          <w:sz w:val="30"/>
          <w:szCs w:val="30"/>
          <w:lang w:val="en-US"/>
        </w:rPr>
        <w:t xml:space="preserve">risks the National Bank of Kazakhstan has set the limit for the banks and non-banking organizations for a monthly volume of payments to be </w:t>
      </w:r>
      <w:r w:rsidR="006A4C0A" w:rsidRPr="00A9366F">
        <w:rPr>
          <w:rFonts w:ascii="Calibri" w:hAnsi="Calibri" w:cs="Calibri"/>
          <w:sz w:val="30"/>
          <w:szCs w:val="30"/>
          <w:lang w:val="en-US"/>
        </w:rPr>
        <w:t>settled</w:t>
      </w:r>
      <w:r w:rsidR="00382F2E" w:rsidRPr="00A9366F">
        <w:rPr>
          <w:rFonts w:ascii="Calibri" w:hAnsi="Calibri" w:cs="Calibri"/>
          <w:sz w:val="30"/>
          <w:szCs w:val="30"/>
          <w:lang w:val="en-US"/>
        </w:rPr>
        <w:t xml:space="preserve"> </w:t>
      </w:r>
      <w:r w:rsidR="00382F2E" w:rsidRPr="00A9366F">
        <w:rPr>
          <w:rFonts w:ascii="Calibri" w:hAnsi="Calibri" w:cs="Calibri"/>
          <w:b/>
          <w:sz w:val="30"/>
          <w:szCs w:val="30"/>
          <w:lang w:val="en-US"/>
        </w:rPr>
        <w:t>between the resident financial organizations in the national currency</w:t>
      </w:r>
      <w:r w:rsidR="00382F2E" w:rsidRPr="00A9366F">
        <w:rPr>
          <w:rFonts w:ascii="Calibri" w:hAnsi="Calibri" w:cs="Calibri"/>
          <w:sz w:val="30"/>
          <w:szCs w:val="30"/>
          <w:lang w:val="en-US"/>
        </w:rPr>
        <w:t xml:space="preserve">. This limit is equal to 5% of the total amount of the bank’s or non-banking organizations’ payments </w:t>
      </w:r>
      <w:r w:rsidR="006A4C0A" w:rsidRPr="00A9366F">
        <w:rPr>
          <w:rFonts w:ascii="Calibri" w:hAnsi="Calibri" w:cs="Calibri"/>
          <w:sz w:val="30"/>
          <w:szCs w:val="30"/>
          <w:lang w:val="en-US"/>
        </w:rPr>
        <w:t>settled</w:t>
      </w:r>
      <w:r w:rsidR="00382F2E" w:rsidRPr="00A9366F">
        <w:rPr>
          <w:rFonts w:ascii="Calibri" w:hAnsi="Calibri" w:cs="Calibri"/>
          <w:sz w:val="30"/>
          <w:szCs w:val="30"/>
          <w:lang w:val="en-US"/>
        </w:rPr>
        <w:t xml:space="preserve"> through the payment systems of the National Bank of Kazakhstan during the previous month. </w:t>
      </w:r>
    </w:p>
    <w:p w:rsidR="00382F2E" w:rsidRPr="00A9366F" w:rsidRDefault="00382F2E" w:rsidP="009B3B2D">
      <w:pPr>
        <w:spacing w:line="238" w:lineRule="auto"/>
        <w:ind w:firstLine="561"/>
        <w:jc w:val="both"/>
        <w:rPr>
          <w:rFonts w:ascii="Calibri" w:hAnsi="Calibri" w:cs="Calibri"/>
          <w:sz w:val="30"/>
          <w:szCs w:val="30"/>
          <w:lang w:val="en-US"/>
        </w:rPr>
      </w:pPr>
      <w:r w:rsidRPr="00A9366F">
        <w:rPr>
          <w:rFonts w:ascii="Calibri" w:hAnsi="Calibri" w:cs="Calibri"/>
          <w:sz w:val="30"/>
          <w:szCs w:val="30"/>
          <w:lang w:val="en-US"/>
        </w:rPr>
        <w:t xml:space="preserve">The volume of payments and money transfers </w:t>
      </w:r>
      <w:r w:rsidR="006A4C0A" w:rsidRPr="00A9366F">
        <w:rPr>
          <w:rFonts w:ascii="Calibri" w:hAnsi="Calibri" w:cs="Calibri"/>
          <w:sz w:val="30"/>
          <w:szCs w:val="30"/>
          <w:lang w:val="en-US"/>
        </w:rPr>
        <w:t>settled</w:t>
      </w:r>
      <w:r w:rsidRPr="00A9366F">
        <w:rPr>
          <w:rFonts w:ascii="Calibri" w:hAnsi="Calibri" w:cs="Calibri"/>
          <w:sz w:val="30"/>
          <w:szCs w:val="30"/>
          <w:lang w:val="en-US"/>
        </w:rPr>
        <w:t xml:space="preserve"> by the banks through the direct correspondent accounts in </w:t>
      </w:r>
      <w:proofErr w:type="spellStart"/>
      <w:r w:rsidRPr="00A9366F">
        <w:rPr>
          <w:rFonts w:ascii="Calibri" w:hAnsi="Calibri" w:cs="Calibri"/>
          <w:sz w:val="30"/>
          <w:szCs w:val="30"/>
          <w:lang w:val="en-US"/>
        </w:rPr>
        <w:t>tenge</w:t>
      </w:r>
      <w:proofErr w:type="spellEnd"/>
      <w:r w:rsidRPr="00A9366F">
        <w:rPr>
          <w:rFonts w:ascii="Calibri" w:hAnsi="Calibri" w:cs="Calibri"/>
          <w:sz w:val="30"/>
          <w:szCs w:val="30"/>
          <w:lang w:val="en-US"/>
        </w:rPr>
        <w:t xml:space="preserve"> opened between the resident banks amount to KZT 2.8 trillion in 2016.</w:t>
      </w:r>
      <w:r w:rsidR="000F7DB1" w:rsidRPr="00A9366F">
        <w:rPr>
          <w:rFonts w:ascii="Calibri" w:hAnsi="Calibri" w:cs="Calibri"/>
          <w:sz w:val="30"/>
          <w:szCs w:val="30"/>
          <w:lang w:val="en-US"/>
        </w:rPr>
        <w:t xml:space="preserve"> In this regard, </w:t>
      </w:r>
      <w:r w:rsidR="00391165" w:rsidRPr="00A9366F">
        <w:rPr>
          <w:rFonts w:ascii="Calibri" w:hAnsi="Calibri" w:cs="Calibri"/>
          <w:sz w:val="30"/>
          <w:szCs w:val="30"/>
          <w:lang w:val="en-US"/>
        </w:rPr>
        <w:t xml:space="preserve">in 2016 </w:t>
      </w:r>
      <w:r w:rsidR="000F7DB1" w:rsidRPr="00A9366F">
        <w:rPr>
          <w:rFonts w:ascii="Calibri" w:hAnsi="Calibri" w:cs="Calibri"/>
          <w:sz w:val="30"/>
          <w:szCs w:val="30"/>
          <w:lang w:val="en-US"/>
        </w:rPr>
        <w:t xml:space="preserve">the ratio of limit utilization by the banks participating in the correspondent relations </w:t>
      </w:r>
      <w:r w:rsidR="00391165" w:rsidRPr="00A9366F">
        <w:rPr>
          <w:rFonts w:ascii="Calibri" w:hAnsi="Calibri" w:cs="Calibri"/>
          <w:sz w:val="30"/>
          <w:szCs w:val="30"/>
          <w:lang w:val="en-US"/>
        </w:rPr>
        <w:t>was only 25.5% (in 2015 this figure was 36.7%).</w:t>
      </w:r>
    </w:p>
    <w:p w:rsidR="00C77E3B" w:rsidRPr="00A9366F" w:rsidRDefault="00391165" w:rsidP="00C77E3B">
      <w:pPr>
        <w:ind w:firstLine="709"/>
        <w:jc w:val="center"/>
        <w:rPr>
          <w:rFonts w:ascii="Calibri" w:hAnsi="Calibri" w:cs="Calibri"/>
          <w:b/>
          <w:color w:val="0E4C28"/>
          <w:sz w:val="30"/>
          <w:szCs w:val="30"/>
          <w:lang w:val="en-US"/>
        </w:rPr>
      </w:pPr>
      <w:r w:rsidRPr="00A9366F">
        <w:rPr>
          <w:rFonts w:ascii="Calibri" w:hAnsi="Calibri" w:cs="Calibri"/>
          <w:b/>
          <w:color w:val="0E4C28"/>
          <w:sz w:val="30"/>
          <w:szCs w:val="30"/>
          <w:lang w:val="en-US"/>
        </w:rPr>
        <w:t xml:space="preserve">Table of the limit utilization </w:t>
      </w:r>
    </w:p>
    <w:tbl>
      <w:tblPr>
        <w:tblW w:w="97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6"/>
        <w:gridCol w:w="1926"/>
        <w:gridCol w:w="1260"/>
        <w:gridCol w:w="1115"/>
        <w:gridCol w:w="1945"/>
        <w:gridCol w:w="1080"/>
        <w:gridCol w:w="1186"/>
      </w:tblGrid>
      <w:tr w:rsidR="00C77E3B" w:rsidRPr="00A9366F" w:rsidTr="00BC1404">
        <w:trPr>
          <w:cantSplit/>
        </w:trPr>
        <w:tc>
          <w:tcPr>
            <w:tcW w:w="1196" w:type="dxa"/>
            <w:vMerge w:val="restart"/>
            <w:shd w:val="clear" w:color="auto" w:fill="9BBB59"/>
            <w:vAlign w:val="center"/>
          </w:tcPr>
          <w:p w:rsidR="00C77E3B" w:rsidRPr="00A9366F" w:rsidRDefault="00391165" w:rsidP="009B3B2D">
            <w:pPr>
              <w:tabs>
                <w:tab w:val="left" w:pos="1212"/>
              </w:tabs>
              <w:spacing w:line="235" w:lineRule="auto"/>
              <w:jc w:val="center"/>
              <w:rPr>
                <w:rFonts w:ascii="Calibri" w:hAnsi="Calibri" w:cs="Calibri"/>
                <w:b/>
                <w:lang w:val="en-US"/>
              </w:rPr>
            </w:pPr>
            <w:r w:rsidRPr="00A9366F">
              <w:rPr>
                <w:rFonts w:ascii="Calibri" w:hAnsi="Calibri" w:cs="Calibri"/>
                <w:b/>
                <w:snapToGrid w:val="0"/>
                <w:lang w:val="en-US"/>
              </w:rPr>
              <w:t>Quarter</w:t>
            </w:r>
          </w:p>
        </w:tc>
        <w:tc>
          <w:tcPr>
            <w:tcW w:w="4301" w:type="dxa"/>
            <w:gridSpan w:val="3"/>
            <w:shd w:val="clear" w:color="auto" w:fill="9BBB59"/>
          </w:tcPr>
          <w:p w:rsidR="00C77E3B" w:rsidRPr="00A9366F" w:rsidRDefault="00C77E3B" w:rsidP="00391165">
            <w:pPr>
              <w:tabs>
                <w:tab w:val="left" w:pos="1212"/>
              </w:tabs>
              <w:spacing w:line="235" w:lineRule="auto"/>
              <w:jc w:val="center"/>
              <w:rPr>
                <w:rFonts w:ascii="Calibri" w:hAnsi="Calibri" w:cs="Calibri"/>
                <w:b/>
                <w:lang w:val="en-US"/>
              </w:rPr>
            </w:pPr>
            <w:r w:rsidRPr="00A9366F">
              <w:rPr>
                <w:rFonts w:ascii="Calibri" w:hAnsi="Calibri" w:cs="Calibri"/>
                <w:b/>
                <w:lang w:val="en-US"/>
              </w:rPr>
              <w:t>2015</w:t>
            </w:r>
          </w:p>
        </w:tc>
        <w:tc>
          <w:tcPr>
            <w:tcW w:w="4211" w:type="dxa"/>
            <w:gridSpan w:val="3"/>
            <w:shd w:val="clear" w:color="auto" w:fill="9BBB59"/>
          </w:tcPr>
          <w:p w:rsidR="00C77E3B" w:rsidRPr="00A9366F" w:rsidRDefault="00C77E3B" w:rsidP="00391165">
            <w:pPr>
              <w:tabs>
                <w:tab w:val="left" w:pos="1212"/>
              </w:tabs>
              <w:spacing w:line="235" w:lineRule="auto"/>
              <w:jc w:val="center"/>
              <w:rPr>
                <w:rFonts w:ascii="Calibri" w:hAnsi="Calibri" w:cs="Calibri"/>
                <w:b/>
                <w:lang w:val="en-US"/>
              </w:rPr>
            </w:pPr>
            <w:r w:rsidRPr="00A9366F">
              <w:rPr>
                <w:rFonts w:ascii="Calibri" w:hAnsi="Calibri" w:cs="Calibri"/>
                <w:b/>
                <w:lang w:val="en-US"/>
              </w:rPr>
              <w:t xml:space="preserve">2016 </w:t>
            </w:r>
          </w:p>
        </w:tc>
      </w:tr>
      <w:tr w:rsidR="00391165" w:rsidRPr="00A9366F" w:rsidTr="009B3B2D">
        <w:trPr>
          <w:cantSplit/>
          <w:trHeight w:val="1190"/>
        </w:trPr>
        <w:tc>
          <w:tcPr>
            <w:tcW w:w="1196" w:type="dxa"/>
            <w:vMerge/>
            <w:shd w:val="clear" w:color="auto" w:fill="9BBB59"/>
          </w:tcPr>
          <w:p w:rsidR="00391165" w:rsidRPr="00A9366F" w:rsidRDefault="00391165" w:rsidP="00391165">
            <w:pPr>
              <w:tabs>
                <w:tab w:val="left" w:pos="1212"/>
              </w:tabs>
              <w:spacing w:line="235" w:lineRule="auto"/>
              <w:rPr>
                <w:rFonts w:ascii="Calibri" w:hAnsi="Calibri" w:cs="Calibri"/>
                <w:b/>
                <w:snapToGrid w:val="0"/>
                <w:lang w:val="en-US"/>
              </w:rPr>
            </w:pPr>
          </w:p>
        </w:tc>
        <w:tc>
          <w:tcPr>
            <w:tcW w:w="1926"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 xml:space="preserve">Amount of payments in </w:t>
            </w:r>
            <w:proofErr w:type="spellStart"/>
            <w:r w:rsidRPr="00A9366F">
              <w:rPr>
                <w:rFonts w:ascii="Calibri" w:hAnsi="Calibri" w:cs="Calibri"/>
                <w:b/>
                <w:snapToGrid w:val="0"/>
                <w:lang w:val="en-US"/>
              </w:rPr>
              <w:t>tenge</w:t>
            </w:r>
            <w:proofErr w:type="spellEnd"/>
            <w:r w:rsidRPr="00A9366F">
              <w:rPr>
                <w:rFonts w:ascii="Calibri" w:hAnsi="Calibri" w:cs="Calibri"/>
                <w:b/>
                <w:snapToGrid w:val="0"/>
                <w:lang w:val="en-US"/>
              </w:rPr>
              <w:t xml:space="preserve"> through DCA between residents (in KZT billion)</w:t>
            </w:r>
          </w:p>
        </w:tc>
        <w:tc>
          <w:tcPr>
            <w:tcW w:w="1260"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Limit amount</w:t>
            </w:r>
          </w:p>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(in KZT billion)</w:t>
            </w:r>
          </w:p>
        </w:tc>
        <w:tc>
          <w:tcPr>
            <w:tcW w:w="1115"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i/>
                <w:snapToGrid w:val="0"/>
                <w:lang w:val="en-US"/>
              </w:rPr>
            </w:pPr>
            <w:r w:rsidRPr="00A9366F">
              <w:rPr>
                <w:rFonts w:ascii="Calibri" w:hAnsi="Calibri" w:cs="Calibri"/>
                <w:b/>
                <w:i/>
                <w:snapToGrid w:val="0"/>
                <w:lang w:val="en-US"/>
              </w:rPr>
              <w:t>Limit utilization ratio</w:t>
            </w:r>
          </w:p>
        </w:tc>
        <w:tc>
          <w:tcPr>
            <w:tcW w:w="1945"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 xml:space="preserve">Amount of payments in </w:t>
            </w:r>
            <w:proofErr w:type="spellStart"/>
            <w:r w:rsidRPr="00A9366F">
              <w:rPr>
                <w:rFonts w:ascii="Calibri" w:hAnsi="Calibri" w:cs="Calibri"/>
                <w:b/>
                <w:snapToGrid w:val="0"/>
                <w:lang w:val="en-US"/>
              </w:rPr>
              <w:t>tenge</w:t>
            </w:r>
            <w:proofErr w:type="spellEnd"/>
            <w:r w:rsidRPr="00A9366F">
              <w:rPr>
                <w:rFonts w:ascii="Calibri" w:hAnsi="Calibri" w:cs="Calibri"/>
                <w:b/>
                <w:snapToGrid w:val="0"/>
                <w:lang w:val="en-US"/>
              </w:rPr>
              <w:t xml:space="preserve"> through DCA between residents (in KZT billion)</w:t>
            </w:r>
          </w:p>
        </w:tc>
        <w:tc>
          <w:tcPr>
            <w:tcW w:w="1080"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Limit amount</w:t>
            </w:r>
          </w:p>
          <w:p w:rsidR="00391165" w:rsidRPr="00A9366F" w:rsidRDefault="00391165" w:rsidP="00391165">
            <w:pPr>
              <w:tabs>
                <w:tab w:val="left" w:pos="1212"/>
              </w:tabs>
              <w:spacing w:line="235" w:lineRule="auto"/>
              <w:jc w:val="center"/>
              <w:rPr>
                <w:rFonts w:ascii="Calibri" w:hAnsi="Calibri" w:cs="Calibri"/>
                <w:b/>
                <w:snapToGrid w:val="0"/>
                <w:lang w:val="en-US"/>
              </w:rPr>
            </w:pPr>
            <w:r w:rsidRPr="00A9366F">
              <w:rPr>
                <w:rFonts w:ascii="Calibri" w:hAnsi="Calibri" w:cs="Calibri"/>
                <w:b/>
                <w:snapToGrid w:val="0"/>
                <w:lang w:val="en-US"/>
              </w:rPr>
              <w:t>(in KZT billion)</w:t>
            </w:r>
          </w:p>
        </w:tc>
        <w:tc>
          <w:tcPr>
            <w:tcW w:w="1186" w:type="dxa"/>
            <w:shd w:val="clear" w:color="auto" w:fill="9BBB59"/>
            <w:vAlign w:val="center"/>
          </w:tcPr>
          <w:p w:rsidR="00391165" w:rsidRPr="00A9366F" w:rsidRDefault="00391165" w:rsidP="00391165">
            <w:pPr>
              <w:tabs>
                <w:tab w:val="left" w:pos="1212"/>
              </w:tabs>
              <w:spacing w:line="235" w:lineRule="auto"/>
              <w:jc w:val="center"/>
              <w:rPr>
                <w:rFonts w:ascii="Calibri" w:hAnsi="Calibri" w:cs="Calibri"/>
                <w:b/>
                <w:i/>
                <w:snapToGrid w:val="0"/>
                <w:lang w:val="en-US"/>
              </w:rPr>
            </w:pPr>
            <w:r w:rsidRPr="00A9366F">
              <w:rPr>
                <w:rFonts w:ascii="Calibri" w:hAnsi="Calibri" w:cs="Calibri"/>
                <w:b/>
                <w:i/>
                <w:snapToGrid w:val="0"/>
                <w:lang w:val="en-US"/>
              </w:rPr>
              <w:t>Limit utilization ratio</w:t>
            </w:r>
          </w:p>
        </w:tc>
      </w:tr>
      <w:tr w:rsidR="00C77E3B" w:rsidRPr="00A9366F" w:rsidTr="00650980">
        <w:trPr>
          <w:trHeight w:val="280"/>
        </w:trPr>
        <w:tc>
          <w:tcPr>
            <w:tcW w:w="1196" w:type="dxa"/>
            <w:vAlign w:val="center"/>
          </w:tcPr>
          <w:p w:rsidR="00C77E3B" w:rsidRPr="00A9366F" w:rsidRDefault="00C77E3B" w:rsidP="00391165">
            <w:pPr>
              <w:spacing w:line="235" w:lineRule="auto"/>
              <w:rPr>
                <w:rFonts w:ascii="Calibri" w:hAnsi="Calibri" w:cs="Calibri"/>
                <w:lang w:val="en-US"/>
              </w:rPr>
            </w:pPr>
            <w:r w:rsidRPr="00A9366F">
              <w:rPr>
                <w:rFonts w:ascii="Calibri" w:hAnsi="Calibri" w:cs="Calibri"/>
                <w:lang w:val="en-US"/>
              </w:rPr>
              <w:t xml:space="preserve">I </w:t>
            </w:r>
            <w:r w:rsidR="00391165" w:rsidRPr="00A9366F">
              <w:rPr>
                <w:rFonts w:ascii="Calibri" w:hAnsi="Calibri" w:cs="Calibri"/>
                <w:lang w:val="en-US"/>
              </w:rPr>
              <w:t xml:space="preserve">quarter </w:t>
            </w:r>
          </w:p>
        </w:tc>
        <w:tc>
          <w:tcPr>
            <w:tcW w:w="1926" w:type="dxa"/>
            <w:vAlign w:val="center"/>
          </w:tcPr>
          <w:p w:rsidR="00C77E3B" w:rsidRPr="00A9366F" w:rsidRDefault="00C77E3B" w:rsidP="009B3B2D">
            <w:pPr>
              <w:spacing w:line="235" w:lineRule="auto"/>
              <w:jc w:val="center"/>
              <w:rPr>
                <w:rFonts w:ascii="Calibri" w:hAnsi="Calibri" w:cs="Calibri"/>
                <w:lang w:val="en-US"/>
              </w:rPr>
            </w:pPr>
            <w:r w:rsidRPr="00A9366F">
              <w:rPr>
                <w:rFonts w:ascii="Calibri" w:hAnsi="Calibri" w:cs="Calibri"/>
                <w:lang w:val="en-US"/>
              </w:rPr>
              <w:t>507,3</w:t>
            </w:r>
          </w:p>
        </w:tc>
        <w:tc>
          <w:tcPr>
            <w:tcW w:w="1260" w:type="dxa"/>
            <w:vAlign w:val="center"/>
          </w:tcPr>
          <w:p w:rsidR="00C77E3B" w:rsidRPr="00A9366F" w:rsidRDefault="00C77E3B" w:rsidP="009B3B2D">
            <w:pPr>
              <w:tabs>
                <w:tab w:val="left" w:pos="1066"/>
              </w:tabs>
              <w:spacing w:line="235" w:lineRule="auto"/>
              <w:jc w:val="center"/>
              <w:rPr>
                <w:rFonts w:ascii="Calibri" w:hAnsi="Calibri" w:cs="Calibri"/>
                <w:lang w:val="en-US"/>
              </w:rPr>
            </w:pPr>
            <w:r w:rsidRPr="00A9366F">
              <w:rPr>
                <w:rFonts w:ascii="Calibri" w:hAnsi="Calibri" w:cs="Calibri"/>
                <w:lang w:val="en-US"/>
              </w:rPr>
              <w:t>1 340,3</w:t>
            </w:r>
          </w:p>
        </w:tc>
        <w:tc>
          <w:tcPr>
            <w:tcW w:w="1115" w:type="dxa"/>
            <w:vAlign w:val="center"/>
          </w:tcPr>
          <w:p w:rsidR="00C77E3B" w:rsidRPr="00A9366F" w:rsidRDefault="00C77E3B" w:rsidP="009B3B2D">
            <w:pPr>
              <w:spacing w:line="235" w:lineRule="auto"/>
              <w:jc w:val="center"/>
              <w:rPr>
                <w:rFonts w:ascii="Calibri" w:hAnsi="Calibri" w:cs="Calibri"/>
                <w:i/>
                <w:iCs/>
                <w:lang w:val="en-US"/>
              </w:rPr>
            </w:pPr>
            <w:r w:rsidRPr="00A9366F">
              <w:rPr>
                <w:rFonts w:ascii="Calibri" w:hAnsi="Calibri" w:cs="Calibri"/>
                <w:lang w:val="en-US"/>
              </w:rPr>
              <w:t>39,1%</w:t>
            </w:r>
          </w:p>
        </w:tc>
        <w:tc>
          <w:tcPr>
            <w:tcW w:w="1945" w:type="dxa"/>
            <w:vAlign w:val="center"/>
          </w:tcPr>
          <w:p w:rsidR="00C77E3B" w:rsidRPr="00A9366F" w:rsidRDefault="00C77E3B" w:rsidP="009B3B2D">
            <w:pPr>
              <w:spacing w:line="235" w:lineRule="auto"/>
              <w:ind w:right="-28"/>
              <w:jc w:val="center"/>
              <w:rPr>
                <w:rFonts w:ascii="Calibri" w:hAnsi="Calibri" w:cs="Calibri"/>
                <w:lang w:val="en-US"/>
              </w:rPr>
            </w:pPr>
            <w:r w:rsidRPr="00A9366F">
              <w:rPr>
                <w:rFonts w:ascii="Calibri" w:hAnsi="Calibri" w:cs="Calibri"/>
                <w:lang w:val="en-US"/>
              </w:rPr>
              <w:t>423,9</w:t>
            </w:r>
          </w:p>
        </w:tc>
        <w:tc>
          <w:tcPr>
            <w:tcW w:w="1080" w:type="dxa"/>
            <w:vAlign w:val="center"/>
          </w:tcPr>
          <w:p w:rsidR="00C77E3B" w:rsidRPr="00A9366F" w:rsidRDefault="00C77E3B" w:rsidP="009B3B2D">
            <w:pPr>
              <w:spacing w:line="235" w:lineRule="auto"/>
              <w:ind w:right="-8"/>
              <w:jc w:val="center"/>
              <w:rPr>
                <w:rFonts w:ascii="Calibri" w:hAnsi="Calibri" w:cs="Calibri"/>
                <w:lang w:val="en-US"/>
              </w:rPr>
            </w:pPr>
            <w:r w:rsidRPr="00A9366F">
              <w:rPr>
                <w:rFonts w:ascii="Calibri" w:hAnsi="Calibri" w:cs="Calibri"/>
                <w:lang w:val="en-US"/>
              </w:rPr>
              <w:t>2 605,9</w:t>
            </w:r>
          </w:p>
        </w:tc>
        <w:tc>
          <w:tcPr>
            <w:tcW w:w="1186" w:type="dxa"/>
            <w:vAlign w:val="center"/>
          </w:tcPr>
          <w:p w:rsidR="00C77E3B" w:rsidRPr="00A9366F" w:rsidRDefault="00C77E3B" w:rsidP="009B3B2D">
            <w:pPr>
              <w:tabs>
                <w:tab w:val="left" w:pos="1392"/>
              </w:tabs>
              <w:spacing w:line="235" w:lineRule="auto"/>
              <w:jc w:val="center"/>
              <w:rPr>
                <w:rFonts w:ascii="Calibri" w:hAnsi="Calibri" w:cs="Calibri"/>
                <w:i/>
                <w:iCs/>
                <w:lang w:val="en-US"/>
              </w:rPr>
            </w:pPr>
            <w:r w:rsidRPr="00A9366F">
              <w:rPr>
                <w:rFonts w:ascii="Calibri" w:hAnsi="Calibri" w:cs="Calibri"/>
                <w:lang w:val="en-US"/>
              </w:rPr>
              <w:t>17,4%</w:t>
            </w:r>
          </w:p>
        </w:tc>
      </w:tr>
      <w:tr w:rsidR="00C77E3B" w:rsidRPr="00A9366F" w:rsidTr="00650980">
        <w:trPr>
          <w:trHeight w:val="280"/>
        </w:trPr>
        <w:tc>
          <w:tcPr>
            <w:tcW w:w="1196" w:type="dxa"/>
            <w:vAlign w:val="center"/>
          </w:tcPr>
          <w:p w:rsidR="00C77E3B" w:rsidRPr="00A9366F" w:rsidRDefault="00C77E3B" w:rsidP="00391165">
            <w:pPr>
              <w:spacing w:line="235" w:lineRule="auto"/>
              <w:rPr>
                <w:rFonts w:ascii="Calibri" w:hAnsi="Calibri" w:cs="Calibri"/>
                <w:lang w:val="en-US"/>
              </w:rPr>
            </w:pPr>
            <w:r w:rsidRPr="00A9366F">
              <w:rPr>
                <w:rFonts w:ascii="Calibri" w:hAnsi="Calibri" w:cs="Calibri"/>
                <w:lang w:val="en-US"/>
              </w:rPr>
              <w:t xml:space="preserve">II </w:t>
            </w:r>
            <w:r w:rsidR="00391165" w:rsidRPr="00A9366F">
              <w:rPr>
                <w:rFonts w:ascii="Calibri" w:hAnsi="Calibri" w:cs="Calibri"/>
                <w:lang w:val="en-US"/>
              </w:rPr>
              <w:t>quarter</w:t>
            </w:r>
          </w:p>
        </w:tc>
        <w:tc>
          <w:tcPr>
            <w:tcW w:w="1926" w:type="dxa"/>
            <w:vAlign w:val="center"/>
          </w:tcPr>
          <w:p w:rsidR="00C77E3B" w:rsidRPr="00A9366F" w:rsidRDefault="00C77E3B" w:rsidP="009B3B2D">
            <w:pPr>
              <w:spacing w:line="235" w:lineRule="auto"/>
              <w:jc w:val="center"/>
              <w:rPr>
                <w:rFonts w:ascii="Calibri" w:hAnsi="Calibri" w:cs="Calibri"/>
                <w:lang w:val="en-US"/>
              </w:rPr>
            </w:pPr>
            <w:r w:rsidRPr="00A9366F">
              <w:rPr>
                <w:rFonts w:ascii="Calibri" w:hAnsi="Calibri" w:cs="Calibri"/>
                <w:lang w:val="en-US"/>
              </w:rPr>
              <w:t>766,9</w:t>
            </w:r>
          </w:p>
        </w:tc>
        <w:tc>
          <w:tcPr>
            <w:tcW w:w="1260" w:type="dxa"/>
            <w:vAlign w:val="center"/>
          </w:tcPr>
          <w:p w:rsidR="00C77E3B" w:rsidRPr="00A9366F" w:rsidRDefault="00C77E3B" w:rsidP="009B3B2D">
            <w:pPr>
              <w:tabs>
                <w:tab w:val="left" w:pos="1066"/>
              </w:tabs>
              <w:spacing w:line="235" w:lineRule="auto"/>
              <w:jc w:val="center"/>
              <w:rPr>
                <w:rFonts w:ascii="Calibri" w:hAnsi="Calibri" w:cs="Calibri"/>
                <w:lang w:val="en-US"/>
              </w:rPr>
            </w:pPr>
            <w:r w:rsidRPr="00A9366F">
              <w:rPr>
                <w:rFonts w:ascii="Calibri" w:hAnsi="Calibri" w:cs="Calibri"/>
                <w:lang w:val="en-US"/>
              </w:rPr>
              <w:t>1 024,7</w:t>
            </w:r>
          </w:p>
        </w:tc>
        <w:tc>
          <w:tcPr>
            <w:tcW w:w="1115" w:type="dxa"/>
            <w:vAlign w:val="center"/>
          </w:tcPr>
          <w:p w:rsidR="00C77E3B" w:rsidRPr="00A9366F" w:rsidRDefault="00C77E3B" w:rsidP="009B3B2D">
            <w:pPr>
              <w:spacing w:line="235" w:lineRule="auto"/>
              <w:jc w:val="center"/>
              <w:rPr>
                <w:rFonts w:ascii="Calibri" w:hAnsi="Calibri" w:cs="Calibri"/>
                <w:i/>
                <w:iCs/>
                <w:lang w:val="en-US"/>
              </w:rPr>
            </w:pPr>
            <w:r w:rsidRPr="00A9366F">
              <w:rPr>
                <w:rFonts w:ascii="Calibri" w:hAnsi="Calibri" w:cs="Calibri"/>
                <w:lang w:val="en-US"/>
              </w:rPr>
              <w:t>74,1%</w:t>
            </w:r>
          </w:p>
        </w:tc>
        <w:tc>
          <w:tcPr>
            <w:tcW w:w="1945" w:type="dxa"/>
            <w:vAlign w:val="center"/>
          </w:tcPr>
          <w:p w:rsidR="00C77E3B" w:rsidRPr="00A9366F" w:rsidRDefault="00C77E3B" w:rsidP="009B3B2D">
            <w:pPr>
              <w:spacing w:line="235" w:lineRule="auto"/>
              <w:ind w:right="-28"/>
              <w:jc w:val="center"/>
              <w:rPr>
                <w:rFonts w:ascii="Calibri" w:hAnsi="Calibri" w:cs="Calibri"/>
                <w:lang w:val="en-US"/>
              </w:rPr>
            </w:pPr>
            <w:r w:rsidRPr="00A9366F">
              <w:rPr>
                <w:rFonts w:ascii="Calibri" w:hAnsi="Calibri" w:cs="Calibri"/>
                <w:lang w:val="en-US"/>
              </w:rPr>
              <w:t>628,4</w:t>
            </w:r>
          </w:p>
        </w:tc>
        <w:tc>
          <w:tcPr>
            <w:tcW w:w="1080" w:type="dxa"/>
            <w:vAlign w:val="center"/>
          </w:tcPr>
          <w:p w:rsidR="00C77E3B" w:rsidRPr="00A9366F" w:rsidRDefault="00C77E3B" w:rsidP="009B3B2D">
            <w:pPr>
              <w:spacing w:line="235" w:lineRule="auto"/>
              <w:ind w:right="-8"/>
              <w:jc w:val="center"/>
              <w:rPr>
                <w:rFonts w:ascii="Calibri" w:hAnsi="Calibri" w:cs="Calibri"/>
                <w:lang w:val="en-US"/>
              </w:rPr>
            </w:pPr>
            <w:r w:rsidRPr="00A9366F">
              <w:rPr>
                <w:rFonts w:ascii="Calibri" w:hAnsi="Calibri" w:cs="Calibri"/>
                <w:lang w:val="en-US"/>
              </w:rPr>
              <w:t>2 900,4</w:t>
            </w:r>
          </w:p>
        </w:tc>
        <w:tc>
          <w:tcPr>
            <w:tcW w:w="1186" w:type="dxa"/>
            <w:vAlign w:val="center"/>
          </w:tcPr>
          <w:p w:rsidR="00C77E3B" w:rsidRPr="00A9366F" w:rsidRDefault="00C77E3B" w:rsidP="009B3B2D">
            <w:pPr>
              <w:tabs>
                <w:tab w:val="left" w:pos="1392"/>
              </w:tabs>
              <w:spacing w:line="235" w:lineRule="auto"/>
              <w:jc w:val="center"/>
              <w:rPr>
                <w:rFonts w:ascii="Calibri" w:hAnsi="Calibri" w:cs="Calibri"/>
                <w:i/>
                <w:iCs/>
                <w:lang w:val="en-US"/>
              </w:rPr>
            </w:pPr>
            <w:r w:rsidRPr="00A9366F">
              <w:rPr>
                <w:rFonts w:ascii="Calibri" w:hAnsi="Calibri" w:cs="Calibri"/>
                <w:lang w:val="en-US"/>
              </w:rPr>
              <w:t>23,0%</w:t>
            </w:r>
          </w:p>
        </w:tc>
      </w:tr>
      <w:tr w:rsidR="00C77E3B" w:rsidRPr="00A9366F" w:rsidTr="00650980">
        <w:trPr>
          <w:trHeight w:val="280"/>
        </w:trPr>
        <w:tc>
          <w:tcPr>
            <w:tcW w:w="1196" w:type="dxa"/>
            <w:vAlign w:val="center"/>
          </w:tcPr>
          <w:p w:rsidR="00C77E3B" w:rsidRPr="00A9366F" w:rsidRDefault="00C77E3B" w:rsidP="00391165">
            <w:pPr>
              <w:spacing w:line="235" w:lineRule="auto"/>
              <w:rPr>
                <w:rFonts w:ascii="Calibri" w:hAnsi="Calibri" w:cs="Calibri"/>
                <w:lang w:val="en-US"/>
              </w:rPr>
            </w:pPr>
            <w:r w:rsidRPr="00A9366F">
              <w:rPr>
                <w:rFonts w:ascii="Calibri" w:hAnsi="Calibri" w:cs="Calibri"/>
                <w:lang w:val="en-US"/>
              </w:rPr>
              <w:t xml:space="preserve">III </w:t>
            </w:r>
            <w:r w:rsidR="00391165" w:rsidRPr="00A9366F">
              <w:rPr>
                <w:rFonts w:ascii="Calibri" w:hAnsi="Calibri" w:cs="Calibri"/>
                <w:lang w:val="en-US"/>
              </w:rPr>
              <w:t xml:space="preserve">quarter </w:t>
            </w:r>
          </w:p>
        </w:tc>
        <w:tc>
          <w:tcPr>
            <w:tcW w:w="1926" w:type="dxa"/>
            <w:vAlign w:val="center"/>
          </w:tcPr>
          <w:p w:rsidR="00C77E3B" w:rsidRPr="00A9366F" w:rsidRDefault="00C77E3B" w:rsidP="009B3B2D">
            <w:pPr>
              <w:spacing w:line="235" w:lineRule="auto"/>
              <w:jc w:val="center"/>
              <w:rPr>
                <w:rFonts w:ascii="Calibri" w:hAnsi="Calibri" w:cs="Calibri"/>
                <w:lang w:val="en-US"/>
              </w:rPr>
            </w:pPr>
            <w:r w:rsidRPr="00A9366F">
              <w:rPr>
                <w:rFonts w:ascii="Calibri" w:hAnsi="Calibri" w:cs="Calibri"/>
                <w:lang w:val="en-US"/>
              </w:rPr>
              <w:t>369,8</w:t>
            </w:r>
          </w:p>
        </w:tc>
        <w:tc>
          <w:tcPr>
            <w:tcW w:w="1260" w:type="dxa"/>
            <w:vAlign w:val="center"/>
          </w:tcPr>
          <w:p w:rsidR="00C77E3B" w:rsidRPr="00A9366F" w:rsidRDefault="00C77E3B" w:rsidP="009B3B2D">
            <w:pPr>
              <w:tabs>
                <w:tab w:val="left" w:pos="1066"/>
              </w:tabs>
              <w:spacing w:line="235" w:lineRule="auto"/>
              <w:jc w:val="center"/>
              <w:rPr>
                <w:rFonts w:ascii="Calibri" w:hAnsi="Calibri" w:cs="Calibri"/>
                <w:lang w:val="en-US"/>
              </w:rPr>
            </w:pPr>
            <w:r w:rsidRPr="00A9366F">
              <w:rPr>
                <w:rFonts w:ascii="Calibri" w:hAnsi="Calibri" w:cs="Calibri"/>
                <w:lang w:val="en-US"/>
              </w:rPr>
              <w:t>2 362,2</w:t>
            </w:r>
          </w:p>
        </w:tc>
        <w:tc>
          <w:tcPr>
            <w:tcW w:w="1115" w:type="dxa"/>
            <w:vAlign w:val="center"/>
          </w:tcPr>
          <w:p w:rsidR="00C77E3B" w:rsidRPr="00A9366F" w:rsidRDefault="00C77E3B" w:rsidP="009B3B2D">
            <w:pPr>
              <w:spacing w:line="235" w:lineRule="auto"/>
              <w:jc w:val="center"/>
              <w:rPr>
                <w:rFonts w:ascii="Calibri" w:hAnsi="Calibri" w:cs="Calibri"/>
                <w:i/>
                <w:iCs/>
                <w:lang w:val="en-US"/>
              </w:rPr>
            </w:pPr>
            <w:r w:rsidRPr="00A9366F">
              <w:rPr>
                <w:rFonts w:ascii="Calibri" w:hAnsi="Calibri" w:cs="Calibri"/>
                <w:lang w:val="en-US"/>
              </w:rPr>
              <w:t>15,8%</w:t>
            </w:r>
          </w:p>
        </w:tc>
        <w:tc>
          <w:tcPr>
            <w:tcW w:w="1945" w:type="dxa"/>
            <w:vAlign w:val="center"/>
          </w:tcPr>
          <w:p w:rsidR="00C77E3B" w:rsidRPr="00A9366F" w:rsidRDefault="00C77E3B" w:rsidP="009B3B2D">
            <w:pPr>
              <w:spacing w:line="235" w:lineRule="auto"/>
              <w:ind w:right="-28"/>
              <w:jc w:val="center"/>
              <w:rPr>
                <w:rFonts w:ascii="Calibri" w:hAnsi="Calibri" w:cs="Calibri"/>
                <w:lang w:val="en-US"/>
              </w:rPr>
            </w:pPr>
            <w:r w:rsidRPr="00A9366F">
              <w:rPr>
                <w:rFonts w:ascii="Calibri" w:hAnsi="Calibri" w:cs="Calibri"/>
                <w:lang w:val="en-US"/>
              </w:rPr>
              <w:t>780,6</w:t>
            </w:r>
          </w:p>
        </w:tc>
        <w:tc>
          <w:tcPr>
            <w:tcW w:w="1080" w:type="dxa"/>
            <w:vAlign w:val="center"/>
          </w:tcPr>
          <w:p w:rsidR="00C77E3B" w:rsidRPr="00A9366F" w:rsidRDefault="00C77E3B" w:rsidP="009B3B2D">
            <w:pPr>
              <w:spacing w:line="235" w:lineRule="auto"/>
              <w:ind w:right="-8"/>
              <w:jc w:val="center"/>
              <w:rPr>
                <w:rFonts w:ascii="Calibri" w:hAnsi="Calibri" w:cs="Calibri"/>
                <w:lang w:val="en-US"/>
              </w:rPr>
            </w:pPr>
            <w:r w:rsidRPr="00A9366F">
              <w:rPr>
                <w:rFonts w:ascii="Calibri" w:hAnsi="Calibri" w:cs="Calibri"/>
                <w:lang w:val="en-US"/>
              </w:rPr>
              <w:t>4 763,2</w:t>
            </w:r>
          </w:p>
        </w:tc>
        <w:tc>
          <w:tcPr>
            <w:tcW w:w="1186" w:type="dxa"/>
            <w:vAlign w:val="center"/>
          </w:tcPr>
          <w:p w:rsidR="00C77E3B" w:rsidRPr="00A9366F" w:rsidRDefault="00C77E3B" w:rsidP="009B3B2D">
            <w:pPr>
              <w:tabs>
                <w:tab w:val="left" w:pos="1392"/>
              </w:tabs>
              <w:spacing w:line="235" w:lineRule="auto"/>
              <w:jc w:val="center"/>
              <w:rPr>
                <w:rFonts w:ascii="Calibri" w:hAnsi="Calibri" w:cs="Calibri"/>
                <w:i/>
                <w:iCs/>
                <w:lang w:val="en-US"/>
              </w:rPr>
            </w:pPr>
            <w:r w:rsidRPr="00A9366F">
              <w:rPr>
                <w:rFonts w:ascii="Calibri" w:hAnsi="Calibri" w:cs="Calibri"/>
                <w:lang w:val="en-US"/>
              </w:rPr>
              <w:t>22,6%</w:t>
            </w:r>
          </w:p>
        </w:tc>
      </w:tr>
      <w:tr w:rsidR="00C77E3B" w:rsidRPr="00A9366F" w:rsidTr="00650980">
        <w:trPr>
          <w:trHeight w:val="280"/>
        </w:trPr>
        <w:tc>
          <w:tcPr>
            <w:tcW w:w="1196" w:type="dxa"/>
            <w:vAlign w:val="center"/>
          </w:tcPr>
          <w:p w:rsidR="00C77E3B" w:rsidRPr="00A9366F" w:rsidRDefault="00391165" w:rsidP="00391165">
            <w:pPr>
              <w:spacing w:line="235" w:lineRule="auto"/>
              <w:rPr>
                <w:rFonts w:ascii="Calibri" w:hAnsi="Calibri" w:cs="Calibri"/>
                <w:lang w:val="en-US"/>
              </w:rPr>
            </w:pPr>
            <w:r w:rsidRPr="00A9366F">
              <w:rPr>
                <w:rFonts w:ascii="Calibri" w:hAnsi="Calibri" w:cs="Calibri"/>
                <w:lang w:val="en-US"/>
              </w:rPr>
              <w:t>IV quarter</w:t>
            </w:r>
          </w:p>
        </w:tc>
        <w:tc>
          <w:tcPr>
            <w:tcW w:w="1926" w:type="dxa"/>
            <w:vAlign w:val="center"/>
          </w:tcPr>
          <w:p w:rsidR="00C77E3B" w:rsidRPr="00A9366F" w:rsidRDefault="00C77E3B" w:rsidP="009B3B2D">
            <w:pPr>
              <w:spacing w:line="235" w:lineRule="auto"/>
              <w:jc w:val="center"/>
              <w:rPr>
                <w:rFonts w:ascii="Calibri" w:hAnsi="Calibri" w:cs="Calibri"/>
                <w:lang w:val="en-US"/>
              </w:rPr>
            </w:pPr>
            <w:r w:rsidRPr="00A9366F">
              <w:rPr>
                <w:rFonts w:ascii="Calibri" w:hAnsi="Calibri" w:cs="Calibri"/>
                <w:lang w:val="en-US"/>
              </w:rPr>
              <w:t>560,8</w:t>
            </w:r>
          </w:p>
        </w:tc>
        <w:tc>
          <w:tcPr>
            <w:tcW w:w="1260" w:type="dxa"/>
            <w:vAlign w:val="center"/>
          </w:tcPr>
          <w:p w:rsidR="00C77E3B" w:rsidRPr="00A9366F" w:rsidRDefault="00C77E3B" w:rsidP="009B3B2D">
            <w:pPr>
              <w:tabs>
                <w:tab w:val="left" w:pos="1066"/>
              </w:tabs>
              <w:spacing w:line="235" w:lineRule="auto"/>
              <w:jc w:val="center"/>
              <w:rPr>
                <w:rFonts w:ascii="Calibri" w:hAnsi="Calibri" w:cs="Calibri"/>
                <w:lang w:val="en-US"/>
              </w:rPr>
            </w:pPr>
            <w:r w:rsidRPr="00A9366F">
              <w:rPr>
                <w:rFonts w:ascii="Calibri" w:hAnsi="Calibri" w:cs="Calibri"/>
                <w:lang w:val="en-US"/>
              </w:rPr>
              <w:t>3 165,9</w:t>
            </w:r>
          </w:p>
        </w:tc>
        <w:tc>
          <w:tcPr>
            <w:tcW w:w="1115" w:type="dxa"/>
            <w:vAlign w:val="center"/>
          </w:tcPr>
          <w:p w:rsidR="00C77E3B" w:rsidRPr="00A9366F" w:rsidRDefault="00C77E3B" w:rsidP="009B3B2D">
            <w:pPr>
              <w:spacing w:line="235" w:lineRule="auto"/>
              <w:jc w:val="center"/>
              <w:rPr>
                <w:rFonts w:ascii="Calibri" w:hAnsi="Calibri" w:cs="Calibri"/>
                <w:i/>
                <w:iCs/>
                <w:lang w:val="en-US"/>
              </w:rPr>
            </w:pPr>
            <w:r w:rsidRPr="00A9366F">
              <w:rPr>
                <w:rFonts w:ascii="Calibri" w:hAnsi="Calibri" w:cs="Calibri"/>
                <w:lang w:val="en-US"/>
              </w:rPr>
              <w:t>17,9%</w:t>
            </w:r>
          </w:p>
        </w:tc>
        <w:tc>
          <w:tcPr>
            <w:tcW w:w="1945" w:type="dxa"/>
            <w:vAlign w:val="center"/>
          </w:tcPr>
          <w:p w:rsidR="00C77E3B" w:rsidRPr="00A9366F" w:rsidRDefault="00C77E3B" w:rsidP="009B3B2D">
            <w:pPr>
              <w:spacing w:line="235" w:lineRule="auto"/>
              <w:ind w:right="-28"/>
              <w:jc w:val="center"/>
              <w:rPr>
                <w:rFonts w:ascii="Calibri" w:hAnsi="Calibri" w:cs="Calibri"/>
                <w:lang w:val="en-US"/>
              </w:rPr>
            </w:pPr>
            <w:r w:rsidRPr="00A9366F">
              <w:rPr>
                <w:rFonts w:ascii="Calibri" w:hAnsi="Calibri" w:cs="Calibri"/>
                <w:lang w:val="en-US"/>
              </w:rPr>
              <w:t>948,9</w:t>
            </w:r>
          </w:p>
        </w:tc>
        <w:tc>
          <w:tcPr>
            <w:tcW w:w="1080" w:type="dxa"/>
            <w:vAlign w:val="center"/>
          </w:tcPr>
          <w:p w:rsidR="00C77E3B" w:rsidRPr="00A9366F" w:rsidRDefault="00C77E3B" w:rsidP="009B3B2D">
            <w:pPr>
              <w:spacing w:line="235" w:lineRule="auto"/>
              <w:ind w:right="-8"/>
              <w:jc w:val="center"/>
              <w:rPr>
                <w:rFonts w:ascii="Calibri" w:hAnsi="Calibri" w:cs="Calibri"/>
                <w:lang w:val="en-US"/>
              </w:rPr>
            </w:pPr>
            <w:r w:rsidRPr="00A9366F">
              <w:rPr>
                <w:rFonts w:ascii="Calibri" w:hAnsi="Calibri" w:cs="Calibri"/>
                <w:lang w:val="en-US"/>
              </w:rPr>
              <w:t>2 427,0</w:t>
            </w:r>
          </w:p>
        </w:tc>
        <w:tc>
          <w:tcPr>
            <w:tcW w:w="1186" w:type="dxa"/>
            <w:vAlign w:val="center"/>
          </w:tcPr>
          <w:p w:rsidR="00C77E3B" w:rsidRPr="00A9366F" w:rsidRDefault="00C77E3B" w:rsidP="009B3B2D">
            <w:pPr>
              <w:tabs>
                <w:tab w:val="left" w:pos="1392"/>
              </w:tabs>
              <w:spacing w:line="235" w:lineRule="auto"/>
              <w:jc w:val="center"/>
              <w:rPr>
                <w:rFonts w:ascii="Calibri" w:hAnsi="Calibri" w:cs="Calibri"/>
                <w:i/>
                <w:iCs/>
                <w:lang w:val="en-US"/>
              </w:rPr>
            </w:pPr>
            <w:r w:rsidRPr="00A9366F">
              <w:rPr>
                <w:rFonts w:ascii="Calibri" w:hAnsi="Calibri" w:cs="Calibri"/>
                <w:lang w:val="en-US"/>
              </w:rPr>
              <w:t>39,1%</w:t>
            </w:r>
          </w:p>
        </w:tc>
      </w:tr>
      <w:tr w:rsidR="00C77E3B" w:rsidRPr="00A9366F" w:rsidTr="00650980">
        <w:trPr>
          <w:trHeight w:val="280"/>
        </w:trPr>
        <w:tc>
          <w:tcPr>
            <w:tcW w:w="1196" w:type="dxa"/>
            <w:vAlign w:val="center"/>
          </w:tcPr>
          <w:p w:rsidR="00C77E3B" w:rsidRPr="00A9366F" w:rsidRDefault="00391165" w:rsidP="009B3B2D">
            <w:pPr>
              <w:spacing w:line="235" w:lineRule="auto"/>
              <w:rPr>
                <w:rFonts w:ascii="Calibri" w:hAnsi="Calibri" w:cs="Calibri"/>
                <w:b/>
                <w:bCs/>
                <w:lang w:val="en-US"/>
              </w:rPr>
            </w:pPr>
            <w:r w:rsidRPr="00A9366F">
              <w:rPr>
                <w:rFonts w:ascii="Calibri" w:hAnsi="Calibri" w:cs="Calibri"/>
                <w:b/>
                <w:bCs/>
                <w:lang w:val="en-US"/>
              </w:rPr>
              <w:t>Total</w:t>
            </w:r>
          </w:p>
        </w:tc>
        <w:tc>
          <w:tcPr>
            <w:tcW w:w="1926" w:type="dxa"/>
            <w:vAlign w:val="center"/>
          </w:tcPr>
          <w:p w:rsidR="00C77E3B" w:rsidRPr="00A9366F" w:rsidRDefault="00C77E3B" w:rsidP="009B3B2D">
            <w:pPr>
              <w:spacing w:line="235" w:lineRule="auto"/>
              <w:jc w:val="center"/>
              <w:rPr>
                <w:rFonts w:ascii="Calibri" w:hAnsi="Calibri" w:cs="Calibri"/>
                <w:b/>
                <w:lang w:val="en-US"/>
              </w:rPr>
            </w:pPr>
            <w:r w:rsidRPr="00A9366F">
              <w:rPr>
                <w:rFonts w:ascii="Calibri" w:hAnsi="Calibri" w:cs="Calibri"/>
                <w:b/>
                <w:lang w:val="en-US"/>
              </w:rPr>
              <w:t>2 204,9</w:t>
            </w:r>
          </w:p>
        </w:tc>
        <w:tc>
          <w:tcPr>
            <w:tcW w:w="1260" w:type="dxa"/>
            <w:vAlign w:val="center"/>
          </w:tcPr>
          <w:p w:rsidR="00C77E3B" w:rsidRPr="00A9366F" w:rsidRDefault="00C77E3B" w:rsidP="009B3B2D">
            <w:pPr>
              <w:tabs>
                <w:tab w:val="left" w:pos="1066"/>
              </w:tabs>
              <w:spacing w:line="235" w:lineRule="auto"/>
              <w:jc w:val="center"/>
              <w:rPr>
                <w:rFonts w:ascii="Calibri" w:hAnsi="Calibri" w:cs="Calibri"/>
                <w:b/>
                <w:lang w:val="en-US"/>
              </w:rPr>
            </w:pPr>
            <w:r w:rsidRPr="00A9366F">
              <w:rPr>
                <w:rFonts w:ascii="Calibri" w:hAnsi="Calibri" w:cs="Calibri"/>
                <w:b/>
                <w:lang w:val="en-US"/>
              </w:rPr>
              <w:t>7 893,3</w:t>
            </w:r>
          </w:p>
        </w:tc>
        <w:tc>
          <w:tcPr>
            <w:tcW w:w="1115" w:type="dxa"/>
            <w:vAlign w:val="center"/>
          </w:tcPr>
          <w:p w:rsidR="00C77E3B" w:rsidRPr="00A9366F" w:rsidRDefault="00C77E3B" w:rsidP="009B3B2D">
            <w:pPr>
              <w:spacing w:line="235" w:lineRule="auto"/>
              <w:jc w:val="center"/>
              <w:rPr>
                <w:rFonts w:ascii="Calibri" w:hAnsi="Calibri" w:cs="Calibri"/>
                <w:b/>
                <w:i/>
                <w:iCs/>
                <w:lang w:val="en-US"/>
              </w:rPr>
            </w:pPr>
            <w:r w:rsidRPr="00A9366F">
              <w:rPr>
                <w:rFonts w:ascii="Calibri" w:hAnsi="Calibri" w:cs="Calibri"/>
                <w:b/>
                <w:lang w:val="en-US"/>
              </w:rPr>
              <w:t>36,7%</w:t>
            </w:r>
          </w:p>
        </w:tc>
        <w:tc>
          <w:tcPr>
            <w:tcW w:w="1945" w:type="dxa"/>
            <w:vAlign w:val="center"/>
          </w:tcPr>
          <w:p w:rsidR="00C77E3B" w:rsidRPr="00A9366F" w:rsidRDefault="00C77E3B" w:rsidP="009B3B2D">
            <w:pPr>
              <w:spacing w:line="235" w:lineRule="auto"/>
              <w:ind w:right="-28"/>
              <w:jc w:val="center"/>
              <w:rPr>
                <w:rFonts w:ascii="Calibri" w:hAnsi="Calibri" w:cs="Calibri"/>
                <w:b/>
                <w:bCs/>
                <w:lang w:val="en-US"/>
              </w:rPr>
            </w:pPr>
            <w:r w:rsidRPr="00A9366F">
              <w:rPr>
                <w:rFonts w:ascii="Calibri" w:hAnsi="Calibri" w:cs="Calibri"/>
                <w:b/>
                <w:lang w:val="en-US"/>
              </w:rPr>
              <w:t>2 781,9</w:t>
            </w:r>
          </w:p>
        </w:tc>
        <w:tc>
          <w:tcPr>
            <w:tcW w:w="1080" w:type="dxa"/>
            <w:vAlign w:val="center"/>
          </w:tcPr>
          <w:p w:rsidR="00C77E3B" w:rsidRPr="00A9366F" w:rsidRDefault="00C77E3B" w:rsidP="009B3B2D">
            <w:pPr>
              <w:spacing w:line="235" w:lineRule="auto"/>
              <w:ind w:right="-8"/>
              <w:jc w:val="center"/>
              <w:rPr>
                <w:rFonts w:ascii="Calibri" w:hAnsi="Calibri" w:cs="Calibri"/>
                <w:b/>
                <w:bCs/>
                <w:lang w:val="en-US"/>
              </w:rPr>
            </w:pPr>
            <w:r w:rsidRPr="00A9366F">
              <w:rPr>
                <w:rFonts w:ascii="Calibri" w:hAnsi="Calibri" w:cs="Calibri"/>
                <w:b/>
                <w:lang w:val="en-US"/>
              </w:rPr>
              <w:t>12 539,2</w:t>
            </w:r>
          </w:p>
        </w:tc>
        <w:tc>
          <w:tcPr>
            <w:tcW w:w="1186" w:type="dxa"/>
            <w:vAlign w:val="center"/>
          </w:tcPr>
          <w:p w:rsidR="00C77E3B" w:rsidRPr="00A9366F" w:rsidRDefault="00C77E3B" w:rsidP="009B3B2D">
            <w:pPr>
              <w:tabs>
                <w:tab w:val="left" w:pos="1392"/>
              </w:tabs>
              <w:spacing w:line="235" w:lineRule="auto"/>
              <w:jc w:val="center"/>
              <w:rPr>
                <w:rFonts w:ascii="Calibri" w:hAnsi="Calibri" w:cs="Calibri"/>
                <w:b/>
                <w:i/>
                <w:iCs/>
                <w:lang w:val="en-US"/>
              </w:rPr>
            </w:pPr>
            <w:r w:rsidRPr="00A9366F">
              <w:rPr>
                <w:rFonts w:ascii="Calibri" w:hAnsi="Calibri" w:cs="Calibri"/>
                <w:b/>
                <w:lang w:val="en-US"/>
              </w:rPr>
              <w:t>25,5%</w:t>
            </w:r>
          </w:p>
        </w:tc>
      </w:tr>
    </w:tbl>
    <w:p w:rsidR="00C77E3B" w:rsidRPr="00A9366F" w:rsidRDefault="00C77E3B" w:rsidP="00C77E3B">
      <w:pPr>
        <w:rPr>
          <w:vanish/>
          <w:lang w:val="en-US"/>
        </w:rPr>
      </w:pPr>
    </w:p>
    <w:tbl>
      <w:tblPr>
        <w:tblW w:w="9853" w:type="dxa"/>
        <w:tblLook w:val="04A0" w:firstRow="1" w:lastRow="0" w:firstColumn="1" w:lastColumn="0" w:noHBand="0" w:noVBand="1"/>
      </w:tblPr>
      <w:tblGrid>
        <w:gridCol w:w="4657"/>
        <w:gridCol w:w="5196"/>
      </w:tblGrid>
      <w:tr w:rsidR="00C77E3B" w:rsidRPr="00EA720F" w:rsidTr="0070273A">
        <w:trPr>
          <w:trHeight w:val="3606"/>
        </w:trPr>
        <w:tc>
          <w:tcPr>
            <w:tcW w:w="4784" w:type="dxa"/>
            <w:shd w:val="clear" w:color="auto" w:fill="auto"/>
          </w:tcPr>
          <w:p w:rsidR="00C77E3B" w:rsidRPr="00A9366F" w:rsidRDefault="00CB418D" w:rsidP="006A4C0A">
            <w:pPr>
              <w:spacing w:line="235" w:lineRule="auto"/>
              <w:ind w:firstLine="708"/>
              <w:jc w:val="both"/>
              <w:rPr>
                <w:rFonts w:ascii="Calibri" w:hAnsi="Calibri" w:cs="Calibri"/>
                <w:sz w:val="30"/>
                <w:szCs w:val="30"/>
                <w:lang w:val="en-US"/>
              </w:rPr>
            </w:pPr>
            <w:bookmarkStart w:id="84" w:name="OLE_LINK22"/>
            <w:bookmarkStart w:id="85" w:name="OLE_LINK23"/>
            <w:r w:rsidRPr="00A9366F">
              <w:rPr>
                <w:rFonts w:ascii="Calibri" w:hAnsi="Calibri" w:cs="Calibri"/>
                <w:b/>
                <w:sz w:val="30"/>
                <w:szCs w:val="30"/>
                <w:lang w:val="en-US"/>
              </w:rPr>
              <w:t>KZT 211.6 trillion</w:t>
            </w:r>
            <w:r w:rsidRPr="00A9366F">
              <w:rPr>
                <w:rFonts w:ascii="Calibri" w:hAnsi="Calibri" w:cs="Calibri"/>
                <w:sz w:val="30"/>
                <w:szCs w:val="30"/>
                <w:lang w:val="en-US"/>
              </w:rPr>
              <w:t xml:space="preserve"> </w:t>
            </w:r>
            <w:proofErr w:type="gramStart"/>
            <w:r w:rsidRPr="00A9366F">
              <w:rPr>
                <w:rFonts w:ascii="Calibri" w:hAnsi="Calibri" w:cs="Calibri"/>
                <w:sz w:val="30"/>
                <w:szCs w:val="30"/>
                <w:lang w:val="en-US"/>
              </w:rPr>
              <w:t>were</w:t>
            </w:r>
            <w:proofErr w:type="gramEnd"/>
            <w:r w:rsidRPr="00A9366F">
              <w:rPr>
                <w:rFonts w:ascii="Calibri" w:hAnsi="Calibri" w:cs="Calibri"/>
                <w:sz w:val="30"/>
                <w:szCs w:val="30"/>
                <w:lang w:val="en-US"/>
              </w:rPr>
              <w:t xml:space="preserve"> sent abroad through correspondent accounts, </w:t>
            </w:r>
            <w:r w:rsidRPr="00A9366F">
              <w:rPr>
                <w:rFonts w:ascii="Calibri" w:hAnsi="Calibri" w:cs="Calibri"/>
                <w:b/>
                <w:sz w:val="30"/>
                <w:szCs w:val="30"/>
                <w:lang w:val="en-US"/>
              </w:rPr>
              <w:t xml:space="preserve">with the number of transactions being 2.7 million. </w:t>
            </w:r>
            <w:r w:rsidRPr="00A9366F">
              <w:rPr>
                <w:rFonts w:ascii="Calibri" w:hAnsi="Calibri" w:cs="Calibri"/>
                <w:sz w:val="30"/>
                <w:szCs w:val="30"/>
                <w:lang w:val="en-US"/>
              </w:rPr>
              <w:t xml:space="preserve">Most of the payments abroad </w:t>
            </w:r>
            <w:r w:rsidR="006A4C0A" w:rsidRPr="00A9366F">
              <w:rPr>
                <w:rFonts w:ascii="Calibri" w:hAnsi="Calibri" w:cs="Calibri"/>
                <w:sz w:val="30"/>
                <w:szCs w:val="30"/>
                <w:lang w:val="en-US"/>
              </w:rPr>
              <w:t xml:space="preserve">settled </w:t>
            </w:r>
            <w:r w:rsidRPr="00A9366F">
              <w:rPr>
                <w:rFonts w:ascii="Calibri" w:hAnsi="Calibri" w:cs="Calibri"/>
                <w:sz w:val="30"/>
                <w:szCs w:val="30"/>
                <w:lang w:val="en-US"/>
              </w:rPr>
              <w:t xml:space="preserve">through the correspondent accounts were denominated in US dollars – </w:t>
            </w:r>
            <w:bookmarkEnd w:id="84"/>
            <w:bookmarkEnd w:id="85"/>
            <w:r w:rsidRPr="00A9366F">
              <w:rPr>
                <w:rFonts w:ascii="Calibri" w:hAnsi="Calibri" w:cs="Calibri"/>
                <w:sz w:val="30"/>
                <w:szCs w:val="30"/>
                <w:lang w:val="en-US"/>
              </w:rPr>
              <w:t>76.</w:t>
            </w:r>
            <w:r w:rsidR="00546122" w:rsidRPr="00A9366F">
              <w:rPr>
                <w:rFonts w:ascii="Calibri" w:hAnsi="Calibri" w:cs="Calibri"/>
                <w:sz w:val="30"/>
                <w:szCs w:val="30"/>
                <w:lang w:val="en-US"/>
              </w:rPr>
              <w:t>2</w:t>
            </w:r>
            <w:r w:rsidRPr="00A9366F">
              <w:rPr>
                <w:rFonts w:ascii="Calibri" w:hAnsi="Calibri" w:cs="Calibri"/>
                <w:sz w:val="30"/>
                <w:szCs w:val="30"/>
                <w:lang w:val="en-US"/>
              </w:rPr>
              <w:t>%</w:t>
            </w:r>
            <w:r w:rsidR="00C77E3B" w:rsidRPr="00A9366F">
              <w:rPr>
                <w:rFonts w:ascii="Calibri" w:hAnsi="Calibri" w:cs="Calibri"/>
                <w:sz w:val="30"/>
                <w:szCs w:val="30"/>
                <w:lang w:val="en-US"/>
              </w:rPr>
              <w:t>.</w:t>
            </w:r>
          </w:p>
        </w:tc>
        <w:tc>
          <w:tcPr>
            <w:tcW w:w="5069" w:type="dxa"/>
            <w:shd w:val="clear" w:color="auto" w:fill="auto"/>
          </w:tcPr>
          <w:p w:rsidR="00C77E3B" w:rsidRPr="00A9366F" w:rsidRDefault="00322E13" w:rsidP="00322E13">
            <w:pPr>
              <w:spacing w:line="235" w:lineRule="auto"/>
              <w:jc w:val="center"/>
              <w:rPr>
                <w:rFonts w:ascii="Calibri" w:hAnsi="Calibri" w:cs="Calibri"/>
                <w:sz w:val="30"/>
                <w:szCs w:val="30"/>
                <w:lang w:val="en-US"/>
              </w:rPr>
            </w:pPr>
            <w:r w:rsidRPr="00A9366F">
              <w:rPr>
                <w:rFonts w:ascii="Calibri" w:hAnsi="Calibri" w:cs="Arial"/>
                <w:b/>
                <w:color w:val="0E4C28"/>
                <w:sz w:val="28"/>
                <w:szCs w:val="28"/>
                <w:lang w:val="en-US"/>
              </w:rPr>
              <w:t xml:space="preserve">Proportion of the total amount of payments and money transfers abroad </w:t>
            </w:r>
            <w:r w:rsidR="00B41594" w:rsidRPr="00A9366F">
              <w:rPr>
                <w:rFonts w:ascii="Calibri" w:hAnsi="Calibri" w:cs="Calibri"/>
                <w:b/>
                <w:noProof/>
              </w:rPr>
              <w:drawing>
                <wp:inline distT="0" distB="0" distL="0" distR="0">
                  <wp:extent cx="3078480" cy="1649730"/>
                  <wp:effectExtent l="38100" t="0" r="45720" b="7620"/>
                  <wp:docPr id="49" name="Объект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bl>
    <w:p w:rsidR="00C77E3B" w:rsidRPr="00A9366F" w:rsidRDefault="00322E13" w:rsidP="00E363C5">
      <w:pPr>
        <w:spacing w:line="233" w:lineRule="auto"/>
        <w:ind w:firstLine="709"/>
        <w:jc w:val="both"/>
        <w:rPr>
          <w:rFonts w:ascii="Calibri" w:hAnsi="Calibri" w:cs="Calibri"/>
          <w:sz w:val="30"/>
          <w:szCs w:val="30"/>
          <w:lang w:val="en-US"/>
        </w:rPr>
      </w:pPr>
      <w:r w:rsidRPr="00A9366F">
        <w:rPr>
          <w:rFonts w:ascii="Calibri" w:hAnsi="Calibri" w:cs="Calibri"/>
          <w:sz w:val="30"/>
          <w:szCs w:val="30"/>
          <w:lang w:val="en-US"/>
        </w:rPr>
        <w:t xml:space="preserve">The main flow of money transfers through correspondent accounts was directed to the USA – </w:t>
      </w:r>
      <w:r w:rsidR="00C77E3B" w:rsidRPr="00A9366F">
        <w:rPr>
          <w:rFonts w:ascii="Calibri" w:hAnsi="Calibri" w:cs="Calibri"/>
          <w:sz w:val="30"/>
          <w:szCs w:val="30"/>
          <w:lang w:val="en-US"/>
        </w:rPr>
        <w:t>5</w:t>
      </w:r>
      <w:r w:rsidR="00CC43D9" w:rsidRPr="00A9366F">
        <w:rPr>
          <w:rFonts w:ascii="Calibri" w:hAnsi="Calibri" w:cs="Calibri"/>
          <w:sz w:val="30"/>
          <w:szCs w:val="30"/>
          <w:lang w:val="en-US"/>
        </w:rPr>
        <w:t>6</w:t>
      </w:r>
      <w:r w:rsidRPr="00A9366F">
        <w:rPr>
          <w:rFonts w:ascii="Calibri" w:hAnsi="Calibri" w:cs="Calibri"/>
          <w:sz w:val="30"/>
          <w:szCs w:val="30"/>
          <w:lang w:val="en-US"/>
        </w:rPr>
        <w:t>.5%</w:t>
      </w:r>
      <w:r w:rsidR="00C77E3B" w:rsidRPr="00A9366F">
        <w:rPr>
          <w:rFonts w:ascii="Calibri" w:hAnsi="Calibri" w:cs="Calibri"/>
          <w:sz w:val="30"/>
          <w:szCs w:val="30"/>
          <w:lang w:val="en-US"/>
        </w:rPr>
        <w:t xml:space="preserve">. </w:t>
      </w:r>
    </w:p>
    <w:p w:rsidR="00C77E3B" w:rsidRPr="00A9366F" w:rsidRDefault="00322E13" w:rsidP="00E363C5">
      <w:pPr>
        <w:spacing w:line="233" w:lineRule="auto"/>
        <w:jc w:val="center"/>
        <w:rPr>
          <w:rFonts w:ascii="Calibri" w:hAnsi="Calibri" w:cs="Arial"/>
          <w:b/>
          <w:color w:val="0E4C28"/>
          <w:sz w:val="28"/>
          <w:szCs w:val="28"/>
          <w:lang w:val="en-US"/>
        </w:rPr>
      </w:pPr>
      <w:r w:rsidRPr="00A9366F">
        <w:rPr>
          <w:rFonts w:ascii="Calibri" w:hAnsi="Calibri" w:cs="Arial"/>
          <w:b/>
          <w:color w:val="0E4C28"/>
          <w:sz w:val="28"/>
          <w:szCs w:val="28"/>
          <w:lang w:val="en-US"/>
        </w:rPr>
        <w:t>Money transfer destination countries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4"/>
        <w:gridCol w:w="1655"/>
        <w:gridCol w:w="1409"/>
        <w:gridCol w:w="1478"/>
        <w:gridCol w:w="1829"/>
      </w:tblGrid>
      <w:tr w:rsidR="00322E13" w:rsidRPr="00EA720F" w:rsidTr="00BC1404">
        <w:trPr>
          <w:trHeight w:val="255"/>
        </w:trPr>
        <w:tc>
          <w:tcPr>
            <w:tcW w:w="3524" w:type="dxa"/>
            <w:shd w:val="clear" w:color="auto" w:fill="9BBB59"/>
            <w:noWrap/>
            <w:vAlign w:val="center"/>
          </w:tcPr>
          <w:p w:rsidR="00322E13" w:rsidRPr="00A9366F" w:rsidRDefault="00322E13" w:rsidP="00322E13">
            <w:pPr>
              <w:spacing w:line="233" w:lineRule="auto"/>
              <w:jc w:val="center"/>
              <w:rPr>
                <w:rFonts w:ascii="Calibri" w:hAnsi="Calibri" w:cs="Calibri"/>
                <w:b/>
                <w:lang w:val="en-US"/>
              </w:rPr>
            </w:pPr>
            <w:r w:rsidRPr="00A9366F">
              <w:rPr>
                <w:rFonts w:ascii="Calibri" w:hAnsi="Calibri" w:cs="Calibri"/>
                <w:b/>
                <w:lang w:val="en-US"/>
              </w:rPr>
              <w:t>Country</w:t>
            </w:r>
          </w:p>
        </w:tc>
        <w:tc>
          <w:tcPr>
            <w:tcW w:w="1655" w:type="dxa"/>
            <w:shd w:val="clear" w:color="auto" w:fill="9BBB59"/>
            <w:noWrap/>
            <w:vAlign w:val="center"/>
          </w:tcPr>
          <w:p w:rsidR="00322E13" w:rsidRPr="00A9366F" w:rsidRDefault="00322E13" w:rsidP="00322E13">
            <w:pPr>
              <w:jc w:val="center"/>
              <w:rPr>
                <w:rFonts w:ascii="Calibri" w:hAnsi="Calibri" w:cs="Calibri"/>
                <w:b/>
                <w:lang w:val="en-US"/>
              </w:rPr>
            </w:pPr>
            <w:r w:rsidRPr="00A9366F">
              <w:rPr>
                <w:rFonts w:ascii="Calibri" w:hAnsi="Calibri" w:cs="Calibri"/>
                <w:b/>
                <w:lang w:val="en-US"/>
              </w:rPr>
              <w:t>Number</w:t>
            </w:r>
          </w:p>
          <w:p w:rsidR="00322E13" w:rsidRPr="00A9366F" w:rsidRDefault="00322E13" w:rsidP="00322E13">
            <w:pPr>
              <w:jc w:val="center"/>
              <w:rPr>
                <w:rFonts w:ascii="Calibri" w:hAnsi="Calibri" w:cs="Calibri"/>
                <w:b/>
                <w:lang w:val="en-US"/>
              </w:rPr>
            </w:pPr>
            <w:r w:rsidRPr="00A9366F">
              <w:rPr>
                <w:rFonts w:ascii="Calibri" w:hAnsi="Calibri" w:cs="Calibri"/>
                <w:b/>
                <w:lang w:val="en-US"/>
              </w:rPr>
              <w:t>(thousand transactions)</w:t>
            </w:r>
          </w:p>
        </w:tc>
        <w:tc>
          <w:tcPr>
            <w:tcW w:w="1409" w:type="dxa"/>
            <w:shd w:val="clear" w:color="auto" w:fill="9BBB59"/>
            <w:noWrap/>
            <w:vAlign w:val="center"/>
          </w:tcPr>
          <w:p w:rsidR="00322E13" w:rsidRPr="00A9366F" w:rsidRDefault="00322E13" w:rsidP="00322E13">
            <w:pPr>
              <w:jc w:val="center"/>
              <w:rPr>
                <w:rFonts w:ascii="Calibri" w:hAnsi="Calibri" w:cs="Calibri"/>
                <w:b/>
                <w:i/>
                <w:lang w:val="en-US"/>
              </w:rPr>
            </w:pPr>
            <w:r w:rsidRPr="00A9366F">
              <w:rPr>
                <w:rFonts w:ascii="Calibri" w:hAnsi="Calibri" w:cs="Calibri"/>
                <w:b/>
                <w:i/>
                <w:lang w:val="en-US"/>
              </w:rPr>
              <w:t>Proportion of total number,</w:t>
            </w:r>
            <w:r w:rsidRPr="00A9366F">
              <w:rPr>
                <w:rFonts w:ascii="Calibri" w:hAnsi="Calibri" w:cs="Calibri"/>
                <w:b/>
                <w:i/>
                <w:lang w:val="en-US"/>
              </w:rPr>
              <w:br/>
              <w:t>in %</w:t>
            </w:r>
          </w:p>
        </w:tc>
        <w:tc>
          <w:tcPr>
            <w:tcW w:w="1478" w:type="dxa"/>
            <w:shd w:val="clear" w:color="auto" w:fill="9BBB59"/>
            <w:noWrap/>
            <w:vAlign w:val="center"/>
          </w:tcPr>
          <w:p w:rsidR="00322E13" w:rsidRPr="00A9366F" w:rsidRDefault="00322E13" w:rsidP="00322E13">
            <w:pPr>
              <w:jc w:val="center"/>
              <w:rPr>
                <w:rFonts w:ascii="Calibri" w:hAnsi="Calibri" w:cs="Calibri"/>
                <w:b/>
                <w:lang w:val="en-US"/>
              </w:rPr>
            </w:pPr>
            <w:r w:rsidRPr="00A9366F">
              <w:rPr>
                <w:rFonts w:ascii="Calibri" w:hAnsi="Calibri" w:cs="Calibri"/>
                <w:b/>
                <w:lang w:val="en-US"/>
              </w:rPr>
              <w:t>Amount</w:t>
            </w:r>
          </w:p>
          <w:p w:rsidR="00322E13" w:rsidRPr="00A9366F" w:rsidRDefault="00322E13" w:rsidP="00322E13">
            <w:pPr>
              <w:jc w:val="center"/>
              <w:rPr>
                <w:rFonts w:ascii="Calibri" w:hAnsi="Calibri" w:cs="Calibri"/>
                <w:b/>
                <w:lang w:val="en-US"/>
              </w:rPr>
            </w:pPr>
            <w:r w:rsidRPr="00A9366F">
              <w:rPr>
                <w:rFonts w:ascii="Calibri" w:hAnsi="Calibri" w:cs="Calibri"/>
                <w:b/>
                <w:lang w:val="en-US"/>
              </w:rPr>
              <w:t>(KZT billion)</w:t>
            </w:r>
          </w:p>
        </w:tc>
        <w:tc>
          <w:tcPr>
            <w:tcW w:w="1829" w:type="dxa"/>
            <w:shd w:val="clear" w:color="auto" w:fill="9BBB59"/>
            <w:noWrap/>
            <w:vAlign w:val="center"/>
          </w:tcPr>
          <w:p w:rsidR="00322E13" w:rsidRPr="00A9366F" w:rsidRDefault="00322E13" w:rsidP="00322E13">
            <w:pPr>
              <w:jc w:val="center"/>
              <w:rPr>
                <w:rFonts w:ascii="Calibri" w:hAnsi="Calibri" w:cs="Calibri"/>
                <w:b/>
                <w:i/>
                <w:lang w:val="en-US"/>
              </w:rPr>
            </w:pPr>
            <w:r w:rsidRPr="00A9366F">
              <w:rPr>
                <w:rFonts w:ascii="Calibri" w:hAnsi="Calibri" w:cs="Calibri"/>
                <w:b/>
                <w:i/>
                <w:lang w:val="en-US"/>
              </w:rPr>
              <w:t>Proportion of total amount,</w:t>
            </w:r>
            <w:r w:rsidRPr="00A9366F">
              <w:rPr>
                <w:rFonts w:ascii="Calibri" w:hAnsi="Calibri" w:cs="Calibri"/>
                <w:b/>
                <w:i/>
                <w:lang w:val="en-US"/>
              </w:rPr>
              <w:br/>
              <w:t>in %</w:t>
            </w:r>
          </w:p>
        </w:tc>
      </w:tr>
      <w:tr w:rsidR="00C77E3B" w:rsidRPr="00A9366F" w:rsidTr="00CC43D9">
        <w:trPr>
          <w:trHeight w:val="171"/>
        </w:trPr>
        <w:tc>
          <w:tcPr>
            <w:tcW w:w="3524" w:type="dxa"/>
            <w:noWrap/>
            <w:vAlign w:val="bottom"/>
          </w:tcPr>
          <w:p w:rsidR="00C77E3B" w:rsidRPr="00A9366F" w:rsidRDefault="004A7C62" w:rsidP="00E363C5">
            <w:pPr>
              <w:spacing w:line="233" w:lineRule="auto"/>
              <w:rPr>
                <w:rFonts w:ascii="Calibri" w:hAnsi="Calibri" w:cs="Calibri"/>
                <w:lang w:val="en-US"/>
              </w:rPr>
            </w:pPr>
            <w:r w:rsidRPr="00A9366F">
              <w:rPr>
                <w:rFonts w:ascii="Calibri" w:hAnsi="Calibri" w:cs="Calibri"/>
                <w:lang w:val="en-US"/>
              </w:rPr>
              <w:t>United States</w:t>
            </w:r>
            <w:r w:rsidR="00C77E3B" w:rsidRPr="00A9366F">
              <w:rPr>
                <w:rFonts w:ascii="Calibri" w:hAnsi="Calibri" w:cs="Calibri"/>
                <w:lang w:val="en-US"/>
              </w:rPr>
              <w:t xml:space="preserve"> </w:t>
            </w:r>
          </w:p>
        </w:tc>
        <w:tc>
          <w:tcPr>
            <w:tcW w:w="1655" w:type="dxa"/>
            <w:noWrap/>
            <w:vAlign w:val="center"/>
          </w:tcPr>
          <w:p w:rsidR="00C77E3B" w:rsidRPr="00A9366F" w:rsidRDefault="00C77E3B" w:rsidP="00CC43D9">
            <w:pPr>
              <w:spacing w:line="233" w:lineRule="auto"/>
              <w:jc w:val="center"/>
              <w:rPr>
                <w:rFonts w:ascii="Calibri" w:hAnsi="Calibri" w:cs="Calibri"/>
                <w:lang w:val="en-US"/>
              </w:rPr>
            </w:pPr>
            <w:r w:rsidRPr="00A9366F">
              <w:rPr>
                <w:rFonts w:ascii="Calibri" w:hAnsi="Calibri" w:cs="Calibri"/>
                <w:lang w:val="en-US"/>
              </w:rPr>
              <w:t>124,</w:t>
            </w:r>
            <w:r w:rsidR="00CC43D9" w:rsidRPr="00A9366F">
              <w:rPr>
                <w:rFonts w:ascii="Calibri" w:hAnsi="Calibri" w:cs="Calibri"/>
                <w:lang w:val="en-US"/>
              </w:rPr>
              <w:t>3</w:t>
            </w:r>
          </w:p>
        </w:tc>
        <w:tc>
          <w:tcPr>
            <w:tcW w:w="140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4,5</w:t>
            </w:r>
            <w:r w:rsidR="00C77E3B" w:rsidRPr="00A9366F">
              <w:rPr>
                <w:rFonts w:ascii="Calibri" w:hAnsi="Calibri" w:cs="Calibri"/>
                <w:i/>
                <w:lang w:val="en-US"/>
              </w:rPr>
              <w:t>%</w:t>
            </w:r>
          </w:p>
        </w:tc>
        <w:tc>
          <w:tcPr>
            <w:tcW w:w="1478"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119 609,2</w:t>
            </w:r>
          </w:p>
        </w:tc>
        <w:tc>
          <w:tcPr>
            <w:tcW w:w="182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56</w:t>
            </w:r>
            <w:r w:rsidR="00C77E3B" w:rsidRPr="00A9366F">
              <w:rPr>
                <w:rFonts w:ascii="Calibri" w:hAnsi="Calibri" w:cs="Calibri"/>
                <w:i/>
                <w:lang w:val="en-US"/>
              </w:rPr>
              <w:t>,5%</w:t>
            </w:r>
          </w:p>
        </w:tc>
      </w:tr>
      <w:tr w:rsidR="00C77E3B" w:rsidRPr="00A9366F" w:rsidTr="00CC43D9">
        <w:trPr>
          <w:trHeight w:val="255"/>
        </w:trPr>
        <w:tc>
          <w:tcPr>
            <w:tcW w:w="3524" w:type="dxa"/>
            <w:noWrap/>
            <w:vAlign w:val="bottom"/>
          </w:tcPr>
          <w:p w:rsidR="00C77E3B" w:rsidRPr="00A9366F" w:rsidRDefault="004A7C62" w:rsidP="00E363C5">
            <w:pPr>
              <w:spacing w:line="233" w:lineRule="auto"/>
              <w:rPr>
                <w:rFonts w:ascii="Calibri" w:hAnsi="Calibri" w:cs="Calibri"/>
                <w:lang w:val="en-US"/>
              </w:rPr>
            </w:pPr>
            <w:r w:rsidRPr="00A9366F">
              <w:rPr>
                <w:rFonts w:ascii="Calibri" w:hAnsi="Calibri" w:cs="Calibri"/>
                <w:lang w:val="en-US"/>
              </w:rPr>
              <w:t>Russian Federation</w:t>
            </w:r>
            <w:r w:rsidR="00C77E3B" w:rsidRPr="00A9366F">
              <w:rPr>
                <w:rFonts w:ascii="Calibri" w:hAnsi="Calibri" w:cs="Calibri"/>
                <w:lang w:val="en-US"/>
              </w:rPr>
              <w:t xml:space="preserve"> </w:t>
            </w:r>
          </w:p>
        </w:tc>
        <w:tc>
          <w:tcPr>
            <w:tcW w:w="1655"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1 262,5</w:t>
            </w:r>
          </w:p>
        </w:tc>
        <w:tc>
          <w:tcPr>
            <w:tcW w:w="140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46,0</w:t>
            </w:r>
            <w:r w:rsidR="00C77E3B" w:rsidRPr="00A9366F">
              <w:rPr>
                <w:rFonts w:ascii="Calibri" w:hAnsi="Calibri" w:cs="Calibri"/>
                <w:i/>
                <w:lang w:val="en-US"/>
              </w:rPr>
              <w:t>%</w:t>
            </w:r>
          </w:p>
        </w:tc>
        <w:tc>
          <w:tcPr>
            <w:tcW w:w="1478"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17 563,0</w:t>
            </w:r>
          </w:p>
        </w:tc>
        <w:tc>
          <w:tcPr>
            <w:tcW w:w="182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8,3</w:t>
            </w:r>
            <w:r w:rsidR="00C77E3B" w:rsidRPr="00A9366F">
              <w:rPr>
                <w:rFonts w:ascii="Calibri" w:hAnsi="Calibri" w:cs="Calibri"/>
                <w:i/>
                <w:lang w:val="en-US"/>
              </w:rPr>
              <w:t>%</w:t>
            </w:r>
          </w:p>
        </w:tc>
      </w:tr>
      <w:tr w:rsidR="00C77E3B" w:rsidRPr="00A9366F" w:rsidTr="00CC43D9">
        <w:trPr>
          <w:trHeight w:val="255"/>
        </w:trPr>
        <w:tc>
          <w:tcPr>
            <w:tcW w:w="3524" w:type="dxa"/>
            <w:noWrap/>
            <w:vAlign w:val="bottom"/>
          </w:tcPr>
          <w:p w:rsidR="00C77E3B" w:rsidRPr="00A9366F" w:rsidRDefault="004A7C62" w:rsidP="00E363C5">
            <w:pPr>
              <w:spacing w:line="233" w:lineRule="auto"/>
              <w:rPr>
                <w:rFonts w:ascii="Calibri" w:hAnsi="Calibri" w:cs="Calibri"/>
                <w:lang w:val="en-US"/>
              </w:rPr>
            </w:pPr>
            <w:r w:rsidRPr="00A9366F">
              <w:rPr>
                <w:rFonts w:ascii="Calibri" w:hAnsi="Calibri" w:cs="Calibri"/>
                <w:lang w:val="en-US"/>
              </w:rPr>
              <w:t>Germany</w:t>
            </w:r>
            <w:r w:rsidR="00C77E3B" w:rsidRPr="00A9366F">
              <w:rPr>
                <w:rFonts w:ascii="Calibri" w:hAnsi="Calibri" w:cs="Calibri"/>
                <w:lang w:val="en-US"/>
              </w:rPr>
              <w:t xml:space="preserve"> </w:t>
            </w:r>
          </w:p>
        </w:tc>
        <w:tc>
          <w:tcPr>
            <w:tcW w:w="1655"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106,6</w:t>
            </w:r>
          </w:p>
        </w:tc>
        <w:tc>
          <w:tcPr>
            <w:tcW w:w="1409" w:type="dxa"/>
            <w:noWrap/>
            <w:vAlign w:val="center"/>
          </w:tcPr>
          <w:p w:rsidR="00C77E3B" w:rsidRPr="00A9366F" w:rsidRDefault="00C77E3B" w:rsidP="00CC43D9">
            <w:pPr>
              <w:spacing w:line="233" w:lineRule="auto"/>
              <w:jc w:val="center"/>
              <w:rPr>
                <w:rFonts w:ascii="Calibri" w:hAnsi="Calibri" w:cs="Calibri"/>
                <w:i/>
                <w:lang w:val="en-US"/>
              </w:rPr>
            </w:pPr>
            <w:r w:rsidRPr="00A9366F">
              <w:rPr>
                <w:rFonts w:ascii="Calibri" w:hAnsi="Calibri" w:cs="Calibri"/>
                <w:i/>
                <w:lang w:val="en-US"/>
              </w:rPr>
              <w:t>3,9%</w:t>
            </w:r>
          </w:p>
        </w:tc>
        <w:tc>
          <w:tcPr>
            <w:tcW w:w="1478"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6 758,2</w:t>
            </w:r>
          </w:p>
        </w:tc>
        <w:tc>
          <w:tcPr>
            <w:tcW w:w="1829" w:type="dxa"/>
            <w:noWrap/>
            <w:vAlign w:val="center"/>
          </w:tcPr>
          <w:p w:rsidR="00C77E3B" w:rsidRPr="00A9366F" w:rsidRDefault="00C77E3B" w:rsidP="00CC43D9">
            <w:pPr>
              <w:spacing w:line="233" w:lineRule="auto"/>
              <w:jc w:val="center"/>
              <w:rPr>
                <w:rFonts w:ascii="Calibri" w:hAnsi="Calibri" w:cs="Calibri"/>
                <w:i/>
                <w:lang w:val="en-US"/>
              </w:rPr>
            </w:pPr>
            <w:r w:rsidRPr="00A9366F">
              <w:rPr>
                <w:rFonts w:ascii="Calibri" w:hAnsi="Calibri" w:cs="Calibri"/>
                <w:i/>
                <w:lang w:val="en-US"/>
              </w:rPr>
              <w:t>3,</w:t>
            </w:r>
            <w:r w:rsidR="00CC43D9" w:rsidRPr="00A9366F">
              <w:rPr>
                <w:rFonts w:ascii="Calibri" w:hAnsi="Calibri" w:cs="Calibri"/>
                <w:i/>
                <w:lang w:val="en-US"/>
              </w:rPr>
              <w:t>2</w:t>
            </w:r>
            <w:r w:rsidRPr="00A9366F">
              <w:rPr>
                <w:rFonts w:ascii="Calibri" w:hAnsi="Calibri" w:cs="Calibri"/>
                <w:i/>
                <w:lang w:val="en-US"/>
              </w:rPr>
              <w:t>%</w:t>
            </w:r>
          </w:p>
        </w:tc>
      </w:tr>
      <w:tr w:rsidR="00C77E3B" w:rsidRPr="00A9366F" w:rsidTr="00CC43D9">
        <w:trPr>
          <w:trHeight w:val="255"/>
        </w:trPr>
        <w:tc>
          <w:tcPr>
            <w:tcW w:w="3524" w:type="dxa"/>
            <w:noWrap/>
            <w:vAlign w:val="bottom"/>
          </w:tcPr>
          <w:p w:rsidR="00C77E3B" w:rsidRPr="00A9366F" w:rsidRDefault="004A7C62" w:rsidP="00E363C5">
            <w:pPr>
              <w:spacing w:line="233" w:lineRule="auto"/>
              <w:rPr>
                <w:rFonts w:ascii="Calibri" w:hAnsi="Calibri" w:cs="Calibri"/>
                <w:lang w:val="en-US"/>
              </w:rPr>
            </w:pPr>
            <w:r w:rsidRPr="00A9366F">
              <w:rPr>
                <w:rFonts w:ascii="Calibri" w:hAnsi="Calibri" w:cs="Calibri"/>
                <w:lang w:val="en-US"/>
              </w:rPr>
              <w:t>United Kingdom</w:t>
            </w:r>
          </w:p>
        </w:tc>
        <w:tc>
          <w:tcPr>
            <w:tcW w:w="1655"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57,7</w:t>
            </w:r>
          </w:p>
        </w:tc>
        <w:tc>
          <w:tcPr>
            <w:tcW w:w="1409" w:type="dxa"/>
            <w:noWrap/>
            <w:vAlign w:val="center"/>
          </w:tcPr>
          <w:p w:rsidR="00C77E3B" w:rsidRPr="00A9366F" w:rsidRDefault="00C77E3B" w:rsidP="00CC43D9">
            <w:pPr>
              <w:spacing w:line="233" w:lineRule="auto"/>
              <w:jc w:val="center"/>
              <w:rPr>
                <w:rFonts w:ascii="Calibri" w:hAnsi="Calibri" w:cs="Calibri"/>
                <w:i/>
                <w:lang w:val="en-US"/>
              </w:rPr>
            </w:pPr>
            <w:r w:rsidRPr="00A9366F">
              <w:rPr>
                <w:rFonts w:ascii="Calibri" w:hAnsi="Calibri" w:cs="Calibri"/>
                <w:i/>
                <w:lang w:val="en-US"/>
              </w:rPr>
              <w:t>2,1%</w:t>
            </w:r>
          </w:p>
        </w:tc>
        <w:tc>
          <w:tcPr>
            <w:tcW w:w="1478"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6 251,2</w:t>
            </w:r>
          </w:p>
        </w:tc>
        <w:tc>
          <w:tcPr>
            <w:tcW w:w="182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3,0</w:t>
            </w:r>
            <w:r w:rsidR="00C77E3B" w:rsidRPr="00A9366F">
              <w:rPr>
                <w:rFonts w:ascii="Calibri" w:hAnsi="Calibri" w:cs="Calibri"/>
                <w:i/>
                <w:lang w:val="en-US"/>
              </w:rPr>
              <w:t>%</w:t>
            </w:r>
          </w:p>
        </w:tc>
      </w:tr>
      <w:tr w:rsidR="00C77E3B" w:rsidRPr="00A9366F" w:rsidTr="00CC43D9">
        <w:trPr>
          <w:trHeight w:val="255"/>
        </w:trPr>
        <w:tc>
          <w:tcPr>
            <w:tcW w:w="3524" w:type="dxa"/>
            <w:noWrap/>
            <w:vAlign w:val="bottom"/>
          </w:tcPr>
          <w:p w:rsidR="00C77E3B" w:rsidRPr="00A9366F" w:rsidRDefault="004A7C62" w:rsidP="00E363C5">
            <w:pPr>
              <w:spacing w:line="233" w:lineRule="auto"/>
              <w:rPr>
                <w:rFonts w:ascii="Calibri" w:hAnsi="Calibri" w:cs="Calibri"/>
                <w:lang w:val="en-US"/>
              </w:rPr>
            </w:pPr>
            <w:r w:rsidRPr="00A9366F">
              <w:rPr>
                <w:rFonts w:ascii="Calibri" w:hAnsi="Calibri" w:cs="Calibri"/>
                <w:lang w:val="en-US"/>
              </w:rPr>
              <w:t xml:space="preserve">Other </w:t>
            </w:r>
          </w:p>
        </w:tc>
        <w:tc>
          <w:tcPr>
            <w:tcW w:w="1655"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1 194,7</w:t>
            </w:r>
          </w:p>
        </w:tc>
        <w:tc>
          <w:tcPr>
            <w:tcW w:w="140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43,5</w:t>
            </w:r>
            <w:r w:rsidR="00C77E3B" w:rsidRPr="00A9366F">
              <w:rPr>
                <w:rFonts w:ascii="Calibri" w:hAnsi="Calibri" w:cs="Calibri"/>
                <w:i/>
                <w:lang w:val="en-US"/>
              </w:rPr>
              <w:t>%</w:t>
            </w:r>
          </w:p>
        </w:tc>
        <w:tc>
          <w:tcPr>
            <w:tcW w:w="1478" w:type="dxa"/>
            <w:noWrap/>
            <w:vAlign w:val="center"/>
          </w:tcPr>
          <w:p w:rsidR="00C77E3B" w:rsidRPr="00A9366F" w:rsidRDefault="00CC43D9" w:rsidP="00CC43D9">
            <w:pPr>
              <w:spacing w:line="233" w:lineRule="auto"/>
              <w:jc w:val="center"/>
              <w:rPr>
                <w:rFonts w:ascii="Calibri" w:hAnsi="Calibri" w:cs="Calibri"/>
                <w:lang w:val="en-US"/>
              </w:rPr>
            </w:pPr>
            <w:r w:rsidRPr="00A9366F">
              <w:rPr>
                <w:rFonts w:ascii="Calibri" w:hAnsi="Calibri" w:cs="Calibri"/>
                <w:lang w:val="en-US"/>
              </w:rPr>
              <w:t>61 446,0</w:t>
            </w:r>
          </w:p>
        </w:tc>
        <w:tc>
          <w:tcPr>
            <w:tcW w:w="1829" w:type="dxa"/>
            <w:noWrap/>
            <w:vAlign w:val="center"/>
          </w:tcPr>
          <w:p w:rsidR="00C77E3B" w:rsidRPr="00A9366F" w:rsidRDefault="00CC43D9" w:rsidP="00CC43D9">
            <w:pPr>
              <w:spacing w:line="233" w:lineRule="auto"/>
              <w:jc w:val="center"/>
              <w:rPr>
                <w:rFonts w:ascii="Calibri" w:hAnsi="Calibri" w:cs="Calibri"/>
                <w:i/>
                <w:lang w:val="en-US"/>
              </w:rPr>
            </w:pPr>
            <w:r w:rsidRPr="00A9366F">
              <w:rPr>
                <w:rFonts w:ascii="Calibri" w:hAnsi="Calibri" w:cs="Calibri"/>
                <w:i/>
                <w:lang w:val="en-US"/>
              </w:rPr>
              <w:t>29,0</w:t>
            </w:r>
            <w:r w:rsidR="00C77E3B" w:rsidRPr="00A9366F">
              <w:rPr>
                <w:rFonts w:ascii="Calibri" w:hAnsi="Calibri" w:cs="Calibri"/>
                <w:i/>
                <w:lang w:val="en-US"/>
              </w:rPr>
              <w:t>%</w:t>
            </w:r>
          </w:p>
        </w:tc>
      </w:tr>
      <w:tr w:rsidR="00C77E3B" w:rsidRPr="00A9366F" w:rsidTr="00CC43D9">
        <w:trPr>
          <w:trHeight w:val="255"/>
        </w:trPr>
        <w:tc>
          <w:tcPr>
            <w:tcW w:w="3524" w:type="dxa"/>
            <w:shd w:val="clear" w:color="auto" w:fill="9BBB59"/>
            <w:noWrap/>
            <w:vAlign w:val="bottom"/>
          </w:tcPr>
          <w:p w:rsidR="00C77E3B" w:rsidRPr="00A9366F" w:rsidRDefault="004A7C62" w:rsidP="00E363C5">
            <w:pPr>
              <w:spacing w:line="233" w:lineRule="auto"/>
              <w:rPr>
                <w:rFonts w:ascii="Calibri" w:hAnsi="Calibri" w:cs="Calibri"/>
                <w:b/>
                <w:lang w:val="en-US"/>
              </w:rPr>
            </w:pPr>
            <w:r w:rsidRPr="00A9366F">
              <w:rPr>
                <w:rFonts w:ascii="Calibri" w:hAnsi="Calibri" w:cs="Calibri"/>
                <w:b/>
                <w:lang w:val="en-US"/>
              </w:rPr>
              <w:t>Total</w:t>
            </w:r>
          </w:p>
        </w:tc>
        <w:tc>
          <w:tcPr>
            <w:tcW w:w="1655" w:type="dxa"/>
            <w:shd w:val="clear" w:color="auto" w:fill="9BBB59"/>
            <w:noWrap/>
            <w:vAlign w:val="center"/>
          </w:tcPr>
          <w:p w:rsidR="00C77E3B" w:rsidRPr="00A9366F" w:rsidRDefault="00CC43D9" w:rsidP="00CC43D9">
            <w:pPr>
              <w:spacing w:line="233" w:lineRule="auto"/>
              <w:jc w:val="center"/>
              <w:rPr>
                <w:rFonts w:ascii="Calibri" w:hAnsi="Calibri" w:cs="Calibri"/>
                <w:b/>
                <w:lang w:val="en-US"/>
              </w:rPr>
            </w:pPr>
            <w:r w:rsidRPr="00A9366F">
              <w:rPr>
                <w:rFonts w:ascii="Calibri" w:hAnsi="Calibri" w:cs="Calibri"/>
                <w:b/>
                <w:lang w:val="en-US"/>
              </w:rPr>
              <w:t>2 745,9</w:t>
            </w:r>
          </w:p>
        </w:tc>
        <w:tc>
          <w:tcPr>
            <w:tcW w:w="1409" w:type="dxa"/>
            <w:shd w:val="clear" w:color="auto" w:fill="9BBB59"/>
            <w:noWrap/>
            <w:vAlign w:val="center"/>
          </w:tcPr>
          <w:p w:rsidR="00C77E3B" w:rsidRPr="00A9366F" w:rsidRDefault="00C77E3B" w:rsidP="00CC43D9">
            <w:pPr>
              <w:spacing w:line="233" w:lineRule="auto"/>
              <w:jc w:val="center"/>
              <w:rPr>
                <w:rFonts w:ascii="Calibri" w:hAnsi="Calibri" w:cs="Calibri"/>
                <w:b/>
                <w:i/>
                <w:lang w:val="en-US"/>
              </w:rPr>
            </w:pPr>
            <w:r w:rsidRPr="00A9366F">
              <w:rPr>
                <w:rFonts w:ascii="Calibri" w:hAnsi="Calibri" w:cs="Calibri"/>
                <w:b/>
                <w:i/>
                <w:lang w:val="en-US"/>
              </w:rPr>
              <w:t>100%</w:t>
            </w:r>
          </w:p>
        </w:tc>
        <w:tc>
          <w:tcPr>
            <w:tcW w:w="1478" w:type="dxa"/>
            <w:shd w:val="clear" w:color="auto" w:fill="9BBB59"/>
            <w:noWrap/>
            <w:vAlign w:val="center"/>
          </w:tcPr>
          <w:p w:rsidR="00C77E3B" w:rsidRPr="00A9366F" w:rsidRDefault="00CC43D9" w:rsidP="00CC43D9">
            <w:pPr>
              <w:spacing w:line="233" w:lineRule="auto"/>
              <w:jc w:val="center"/>
              <w:rPr>
                <w:rFonts w:ascii="Calibri" w:hAnsi="Calibri" w:cs="Calibri"/>
                <w:b/>
                <w:lang w:val="en-US"/>
              </w:rPr>
            </w:pPr>
            <w:r w:rsidRPr="00A9366F">
              <w:rPr>
                <w:rFonts w:ascii="Calibri" w:hAnsi="Calibri" w:cs="Calibri"/>
                <w:b/>
                <w:lang w:val="en-US"/>
              </w:rPr>
              <w:t>211 627,6</w:t>
            </w:r>
          </w:p>
        </w:tc>
        <w:tc>
          <w:tcPr>
            <w:tcW w:w="1829" w:type="dxa"/>
            <w:shd w:val="clear" w:color="auto" w:fill="9BBB59"/>
            <w:noWrap/>
            <w:vAlign w:val="center"/>
          </w:tcPr>
          <w:p w:rsidR="00C77E3B" w:rsidRPr="00A9366F" w:rsidRDefault="00C77E3B" w:rsidP="00CC43D9">
            <w:pPr>
              <w:spacing w:line="233" w:lineRule="auto"/>
              <w:jc w:val="center"/>
              <w:rPr>
                <w:rFonts w:ascii="Calibri" w:hAnsi="Calibri" w:cs="Calibri"/>
                <w:b/>
                <w:i/>
                <w:lang w:val="en-US"/>
              </w:rPr>
            </w:pPr>
            <w:r w:rsidRPr="00A9366F">
              <w:rPr>
                <w:rFonts w:ascii="Calibri" w:hAnsi="Calibri" w:cs="Calibri"/>
                <w:b/>
                <w:i/>
                <w:lang w:val="en-US"/>
              </w:rPr>
              <w:t>100%</w:t>
            </w:r>
          </w:p>
        </w:tc>
      </w:tr>
    </w:tbl>
    <w:p w:rsidR="00190E9C" w:rsidRPr="00A9366F" w:rsidRDefault="00190E9C" w:rsidP="00190E9C">
      <w:pPr>
        <w:ind w:firstLine="709"/>
        <w:jc w:val="both"/>
        <w:rPr>
          <w:rFonts w:ascii="Calibri" w:hAnsi="Calibri" w:cs="Calibri"/>
          <w:spacing w:val="-2"/>
          <w:sz w:val="30"/>
          <w:szCs w:val="30"/>
          <w:lang w:val="en-US"/>
        </w:rPr>
      </w:pPr>
      <w:r w:rsidRPr="00A9366F">
        <w:rPr>
          <w:rFonts w:ascii="Calibri" w:hAnsi="Calibri" w:cs="Calibri"/>
          <w:spacing w:val="-2"/>
          <w:sz w:val="30"/>
          <w:szCs w:val="30"/>
          <w:lang w:val="en-US"/>
        </w:rPr>
        <w:t xml:space="preserve">In this case, the direct correspondent accounts are also used to make payments related to deposits and transfers of the banks’ and their customers’ own funds (45.1%) and payments related to transactions with foreign currency and precious metals (41.7%). </w:t>
      </w:r>
    </w:p>
    <w:p w:rsidR="00190E9C" w:rsidRDefault="00190E9C" w:rsidP="00190E9C">
      <w:pPr>
        <w:spacing w:line="233" w:lineRule="auto"/>
        <w:jc w:val="center"/>
        <w:rPr>
          <w:rFonts w:ascii="Calibri" w:hAnsi="Calibri" w:cs="Arial"/>
          <w:b/>
          <w:color w:val="0E4C28"/>
          <w:sz w:val="28"/>
          <w:szCs w:val="28"/>
          <w:lang w:val="en-US"/>
        </w:rPr>
      </w:pPr>
      <w:r w:rsidRPr="00A9366F">
        <w:rPr>
          <w:rFonts w:ascii="Calibri" w:hAnsi="Calibri" w:cs="Arial"/>
          <w:b/>
          <w:color w:val="0E4C28"/>
          <w:sz w:val="28"/>
          <w:szCs w:val="28"/>
          <w:lang w:val="en-US"/>
        </w:rPr>
        <w:t xml:space="preserve">Amounts of payments by types of purposes of payments </w:t>
      </w:r>
      <w:r w:rsidR="0073169E" w:rsidRPr="00A9366F">
        <w:rPr>
          <w:rFonts w:ascii="Calibri" w:hAnsi="Calibri" w:cs="Arial"/>
          <w:b/>
          <w:color w:val="0E4C28"/>
          <w:sz w:val="28"/>
          <w:szCs w:val="28"/>
          <w:lang w:val="en-US"/>
        </w:rPr>
        <w:t>settled</w:t>
      </w:r>
      <w:r w:rsidRPr="00A9366F">
        <w:rPr>
          <w:rFonts w:ascii="Calibri" w:hAnsi="Calibri" w:cs="Arial"/>
          <w:b/>
          <w:color w:val="0E4C28"/>
          <w:sz w:val="28"/>
          <w:szCs w:val="28"/>
          <w:lang w:val="en-US"/>
        </w:rPr>
        <w:t xml:space="preserve"> through correspondent accounts </w:t>
      </w:r>
    </w:p>
    <w:p w:rsidR="005B31B0" w:rsidRPr="00A9366F" w:rsidRDefault="005B31B0" w:rsidP="00190E9C">
      <w:pPr>
        <w:spacing w:line="233" w:lineRule="auto"/>
        <w:jc w:val="center"/>
        <w:rPr>
          <w:lang w:val="en-US"/>
        </w:rPr>
      </w:pPr>
    </w:p>
    <w:p w:rsidR="00C77E3B" w:rsidRPr="00A9366F" w:rsidRDefault="00B41594" w:rsidP="00E363C5">
      <w:pPr>
        <w:spacing w:line="233" w:lineRule="auto"/>
        <w:jc w:val="center"/>
        <w:rPr>
          <w:bCs/>
          <w:snapToGrid w:val="0"/>
          <w:spacing w:val="-2"/>
          <w:sz w:val="36"/>
          <w:szCs w:val="36"/>
          <w:lang w:val="en-US"/>
        </w:rPr>
      </w:pPr>
      <w:r w:rsidRPr="00A9366F">
        <w:rPr>
          <w:rFonts w:cs="Calibri"/>
          <w:i/>
          <w:noProof/>
          <w:color w:val="00B050"/>
          <w:sz w:val="30"/>
          <w:szCs w:val="30"/>
        </w:rPr>
        <w:drawing>
          <wp:inline distT="0" distB="0" distL="0" distR="0">
            <wp:extent cx="5943600" cy="2404110"/>
            <wp:effectExtent l="0" t="0" r="0" b="0"/>
            <wp:docPr id="50" name="Объект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bookmarkStart w:id="86" w:name="_Toc480825672"/>
    <w:bookmarkStart w:id="87" w:name="_Toc481139512"/>
    <w:p w:rsidR="00C77E3B" w:rsidRPr="00A9366F" w:rsidRDefault="00FB60A9" w:rsidP="005C7913">
      <w:pPr>
        <w:rPr>
          <w:rFonts w:ascii="Calibri" w:hAnsi="Calibri"/>
          <w:bCs/>
          <w:snapToGrid w:val="0"/>
          <w:color w:val="0E4C28"/>
          <w:spacing w:val="-2"/>
          <w:sz w:val="36"/>
          <w:szCs w:val="36"/>
          <w:lang w:val="en-US"/>
        </w:rPr>
      </w:pPr>
      <w:r w:rsidRPr="00A9366F">
        <w:rPr>
          <w:rFonts w:ascii="Calibri" w:hAnsi="Calibri"/>
          <w:bCs/>
          <w:noProof/>
          <w:color w:val="0E4C28"/>
          <w:spacing w:val="-2"/>
          <w:sz w:val="36"/>
          <w:szCs w:val="36"/>
        </w:rPr>
        <mc:AlternateContent>
          <mc:Choice Requires="wps">
            <w:drawing>
              <wp:inline distT="0" distB="0" distL="0" distR="0">
                <wp:extent cx="6052820" cy="5555615"/>
                <wp:effectExtent l="13335" t="5715" r="10795" b="12700"/>
                <wp:docPr id="1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5315585"/>
                        </a:xfrm>
                        <a:prstGeom prst="roundRect">
                          <a:avLst>
                            <a:gd name="adj" fmla="val 3079"/>
                          </a:avLst>
                        </a:prstGeom>
                        <a:solidFill>
                          <a:srgbClr val="CCFFCC">
                            <a:alpha val="27058"/>
                          </a:srgbClr>
                        </a:solidFill>
                        <a:ln w="9525">
                          <a:solidFill>
                            <a:srgbClr val="000000"/>
                          </a:solidFill>
                          <a:round/>
                          <a:headEnd/>
                          <a:tailEnd/>
                        </a:ln>
                      </wps:spPr>
                      <wps:txbx>
                        <w:txbxContent>
                          <w:p w:rsidR="00541D5F" w:rsidRDefault="00541D5F" w:rsidP="00C76684">
                            <w:pPr>
                              <w:ind w:firstLine="720"/>
                              <w:jc w:val="both"/>
                              <w:rPr>
                                <w:rFonts w:ascii="Calibri" w:hAnsi="Calibri" w:cs="Arial"/>
                                <w:sz w:val="30"/>
                                <w:szCs w:val="30"/>
                                <w:lang w:val="en-US"/>
                              </w:rPr>
                            </w:pPr>
                            <w:r>
                              <w:rPr>
                                <w:rFonts w:ascii="Calibri" w:hAnsi="Calibri" w:cs="Arial"/>
                                <w:sz w:val="30"/>
                                <w:szCs w:val="30"/>
                                <w:lang w:val="en-US"/>
                              </w:rPr>
                              <w:t xml:space="preserve">Correspondent accounts opened between the banks are one of the channels for interbank payment settlements. The total amount of money transfers through correspondent accounts of the banks (made both inside Kazakhstan and abroad) in 2016 amounted to KZT 229.9 trillion with the total number of transactions being 9,200.6 thousand. </w:t>
                            </w:r>
                          </w:p>
                          <w:p w:rsidR="00541D5F" w:rsidRDefault="00541D5F" w:rsidP="00E363C5">
                            <w:pPr>
                              <w:ind w:firstLine="720"/>
                              <w:jc w:val="both"/>
                              <w:rPr>
                                <w:rFonts w:ascii="Calibri" w:hAnsi="Calibri" w:cs="Arial"/>
                                <w:sz w:val="30"/>
                                <w:szCs w:val="30"/>
                                <w:lang w:val="en-US"/>
                              </w:rPr>
                            </w:pPr>
                            <w:r>
                              <w:rPr>
                                <w:rFonts w:ascii="Calibri" w:hAnsi="Calibri" w:cs="Arial"/>
                                <w:sz w:val="30"/>
                                <w:szCs w:val="30"/>
                                <w:lang w:val="en-US"/>
                              </w:rPr>
                              <w:t>At</w:t>
                            </w:r>
                            <w:r w:rsidRPr="00D22D89">
                              <w:rPr>
                                <w:rFonts w:ascii="Calibri" w:hAnsi="Calibri" w:cs="Arial"/>
                                <w:sz w:val="30"/>
                                <w:szCs w:val="30"/>
                                <w:lang w:val="en-US"/>
                              </w:rPr>
                              <w:t xml:space="preserve"> </w:t>
                            </w:r>
                            <w:r>
                              <w:rPr>
                                <w:rFonts w:ascii="Calibri" w:hAnsi="Calibri" w:cs="Arial"/>
                                <w:sz w:val="30"/>
                                <w:szCs w:val="30"/>
                                <w:lang w:val="en-US"/>
                              </w:rPr>
                              <w:t>the</w:t>
                            </w:r>
                            <w:r w:rsidRPr="00D22D89">
                              <w:rPr>
                                <w:rFonts w:ascii="Calibri" w:hAnsi="Calibri" w:cs="Arial"/>
                                <w:sz w:val="30"/>
                                <w:szCs w:val="30"/>
                                <w:lang w:val="en-US"/>
                              </w:rPr>
                              <w:t xml:space="preserve"> </w:t>
                            </w:r>
                            <w:r>
                              <w:rPr>
                                <w:rFonts w:ascii="Calibri" w:hAnsi="Calibri" w:cs="Arial"/>
                                <w:sz w:val="30"/>
                                <w:szCs w:val="30"/>
                                <w:lang w:val="en-US"/>
                              </w:rPr>
                              <w:t>same</w:t>
                            </w:r>
                            <w:r w:rsidRPr="00D22D89">
                              <w:rPr>
                                <w:rFonts w:ascii="Calibri" w:hAnsi="Calibri" w:cs="Arial"/>
                                <w:sz w:val="30"/>
                                <w:szCs w:val="30"/>
                                <w:lang w:val="en-US"/>
                              </w:rPr>
                              <w:t xml:space="preserve"> </w:t>
                            </w:r>
                            <w:r>
                              <w:rPr>
                                <w:rFonts w:ascii="Calibri" w:hAnsi="Calibri" w:cs="Arial"/>
                                <w:sz w:val="30"/>
                                <w:szCs w:val="30"/>
                                <w:lang w:val="en-US"/>
                              </w:rPr>
                              <w:t>time</w:t>
                            </w:r>
                            <w:r w:rsidRPr="00D22D89">
                              <w:rPr>
                                <w:rFonts w:ascii="Calibri" w:hAnsi="Calibri" w:cs="Arial"/>
                                <w:sz w:val="30"/>
                                <w:szCs w:val="30"/>
                                <w:lang w:val="en-US"/>
                              </w:rPr>
                              <w:t xml:space="preserve">, </w:t>
                            </w:r>
                            <w:r>
                              <w:rPr>
                                <w:rFonts w:ascii="Calibri" w:hAnsi="Calibri" w:cs="Arial"/>
                                <w:sz w:val="30"/>
                                <w:szCs w:val="30"/>
                                <w:lang w:val="en-US"/>
                              </w:rPr>
                              <w:t xml:space="preserve">settlements through the direct correspondent accounts may be exposed to risks, where a counteragent bank (with which a correspondent account has been opened) may be unable to ensure completion of settlements. Therefore, the international standards notice, first of all, the efficiency and reliability of settlement through the national (central) banks. In this connection, in order to mitigate risks associated with settlements through the correspondent accounts opened with the commercial banks the National Bank of Kazakhstan has set a limit for the amount of payments per month to be made between the resident financial organizations in the national currency. The limit is equal to 5% of the total volume of payments of a bank or non-bank organization made through the payment systems of the National Bank of Kazakhstan during the previous month. Limit utilization ratio was 25.5% of the total limit. </w:t>
                            </w:r>
                          </w:p>
                          <w:p w:rsidR="00541D5F" w:rsidRDefault="00541D5F" w:rsidP="00E363C5">
                            <w:pPr>
                              <w:ind w:firstLine="720"/>
                              <w:jc w:val="both"/>
                              <w:rPr>
                                <w:rFonts w:ascii="Calibri" w:hAnsi="Calibri" w:cs="Arial"/>
                                <w:sz w:val="30"/>
                                <w:szCs w:val="30"/>
                                <w:lang w:val="en-US"/>
                              </w:rPr>
                            </w:pPr>
                            <w:r>
                              <w:rPr>
                                <w:rFonts w:ascii="Calibri" w:hAnsi="Calibri" w:cs="Arial"/>
                                <w:sz w:val="30"/>
                                <w:szCs w:val="30"/>
                                <w:lang w:val="en-US"/>
                              </w:rPr>
                              <w:t xml:space="preserve">In this case, the correspondent accounts are the main channel for cross-border payments. Thus, in 2016 the volume of payments made aboard through the correspondent accounts comprised 2.7 million transactions for KZT 211.6 trillion. </w:t>
                            </w:r>
                          </w:p>
                        </w:txbxContent>
                      </wps:txbx>
                      <wps:bodyPr rot="0" vert="horz" wrap="square" lIns="91440" tIns="45720" rIns="91440" bIns="45720" anchor="t" anchorCtr="0" upright="1">
                        <a:spAutoFit/>
                      </wps:bodyPr>
                    </wps:wsp>
                  </a:graphicData>
                </a:graphic>
              </wp:inline>
            </w:drawing>
          </mc:Choice>
          <mc:Fallback>
            <w:pict>
              <v:roundrect id="AutoShape 161" o:spid="_x0000_s1056" style="width:476.6pt;height:437.45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" fillcolor="#cfc">
                <v:fill opacity="17733f"/>
                <v:textbox style="mso-fit-shape-to-text:t">
                  <w:txbxContent>
                    <w:p w:rsidR="00541D5F" w:rsidRDefault="00541D5F" w:rsidP="00C76684">
                      <w:pPr>
                        <w:ind w:firstLine="720"/>
                        <w:jc w:val="both"/>
                        <w:rPr>
                          <w:rFonts w:ascii="Calibri" w:hAnsi="Calibri" w:cs="Arial"/>
                          <w:sz w:val="30"/>
                          <w:szCs w:val="30"/>
                          <w:lang w:val="en-US"/>
                        </w:rPr>
                      </w:pPr>
                      <w:r>
                        <w:rPr>
                          <w:rFonts w:ascii="Calibri" w:hAnsi="Calibri" w:cs="Arial"/>
                          <w:sz w:val="30"/>
                          <w:szCs w:val="30"/>
                          <w:lang w:val="en-US"/>
                        </w:rPr>
                        <w:t xml:space="preserve">Correspondent accounts opened between the banks are one of the channels for interbank payment settlements. The total amount of money transfers through correspondent accounts of the banks (made both inside Kazakhstan and abroad) in 2016 amounted to KZT 229.9 trillion with the total number of transactions being 9,200.6 thousand. </w:t>
                      </w:r>
                    </w:p>
                    <w:p w:rsidR="00541D5F" w:rsidRDefault="00541D5F" w:rsidP="00E363C5">
                      <w:pPr>
                        <w:ind w:firstLine="720"/>
                        <w:jc w:val="both"/>
                        <w:rPr>
                          <w:rFonts w:ascii="Calibri" w:hAnsi="Calibri" w:cs="Arial"/>
                          <w:sz w:val="30"/>
                          <w:szCs w:val="30"/>
                          <w:lang w:val="en-US"/>
                        </w:rPr>
                      </w:pPr>
                      <w:r>
                        <w:rPr>
                          <w:rFonts w:ascii="Calibri" w:hAnsi="Calibri" w:cs="Arial"/>
                          <w:sz w:val="30"/>
                          <w:szCs w:val="30"/>
                          <w:lang w:val="en-US"/>
                        </w:rPr>
                        <w:t>At</w:t>
                      </w:r>
                      <w:r w:rsidRPr="00D22D89">
                        <w:rPr>
                          <w:rFonts w:ascii="Calibri" w:hAnsi="Calibri" w:cs="Arial"/>
                          <w:sz w:val="30"/>
                          <w:szCs w:val="30"/>
                          <w:lang w:val="en-US"/>
                        </w:rPr>
                        <w:t xml:space="preserve"> </w:t>
                      </w:r>
                      <w:r>
                        <w:rPr>
                          <w:rFonts w:ascii="Calibri" w:hAnsi="Calibri" w:cs="Arial"/>
                          <w:sz w:val="30"/>
                          <w:szCs w:val="30"/>
                          <w:lang w:val="en-US"/>
                        </w:rPr>
                        <w:t>the</w:t>
                      </w:r>
                      <w:r w:rsidRPr="00D22D89">
                        <w:rPr>
                          <w:rFonts w:ascii="Calibri" w:hAnsi="Calibri" w:cs="Arial"/>
                          <w:sz w:val="30"/>
                          <w:szCs w:val="30"/>
                          <w:lang w:val="en-US"/>
                        </w:rPr>
                        <w:t xml:space="preserve"> </w:t>
                      </w:r>
                      <w:r>
                        <w:rPr>
                          <w:rFonts w:ascii="Calibri" w:hAnsi="Calibri" w:cs="Arial"/>
                          <w:sz w:val="30"/>
                          <w:szCs w:val="30"/>
                          <w:lang w:val="en-US"/>
                        </w:rPr>
                        <w:t>same</w:t>
                      </w:r>
                      <w:r w:rsidRPr="00D22D89">
                        <w:rPr>
                          <w:rFonts w:ascii="Calibri" w:hAnsi="Calibri" w:cs="Arial"/>
                          <w:sz w:val="30"/>
                          <w:szCs w:val="30"/>
                          <w:lang w:val="en-US"/>
                        </w:rPr>
                        <w:t xml:space="preserve"> </w:t>
                      </w:r>
                      <w:r>
                        <w:rPr>
                          <w:rFonts w:ascii="Calibri" w:hAnsi="Calibri" w:cs="Arial"/>
                          <w:sz w:val="30"/>
                          <w:szCs w:val="30"/>
                          <w:lang w:val="en-US"/>
                        </w:rPr>
                        <w:t>time</w:t>
                      </w:r>
                      <w:r w:rsidRPr="00D22D89">
                        <w:rPr>
                          <w:rFonts w:ascii="Calibri" w:hAnsi="Calibri" w:cs="Arial"/>
                          <w:sz w:val="30"/>
                          <w:szCs w:val="30"/>
                          <w:lang w:val="en-US"/>
                        </w:rPr>
                        <w:t xml:space="preserve">, </w:t>
                      </w:r>
                      <w:r>
                        <w:rPr>
                          <w:rFonts w:ascii="Calibri" w:hAnsi="Calibri" w:cs="Arial"/>
                          <w:sz w:val="30"/>
                          <w:szCs w:val="30"/>
                          <w:lang w:val="en-US"/>
                        </w:rPr>
                        <w:t xml:space="preserve">settlements through the direct correspondent accounts may be exposed to risks, where a counteragent bank (with which a correspondent account has been opened) may be unable to ensure completion of settlements. Therefore, the international standards notice, first of all, the efficiency and reliability of settlement through the national (central) banks. In this connection, in order to mitigate risks associated with settlements through the correspondent accounts opened with the commercial banks the National Bank of Kazakhstan has set a limit for the amount of payments per month to be made between the resident financial organizations in the national currency. The limit is equal to 5% of the total volume of payments of a bank or non-bank organization made through the payment systems of the National Bank of Kazakhstan during the previous month. Limit utilization ratio was 25.5% of the total limit. </w:t>
                      </w:r>
                    </w:p>
                    <w:p w:rsidR="00541D5F" w:rsidRDefault="00541D5F" w:rsidP="00E363C5">
                      <w:pPr>
                        <w:ind w:firstLine="720"/>
                        <w:jc w:val="both"/>
                        <w:rPr>
                          <w:rFonts w:ascii="Calibri" w:hAnsi="Calibri" w:cs="Arial"/>
                          <w:sz w:val="30"/>
                          <w:szCs w:val="30"/>
                          <w:lang w:val="en-US"/>
                        </w:rPr>
                      </w:pPr>
                      <w:r>
                        <w:rPr>
                          <w:rFonts w:ascii="Calibri" w:hAnsi="Calibri" w:cs="Arial"/>
                          <w:sz w:val="30"/>
                          <w:szCs w:val="30"/>
                          <w:lang w:val="en-US"/>
                        </w:rPr>
                        <w:t xml:space="preserve">In this case, the correspondent accounts are the main channel for cross-border payments. Thus, in 2016 the volume of payments made aboard through the correspondent accounts comprised 2.7 million transactions for KZT 211.6 trillion. </w:t>
                      </w:r>
                    </w:p>
                  </w:txbxContent>
                </v:textbox>
                <w10:anchorlock/>
              </v:roundrect>
            </w:pict>
          </mc:Fallback>
        </mc:AlternateContent>
      </w:r>
      <w:bookmarkEnd w:id="86"/>
      <w:bookmarkEnd w:id="87"/>
    </w:p>
    <w:p w:rsidR="00FC1D65" w:rsidRPr="00A9366F" w:rsidRDefault="00FC1D65" w:rsidP="00E363C5">
      <w:pPr>
        <w:rPr>
          <w:lang w:val="en-US"/>
        </w:rPr>
      </w:pPr>
    </w:p>
    <w:p w:rsidR="00FC1D65" w:rsidRPr="00A9366F" w:rsidRDefault="00FC1D65" w:rsidP="00E363C5">
      <w:pPr>
        <w:rPr>
          <w:lang w:val="en-US"/>
        </w:rPr>
      </w:pPr>
    </w:p>
    <w:p w:rsidR="00FC1D65" w:rsidRPr="00A9366F" w:rsidRDefault="00FC1D65" w:rsidP="00E363C5">
      <w:pPr>
        <w:rPr>
          <w:lang w:val="en-US"/>
        </w:rPr>
      </w:pPr>
    </w:p>
    <w:p w:rsidR="00E363C5" w:rsidRPr="00A9366F" w:rsidRDefault="00E363C5"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6A1BFD" w:rsidRPr="00A9366F" w:rsidRDefault="006A1BFD" w:rsidP="00E363C5">
      <w:pPr>
        <w:rPr>
          <w:lang w:val="en-US"/>
        </w:rPr>
      </w:pPr>
    </w:p>
    <w:p w:rsidR="00454A34" w:rsidRPr="00A9366F" w:rsidRDefault="006A1BFD" w:rsidP="00454A34">
      <w:pPr>
        <w:pStyle w:val="1"/>
        <w:spacing w:before="0" w:after="0"/>
        <w:ind w:firstLine="709"/>
        <w:jc w:val="center"/>
        <w:rPr>
          <w:rFonts w:ascii="Calibri" w:hAnsi="Calibri"/>
          <w:bCs w:val="0"/>
          <w:snapToGrid w:val="0"/>
          <w:color w:val="0E4C28"/>
          <w:spacing w:val="-2"/>
          <w:kern w:val="0"/>
          <w:sz w:val="36"/>
          <w:szCs w:val="36"/>
          <w:lang w:val="en-US"/>
        </w:rPr>
      </w:pPr>
      <w:bookmarkStart w:id="88" w:name="_Toc485627010"/>
      <w:proofErr w:type="gramStart"/>
      <w:r w:rsidRPr="00A9366F">
        <w:rPr>
          <w:rFonts w:ascii="Calibri" w:hAnsi="Calibri"/>
          <w:bCs w:val="0"/>
          <w:snapToGrid w:val="0"/>
          <w:color w:val="0E4C28"/>
          <w:spacing w:val="-2"/>
          <w:kern w:val="0"/>
          <w:sz w:val="36"/>
          <w:szCs w:val="36"/>
          <w:lang w:val="en-US"/>
        </w:rPr>
        <w:t xml:space="preserve">SECTION </w:t>
      </w:r>
      <w:r w:rsidR="005C7913" w:rsidRPr="00A9366F">
        <w:rPr>
          <w:rFonts w:ascii="Calibri" w:hAnsi="Calibri"/>
          <w:bCs w:val="0"/>
          <w:snapToGrid w:val="0"/>
          <w:color w:val="0E4C28"/>
          <w:spacing w:val="-2"/>
          <w:kern w:val="0"/>
          <w:sz w:val="36"/>
          <w:szCs w:val="36"/>
          <w:lang w:val="en-US"/>
        </w:rPr>
        <w:t>6</w:t>
      </w:r>
      <w:r w:rsidR="005E5300" w:rsidRPr="00A9366F">
        <w:rPr>
          <w:rFonts w:ascii="Calibri" w:hAnsi="Calibri"/>
          <w:bCs w:val="0"/>
          <w:snapToGrid w:val="0"/>
          <w:color w:val="0E4C28"/>
          <w:spacing w:val="-2"/>
          <w:kern w:val="0"/>
          <w:sz w:val="36"/>
          <w:szCs w:val="36"/>
          <w:lang w:val="en-US"/>
        </w:rPr>
        <w:t>.</w:t>
      </w:r>
      <w:proofErr w:type="gramEnd"/>
      <w:r w:rsidR="005E5300" w:rsidRPr="00A9366F">
        <w:rPr>
          <w:rFonts w:ascii="Calibri" w:hAnsi="Calibri"/>
          <w:bCs w:val="0"/>
          <w:snapToGrid w:val="0"/>
          <w:color w:val="0E4C28"/>
          <w:spacing w:val="-2"/>
          <w:kern w:val="0"/>
          <w:sz w:val="36"/>
          <w:szCs w:val="36"/>
          <w:lang w:val="en-US"/>
        </w:rPr>
        <w:t xml:space="preserve"> </w:t>
      </w:r>
      <w:r w:rsidRPr="00A9366F">
        <w:rPr>
          <w:rFonts w:ascii="Calibri" w:hAnsi="Calibri"/>
          <w:bCs w:val="0"/>
          <w:snapToGrid w:val="0"/>
          <w:color w:val="0E4C28"/>
          <w:spacing w:val="-2"/>
          <w:kern w:val="0"/>
          <w:sz w:val="36"/>
          <w:szCs w:val="36"/>
          <w:lang w:val="en-US"/>
        </w:rPr>
        <w:t>ELECTR</w:t>
      </w:r>
      <w:r w:rsidR="005B31B0" w:rsidRPr="00BF32A7">
        <w:rPr>
          <w:rFonts w:ascii="Calibri" w:hAnsi="Calibri"/>
          <w:bCs w:val="0"/>
          <w:snapToGrid w:val="0"/>
          <w:spacing w:val="-2"/>
          <w:kern w:val="0"/>
          <w:sz w:val="36"/>
          <w:szCs w:val="36"/>
          <w:lang w:val="en-US"/>
        </w:rPr>
        <w:t>O</w:t>
      </w:r>
      <w:r w:rsidRPr="00A9366F">
        <w:rPr>
          <w:rFonts w:ascii="Calibri" w:hAnsi="Calibri"/>
          <w:bCs w:val="0"/>
          <w:snapToGrid w:val="0"/>
          <w:color w:val="0E4C28"/>
          <w:spacing w:val="-2"/>
          <w:kern w:val="0"/>
          <w:sz w:val="36"/>
          <w:szCs w:val="36"/>
          <w:lang w:val="en-US"/>
        </w:rPr>
        <w:t>NIC MONEY</w:t>
      </w:r>
      <w:bookmarkEnd w:id="88"/>
      <w:r w:rsidRPr="00A9366F">
        <w:rPr>
          <w:rFonts w:ascii="Calibri" w:hAnsi="Calibri"/>
          <w:bCs w:val="0"/>
          <w:snapToGrid w:val="0"/>
          <w:color w:val="0E4C28"/>
          <w:spacing w:val="-2"/>
          <w:kern w:val="0"/>
          <w:sz w:val="36"/>
          <w:szCs w:val="36"/>
          <w:lang w:val="en-US"/>
        </w:rPr>
        <w:t xml:space="preserve"> </w:t>
      </w:r>
    </w:p>
    <w:p w:rsidR="00454A34" w:rsidRPr="00A9366F" w:rsidRDefault="006A1BFD" w:rsidP="00454A34">
      <w:pPr>
        <w:jc w:val="both"/>
        <w:rPr>
          <w:rFonts w:ascii="Calibri" w:hAnsi="Calibri" w:cs="Arial"/>
          <w:sz w:val="30"/>
          <w:szCs w:val="30"/>
          <w:lang w:val="en-US"/>
        </w:rPr>
      </w:pPr>
      <w:bookmarkStart w:id="89" w:name="_Toc412583014"/>
      <w:bookmarkStart w:id="90" w:name="Итоги"/>
      <w:r w:rsidRPr="00A9366F">
        <w:rPr>
          <w:rFonts w:ascii="Calibri" w:hAnsi="Calibri" w:cs="Arial"/>
          <w:sz w:val="30"/>
          <w:szCs w:val="30"/>
          <w:lang w:val="en-US"/>
        </w:rPr>
        <w:t xml:space="preserve"> </w:t>
      </w:r>
    </w:p>
    <w:p w:rsidR="002955FA" w:rsidRPr="00A9366F" w:rsidRDefault="00FB60A9" w:rsidP="00454A34">
      <w:pPr>
        <w:ind w:firstLine="708"/>
        <w:jc w:val="both"/>
        <w:rPr>
          <w:rFonts w:ascii="Calibri" w:hAnsi="Calibri" w:cs="Arial"/>
          <w:sz w:val="30"/>
          <w:szCs w:val="30"/>
          <w:lang w:val="en-US"/>
        </w:rPr>
      </w:pPr>
      <w:r w:rsidRPr="00A9366F">
        <w:rPr>
          <w:rFonts w:ascii="Calibri" w:hAnsi="Calibri" w:cs="Arial"/>
          <w:noProof/>
          <w:sz w:val="30"/>
          <w:szCs w:val="30"/>
        </w:rPr>
        <mc:AlternateContent>
          <mc:Choice Requires="wps">
            <w:drawing>
              <wp:anchor distT="0" distB="0" distL="114300" distR="114300" simplePos="0" relativeHeight="251670528" behindDoc="0" locked="0" layoutInCell="1" allowOverlap="1" wp14:anchorId="3A57CC29" wp14:editId="554014D0">
                <wp:simplePos x="0" y="0"/>
                <wp:positionH relativeFrom="column">
                  <wp:posOffset>3088005</wp:posOffset>
                </wp:positionH>
                <wp:positionV relativeFrom="paragraph">
                  <wp:posOffset>749300</wp:posOffset>
                </wp:positionV>
                <wp:extent cx="3074670" cy="3173730"/>
                <wp:effectExtent l="0" t="0" r="30480" b="64770"/>
                <wp:wrapSquare wrapText="bothSides"/>
                <wp:docPr id="456"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4670" cy="3173730"/>
                        </a:xfrm>
                        <a:prstGeom prst="roundRect">
                          <a:avLst>
                            <a:gd name="adj" fmla="val 16667"/>
                          </a:avLst>
                        </a:prstGeom>
                        <a:solidFill>
                          <a:srgbClr val="CCFF99"/>
                        </a:solidFill>
                        <a:ln w="12700">
                          <a:solidFill>
                            <a:srgbClr val="CCFF99"/>
                          </a:solidFill>
                          <a:round/>
                          <a:headEnd/>
                          <a:tailEnd/>
                        </a:ln>
                        <a:effectLst>
                          <a:outerShdw dist="28398" dir="3806097" algn="ctr" rotWithShape="0">
                            <a:srgbClr val="205867">
                              <a:alpha val="50000"/>
                            </a:srgbClr>
                          </a:outerShdw>
                        </a:effectLst>
                      </wps:spPr>
                      <wps:txbx>
                        <w:txbxContent>
                          <w:p w:rsidR="00541D5F" w:rsidRPr="00A9366F" w:rsidRDefault="00541D5F" w:rsidP="0032693E">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Electronic</w:t>
                            </w:r>
                            <w:r w:rsidRPr="00A9366F">
                              <w:rPr>
                                <w:rFonts w:ascii="Calibri" w:hAnsi="Calibri" w:cs="Arial"/>
                                <w:sz w:val="30"/>
                                <w:szCs w:val="30"/>
                                <w:lang w:val="en-US"/>
                              </w:rPr>
                              <w:t xml:space="preserve"> </w:t>
                            </w:r>
                            <w:r>
                              <w:rPr>
                                <w:rFonts w:ascii="Calibri" w:hAnsi="Calibri" w:cs="Arial"/>
                                <w:sz w:val="30"/>
                                <w:szCs w:val="30"/>
                                <w:lang w:val="en-US"/>
                              </w:rPr>
                              <w:t>money</w:t>
                            </w:r>
                            <w:r w:rsidRPr="00A9366F">
                              <w:rPr>
                                <w:rFonts w:ascii="Calibri" w:hAnsi="Calibri" w:cs="Arial"/>
                                <w:sz w:val="30"/>
                                <w:szCs w:val="30"/>
                                <w:lang w:val="en-US"/>
                              </w:rPr>
                              <w:t xml:space="preserve"> </w:t>
                            </w:r>
                            <w:r>
                              <w:rPr>
                                <w:rFonts w:ascii="Calibri" w:hAnsi="Calibri" w:cs="Arial"/>
                                <w:sz w:val="30"/>
                                <w:szCs w:val="30"/>
                                <w:lang w:val="en-US"/>
                              </w:rPr>
                              <w:t>market</w:t>
                            </w:r>
                            <w:r w:rsidRPr="00A9366F">
                              <w:rPr>
                                <w:rFonts w:ascii="Calibri" w:hAnsi="Calibri" w:cs="Arial"/>
                                <w:sz w:val="30"/>
                                <w:szCs w:val="30"/>
                                <w:lang w:val="en-US"/>
                              </w:rPr>
                              <w:t xml:space="preserve"> </w:t>
                            </w:r>
                            <w:r>
                              <w:rPr>
                                <w:rFonts w:ascii="Calibri" w:hAnsi="Calibri" w:cs="Arial"/>
                                <w:sz w:val="30"/>
                                <w:szCs w:val="30"/>
                                <w:lang w:val="en-US"/>
                              </w:rPr>
                              <w:t>has</w:t>
                            </w:r>
                            <w:r w:rsidRPr="00A9366F">
                              <w:rPr>
                                <w:rFonts w:ascii="Calibri" w:hAnsi="Calibri" w:cs="Arial"/>
                                <w:sz w:val="30"/>
                                <w:szCs w:val="30"/>
                                <w:lang w:val="en-US"/>
                              </w:rPr>
                              <w:t xml:space="preserve"> </w:t>
                            </w:r>
                            <w:r>
                              <w:rPr>
                                <w:rFonts w:ascii="Calibri" w:hAnsi="Calibri" w:cs="Arial"/>
                                <w:sz w:val="30"/>
                                <w:szCs w:val="30"/>
                                <w:lang w:val="en-US"/>
                              </w:rPr>
                              <w:t>been</w:t>
                            </w:r>
                            <w:r w:rsidRPr="00A9366F">
                              <w:rPr>
                                <w:rFonts w:ascii="Calibri" w:hAnsi="Calibri" w:cs="Arial"/>
                                <w:sz w:val="30"/>
                                <w:szCs w:val="30"/>
                                <w:lang w:val="en-US"/>
                              </w:rPr>
                              <w:t xml:space="preserve"> </w:t>
                            </w:r>
                            <w:r>
                              <w:rPr>
                                <w:rFonts w:ascii="Calibri" w:hAnsi="Calibri" w:cs="Arial"/>
                                <w:sz w:val="30"/>
                                <w:szCs w:val="30"/>
                                <w:lang w:val="en-US"/>
                              </w:rPr>
                              <w:t>actively</w:t>
                            </w:r>
                            <w:r w:rsidRPr="00A9366F">
                              <w:rPr>
                                <w:rFonts w:ascii="Calibri" w:hAnsi="Calibri" w:cs="Arial"/>
                                <w:sz w:val="30"/>
                                <w:szCs w:val="30"/>
                                <w:lang w:val="en-US"/>
                              </w:rPr>
                              <w:t xml:space="preserve"> </w:t>
                            </w:r>
                            <w:r>
                              <w:rPr>
                                <w:rFonts w:ascii="Calibri" w:hAnsi="Calibri" w:cs="Arial"/>
                                <w:sz w:val="30"/>
                                <w:szCs w:val="30"/>
                                <w:lang w:val="en-US"/>
                              </w:rPr>
                              <w:t>developing</w:t>
                            </w:r>
                            <w:r w:rsidRPr="00A9366F">
                              <w:rPr>
                                <w:rFonts w:ascii="Calibri" w:hAnsi="Calibri" w:cs="Arial"/>
                                <w:sz w:val="30"/>
                                <w:szCs w:val="30"/>
                                <w:lang w:val="en-US"/>
                              </w:rPr>
                              <w:t xml:space="preserve"> </w:t>
                            </w:r>
                            <w:r>
                              <w:rPr>
                                <w:rFonts w:ascii="Calibri" w:hAnsi="Calibri" w:cs="Arial"/>
                                <w:sz w:val="30"/>
                                <w:szCs w:val="30"/>
                                <w:lang w:val="en-US"/>
                              </w:rPr>
                              <w:t>since</w:t>
                            </w:r>
                            <w:r w:rsidRPr="00A9366F">
                              <w:rPr>
                                <w:rFonts w:ascii="Calibri" w:hAnsi="Calibri" w:cs="Arial"/>
                                <w:sz w:val="30"/>
                                <w:szCs w:val="30"/>
                                <w:lang w:val="en-US"/>
                              </w:rPr>
                              <w:t xml:space="preserve"> 2013, </w:t>
                            </w:r>
                            <w:r>
                              <w:rPr>
                                <w:rFonts w:ascii="Calibri" w:hAnsi="Calibri" w:cs="Arial"/>
                                <w:sz w:val="30"/>
                                <w:szCs w:val="30"/>
                                <w:lang w:val="en-US"/>
                              </w:rPr>
                              <w:t>and</w:t>
                            </w:r>
                            <w:r w:rsidRPr="00A9366F">
                              <w:rPr>
                                <w:rFonts w:ascii="Calibri" w:hAnsi="Calibri" w:cs="Arial"/>
                                <w:sz w:val="30"/>
                                <w:szCs w:val="30"/>
                                <w:lang w:val="en-US"/>
                              </w:rPr>
                              <w:t xml:space="preserve"> </w:t>
                            </w:r>
                            <w:r>
                              <w:rPr>
                                <w:rFonts w:ascii="Calibri" w:hAnsi="Calibri" w:cs="Arial"/>
                                <w:sz w:val="30"/>
                                <w:szCs w:val="30"/>
                                <w:lang w:val="en-US"/>
                              </w:rPr>
                              <w:t>in recent years the increased growth rate has been observed</w:t>
                            </w:r>
                            <w:r w:rsidRPr="00A9366F">
                              <w:rPr>
                                <w:rFonts w:ascii="Calibri" w:hAnsi="Calibri" w:cs="Arial"/>
                                <w:sz w:val="30"/>
                                <w:szCs w:val="30"/>
                                <w:lang w:val="en-US"/>
                              </w:rPr>
                              <w:t>;</w:t>
                            </w:r>
                          </w:p>
                          <w:p w:rsidR="00541D5F" w:rsidRPr="00A9366F" w:rsidRDefault="00541D5F" w:rsidP="0032693E">
                            <w:pPr>
                              <w:numPr>
                                <w:ilvl w:val="0"/>
                                <w:numId w:val="28"/>
                              </w:numPr>
                              <w:tabs>
                                <w:tab w:val="left" w:pos="360"/>
                              </w:tabs>
                              <w:autoSpaceDE w:val="0"/>
                              <w:autoSpaceDN w:val="0"/>
                              <w:adjustRightInd w:val="0"/>
                              <w:ind w:left="0" w:firstLine="0"/>
                              <w:jc w:val="both"/>
                              <w:rPr>
                                <w:szCs w:val="30"/>
                                <w:lang w:val="en-US"/>
                              </w:rPr>
                            </w:pPr>
                            <w:r>
                              <w:rPr>
                                <w:rFonts w:ascii="Calibri" w:hAnsi="Calibri" w:cs="Arial"/>
                                <w:sz w:val="30"/>
                                <w:szCs w:val="30"/>
                                <w:lang w:val="en-US"/>
                              </w:rPr>
                              <w:t>Drivers</w:t>
                            </w:r>
                            <w:r w:rsidRPr="00A9366F">
                              <w:rPr>
                                <w:rFonts w:ascii="Calibri" w:hAnsi="Calibri" w:cs="Arial"/>
                                <w:sz w:val="30"/>
                                <w:szCs w:val="30"/>
                                <w:lang w:val="en-US"/>
                              </w:rPr>
                              <w:t xml:space="preserve"> </w:t>
                            </w:r>
                            <w:r>
                              <w:rPr>
                                <w:rFonts w:ascii="Calibri" w:hAnsi="Calibri" w:cs="Arial"/>
                                <w:sz w:val="30"/>
                                <w:szCs w:val="30"/>
                                <w:lang w:val="en-US"/>
                              </w:rPr>
                              <w:t>of</w:t>
                            </w:r>
                            <w:r w:rsidRPr="00A9366F">
                              <w:rPr>
                                <w:rFonts w:ascii="Calibri" w:hAnsi="Calibri" w:cs="Arial"/>
                                <w:sz w:val="30"/>
                                <w:szCs w:val="30"/>
                                <w:lang w:val="en-US"/>
                              </w:rPr>
                              <w:t xml:space="preserve"> </w:t>
                            </w:r>
                            <w:r>
                              <w:rPr>
                                <w:rFonts w:ascii="Calibri" w:hAnsi="Calibri" w:cs="Arial"/>
                                <w:sz w:val="30"/>
                                <w:szCs w:val="30"/>
                                <w:lang w:val="en-US"/>
                              </w:rPr>
                              <w:t>the</w:t>
                            </w:r>
                            <w:r w:rsidRPr="00A9366F">
                              <w:rPr>
                                <w:rFonts w:ascii="Calibri" w:hAnsi="Calibri" w:cs="Arial"/>
                                <w:sz w:val="30"/>
                                <w:szCs w:val="30"/>
                                <w:lang w:val="en-US"/>
                              </w:rPr>
                              <w:t xml:space="preserve"> </w:t>
                            </w:r>
                            <w:r>
                              <w:rPr>
                                <w:rFonts w:ascii="Calibri" w:hAnsi="Calibri" w:cs="Arial"/>
                                <w:sz w:val="30"/>
                                <w:szCs w:val="30"/>
                                <w:lang w:val="en-US"/>
                              </w:rPr>
                              <w:t>electronic</w:t>
                            </w:r>
                            <w:r w:rsidRPr="00A9366F">
                              <w:rPr>
                                <w:rFonts w:ascii="Calibri" w:hAnsi="Calibri" w:cs="Arial"/>
                                <w:sz w:val="30"/>
                                <w:szCs w:val="30"/>
                                <w:lang w:val="en-US"/>
                              </w:rPr>
                              <w:t xml:space="preserve"> </w:t>
                            </w:r>
                            <w:r>
                              <w:rPr>
                                <w:rFonts w:ascii="Calibri" w:hAnsi="Calibri" w:cs="Arial"/>
                                <w:sz w:val="30"/>
                                <w:szCs w:val="30"/>
                                <w:lang w:val="en-US"/>
                              </w:rPr>
                              <w:t>money</w:t>
                            </w:r>
                            <w:r w:rsidRPr="00A9366F">
                              <w:rPr>
                                <w:rFonts w:ascii="Calibri" w:hAnsi="Calibri" w:cs="Arial"/>
                                <w:sz w:val="30"/>
                                <w:szCs w:val="30"/>
                                <w:lang w:val="en-US"/>
                              </w:rPr>
                              <w:t xml:space="preserve"> </w:t>
                            </w:r>
                            <w:r>
                              <w:rPr>
                                <w:rFonts w:ascii="Calibri" w:hAnsi="Calibri" w:cs="Arial"/>
                                <w:sz w:val="30"/>
                                <w:szCs w:val="30"/>
                                <w:lang w:val="en-US"/>
                              </w:rPr>
                              <w:t>market</w:t>
                            </w:r>
                            <w:r w:rsidRPr="00A9366F">
                              <w:rPr>
                                <w:rFonts w:ascii="Calibri" w:hAnsi="Calibri" w:cs="Arial"/>
                                <w:sz w:val="30"/>
                                <w:szCs w:val="30"/>
                                <w:lang w:val="en-US"/>
                              </w:rPr>
                              <w:t xml:space="preserve"> </w:t>
                            </w:r>
                            <w:r>
                              <w:rPr>
                                <w:rFonts w:ascii="Calibri" w:hAnsi="Calibri" w:cs="Arial"/>
                                <w:sz w:val="30"/>
                                <w:szCs w:val="30"/>
                                <w:lang w:val="en-US"/>
                              </w:rPr>
                              <w:t>development</w:t>
                            </w:r>
                            <w:r w:rsidRPr="00A9366F">
                              <w:rPr>
                                <w:rFonts w:ascii="Calibri" w:hAnsi="Calibri" w:cs="Arial"/>
                                <w:sz w:val="30"/>
                                <w:szCs w:val="30"/>
                                <w:lang w:val="en-US"/>
                              </w:rPr>
                              <w:t xml:space="preserve"> </w:t>
                            </w:r>
                            <w:r>
                              <w:rPr>
                                <w:rFonts w:ascii="Calibri" w:hAnsi="Calibri" w:cs="Arial"/>
                                <w:sz w:val="30"/>
                                <w:szCs w:val="30"/>
                                <w:lang w:val="en-US"/>
                              </w:rPr>
                              <w:t>comprise</w:t>
                            </w:r>
                            <w:r w:rsidRPr="00A9366F">
                              <w:rPr>
                                <w:rFonts w:ascii="Calibri" w:hAnsi="Calibri" w:cs="Arial"/>
                                <w:sz w:val="30"/>
                                <w:szCs w:val="30"/>
                                <w:lang w:val="en-US"/>
                              </w:rPr>
                              <w:t xml:space="preserve">: </w:t>
                            </w:r>
                            <w:r>
                              <w:rPr>
                                <w:rFonts w:ascii="Calibri" w:hAnsi="Calibri" w:cs="Arial"/>
                                <w:sz w:val="30"/>
                                <w:szCs w:val="30"/>
                                <w:lang w:val="en-US"/>
                              </w:rPr>
                              <w:t>increased Internet penetration rate</w:t>
                            </w:r>
                            <w:r w:rsidRPr="00A9366F">
                              <w:rPr>
                                <w:rFonts w:ascii="Calibri" w:hAnsi="Calibri" w:cs="Arial"/>
                                <w:sz w:val="30"/>
                                <w:szCs w:val="30"/>
                                <w:lang w:val="en-US"/>
                              </w:rPr>
                              <w:t xml:space="preserve">, </w:t>
                            </w:r>
                            <w:r>
                              <w:rPr>
                                <w:rFonts w:ascii="Calibri" w:hAnsi="Calibri" w:cs="Arial"/>
                                <w:sz w:val="30"/>
                                <w:szCs w:val="30"/>
                                <w:lang w:val="en-US"/>
                              </w:rPr>
                              <w:t>e-commerce development</w:t>
                            </w:r>
                            <w:r w:rsidRPr="00A9366F">
                              <w:rPr>
                                <w:rFonts w:ascii="Calibri" w:hAnsi="Calibri" w:cs="Arial"/>
                                <w:sz w:val="30"/>
                                <w:szCs w:val="30"/>
                                <w:lang w:val="en-US"/>
                              </w:rPr>
                              <w:t xml:space="preserve">, </w:t>
                            </w:r>
                            <w:r>
                              <w:rPr>
                                <w:rFonts w:ascii="Calibri" w:hAnsi="Calibri" w:cs="Arial"/>
                                <w:sz w:val="30"/>
                                <w:szCs w:val="30"/>
                                <w:lang w:val="en-US"/>
                              </w:rPr>
                              <w:t>and development of innovation technologies</w:t>
                            </w:r>
                            <w:r w:rsidRPr="00A9366F">
                              <w:rPr>
                                <w:rFonts w:ascii="Calibri" w:hAnsi="Calibri" w:cs="Arial"/>
                                <w:sz w:val="30"/>
                                <w:szCs w:val="30"/>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2" o:spid="_x0000_s1057" style="position:absolute;left:0;text-align:left;margin-left:243.15pt;margin-top:59pt;width:242.1pt;height:24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" fillcolor="#cf9" strokecolor="#cf9" strokeweight="1pt">
                <v:shadow on="t" color="#205867" opacity=".5" offset="1pt"/>
                <v:textbox>
                  <w:txbxContent>
                    <w:p w:rsidR="00541D5F" w:rsidRPr="00A9366F" w:rsidRDefault="00541D5F" w:rsidP="0032693E">
                      <w:pPr>
                        <w:numPr>
                          <w:ilvl w:val="0"/>
                          <w:numId w:val="28"/>
                        </w:numPr>
                        <w:tabs>
                          <w:tab w:val="left" w:pos="360"/>
                        </w:tabs>
                        <w:autoSpaceDE w:val="0"/>
                        <w:autoSpaceDN w:val="0"/>
                        <w:adjustRightInd w:val="0"/>
                        <w:ind w:left="0" w:firstLine="0"/>
                        <w:jc w:val="both"/>
                        <w:rPr>
                          <w:rFonts w:ascii="Calibri" w:hAnsi="Calibri" w:cs="Arial"/>
                          <w:sz w:val="30"/>
                          <w:szCs w:val="30"/>
                          <w:lang w:val="en-US"/>
                        </w:rPr>
                      </w:pPr>
                      <w:r>
                        <w:rPr>
                          <w:rFonts w:ascii="Calibri" w:hAnsi="Calibri" w:cs="Arial"/>
                          <w:sz w:val="30"/>
                          <w:szCs w:val="30"/>
                          <w:lang w:val="en-US"/>
                        </w:rPr>
                        <w:t>Electronic</w:t>
                      </w:r>
                      <w:r w:rsidRPr="00A9366F">
                        <w:rPr>
                          <w:rFonts w:ascii="Calibri" w:hAnsi="Calibri" w:cs="Arial"/>
                          <w:sz w:val="30"/>
                          <w:szCs w:val="30"/>
                          <w:lang w:val="en-US"/>
                        </w:rPr>
                        <w:t xml:space="preserve"> </w:t>
                      </w:r>
                      <w:r>
                        <w:rPr>
                          <w:rFonts w:ascii="Calibri" w:hAnsi="Calibri" w:cs="Arial"/>
                          <w:sz w:val="30"/>
                          <w:szCs w:val="30"/>
                          <w:lang w:val="en-US"/>
                        </w:rPr>
                        <w:t>money</w:t>
                      </w:r>
                      <w:r w:rsidRPr="00A9366F">
                        <w:rPr>
                          <w:rFonts w:ascii="Calibri" w:hAnsi="Calibri" w:cs="Arial"/>
                          <w:sz w:val="30"/>
                          <w:szCs w:val="30"/>
                          <w:lang w:val="en-US"/>
                        </w:rPr>
                        <w:t xml:space="preserve"> </w:t>
                      </w:r>
                      <w:r>
                        <w:rPr>
                          <w:rFonts w:ascii="Calibri" w:hAnsi="Calibri" w:cs="Arial"/>
                          <w:sz w:val="30"/>
                          <w:szCs w:val="30"/>
                          <w:lang w:val="en-US"/>
                        </w:rPr>
                        <w:t>market</w:t>
                      </w:r>
                      <w:r w:rsidRPr="00A9366F">
                        <w:rPr>
                          <w:rFonts w:ascii="Calibri" w:hAnsi="Calibri" w:cs="Arial"/>
                          <w:sz w:val="30"/>
                          <w:szCs w:val="30"/>
                          <w:lang w:val="en-US"/>
                        </w:rPr>
                        <w:t xml:space="preserve"> </w:t>
                      </w:r>
                      <w:r>
                        <w:rPr>
                          <w:rFonts w:ascii="Calibri" w:hAnsi="Calibri" w:cs="Arial"/>
                          <w:sz w:val="30"/>
                          <w:szCs w:val="30"/>
                          <w:lang w:val="en-US"/>
                        </w:rPr>
                        <w:t>has</w:t>
                      </w:r>
                      <w:r w:rsidRPr="00A9366F">
                        <w:rPr>
                          <w:rFonts w:ascii="Calibri" w:hAnsi="Calibri" w:cs="Arial"/>
                          <w:sz w:val="30"/>
                          <w:szCs w:val="30"/>
                          <w:lang w:val="en-US"/>
                        </w:rPr>
                        <w:t xml:space="preserve"> </w:t>
                      </w:r>
                      <w:r>
                        <w:rPr>
                          <w:rFonts w:ascii="Calibri" w:hAnsi="Calibri" w:cs="Arial"/>
                          <w:sz w:val="30"/>
                          <w:szCs w:val="30"/>
                          <w:lang w:val="en-US"/>
                        </w:rPr>
                        <w:t>been</w:t>
                      </w:r>
                      <w:r w:rsidRPr="00A9366F">
                        <w:rPr>
                          <w:rFonts w:ascii="Calibri" w:hAnsi="Calibri" w:cs="Arial"/>
                          <w:sz w:val="30"/>
                          <w:szCs w:val="30"/>
                          <w:lang w:val="en-US"/>
                        </w:rPr>
                        <w:t xml:space="preserve"> </w:t>
                      </w:r>
                      <w:r>
                        <w:rPr>
                          <w:rFonts w:ascii="Calibri" w:hAnsi="Calibri" w:cs="Arial"/>
                          <w:sz w:val="30"/>
                          <w:szCs w:val="30"/>
                          <w:lang w:val="en-US"/>
                        </w:rPr>
                        <w:t>actively</w:t>
                      </w:r>
                      <w:r w:rsidRPr="00A9366F">
                        <w:rPr>
                          <w:rFonts w:ascii="Calibri" w:hAnsi="Calibri" w:cs="Arial"/>
                          <w:sz w:val="30"/>
                          <w:szCs w:val="30"/>
                          <w:lang w:val="en-US"/>
                        </w:rPr>
                        <w:t xml:space="preserve"> </w:t>
                      </w:r>
                      <w:r>
                        <w:rPr>
                          <w:rFonts w:ascii="Calibri" w:hAnsi="Calibri" w:cs="Arial"/>
                          <w:sz w:val="30"/>
                          <w:szCs w:val="30"/>
                          <w:lang w:val="en-US"/>
                        </w:rPr>
                        <w:t>developing</w:t>
                      </w:r>
                      <w:r w:rsidRPr="00A9366F">
                        <w:rPr>
                          <w:rFonts w:ascii="Calibri" w:hAnsi="Calibri" w:cs="Arial"/>
                          <w:sz w:val="30"/>
                          <w:szCs w:val="30"/>
                          <w:lang w:val="en-US"/>
                        </w:rPr>
                        <w:t xml:space="preserve"> </w:t>
                      </w:r>
                      <w:r>
                        <w:rPr>
                          <w:rFonts w:ascii="Calibri" w:hAnsi="Calibri" w:cs="Arial"/>
                          <w:sz w:val="30"/>
                          <w:szCs w:val="30"/>
                          <w:lang w:val="en-US"/>
                        </w:rPr>
                        <w:t>since</w:t>
                      </w:r>
                      <w:r w:rsidRPr="00A9366F">
                        <w:rPr>
                          <w:rFonts w:ascii="Calibri" w:hAnsi="Calibri" w:cs="Arial"/>
                          <w:sz w:val="30"/>
                          <w:szCs w:val="30"/>
                          <w:lang w:val="en-US"/>
                        </w:rPr>
                        <w:t xml:space="preserve"> 2013, </w:t>
                      </w:r>
                      <w:r>
                        <w:rPr>
                          <w:rFonts w:ascii="Calibri" w:hAnsi="Calibri" w:cs="Arial"/>
                          <w:sz w:val="30"/>
                          <w:szCs w:val="30"/>
                          <w:lang w:val="en-US"/>
                        </w:rPr>
                        <w:t>and</w:t>
                      </w:r>
                      <w:r w:rsidRPr="00A9366F">
                        <w:rPr>
                          <w:rFonts w:ascii="Calibri" w:hAnsi="Calibri" w:cs="Arial"/>
                          <w:sz w:val="30"/>
                          <w:szCs w:val="30"/>
                          <w:lang w:val="en-US"/>
                        </w:rPr>
                        <w:t xml:space="preserve"> </w:t>
                      </w:r>
                      <w:r>
                        <w:rPr>
                          <w:rFonts w:ascii="Calibri" w:hAnsi="Calibri" w:cs="Arial"/>
                          <w:sz w:val="30"/>
                          <w:szCs w:val="30"/>
                          <w:lang w:val="en-US"/>
                        </w:rPr>
                        <w:t>in recent years the increased growth rate has been observed</w:t>
                      </w:r>
                      <w:r w:rsidRPr="00A9366F">
                        <w:rPr>
                          <w:rFonts w:ascii="Calibri" w:hAnsi="Calibri" w:cs="Arial"/>
                          <w:sz w:val="30"/>
                          <w:szCs w:val="30"/>
                          <w:lang w:val="en-US"/>
                        </w:rPr>
                        <w:t>;</w:t>
                      </w:r>
                    </w:p>
                    <w:p w:rsidR="00541D5F" w:rsidRPr="00A9366F" w:rsidRDefault="00541D5F" w:rsidP="0032693E">
                      <w:pPr>
                        <w:numPr>
                          <w:ilvl w:val="0"/>
                          <w:numId w:val="28"/>
                        </w:numPr>
                        <w:tabs>
                          <w:tab w:val="left" w:pos="360"/>
                        </w:tabs>
                        <w:autoSpaceDE w:val="0"/>
                        <w:autoSpaceDN w:val="0"/>
                        <w:adjustRightInd w:val="0"/>
                        <w:ind w:left="0" w:firstLine="0"/>
                        <w:jc w:val="both"/>
                        <w:rPr>
                          <w:szCs w:val="30"/>
                          <w:lang w:val="en-US"/>
                        </w:rPr>
                      </w:pPr>
                      <w:r>
                        <w:rPr>
                          <w:rFonts w:ascii="Calibri" w:hAnsi="Calibri" w:cs="Arial"/>
                          <w:sz w:val="30"/>
                          <w:szCs w:val="30"/>
                          <w:lang w:val="en-US"/>
                        </w:rPr>
                        <w:t>Drivers</w:t>
                      </w:r>
                      <w:r w:rsidRPr="00A9366F">
                        <w:rPr>
                          <w:rFonts w:ascii="Calibri" w:hAnsi="Calibri" w:cs="Arial"/>
                          <w:sz w:val="30"/>
                          <w:szCs w:val="30"/>
                          <w:lang w:val="en-US"/>
                        </w:rPr>
                        <w:t xml:space="preserve"> </w:t>
                      </w:r>
                      <w:r>
                        <w:rPr>
                          <w:rFonts w:ascii="Calibri" w:hAnsi="Calibri" w:cs="Arial"/>
                          <w:sz w:val="30"/>
                          <w:szCs w:val="30"/>
                          <w:lang w:val="en-US"/>
                        </w:rPr>
                        <w:t>of</w:t>
                      </w:r>
                      <w:r w:rsidRPr="00A9366F">
                        <w:rPr>
                          <w:rFonts w:ascii="Calibri" w:hAnsi="Calibri" w:cs="Arial"/>
                          <w:sz w:val="30"/>
                          <w:szCs w:val="30"/>
                          <w:lang w:val="en-US"/>
                        </w:rPr>
                        <w:t xml:space="preserve"> </w:t>
                      </w:r>
                      <w:r>
                        <w:rPr>
                          <w:rFonts w:ascii="Calibri" w:hAnsi="Calibri" w:cs="Arial"/>
                          <w:sz w:val="30"/>
                          <w:szCs w:val="30"/>
                          <w:lang w:val="en-US"/>
                        </w:rPr>
                        <w:t>the</w:t>
                      </w:r>
                      <w:r w:rsidRPr="00A9366F">
                        <w:rPr>
                          <w:rFonts w:ascii="Calibri" w:hAnsi="Calibri" w:cs="Arial"/>
                          <w:sz w:val="30"/>
                          <w:szCs w:val="30"/>
                          <w:lang w:val="en-US"/>
                        </w:rPr>
                        <w:t xml:space="preserve"> </w:t>
                      </w:r>
                      <w:r>
                        <w:rPr>
                          <w:rFonts w:ascii="Calibri" w:hAnsi="Calibri" w:cs="Arial"/>
                          <w:sz w:val="30"/>
                          <w:szCs w:val="30"/>
                          <w:lang w:val="en-US"/>
                        </w:rPr>
                        <w:t>electronic</w:t>
                      </w:r>
                      <w:r w:rsidRPr="00A9366F">
                        <w:rPr>
                          <w:rFonts w:ascii="Calibri" w:hAnsi="Calibri" w:cs="Arial"/>
                          <w:sz w:val="30"/>
                          <w:szCs w:val="30"/>
                          <w:lang w:val="en-US"/>
                        </w:rPr>
                        <w:t xml:space="preserve"> </w:t>
                      </w:r>
                      <w:r>
                        <w:rPr>
                          <w:rFonts w:ascii="Calibri" w:hAnsi="Calibri" w:cs="Arial"/>
                          <w:sz w:val="30"/>
                          <w:szCs w:val="30"/>
                          <w:lang w:val="en-US"/>
                        </w:rPr>
                        <w:t>money</w:t>
                      </w:r>
                      <w:r w:rsidRPr="00A9366F">
                        <w:rPr>
                          <w:rFonts w:ascii="Calibri" w:hAnsi="Calibri" w:cs="Arial"/>
                          <w:sz w:val="30"/>
                          <w:szCs w:val="30"/>
                          <w:lang w:val="en-US"/>
                        </w:rPr>
                        <w:t xml:space="preserve"> </w:t>
                      </w:r>
                      <w:r>
                        <w:rPr>
                          <w:rFonts w:ascii="Calibri" w:hAnsi="Calibri" w:cs="Arial"/>
                          <w:sz w:val="30"/>
                          <w:szCs w:val="30"/>
                          <w:lang w:val="en-US"/>
                        </w:rPr>
                        <w:t>market</w:t>
                      </w:r>
                      <w:r w:rsidRPr="00A9366F">
                        <w:rPr>
                          <w:rFonts w:ascii="Calibri" w:hAnsi="Calibri" w:cs="Arial"/>
                          <w:sz w:val="30"/>
                          <w:szCs w:val="30"/>
                          <w:lang w:val="en-US"/>
                        </w:rPr>
                        <w:t xml:space="preserve"> </w:t>
                      </w:r>
                      <w:r>
                        <w:rPr>
                          <w:rFonts w:ascii="Calibri" w:hAnsi="Calibri" w:cs="Arial"/>
                          <w:sz w:val="30"/>
                          <w:szCs w:val="30"/>
                          <w:lang w:val="en-US"/>
                        </w:rPr>
                        <w:t>development</w:t>
                      </w:r>
                      <w:r w:rsidRPr="00A9366F">
                        <w:rPr>
                          <w:rFonts w:ascii="Calibri" w:hAnsi="Calibri" w:cs="Arial"/>
                          <w:sz w:val="30"/>
                          <w:szCs w:val="30"/>
                          <w:lang w:val="en-US"/>
                        </w:rPr>
                        <w:t xml:space="preserve"> </w:t>
                      </w:r>
                      <w:r>
                        <w:rPr>
                          <w:rFonts w:ascii="Calibri" w:hAnsi="Calibri" w:cs="Arial"/>
                          <w:sz w:val="30"/>
                          <w:szCs w:val="30"/>
                          <w:lang w:val="en-US"/>
                        </w:rPr>
                        <w:t>comprise</w:t>
                      </w:r>
                      <w:r w:rsidRPr="00A9366F">
                        <w:rPr>
                          <w:rFonts w:ascii="Calibri" w:hAnsi="Calibri" w:cs="Arial"/>
                          <w:sz w:val="30"/>
                          <w:szCs w:val="30"/>
                          <w:lang w:val="en-US"/>
                        </w:rPr>
                        <w:t xml:space="preserve">: </w:t>
                      </w:r>
                      <w:r>
                        <w:rPr>
                          <w:rFonts w:ascii="Calibri" w:hAnsi="Calibri" w:cs="Arial"/>
                          <w:sz w:val="30"/>
                          <w:szCs w:val="30"/>
                          <w:lang w:val="en-US"/>
                        </w:rPr>
                        <w:t>increased Internet penetration rate</w:t>
                      </w:r>
                      <w:r w:rsidRPr="00A9366F">
                        <w:rPr>
                          <w:rFonts w:ascii="Calibri" w:hAnsi="Calibri" w:cs="Arial"/>
                          <w:sz w:val="30"/>
                          <w:szCs w:val="30"/>
                          <w:lang w:val="en-US"/>
                        </w:rPr>
                        <w:t xml:space="preserve">, </w:t>
                      </w:r>
                      <w:r>
                        <w:rPr>
                          <w:rFonts w:ascii="Calibri" w:hAnsi="Calibri" w:cs="Arial"/>
                          <w:sz w:val="30"/>
                          <w:szCs w:val="30"/>
                          <w:lang w:val="en-US"/>
                        </w:rPr>
                        <w:t>e-commerce development</w:t>
                      </w:r>
                      <w:r w:rsidRPr="00A9366F">
                        <w:rPr>
                          <w:rFonts w:ascii="Calibri" w:hAnsi="Calibri" w:cs="Arial"/>
                          <w:sz w:val="30"/>
                          <w:szCs w:val="30"/>
                          <w:lang w:val="en-US"/>
                        </w:rPr>
                        <w:t xml:space="preserve">, </w:t>
                      </w:r>
                      <w:r>
                        <w:rPr>
                          <w:rFonts w:ascii="Calibri" w:hAnsi="Calibri" w:cs="Arial"/>
                          <w:sz w:val="30"/>
                          <w:szCs w:val="30"/>
                          <w:lang w:val="en-US"/>
                        </w:rPr>
                        <w:t>and development of innovation technologies</w:t>
                      </w:r>
                      <w:r w:rsidRPr="00A9366F">
                        <w:rPr>
                          <w:rFonts w:ascii="Calibri" w:hAnsi="Calibri" w:cs="Arial"/>
                          <w:sz w:val="30"/>
                          <w:szCs w:val="30"/>
                          <w:lang w:val="en-US"/>
                        </w:rPr>
                        <w:t>.</w:t>
                      </w:r>
                    </w:p>
                  </w:txbxContent>
                </v:textbox>
                <w10:wrap type="square"/>
              </v:roundrect>
            </w:pict>
          </mc:Fallback>
        </mc:AlternateContent>
      </w:r>
      <w:r w:rsidR="002955FA" w:rsidRPr="00A9366F">
        <w:rPr>
          <w:rFonts w:ascii="Calibri" w:hAnsi="Calibri" w:cs="Arial"/>
          <w:sz w:val="30"/>
          <w:szCs w:val="30"/>
          <w:lang w:val="en-US"/>
        </w:rPr>
        <w:t xml:space="preserve">The most important impulse for development of the e-money market in Kazakhstan was the adoption of the Law of the Republic of Kazakhstan </w:t>
      </w:r>
      <w:r w:rsidR="0021778F" w:rsidRPr="00A9366F">
        <w:rPr>
          <w:rFonts w:ascii="Calibri" w:hAnsi="Calibri" w:cs="Arial"/>
          <w:sz w:val="30"/>
          <w:szCs w:val="30"/>
          <w:lang w:val="en-US"/>
        </w:rPr>
        <w:t xml:space="preserve">dated 21 July 2011 “On making amendments to certain legislative acts of the Republic of Kazakhstan concerning the matters of electronic money.” Said Law introduced the concept of electronic money, procedure of making payments using e-money, and determined the key norms as related to the e-money issuers, owners and participants thereof in case of e-money issue and use. </w:t>
      </w:r>
    </w:p>
    <w:p w:rsidR="0021778F" w:rsidRPr="00A9366F" w:rsidRDefault="0021778F" w:rsidP="00454A34">
      <w:pPr>
        <w:ind w:firstLine="708"/>
        <w:jc w:val="both"/>
        <w:rPr>
          <w:rFonts w:ascii="Calibri" w:hAnsi="Calibri" w:cs="Arial"/>
          <w:sz w:val="30"/>
          <w:szCs w:val="30"/>
          <w:lang w:val="en-US"/>
        </w:rPr>
      </w:pPr>
      <w:r w:rsidRPr="00A9366F">
        <w:rPr>
          <w:rFonts w:ascii="Calibri" w:hAnsi="Calibri" w:cs="Arial"/>
          <w:sz w:val="30"/>
          <w:szCs w:val="30"/>
          <w:lang w:val="en-US"/>
        </w:rPr>
        <w:t xml:space="preserve">In accordance with the current legislation of the Republic of Kazakhstan the right to issue e-money is vested with the National Bank of Kazakhstan, second-tier banks and National Postal Operator. It has been due to the fact that the activity for issue of e-money relates to attraction of money of individuals and legal entities. </w:t>
      </w:r>
    </w:p>
    <w:p w:rsidR="0021778F" w:rsidRPr="00A9366F" w:rsidRDefault="0021778F" w:rsidP="00454A34">
      <w:pPr>
        <w:ind w:firstLine="708"/>
        <w:jc w:val="both"/>
        <w:rPr>
          <w:rFonts w:ascii="Calibri" w:hAnsi="Calibri" w:cs="Arial"/>
          <w:sz w:val="30"/>
          <w:szCs w:val="30"/>
          <w:lang w:val="en-US"/>
        </w:rPr>
      </w:pPr>
      <w:r w:rsidRPr="00A9366F">
        <w:rPr>
          <w:rFonts w:ascii="Calibri" w:hAnsi="Calibri" w:cs="Arial"/>
          <w:sz w:val="30"/>
          <w:szCs w:val="30"/>
          <w:lang w:val="en-US"/>
        </w:rPr>
        <w:t xml:space="preserve">A trend of emergence of new systems is observed, which has been caused by the wish to present a new payment product in the market and to occupy one’s own niche in the newly formed market. Thus, in 2015 eight e-money systems were operating in Kazakhstani market, while in 2016 there were 16 e-money systems: E-KZT, </w:t>
      </w:r>
      <w:proofErr w:type="spellStart"/>
      <w:r w:rsidRPr="00A9366F">
        <w:rPr>
          <w:rFonts w:ascii="Calibri" w:hAnsi="Calibri" w:cs="Arial"/>
          <w:sz w:val="30"/>
          <w:szCs w:val="30"/>
          <w:lang w:val="en-US"/>
        </w:rPr>
        <w:t>Wooppay</w:t>
      </w:r>
      <w:proofErr w:type="spellEnd"/>
      <w:r w:rsidRPr="00A9366F">
        <w:rPr>
          <w:rFonts w:ascii="Calibri" w:hAnsi="Calibri" w:cs="Arial"/>
          <w:sz w:val="30"/>
          <w:szCs w:val="30"/>
          <w:lang w:val="en-US"/>
        </w:rPr>
        <w:t xml:space="preserve">, Visa </w:t>
      </w:r>
      <w:proofErr w:type="spellStart"/>
      <w:r w:rsidRPr="00A9366F">
        <w:rPr>
          <w:rFonts w:ascii="Calibri" w:hAnsi="Calibri" w:cs="Arial"/>
          <w:sz w:val="30"/>
          <w:szCs w:val="30"/>
          <w:lang w:val="en-US"/>
        </w:rPr>
        <w:t>Qiwi</w:t>
      </w:r>
      <w:proofErr w:type="spellEnd"/>
      <w:r w:rsidRPr="00A9366F">
        <w:rPr>
          <w:rFonts w:ascii="Calibri" w:hAnsi="Calibri" w:cs="Arial"/>
          <w:sz w:val="30"/>
          <w:szCs w:val="30"/>
          <w:lang w:val="en-US"/>
        </w:rPr>
        <w:t xml:space="preserve"> Wallet, </w:t>
      </w:r>
      <w:proofErr w:type="spellStart"/>
      <w:r w:rsidRPr="00A9366F">
        <w:rPr>
          <w:rFonts w:ascii="Calibri" w:hAnsi="Calibri" w:cs="Arial"/>
          <w:sz w:val="30"/>
          <w:szCs w:val="30"/>
          <w:lang w:val="en-US"/>
        </w:rPr>
        <w:t>Lichnaya</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Kassa</w:t>
      </w:r>
      <w:proofErr w:type="spellEnd"/>
      <w:r w:rsidRPr="00A9366F">
        <w:rPr>
          <w:rFonts w:ascii="Calibri" w:hAnsi="Calibri" w:cs="Arial"/>
          <w:sz w:val="30"/>
          <w:szCs w:val="30"/>
          <w:lang w:val="en-US"/>
        </w:rPr>
        <w:t xml:space="preserve"> (</w:t>
      </w:r>
      <w:r w:rsidR="00D43604" w:rsidRPr="00A9366F">
        <w:rPr>
          <w:rFonts w:ascii="Calibri" w:hAnsi="Calibri" w:cs="Arial"/>
          <w:sz w:val="30"/>
          <w:szCs w:val="30"/>
          <w:lang w:val="en-US"/>
        </w:rPr>
        <w:t>“</w:t>
      </w:r>
      <w:r w:rsidRPr="00A9366F">
        <w:rPr>
          <w:rFonts w:ascii="Calibri" w:hAnsi="Calibri" w:cs="Arial"/>
          <w:sz w:val="30"/>
          <w:szCs w:val="30"/>
          <w:lang w:val="en-US"/>
        </w:rPr>
        <w:t>Personal Cash Office</w:t>
      </w:r>
      <w:r w:rsidR="00D43604" w:rsidRPr="00A9366F">
        <w:rPr>
          <w:rFonts w:ascii="Calibri" w:hAnsi="Calibri" w:cs="Arial"/>
          <w:sz w:val="30"/>
          <w:szCs w:val="30"/>
          <w:lang w:val="en-US"/>
        </w:rPr>
        <w:t>”</w:t>
      </w:r>
      <w:r w:rsidRPr="00A9366F">
        <w:rPr>
          <w:rFonts w:ascii="Calibri" w:hAnsi="Calibri" w:cs="Arial"/>
          <w:sz w:val="30"/>
          <w:szCs w:val="30"/>
          <w:lang w:val="en-US"/>
        </w:rPr>
        <w:t>), Tau-</w:t>
      </w:r>
      <w:proofErr w:type="spellStart"/>
      <w:r w:rsidRPr="00A9366F">
        <w:rPr>
          <w:rFonts w:ascii="Calibri" w:hAnsi="Calibri" w:cs="Arial"/>
          <w:sz w:val="30"/>
          <w:szCs w:val="30"/>
          <w:lang w:val="en-US"/>
        </w:rPr>
        <w:t>tenge</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Paypoint</w:t>
      </w:r>
      <w:proofErr w:type="spellEnd"/>
      <w:r w:rsidRPr="00A9366F">
        <w:rPr>
          <w:rFonts w:ascii="Calibri" w:hAnsi="Calibri" w:cs="Arial"/>
          <w:sz w:val="30"/>
          <w:szCs w:val="30"/>
          <w:lang w:val="en-US"/>
        </w:rPr>
        <w:t xml:space="preserve">, Dar, </w:t>
      </w:r>
      <w:proofErr w:type="spellStart"/>
      <w:r w:rsidRPr="00A9366F">
        <w:rPr>
          <w:rFonts w:ascii="Calibri" w:hAnsi="Calibri" w:cs="Arial"/>
          <w:sz w:val="30"/>
          <w:szCs w:val="30"/>
          <w:lang w:val="en-US"/>
        </w:rPr>
        <w:t>Homepay</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Halyk</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AllPay</w:t>
      </w:r>
      <w:proofErr w:type="spellEnd"/>
      <w:r w:rsidRPr="00A9366F">
        <w:rPr>
          <w:rFonts w:ascii="Calibri" w:hAnsi="Calibri" w:cs="Arial"/>
          <w:sz w:val="30"/>
          <w:szCs w:val="30"/>
          <w:lang w:val="en-US"/>
        </w:rPr>
        <w:t xml:space="preserve">, Wallet One, </w:t>
      </w:r>
      <w:proofErr w:type="spellStart"/>
      <w:r w:rsidRPr="00A9366F">
        <w:rPr>
          <w:rFonts w:ascii="Calibri" w:hAnsi="Calibri" w:cs="Arial"/>
          <w:sz w:val="30"/>
          <w:szCs w:val="30"/>
          <w:lang w:val="en-US"/>
        </w:rPr>
        <w:t>Kaspi</w:t>
      </w:r>
      <w:proofErr w:type="spellEnd"/>
      <w:r w:rsidRPr="00A9366F">
        <w:rPr>
          <w:rFonts w:ascii="Calibri" w:hAnsi="Calibri" w:cs="Arial"/>
          <w:sz w:val="30"/>
          <w:szCs w:val="30"/>
          <w:lang w:val="en-US"/>
        </w:rPr>
        <w:t xml:space="preserve"> Bank, </w:t>
      </w:r>
      <w:proofErr w:type="spellStart"/>
      <w:r w:rsidRPr="00A9366F">
        <w:rPr>
          <w:rFonts w:ascii="Calibri" w:hAnsi="Calibri" w:cs="Arial"/>
          <w:sz w:val="30"/>
          <w:szCs w:val="30"/>
          <w:lang w:val="en-US"/>
        </w:rPr>
        <w:t>AlemPAy</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Koin</w:t>
      </w:r>
      <w:proofErr w:type="spellEnd"/>
      <w:r w:rsidRPr="00A9366F">
        <w:rPr>
          <w:rFonts w:ascii="Calibri" w:hAnsi="Calibri" w:cs="Arial"/>
          <w:sz w:val="30"/>
          <w:szCs w:val="30"/>
          <w:lang w:val="en-US"/>
        </w:rPr>
        <w:t xml:space="preserve">, </w:t>
      </w:r>
      <w:proofErr w:type="spellStart"/>
      <w:r w:rsidRPr="00A9366F">
        <w:rPr>
          <w:rFonts w:ascii="Calibri" w:hAnsi="Calibri" w:cs="Arial"/>
          <w:sz w:val="30"/>
          <w:szCs w:val="30"/>
          <w:lang w:val="en-US"/>
        </w:rPr>
        <w:t>Altynpay</w:t>
      </w:r>
      <w:proofErr w:type="spellEnd"/>
      <w:r w:rsidRPr="00A9366F">
        <w:rPr>
          <w:rFonts w:ascii="Calibri" w:hAnsi="Calibri" w:cs="Arial"/>
          <w:sz w:val="30"/>
          <w:szCs w:val="30"/>
          <w:lang w:val="en-US"/>
        </w:rPr>
        <w:t xml:space="preserve"> and </w:t>
      </w:r>
      <w:proofErr w:type="spellStart"/>
      <w:r w:rsidRPr="00A9366F">
        <w:rPr>
          <w:rFonts w:ascii="Calibri" w:hAnsi="Calibri" w:cs="Arial"/>
          <w:sz w:val="30"/>
          <w:szCs w:val="30"/>
          <w:lang w:val="en-US"/>
        </w:rPr>
        <w:t>MultiB@nk</w:t>
      </w:r>
      <w:proofErr w:type="spellEnd"/>
      <w:r w:rsidRPr="00A9366F">
        <w:rPr>
          <w:rFonts w:ascii="Calibri" w:hAnsi="Calibri" w:cs="Arial"/>
          <w:sz w:val="30"/>
          <w:szCs w:val="30"/>
          <w:lang w:val="en-US"/>
        </w:rPr>
        <w:t>.</w:t>
      </w:r>
    </w:p>
    <w:p w:rsidR="00454A34" w:rsidRPr="00A9366F" w:rsidRDefault="00D43604" w:rsidP="00D43604">
      <w:pPr>
        <w:ind w:firstLine="708"/>
        <w:jc w:val="both"/>
        <w:rPr>
          <w:rFonts w:ascii="Calibri" w:hAnsi="Calibri" w:cs="Arial"/>
          <w:sz w:val="30"/>
          <w:szCs w:val="30"/>
          <w:lang w:val="en-US"/>
        </w:rPr>
      </w:pPr>
      <w:r w:rsidRPr="00A9366F">
        <w:rPr>
          <w:rFonts w:ascii="Calibri" w:hAnsi="Calibri" w:cs="Arial"/>
          <w:sz w:val="30"/>
          <w:szCs w:val="30"/>
          <w:lang w:val="en-US"/>
        </w:rPr>
        <w:t xml:space="preserve">Increase in e-money popularity is due to convenience of its use and expansion of infrastructure for its servicing. </w:t>
      </w:r>
    </w:p>
    <w:p w:rsidR="00D43604" w:rsidRPr="00A9366F" w:rsidRDefault="00D43604" w:rsidP="00D43604">
      <w:pPr>
        <w:ind w:firstLine="708"/>
        <w:jc w:val="both"/>
        <w:rPr>
          <w:rFonts w:ascii="Calibri" w:hAnsi="Calibri" w:cs="Arial"/>
          <w:sz w:val="30"/>
          <w:szCs w:val="30"/>
          <w:lang w:val="en-US"/>
        </w:rPr>
      </w:pPr>
      <w:r w:rsidRPr="00A9366F">
        <w:rPr>
          <w:rFonts w:ascii="Calibri" w:hAnsi="Calibri" w:cs="Arial"/>
          <w:sz w:val="30"/>
          <w:szCs w:val="30"/>
          <w:lang w:val="en-US"/>
        </w:rPr>
        <w:t xml:space="preserve">The amount of e-money in circulation as at 1 January 2017 is KZT 3.3 billion.  During 2016, the issued e-money amounted to KZT 129.7 billion, and KZT 90.5 billion of e-money were repaid. </w:t>
      </w:r>
    </w:p>
    <w:tbl>
      <w:tblPr>
        <w:tblStyle w:val="a3"/>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5040"/>
      </w:tblGrid>
      <w:tr w:rsidR="00B85DB3" w:rsidRPr="00EA720F" w:rsidTr="00B85DB3">
        <w:trPr>
          <w:trHeight w:val="3707"/>
        </w:trPr>
        <w:tc>
          <w:tcPr>
            <w:tcW w:w="4608" w:type="dxa"/>
          </w:tcPr>
          <w:p w:rsidR="00B85DB3" w:rsidRPr="00A9366F" w:rsidRDefault="00D43604" w:rsidP="00F66BA7">
            <w:pPr>
              <w:ind w:firstLine="708"/>
              <w:jc w:val="both"/>
              <w:rPr>
                <w:rFonts w:ascii="Calibri" w:hAnsi="Calibri" w:cs="Arial"/>
                <w:sz w:val="30"/>
                <w:szCs w:val="30"/>
                <w:lang w:val="en-US"/>
              </w:rPr>
            </w:pPr>
            <w:r w:rsidRPr="00A9366F">
              <w:rPr>
                <w:rFonts w:ascii="Calibri" w:hAnsi="Calibri" w:cs="Arial"/>
                <w:sz w:val="30"/>
                <w:szCs w:val="30"/>
                <w:lang w:val="en-US"/>
              </w:rPr>
              <w:t xml:space="preserve">During 2016 the volume of transactions </w:t>
            </w:r>
            <w:r w:rsidR="00F66BA7" w:rsidRPr="00A9366F">
              <w:rPr>
                <w:rFonts w:ascii="Calibri" w:hAnsi="Calibri" w:cs="Arial"/>
                <w:sz w:val="30"/>
                <w:szCs w:val="30"/>
                <w:lang w:val="en-US"/>
              </w:rPr>
              <w:t>settled</w:t>
            </w:r>
            <w:r w:rsidRPr="00A9366F">
              <w:rPr>
                <w:rFonts w:ascii="Calibri" w:hAnsi="Calibri" w:cs="Arial"/>
                <w:sz w:val="30"/>
                <w:szCs w:val="30"/>
                <w:lang w:val="en-US"/>
              </w:rPr>
              <w:t xml:space="preserve"> in Kazakhstan using e-money of </w:t>
            </w:r>
            <w:r w:rsidR="004A0F9D" w:rsidRPr="00A9366F">
              <w:rPr>
                <w:rFonts w:ascii="Calibri" w:hAnsi="Calibri" w:cs="Arial"/>
                <w:sz w:val="30"/>
                <w:szCs w:val="30"/>
                <w:lang w:val="en-US"/>
              </w:rPr>
              <w:t>Kazakhstani</w:t>
            </w:r>
            <w:r w:rsidRPr="00A9366F">
              <w:rPr>
                <w:rFonts w:ascii="Calibri" w:hAnsi="Calibri" w:cs="Arial"/>
                <w:sz w:val="30"/>
                <w:szCs w:val="30"/>
                <w:lang w:val="en-US"/>
              </w:rPr>
              <w:t xml:space="preserve"> issuers comprised 43.3 million transactions for KZT 154.2 billion (</w:t>
            </w:r>
            <w:r w:rsidR="00812573" w:rsidRPr="00A9366F">
              <w:rPr>
                <w:rFonts w:ascii="Calibri" w:hAnsi="Calibri" w:cs="Arial"/>
                <w:sz w:val="30"/>
                <w:szCs w:val="30"/>
                <w:lang w:val="en-US"/>
              </w:rPr>
              <w:t>compared with</w:t>
            </w:r>
            <w:r w:rsidRPr="00A9366F">
              <w:rPr>
                <w:rFonts w:ascii="Calibri" w:hAnsi="Calibri" w:cs="Arial"/>
                <w:sz w:val="30"/>
                <w:szCs w:val="30"/>
                <w:lang w:val="en-US"/>
              </w:rPr>
              <w:t xml:space="preserve"> 2015 the number of transactions increased by </w:t>
            </w:r>
            <w:r w:rsidR="004A0F9D" w:rsidRPr="00A9366F">
              <w:rPr>
                <w:rFonts w:ascii="Calibri" w:hAnsi="Calibri" w:cs="Arial"/>
                <w:sz w:val="30"/>
                <w:szCs w:val="30"/>
                <w:lang w:val="en-US"/>
              </w:rPr>
              <w:t>2.</w:t>
            </w:r>
            <w:r w:rsidRPr="00A9366F">
              <w:rPr>
                <w:rFonts w:ascii="Calibri" w:hAnsi="Calibri" w:cs="Arial"/>
                <w:sz w:val="30"/>
                <w:szCs w:val="30"/>
                <w:lang w:val="en-US"/>
              </w:rPr>
              <w:t>7 times, while the amount increased by 3.5 times).</w:t>
            </w:r>
          </w:p>
        </w:tc>
        <w:tc>
          <w:tcPr>
            <w:tcW w:w="5040" w:type="dxa"/>
          </w:tcPr>
          <w:p w:rsidR="00B85DB3" w:rsidRPr="00A9366F" w:rsidRDefault="004A0F9D" w:rsidP="00F66BA7">
            <w:pPr>
              <w:spacing w:line="233" w:lineRule="auto"/>
              <w:jc w:val="center"/>
              <w:rPr>
                <w:rFonts w:ascii="Calibri" w:hAnsi="Calibri" w:cs="Arial"/>
                <w:sz w:val="30"/>
                <w:szCs w:val="30"/>
                <w:lang w:val="en-US"/>
              </w:rPr>
            </w:pPr>
            <w:r w:rsidRPr="00A9366F">
              <w:rPr>
                <w:rFonts w:ascii="Calibri" w:hAnsi="Calibri" w:cs="Arial"/>
                <w:b/>
                <w:color w:val="0E4C28"/>
                <w:sz w:val="28"/>
                <w:szCs w:val="28"/>
                <w:lang w:val="en-US"/>
              </w:rPr>
              <w:t xml:space="preserve">Transactions </w:t>
            </w:r>
            <w:r w:rsidR="00F66BA7" w:rsidRPr="00A9366F">
              <w:rPr>
                <w:rFonts w:ascii="Calibri" w:hAnsi="Calibri" w:cs="Arial"/>
                <w:b/>
                <w:color w:val="0E4C28"/>
                <w:sz w:val="28"/>
                <w:szCs w:val="28"/>
                <w:lang w:val="en-US"/>
              </w:rPr>
              <w:t>settled</w:t>
            </w:r>
            <w:r w:rsidRPr="00A9366F">
              <w:rPr>
                <w:rFonts w:ascii="Calibri" w:hAnsi="Calibri" w:cs="Arial"/>
                <w:b/>
                <w:color w:val="0E4C28"/>
                <w:sz w:val="28"/>
                <w:szCs w:val="28"/>
                <w:lang w:val="en-US"/>
              </w:rPr>
              <w:t xml:space="preserve"> using e-money </w:t>
            </w:r>
            <w:r w:rsidR="00B85DB3" w:rsidRPr="00A9366F">
              <w:rPr>
                <w:rFonts w:ascii="Calibri" w:hAnsi="Calibri" w:cs="Arial"/>
                <w:b/>
                <w:noProof/>
                <w:color w:val="0E4C28"/>
                <w:sz w:val="28"/>
                <w:szCs w:val="28"/>
              </w:rPr>
              <w:drawing>
                <wp:anchor distT="0" distB="0" distL="114300" distR="114300" simplePos="0" relativeHeight="251694080" behindDoc="0" locked="0" layoutInCell="1" allowOverlap="1" wp14:anchorId="166B5A30" wp14:editId="2F6FA91F">
                  <wp:simplePos x="0" y="0"/>
                  <wp:positionH relativeFrom="column">
                    <wp:posOffset>-68580</wp:posOffset>
                  </wp:positionH>
                  <wp:positionV relativeFrom="paragraph">
                    <wp:posOffset>315595</wp:posOffset>
                  </wp:positionV>
                  <wp:extent cx="3086100" cy="1873250"/>
                  <wp:effectExtent l="0" t="0" r="0" b="0"/>
                  <wp:wrapSquare wrapText="bothSides"/>
                  <wp:docPr id="165" name="Объект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tc>
      </w:tr>
    </w:tbl>
    <w:p w:rsidR="00721CE4" w:rsidRPr="00A9366F" w:rsidRDefault="00721CE4" w:rsidP="00F44CA1">
      <w:pPr>
        <w:ind w:firstLine="708"/>
        <w:jc w:val="both"/>
        <w:rPr>
          <w:rFonts w:ascii="Calibri" w:hAnsi="Calibri" w:cs="Arial"/>
          <w:sz w:val="30"/>
          <w:szCs w:val="30"/>
          <w:lang w:val="en-US"/>
        </w:rPr>
      </w:pPr>
      <w:bookmarkStart w:id="91" w:name="_Toc478762659"/>
      <w:bookmarkStart w:id="92" w:name="ПИ"/>
      <w:bookmarkEnd w:id="89"/>
      <w:bookmarkEnd w:id="90"/>
      <w:r w:rsidRPr="00A9366F">
        <w:rPr>
          <w:rFonts w:ascii="Calibri" w:hAnsi="Calibri" w:cs="Arial"/>
          <w:sz w:val="30"/>
          <w:szCs w:val="30"/>
          <w:lang w:val="en-US"/>
        </w:rPr>
        <w:t xml:space="preserve">In this regard e-money transfers in favor of legal entities and individual entrepreneurs in 2016 comprises 39.3 million transactions for KZT 130.4 billion (91% in terms of the number and 85% in terms of the amount of transactions), having increased by 2.6 times in terms of the number </w:t>
      </w:r>
      <w:r w:rsidR="0056566F" w:rsidRPr="00A9366F">
        <w:rPr>
          <w:rFonts w:ascii="Calibri" w:hAnsi="Calibri" w:cs="Arial"/>
          <w:sz w:val="30"/>
          <w:szCs w:val="30"/>
          <w:lang w:val="en-US"/>
        </w:rPr>
        <w:t xml:space="preserve">of transactions </w:t>
      </w:r>
      <w:r w:rsidRPr="00A9366F">
        <w:rPr>
          <w:rFonts w:ascii="Calibri" w:hAnsi="Calibri" w:cs="Arial"/>
          <w:sz w:val="30"/>
          <w:szCs w:val="30"/>
          <w:lang w:val="en-US"/>
        </w:rPr>
        <w:t xml:space="preserve">and by 3.4 times in terms of the </w:t>
      </w:r>
      <w:r w:rsidR="0056566F" w:rsidRPr="00A9366F">
        <w:rPr>
          <w:rFonts w:ascii="Calibri" w:hAnsi="Calibri" w:cs="Arial"/>
          <w:sz w:val="30"/>
          <w:szCs w:val="30"/>
          <w:lang w:val="en-US"/>
        </w:rPr>
        <w:t xml:space="preserve">amount of </w:t>
      </w:r>
      <w:r w:rsidRPr="00A9366F">
        <w:rPr>
          <w:rFonts w:ascii="Calibri" w:hAnsi="Calibri" w:cs="Arial"/>
          <w:sz w:val="30"/>
          <w:szCs w:val="30"/>
          <w:lang w:val="en-US"/>
        </w:rPr>
        <w:t>payment</w:t>
      </w:r>
      <w:r w:rsidR="0056566F" w:rsidRPr="00A9366F">
        <w:rPr>
          <w:rFonts w:ascii="Calibri" w:hAnsi="Calibri" w:cs="Arial"/>
          <w:sz w:val="30"/>
          <w:szCs w:val="30"/>
          <w:lang w:val="en-US"/>
        </w:rPr>
        <w:t>s,</w:t>
      </w:r>
      <w:r w:rsidRPr="00A9366F">
        <w:rPr>
          <w:rFonts w:ascii="Calibri" w:hAnsi="Calibri" w:cs="Arial"/>
          <w:sz w:val="30"/>
          <w:szCs w:val="30"/>
          <w:lang w:val="en-US"/>
        </w:rPr>
        <w:t xml:space="preserve"> </w:t>
      </w:r>
      <w:r w:rsidR="00812573" w:rsidRPr="00A9366F">
        <w:rPr>
          <w:rFonts w:ascii="Calibri" w:hAnsi="Calibri" w:cs="Arial"/>
          <w:sz w:val="30"/>
          <w:szCs w:val="30"/>
          <w:lang w:val="en-US"/>
        </w:rPr>
        <w:t>compared with</w:t>
      </w:r>
      <w:r w:rsidRPr="00A9366F">
        <w:rPr>
          <w:rFonts w:ascii="Calibri" w:hAnsi="Calibri" w:cs="Arial"/>
          <w:sz w:val="30"/>
          <w:szCs w:val="30"/>
          <w:lang w:val="en-US"/>
        </w:rPr>
        <w:t xml:space="preserve"> the figures of 2015.</w:t>
      </w:r>
    </w:p>
    <w:p w:rsidR="00B85DB3" w:rsidRPr="00A9366F" w:rsidRDefault="00FB60A9" w:rsidP="0032693E">
      <w:pPr>
        <w:rPr>
          <w:rFonts w:ascii="Calibri" w:hAnsi="Calibri" w:cs="Arial"/>
          <w:sz w:val="30"/>
          <w:szCs w:val="30"/>
          <w:lang w:val="en-US"/>
        </w:rPr>
      </w:pPr>
      <w:r w:rsidRPr="00A9366F">
        <w:rPr>
          <w:rFonts w:ascii="Calibri" w:hAnsi="Calibri" w:cs="Arial"/>
          <w:noProof/>
          <w:sz w:val="30"/>
          <w:szCs w:val="30"/>
        </w:rPr>
        <mc:AlternateContent>
          <mc:Choice Requires="wps">
            <w:drawing>
              <wp:inline distT="0" distB="0" distL="0" distR="0" wp14:anchorId="69B7E140" wp14:editId="4E495008">
                <wp:extent cx="5939790" cy="2193290"/>
                <wp:effectExtent l="13335" t="11430" r="9525" b="8890"/>
                <wp:docPr id="9"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1998980"/>
                        </a:xfrm>
                        <a:prstGeom prst="roundRect">
                          <a:avLst>
                            <a:gd name="adj" fmla="val 3079"/>
                          </a:avLst>
                        </a:prstGeom>
                        <a:solidFill>
                          <a:srgbClr val="CCFFCC">
                            <a:alpha val="27058"/>
                          </a:srgbClr>
                        </a:solidFill>
                        <a:ln w="9525">
                          <a:solidFill>
                            <a:srgbClr val="000000"/>
                          </a:solidFill>
                          <a:round/>
                          <a:headEnd/>
                          <a:tailEnd/>
                        </a:ln>
                      </wps:spPr>
                      <wps:txbx>
                        <w:txbxContent>
                          <w:p w:rsidR="00541D5F" w:rsidRPr="00074945" w:rsidRDefault="00541D5F" w:rsidP="00B85DB3">
                            <w:pPr>
                              <w:ind w:firstLine="708"/>
                              <w:jc w:val="both"/>
                              <w:rPr>
                                <w:rFonts w:ascii="Calibri" w:hAnsi="Calibri" w:cs="Arial"/>
                                <w:sz w:val="30"/>
                                <w:szCs w:val="30"/>
                                <w:lang w:val="en-US"/>
                              </w:rPr>
                            </w:pPr>
                            <w:r>
                              <w:rPr>
                                <w:rFonts w:ascii="Calibri" w:hAnsi="Calibri" w:cs="Arial"/>
                                <w:sz w:val="30"/>
                                <w:szCs w:val="30"/>
                                <w:lang w:val="en-US"/>
                              </w:rPr>
                              <w:t>Since</w:t>
                            </w:r>
                            <w:r w:rsidRPr="00D34626">
                              <w:rPr>
                                <w:rFonts w:ascii="Calibri" w:hAnsi="Calibri" w:cs="Arial"/>
                                <w:sz w:val="30"/>
                                <w:szCs w:val="30"/>
                                <w:lang w:val="en-US"/>
                              </w:rPr>
                              <w:t xml:space="preserve"> 2013 </w:t>
                            </w:r>
                            <w:r>
                              <w:rPr>
                                <w:rFonts w:ascii="Calibri" w:hAnsi="Calibri" w:cs="Arial"/>
                                <w:sz w:val="30"/>
                                <w:szCs w:val="30"/>
                                <w:lang w:val="en-US"/>
                              </w:rPr>
                              <w:t>the e-money</w:t>
                            </w:r>
                            <w:r w:rsidRPr="00D34626">
                              <w:rPr>
                                <w:rFonts w:ascii="Calibri" w:hAnsi="Calibri" w:cs="Arial"/>
                                <w:sz w:val="30"/>
                                <w:szCs w:val="30"/>
                                <w:lang w:val="en-US"/>
                              </w:rPr>
                              <w:t xml:space="preserve"> </w:t>
                            </w:r>
                            <w:r>
                              <w:rPr>
                                <w:rFonts w:ascii="Calibri" w:hAnsi="Calibri" w:cs="Arial"/>
                                <w:sz w:val="30"/>
                                <w:szCs w:val="30"/>
                                <w:lang w:val="en-US"/>
                              </w:rPr>
                              <w:t>market</w:t>
                            </w:r>
                            <w:r w:rsidRPr="00D34626">
                              <w:rPr>
                                <w:rFonts w:ascii="Calibri" w:hAnsi="Calibri" w:cs="Arial"/>
                                <w:sz w:val="30"/>
                                <w:szCs w:val="30"/>
                                <w:lang w:val="en-US"/>
                              </w:rPr>
                              <w:t xml:space="preserve"> </w:t>
                            </w:r>
                            <w:r>
                              <w:rPr>
                                <w:rFonts w:ascii="Calibri" w:hAnsi="Calibri" w:cs="Arial"/>
                                <w:sz w:val="30"/>
                                <w:szCs w:val="30"/>
                                <w:lang w:val="en-US"/>
                              </w:rPr>
                              <w:t>has been rapidly developing. As at 1 January 2017, e-money is issued by 11 banks of the Republic of Kazakhstan, and 16 e-money systems provide services to the public. Volume of transactions using these innovative instruments increased by 3.5 times compared with 2015 and amounted to KZT 154.2 billion.  Given the global trends, it is expected that the need in this instrument will keep growing.</w:t>
                            </w:r>
                          </w:p>
                        </w:txbxContent>
                      </wps:txbx>
                      <wps:bodyPr rot="0" vert="horz" wrap="square" lIns="91440" tIns="45720" rIns="91440" bIns="45720" anchor="t" anchorCtr="0" upright="1">
                        <a:spAutoFit/>
                      </wps:bodyPr>
                    </wps:wsp>
                  </a:graphicData>
                </a:graphic>
              </wp:inline>
            </w:drawing>
          </mc:Choice>
          <mc:Fallback>
            <w:pict>
              <v:roundrect id="AutoShape 164" o:spid="_x0000_s1058" style="width:467.7pt;height:172.7pt;visibility:visible;mso-wrap-style:square;mso-left-percent:-10001;mso-top-percent:-10001;mso-position-horizontal:absolute;mso-position-horizontal-relative:char;mso-position-vertical:absolute;mso-position-vertical-relative:line;mso-left-percent:-10001;mso-top-percent:-10001;v-text-anchor:top" arcsize="20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" fillcolor="#cfc">
                <v:fill opacity="17733f"/>
                <v:textbox style="mso-fit-shape-to-text:t">
                  <w:txbxContent>
                    <w:p w:rsidR="00541D5F" w:rsidRPr="00074945" w:rsidRDefault="00541D5F" w:rsidP="00B85DB3">
                      <w:pPr>
                        <w:ind w:firstLine="708"/>
                        <w:jc w:val="both"/>
                        <w:rPr>
                          <w:rFonts w:ascii="Calibri" w:hAnsi="Calibri" w:cs="Arial"/>
                          <w:sz w:val="30"/>
                          <w:szCs w:val="30"/>
                          <w:lang w:val="en-US"/>
                        </w:rPr>
                      </w:pPr>
                      <w:r>
                        <w:rPr>
                          <w:rFonts w:ascii="Calibri" w:hAnsi="Calibri" w:cs="Arial"/>
                          <w:sz w:val="30"/>
                          <w:szCs w:val="30"/>
                          <w:lang w:val="en-US"/>
                        </w:rPr>
                        <w:t>Since</w:t>
                      </w:r>
                      <w:r w:rsidRPr="00D34626">
                        <w:rPr>
                          <w:rFonts w:ascii="Calibri" w:hAnsi="Calibri" w:cs="Arial"/>
                          <w:sz w:val="30"/>
                          <w:szCs w:val="30"/>
                          <w:lang w:val="en-US"/>
                        </w:rPr>
                        <w:t xml:space="preserve"> 2013 </w:t>
                      </w:r>
                      <w:r>
                        <w:rPr>
                          <w:rFonts w:ascii="Calibri" w:hAnsi="Calibri" w:cs="Arial"/>
                          <w:sz w:val="30"/>
                          <w:szCs w:val="30"/>
                          <w:lang w:val="en-US"/>
                        </w:rPr>
                        <w:t>the e-money</w:t>
                      </w:r>
                      <w:r w:rsidRPr="00D34626">
                        <w:rPr>
                          <w:rFonts w:ascii="Calibri" w:hAnsi="Calibri" w:cs="Arial"/>
                          <w:sz w:val="30"/>
                          <w:szCs w:val="30"/>
                          <w:lang w:val="en-US"/>
                        </w:rPr>
                        <w:t xml:space="preserve"> </w:t>
                      </w:r>
                      <w:r>
                        <w:rPr>
                          <w:rFonts w:ascii="Calibri" w:hAnsi="Calibri" w:cs="Arial"/>
                          <w:sz w:val="30"/>
                          <w:szCs w:val="30"/>
                          <w:lang w:val="en-US"/>
                        </w:rPr>
                        <w:t>market</w:t>
                      </w:r>
                      <w:r w:rsidRPr="00D34626">
                        <w:rPr>
                          <w:rFonts w:ascii="Calibri" w:hAnsi="Calibri" w:cs="Arial"/>
                          <w:sz w:val="30"/>
                          <w:szCs w:val="30"/>
                          <w:lang w:val="en-US"/>
                        </w:rPr>
                        <w:t xml:space="preserve"> </w:t>
                      </w:r>
                      <w:r>
                        <w:rPr>
                          <w:rFonts w:ascii="Calibri" w:hAnsi="Calibri" w:cs="Arial"/>
                          <w:sz w:val="30"/>
                          <w:szCs w:val="30"/>
                          <w:lang w:val="en-US"/>
                        </w:rPr>
                        <w:t>has been rapidly developing. As at 1 January 2017, e-money is issued by 11 banks of the Republic of Kazakhstan, and 16 e-money systems provide services to the public. Volume of transactions using these innovative instruments increased by 3.5 times compared with 2015 and amounted to KZT 154.2 billion.  Given the global trends, it is expected that the need in this instrument will keep growing.</w:t>
                      </w:r>
                    </w:p>
                  </w:txbxContent>
                </v:textbox>
                <w10:anchorlock/>
              </v:roundrect>
            </w:pict>
          </mc:Fallback>
        </mc:AlternateContent>
      </w:r>
    </w:p>
    <w:p w:rsidR="00454A34" w:rsidRPr="00A9366F" w:rsidRDefault="00454A34" w:rsidP="0032693E">
      <w:pPr>
        <w:rPr>
          <w:rFonts w:ascii="Calibri" w:hAnsi="Calibri"/>
          <w:b/>
          <w:snapToGrid w:val="0"/>
          <w:color w:val="0E4C28"/>
          <w:spacing w:val="-2"/>
          <w:sz w:val="16"/>
          <w:szCs w:val="16"/>
          <w:lang w:val="en-US"/>
        </w:rPr>
      </w:pPr>
      <w:r w:rsidRPr="00A9366F">
        <w:rPr>
          <w:rFonts w:ascii="Calibri" w:hAnsi="Calibri"/>
          <w:bCs/>
          <w:snapToGrid w:val="0"/>
          <w:color w:val="0E4C28"/>
          <w:spacing w:val="-2"/>
          <w:sz w:val="36"/>
          <w:szCs w:val="36"/>
          <w:lang w:val="en-US"/>
        </w:rPr>
        <w:br w:type="page"/>
      </w:r>
    </w:p>
    <w:bookmarkEnd w:id="91"/>
    <w:bookmarkEnd w:id="92"/>
    <w:p w:rsidR="00A30B7D" w:rsidRPr="00A9366F" w:rsidRDefault="00A30B7D" w:rsidP="00A30B7D">
      <w:pPr>
        <w:widowControl w:val="0"/>
        <w:ind w:firstLine="709"/>
        <w:jc w:val="both"/>
        <w:rPr>
          <w:rFonts w:ascii="Calibri" w:hAnsi="Calibri" w:cs="Arial"/>
          <w:sz w:val="12"/>
          <w:szCs w:val="12"/>
          <w:lang w:val="en-US"/>
        </w:rPr>
      </w:pPr>
    </w:p>
    <w:p w:rsidR="00671D55" w:rsidRPr="00A9366F" w:rsidRDefault="00E26FF0" w:rsidP="00671D55">
      <w:pPr>
        <w:pStyle w:val="1"/>
        <w:tabs>
          <w:tab w:val="left" w:pos="561"/>
        </w:tabs>
        <w:spacing w:before="0" w:after="0" w:line="233" w:lineRule="auto"/>
        <w:jc w:val="center"/>
        <w:rPr>
          <w:rFonts w:ascii="Calibri" w:hAnsi="Calibri"/>
          <w:bCs w:val="0"/>
          <w:snapToGrid w:val="0"/>
          <w:color w:val="0E4C28"/>
          <w:spacing w:val="-2"/>
          <w:kern w:val="0"/>
          <w:sz w:val="36"/>
          <w:szCs w:val="36"/>
          <w:lang w:val="en-US"/>
        </w:rPr>
      </w:pPr>
      <w:bookmarkStart w:id="93" w:name="_Toc485627011"/>
      <w:r w:rsidRPr="00A9366F">
        <w:rPr>
          <w:rFonts w:ascii="Calibri" w:hAnsi="Calibri"/>
          <w:bCs w:val="0"/>
          <w:snapToGrid w:val="0"/>
          <w:color w:val="0E4C28"/>
          <w:spacing w:val="-2"/>
          <w:kern w:val="0"/>
          <w:sz w:val="36"/>
          <w:szCs w:val="36"/>
          <w:lang w:val="en-US"/>
        </w:rPr>
        <w:t>CONCLUSION</w:t>
      </w:r>
      <w:bookmarkEnd w:id="93"/>
    </w:p>
    <w:p w:rsidR="00A30B7D" w:rsidRPr="00A9366F" w:rsidRDefault="00A30B7D" w:rsidP="002E1073">
      <w:pPr>
        <w:ind w:firstLine="709"/>
        <w:jc w:val="both"/>
        <w:rPr>
          <w:rFonts w:ascii="Calibri" w:hAnsi="Calibri" w:cs="Arial"/>
          <w:sz w:val="30"/>
          <w:szCs w:val="30"/>
          <w:lang w:val="en-US"/>
        </w:rPr>
      </w:pPr>
    </w:p>
    <w:p w:rsidR="00E26FF0" w:rsidRPr="00A9366F" w:rsidRDefault="00E26FF0" w:rsidP="00AA174E">
      <w:pPr>
        <w:ind w:firstLine="709"/>
        <w:jc w:val="both"/>
        <w:rPr>
          <w:rFonts w:ascii="Calibri" w:hAnsi="Calibri" w:cs="Arial"/>
          <w:sz w:val="30"/>
          <w:szCs w:val="30"/>
          <w:lang w:val="en-US"/>
        </w:rPr>
      </w:pPr>
      <w:r w:rsidRPr="00A9366F">
        <w:rPr>
          <w:rFonts w:ascii="Calibri" w:hAnsi="Calibri" w:cs="Arial"/>
          <w:sz w:val="30"/>
          <w:szCs w:val="30"/>
          <w:lang w:val="en-US"/>
        </w:rPr>
        <w:t xml:space="preserve">Payment systems play a key role in </w:t>
      </w:r>
      <w:r w:rsidR="005E301B" w:rsidRPr="00A9366F">
        <w:rPr>
          <w:rFonts w:ascii="Calibri" w:hAnsi="Calibri" w:cs="Arial"/>
          <w:sz w:val="30"/>
          <w:szCs w:val="30"/>
          <w:lang w:val="en-US"/>
        </w:rPr>
        <w:t xml:space="preserve">ensuring efficiency and continuity of all financial and economic processes in the country. Changes caused by active penetration of digital technologies in all industries also influence the specifics of the payment system </w:t>
      </w:r>
      <w:r w:rsidR="00EB2214" w:rsidRPr="00A9366F">
        <w:rPr>
          <w:rFonts w:ascii="Calibri" w:hAnsi="Calibri" w:cs="Arial"/>
          <w:sz w:val="30"/>
          <w:szCs w:val="30"/>
          <w:lang w:val="en-US"/>
        </w:rPr>
        <w:t>functioning</w:t>
      </w:r>
      <w:r w:rsidR="005E301B" w:rsidRPr="00A9366F">
        <w:rPr>
          <w:rFonts w:ascii="Calibri" w:hAnsi="Calibri" w:cs="Arial"/>
          <w:sz w:val="30"/>
          <w:szCs w:val="30"/>
          <w:lang w:val="en-US"/>
        </w:rPr>
        <w:t xml:space="preserve">, emergence of new payment mechanisms and instruments, which provide opportunity to get to a whole new level. </w:t>
      </w:r>
    </w:p>
    <w:p w:rsidR="006A51D6" w:rsidRPr="00A9366F" w:rsidRDefault="006A51D6" w:rsidP="00AA174E">
      <w:pPr>
        <w:ind w:firstLine="709"/>
        <w:jc w:val="both"/>
        <w:rPr>
          <w:rFonts w:ascii="Calibri" w:hAnsi="Calibri" w:cs="Arial"/>
          <w:sz w:val="30"/>
          <w:szCs w:val="30"/>
          <w:lang w:val="en-US"/>
        </w:rPr>
      </w:pPr>
      <w:r w:rsidRPr="00A9366F">
        <w:rPr>
          <w:rFonts w:ascii="Calibri" w:hAnsi="Calibri" w:cs="Arial"/>
          <w:sz w:val="30"/>
          <w:szCs w:val="30"/>
          <w:lang w:val="en-US"/>
        </w:rPr>
        <w:t xml:space="preserve">Moreover, payment services today are an inseparable part of everyday life of public – getting wages, pensions, social payments, paying taxes, insurance, loan repayments and many other things are impossible without access to the payment services. Importance of </w:t>
      </w:r>
      <w:r w:rsidR="00DA25FB" w:rsidRPr="00A9366F">
        <w:rPr>
          <w:rFonts w:ascii="Calibri" w:hAnsi="Calibri" w:cs="Arial"/>
          <w:sz w:val="30"/>
          <w:szCs w:val="30"/>
          <w:lang w:val="en-US"/>
        </w:rPr>
        <w:t xml:space="preserve">the </w:t>
      </w:r>
      <w:r w:rsidRPr="00A9366F">
        <w:rPr>
          <w:rFonts w:ascii="Calibri" w:hAnsi="Calibri" w:cs="Arial"/>
          <w:sz w:val="30"/>
          <w:szCs w:val="30"/>
          <w:lang w:val="en-US"/>
        </w:rPr>
        <w:t xml:space="preserve">payment services </w:t>
      </w:r>
      <w:r w:rsidR="00DA25FB" w:rsidRPr="00A9366F">
        <w:rPr>
          <w:rFonts w:ascii="Calibri" w:hAnsi="Calibri" w:cs="Arial"/>
          <w:sz w:val="30"/>
          <w:szCs w:val="30"/>
          <w:lang w:val="en-US"/>
        </w:rPr>
        <w:t xml:space="preserve">makes these services socially </w:t>
      </w:r>
      <w:r w:rsidR="00341D47" w:rsidRPr="00A9366F">
        <w:rPr>
          <w:rFonts w:ascii="Calibri" w:hAnsi="Calibri" w:cs="Arial"/>
          <w:sz w:val="30"/>
          <w:szCs w:val="30"/>
          <w:lang w:val="en-US"/>
        </w:rPr>
        <w:t>important</w:t>
      </w:r>
      <w:r w:rsidR="00DA25FB" w:rsidRPr="00A9366F">
        <w:rPr>
          <w:rFonts w:ascii="Calibri" w:hAnsi="Calibri" w:cs="Arial"/>
          <w:sz w:val="30"/>
          <w:szCs w:val="30"/>
          <w:lang w:val="en-US"/>
        </w:rPr>
        <w:t xml:space="preserve">, which impose new requirements for their regulation, ensuring their accessibility and continuity. </w:t>
      </w:r>
    </w:p>
    <w:p w:rsidR="009D4D7A" w:rsidRPr="00A9366F" w:rsidRDefault="009D4D7A" w:rsidP="00AA174E">
      <w:pPr>
        <w:ind w:firstLine="709"/>
        <w:jc w:val="both"/>
        <w:rPr>
          <w:rFonts w:ascii="Calibri" w:hAnsi="Calibri" w:cs="Arial"/>
          <w:sz w:val="30"/>
          <w:szCs w:val="30"/>
          <w:lang w:val="en-US"/>
        </w:rPr>
      </w:pPr>
      <w:r w:rsidRPr="00A9366F">
        <w:rPr>
          <w:rFonts w:ascii="Calibri" w:hAnsi="Calibri" w:cs="Arial"/>
          <w:sz w:val="30"/>
          <w:szCs w:val="30"/>
          <w:lang w:val="en-US"/>
        </w:rPr>
        <w:t xml:space="preserve">Adoption of the Law of the Republic of Kazakhstan "On Payments and Payment Systems" dated 26 July 2016 proved to be an important step to determine the types of legal entities of Kazakhstan payment industry, types of payment services, </w:t>
      </w:r>
      <w:r w:rsidR="00EA48A6" w:rsidRPr="00A9366F">
        <w:rPr>
          <w:rFonts w:ascii="Calibri" w:hAnsi="Calibri" w:cs="Arial"/>
          <w:sz w:val="30"/>
          <w:szCs w:val="30"/>
          <w:lang w:val="en-US"/>
        </w:rPr>
        <w:t>characteristics</w:t>
      </w:r>
      <w:r w:rsidRPr="00A9366F">
        <w:rPr>
          <w:rFonts w:ascii="Calibri" w:hAnsi="Calibri" w:cs="Arial"/>
          <w:sz w:val="30"/>
          <w:szCs w:val="30"/>
          <w:lang w:val="en-US"/>
        </w:rPr>
        <w:t xml:space="preserve"> and categories of</w:t>
      </w:r>
      <w:r w:rsidR="00EA48A6" w:rsidRPr="00A9366F">
        <w:rPr>
          <w:rFonts w:ascii="Calibri" w:hAnsi="Calibri" w:cs="Arial"/>
          <w:sz w:val="30"/>
          <w:szCs w:val="30"/>
          <w:lang w:val="en-US"/>
        </w:rPr>
        <w:t xml:space="preserve"> the</w:t>
      </w:r>
      <w:r w:rsidRPr="00A9366F">
        <w:rPr>
          <w:rFonts w:ascii="Calibri" w:hAnsi="Calibri" w:cs="Arial"/>
          <w:sz w:val="30"/>
          <w:szCs w:val="30"/>
          <w:lang w:val="en-US"/>
        </w:rPr>
        <w:t xml:space="preserve"> </w:t>
      </w:r>
      <w:r w:rsidR="00EA48A6" w:rsidRPr="00A9366F">
        <w:rPr>
          <w:rFonts w:ascii="Calibri" w:hAnsi="Calibri" w:cs="Arial"/>
          <w:sz w:val="30"/>
          <w:szCs w:val="30"/>
          <w:lang w:val="en-US"/>
        </w:rPr>
        <w:t>payment service providers</w:t>
      </w:r>
      <w:r w:rsidRPr="00A9366F">
        <w:rPr>
          <w:rFonts w:ascii="Calibri" w:hAnsi="Calibri" w:cs="Arial"/>
          <w:sz w:val="30"/>
          <w:szCs w:val="30"/>
          <w:lang w:val="en-US"/>
        </w:rPr>
        <w:t xml:space="preserve">, as well as regimes and new approaches to regulation and </w:t>
      </w:r>
      <w:r w:rsidR="00A16ABB" w:rsidRPr="00A9366F">
        <w:rPr>
          <w:rFonts w:ascii="Calibri" w:hAnsi="Calibri" w:cs="Arial"/>
          <w:sz w:val="30"/>
          <w:szCs w:val="30"/>
          <w:lang w:val="en-US"/>
        </w:rPr>
        <w:t xml:space="preserve">oversight </w:t>
      </w:r>
      <w:r w:rsidRPr="00A9366F">
        <w:rPr>
          <w:rFonts w:ascii="Calibri" w:hAnsi="Calibri" w:cs="Arial"/>
          <w:sz w:val="30"/>
          <w:szCs w:val="30"/>
          <w:lang w:val="en-US"/>
        </w:rPr>
        <w:t xml:space="preserve">of payment systems and </w:t>
      </w:r>
      <w:r w:rsidR="00A16ABB" w:rsidRPr="00A9366F">
        <w:rPr>
          <w:rFonts w:ascii="Calibri" w:hAnsi="Calibri" w:cs="Arial"/>
          <w:sz w:val="30"/>
          <w:szCs w:val="30"/>
          <w:lang w:val="en-US"/>
        </w:rPr>
        <w:t xml:space="preserve">payment service </w:t>
      </w:r>
      <w:r w:rsidRPr="00A9366F">
        <w:rPr>
          <w:rFonts w:ascii="Calibri" w:hAnsi="Calibri" w:cs="Arial"/>
          <w:sz w:val="30"/>
          <w:szCs w:val="30"/>
          <w:lang w:val="en-US"/>
        </w:rPr>
        <w:t xml:space="preserve">providers. Thus, a legal framework has been </w:t>
      </w:r>
      <w:r w:rsidR="00A16ABB" w:rsidRPr="00A9366F">
        <w:rPr>
          <w:rFonts w:ascii="Calibri" w:hAnsi="Calibri" w:cs="Arial"/>
          <w:sz w:val="30"/>
          <w:szCs w:val="30"/>
          <w:lang w:val="en-US"/>
        </w:rPr>
        <w:t>established</w:t>
      </w:r>
      <w:r w:rsidRPr="00A9366F">
        <w:rPr>
          <w:rFonts w:ascii="Calibri" w:hAnsi="Calibri" w:cs="Arial"/>
          <w:sz w:val="30"/>
          <w:szCs w:val="30"/>
          <w:lang w:val="en-US"/>
        </w:rPr>
        <w:t xml:space="preserve"> to improve </w:t>
      </w:r>
      <w:r w:rsidR="00A16ABB" w:rsidRPr="00A9366F">
        <w:rPr>
          <w:rFonts w:ascii="Calibri" w:hAnsi="Calibri" w:cs="Arial"/>
          <w:sz w:val="30"/>
          <w:szCs w:val="30"/>
          <w:lang w:val="en-US"/>
        </w:rPr>
        <w:t xml:space="preserve">further the </w:t>
      </w:r>
      <w:r w:rsidRPr="00A9366F">
        <w:rPr>
          <w:rFonts w:ascii="Calibri" w:hAnsi="Calibri" w:cs="Arial"/>
          <w:sz w:val="30"/>
          <w:szCs w:val="30"/>
          <w:lang w:val="en-US"/>
        </w:rPr>
        <w:t xml:space="preserve">payment relations, improve transparency of the services </w:t>
      </w:r>
      <w:r w:rsidR="00A16ABB" w:rsidRPr="00A9366F">
        <w:rPr>
          <w:rFonts w:ascii="Calibri" w:hAnsi="Calibri" w:cs="Arial"/>
          <w:sz w:val="30"/>
          <w:szCs w:val="30"/>
          <w:lang w:val="en-US"/>
        </w:rPr>
        <w:t xml:space="preserve">being </w:t>
      </w:r>
      <w:r w:rsidRPr="00A9366F">
        <w:rPr>
          <w:rFonts w:ascii="Calibri" w:hAnsi="Calibri" w:cs="Arial"/>
          <w:sz w:val="30"/>
          <w:szCs w:val="30"/>
          <w:lang w:val="en-US"/>
        </w:rPr>
        <w:t>provided and protect the consumer, taking into account</w:t>
      </w:r>
      <w:r w:rsidR="00A16ABB" w:rsidRPr="00A9366F">
        <w:rPr>
          <w:rFonts w:ascii="Calibri" w:hAnsi="Calibri" w:cs="Arial"/>
          <w:sz w:val="30"/>
          <w:szCs w:val="30"/>
          <w:lang w:val="en-US"/>
        </w:rPr>
        <w:t xml:space="preserve"> the</w:t>
      </w:r>
      <w:r w:rsidRPr="00A9366F">
        <w:rPr>
          <w:rFonts w:ascii="Calibri" w:hAnsi="Calibri" w:cs="Arial"/>
          <w:sz w:val="30"/>
          <w:szCs w:val="30"/>
          <w:lang w:val="en-US"/>
        </w:rPr>
        <w:t xml:space="preserve"> current requirements.</w:t>
      </w:r>
    </w:p>
    <w:p w:rsidR="00A16ABB" w:rsidRPr="00A9366F" w:rsidRDefault="00A16ABB" w:rsidP="00A16ABB">
      <w:pPr>
        <w:ind w:firstLine="708"/>
        <w:jc w:val="both"/>
        <w:rPr>
          <w:rFonts w:ascii="Calibri" w:hAnsi="Calibri" w:cs="Arial"/>
          <w:sz w:val="30"/>
          <w:szCs w:val="30"/>
          <w:lang w:val="en-US"/>
        </w:rPr>
      </w:pPr>
      <w:r w:rsidRPr="00A9366F">
        <w:rPr>
          <w:rFonts w:ascii="Calibri" w:hAnsi="Calibri" w:cs="Arial"/>
          <w:sz w:val="30"/>
          <w:szCs w:val="30"/>
          <w:lang w:val="en-US"/>
        </w:rPr>
        <w:t xml:space="preserve">Today, the payment industry of Kazakhstan is at </w:t>
      </w:r>
      <w:r w:rsidR="00E12459" w:rsidRPr="00A9366F">
        <w:rPr>
          <w:rFonts w:ascii="Calibri" w:hAnsi="Calibri" w:cs="Arial"/>
          <w:sz w:val="30"/>
          <w:szCs w:val="30"/>
          <w:lang w:val="en-US"/>
        </w:rPr>
        <w:t xml:space="preserve">the </w:t>
      </w:r>
      <w:r w:rsidRPr="00A9366F">
        <w:rPr>
          <w:rFonts w:ascii="Calibri" w:hAnsi="Calibri" w:cs="Arial"/>
          <w:sz w:val="30"/>
          <w:szCs w:val="30"/>
          <w:lang w:val="en-US"/>
        </w:rPr>
        <w:t xml:space="preserve">active stage of its development; the key quality indicators of the market </w:t>
      </w:r>
      <w:r w:rsidR="00F02ED3" w:rsidRPr="00A9366F">
        <w:rPr>
          <w:rFonts w:ascii="Calibri" w:hAnsi="Calibri" w:cs="Arial"/>
          <w:sz w:val="30"/>
          <w:szCs w:val="30"/>
          <w:lang w:val="en-US"/>
        </w:rPr>
        <w:t xml:space="preserve">are </w:t>
      </w:r>
      <w:r w:rsidRPr="00A9366F">
        <w:rPr>
          <w:rFonts w:ascii="Calibri" w:hAnsi="Calibri" w:cs="Arial"/>
          <w:sz w:val="30"/>
          <w:szCs w:val="30"/>
          <w:lang w:val="en-US"/>
        </w:rPr>
        <w:t>demonstrat</w:t>
      </w:r>
      <w:r w:rsidR="00F02ED3" w:rsidRPr="00A9366F">
        <w:rPr>
          <w:rFonts w:ascii="Calibri" w:hAnsi="Calibri" w:cs="Arial"/>
          <w:sz w:val="30"/>
          <w:szCs w:val="30"/>
          <w:lang w:val="en-US"/>
        </w:rPr>
        <w:t>ing</w:t>
      </w:r>
      <w:r w:rsidRPr="00A9366F">
        <w:rPr>
          <w:rFonts w:ascii="Calibri" w:hAnsi="Calibri" w:cs="Arial"/>
          <w:sz w:val="30"/>
          <w:szCs w:val="30"/>
          <w:lang w:val="en-US"/>
        </w:rPr>
        <w:t xml:space="preserve"> positive dynamics. In the retail sector, electronic money and new tech methods of payments </w:t>
      </w:r>
      <w:r w:rsidR="00E12459" w:rsidRPr="00A9366F">
        <w:rPr>
          <w:rFonts w:ascii="Calibri" w:hAnsi="Calibri" w:cs="Arial"/>
          <w:sz w:val="30"/>
          <w:szCs w:val="30"/>
          <w:lang w:val="en-US"/>
        </w:rPr>
        <w:t xml:space="preserve">using contactless technologies, QR codes </w:t>
      </w:r>
      <w:r w:rsidR="00D51071" w:rsidRPr="00A9366F">
        <w:rPr>
          <w:rFonts w:ascii="Calibri" w:hAnsi="Calibri" w:cs="Arial"/>
          <w:sz w:val="30"/>
          <w:szCs w:val="30"/>
          <w:lang w:val="en-US"/>
        </w:rPr>
        <w:t xml:space="preserve">have got widespread use </w:t>
      </w:r>
      <w:r w:rsidRPr="00A9366F">
        <w:rPr>
          <w:rFonts w:ascii="Calibri" w:hAnsi="Calibri" w:cs="Arial"/>
          <w:sz w:val="30"/>
          <w:szCs w:val="30"/>
          <w:lang w:val="en-US"/>
        </w:rPr>
        <w:t xml:space="preserve">along with </w:t>
      </w:r>
      <w:r w:rsidR="00927FA4" w:rsidRPr="00A9366F">
        <w:rPr>
          <w:rFonts w:ascii="Calibri" w:hAnsi="Calibri" w:cs="Arial"/>
          <w:sz w:val="30"/>
          <w:szCs w:val="30"/>
          <w:lang w:val="en-US"/>
        </w:rPr>
        <w:t xml:space="preserve">the </w:t>
      </w:r>
      <w:r w:rsidRPr="00A9366F">
        <w:rPr>
          <w:rFonts w:ascii="Calibri" w:hAnsi="Calibri" w:cs="Arial"/>
          <w:sz w:val="30"/>
          <w:szCs w:val="30"/>
          <w:lang w:val="en-US"/>
        </w:rPr>
        <w:t>payment cards.</w:t>
      </w:r>
      <w:r w:rsidR="00F02ED3" w:rsidRPr="00A9366F">
        <w:rPr>
          <w:rFonts w:ascii="Calibri" w:hAnsi="Calibri" w:cs="Arial"/>
          <w:sz w:val="30"/>
          <w:szCs w:val="30"/>
          <w:lang w:val="en-US"/>
        </w:rPr>
        <w:t xml:space="preserve"> A</w:t>
      </w:r>
      <w:r w:rsidRPr="00A9366F">
        <w:rPr>
          <w:rFonts w:ascii="Calibri" w:hAnsi="Calibri" w:cs="Arial"/>
          <w:sz w:val="30"/>
          <w:szCs w:val="30"/>
          <w:lang w:val="en-US"/>
        </w:rPr>
        <w:t xml:space="preserve"> number of participants </w:t>
      </w:r>
      <w:proofErr w:type="gramStart"/>
      <w:r w:rsidRPr="00A9366F">
        <w:rPr>
          <w:rFonts w:ascii="Calibri" w:hAnsi="Calibri" w:cs="Arial"/>
          <w:sz w:val="30"/>
          <w:szCs w:val="30"/>
          <w:lang w:val="en-US"/>
        </w:rPr>
        <w:t>is</w:t>
      </w:r>
      <w:proofErr w:type="gramEnd"/>
      <w:r w:rsidRPr="00A9366F">
        <w:rPr>
          <w:rFonts w:ascii="Calibri" w:hAnsi="Calibri" w:cs="Arial"/>
          <w:sz w:val="30"/>
          <w:szCs w:val="30"/>
          <w:lang w:val="en-US"/>
        </w:rPr>
        <w:t xml:space="preserve"> increasing, which </w:t>
      </w:r>
      <w:r w:rsidR="00F02ED3" w:rsidRPr="00A9366F">
        <w:rPr>
          <w:rFonts w:ascii="Calibri" w:hAnsi="Calibri" w:cs="Arial"/>
          <w:sz w:val="30"/>
          <w:szCs w:val="30"/>
          <w:lang w:val="en-US"/>
        </w:rPr>
        <w:t xml:space="preserve">promotes the competitive growth </w:t>
      </w:r>
      <w:r w:rsidRPr="00A9366F">
        <w:rPr>
          <w:rFonts w:ascii="Calibri" w:hAnsi="Calibri" w:cs="Arial"/>
          <w:sz w:val="30"/>
          <w:szCs w:val="30"/>
          <w:lang w:val="en-US"/>
        </w:rPr>
        <w:t xml:space="preserve">and </w:t>
      </w:r>
      <w:r w:rsidR="00F02ED3" w:rsidRPr="00A9366F">
        <w:rPr>
          <w:rFonts w:ascii="Calibri" w:hAnsi="Calibri" w:cs="Arial"/>
          <w:sz w:val="30"/>
          <w:szCs w:val="30"/>
          <w:lang w:val="en-US"/>
        </w:rPr>
        <w:t>diversification of</w:t>
      </w:r>
      <w:r w:rsidRPr="00A9366F">
        <w:rPr>
          <w:rFonts w:ascii="Calibri" w:hAnsi="Calibri" w:cs="Arial"/>
          <w:sz w:val="30"/>
          <w:szCs w:val="30"/>
          <w:lang w:val="en-US"/>
        </w:rPr>
        <w:t xml:space="preserve"> </w:t>
      </w:r>
      <w:r w:rsidR="00F02ED3" w:rsidRPr="00A9366F">
        <w:rPr>
          <w:rFonts w:ascii="Calibri" w:hAnsi="Calibri" w:cs="Arial"/>
          <w:sz w:val="30"/>
          <w:szCs w:val="30"/>
          <w:lang w:val="en-US"/>
        </w:rPr>
        <w:t xml:space="preserve">the </w:t>
      </w:r>
      <w:r w:rsidRPr="00A9366F">
        <w:rPr>
          <w:rFonts w:ascii="Calibri" w:hAnsi="Calibri" w:cs="Arial"/>
          <w:sz w:val="30"/>
          <w:szCs w:val="30"/>
          <w:lang w:val="en-US"/>
        </w:rPr>
        <w:t>services provided</w:t>
      </w:r>
      <w:r w:rsidR="00F02ED3" w:rsidRPr="00A9366F">
        <w:rPr>
          <w:rFonts w:ascii="Calibri" w:hAnsi="Calibri" w:cs="Arial"/>
          <w:sz w:val="30"/>
          <w:szCs w:val="30"/>
          <w:lang w:val="en-US"/>
        </w:rPr>
        <w:t xml:space="preserve">. </w:t>
      </w:r>
    </w:p>
    <w:p w:rsidR="00927FA4" w:rsidRPr="00A9366F" w:rsidRDefault="00927FA4" w:rsidP="00CB2E51">
      <w:pPr>
        <w:spacing w:line="400" w:lineRule="exact"/>
        <w:ind w:firstLine="709"/>
        <w:jc w:val="both"/>
        <w:rPr>
          <w:rFonts w:ascii="Calibri" w:hAnsi="Calibri" w:cs="Arial"/>
          <w:sz w:val="30"/>
          <w:szCs w:val="30"/>
          <w:lang w:val="en-US"/>
        </w:rPr>
      </w:pPr>
      <w:r w:rsidRPr="00A9366F">
        <w:rPr>
          <w:rFonts w:ascii="Calibri" w:hAnsi="Calibri" w:cs="Arial"/>
          <w:sz w:val="30"/>
          <w:szCs w:val="30"/>
          <w:lang w:val="en-US"/>
        </w:rPr>
        <w:t xml:space="preserve">Further actions of the National Bank of Kazakhstan will be aimed at assistance and support to the services providers in broadening a range of payment services and improvement of quality of products by creating a favorable legal environment. </w:t>
      </w:r>
    </w:p>
    <w:p w:rsidR="004F4A59" w:rsidRPr="00A9366F" w:rsidRDefault="004F4A59" w:rsidP="004F4A59">
      <w:pPr>
        <w:ind w:firstLine="708"/>
        <w:jc w:val="both"/>
        <w:rPr>
          <w:rFonts w:ascii="Calibri" w:hAnsi="Calibri" w:cs="Arial"/>
          <w:sz w:val="30"/>
          <w:szCs w:val="30"/>
          <w:lang w:val="en-US"/>
        </w:rPr>
      </w:pPr>
      <w:r w:rsidRPr="00A9366F">
        <w:rPr>
          <w:rFonts w:ascii="Calibri" w:hAnsi="Calibri" w:cs="Arial"/>
          <w:sz w:val="30"/>
          <w:szCs w:val="30"/>
          <w:lang w:val="en-US"/>
        </w:rPr>
        <w:t xml:space="preserve">As a part of further development of the existing payment systems, it is also planned to consider the </w:t>
      </w:r>
      <w:r w:rsidR="00EC7461" w:rsidRPr="00A9366F">
        <w:rPr>
          <w:rFonts w:ascii="Calibri" w:hAnsi="Calibri" w:cs="Arial"/>
          <w:sz w:val="30"/>
          <w:szCs w:val="30"/>
          <w:lang w:val="en-US"/>
        </w:rPr>
        <w:t>implementation</w:t>
      </w:r>
      <w:r w:rsidRPr="00A9366F">
        <w:rPr>
          <w:rFonts w:ascii="Calibri" w:hAnsi="Calibri" w:cs="Arial"/>
          <w:sz w:val="30"/>
          <w:szCs w:val="30"/>
          <w:lang w:val="en-US"/>
        </w:rPr>
        <w:t xml:space="preserve"> of the international standard for electronic data interchange ISO20022 "</w:t>
      </w:r>
      <w:r w:rsidRPr="00A9366F">
        <w:rPr>
          <w:rFonts w:ascii="Calibri" w:hAnsi="Calibri" w:cs="Arial"/>
          <w:iCs/>
          <w:sz w:val="30"/>
          <w:szCs w:val="30"/>
          <w:lang w:val="en-US"/>
        </w:rPr>
        <w:t>Financial services</w:t>
      </w:r>
      <w:r w:rsidRPr="00A9366F">
        <w:rPr>
          <w:rFonts w:ascii="Calibri" w:hAnsi="Calibri" w:cs="Arial"/>
          <w:sz w:val="30"/>
          <w:szCs w:val="30"/>
          <w:lang w:val="en-US"/>
        </w:rPr>
        <w:t xml:space="preserve"> - </w:t>
      </w:r>
      <w:r w:rsidRPr="00A9366F">
        <w:rPr>
          <w:rFonts w:ascii="Calibri" w:hAnsi="Calibri" w:cs="Arial"/>
          <w:iCs/>
          <w:sz w:val="30"/>
          <w:szCs w:val="30"/>
          <w:lang w:val="en-US"/>
        </w:rPr>
        <w:t>Universal financial industry message scheme</w:t>
      </w:r>
      <w:r w:rsidRPr="00A9366F">
        <w:rPr>
          <w:rFonts w:ascii="Calibri" w:hAnsi="Calibri" w:cs="Arial"/>
          <w:sz w:val="30"/>
          <w:szCs w:val="30"/>
          <w:lang w:val="en-US"/>
        </w:rPr>
        <w:t>", which is commonly considered as "financial Esperanto” - a universal language of interaction of different automated systems of the financial and trading market</w:t>
      </w:r>
      <w:r w:rsidR="00EC7461" w:rsidRPr="00A9366F">
        <w:rPr>
          <w:rFonts w:ascii="Calibri" w:hAnsi="Calibri" w:cs="Arial"/>
          <w:sz w:val="30"/>
          <w:szCs w:val="30"/>
          <w:lang w:val="en-US"/>
        </w:rPr>
        <w:t xml:space="preserve"> </w:t>
      </w:r>
      <w:r w:rsidRPr="00A9366F">
        <w:rPr>
          <w:rFonts w:ascii="Calibri" w:hAnsi="Calibri" w:cs="Arial"/>
          <w:sz w:val="30"/>
          <w:szCs w:val="30"/>
          <w:lang w:val="en-US"/>
        </w:rPr>
        <w:t>p</w:t>
      </w:r>
      <w:r w:rsidR="001011AA" w:rsidRPr="00A9366F">
        <w:rPr>
          <w:rFonts w:ascii="Calibri" w:hAnsi="Calibri" w:cs="Arial"/>
          <w:sz w:val="30"/>
          <w:szCs w:val="30"/>
          <w:lang w:val="en-US"/>
        </w:rPr>
        <w:t>articipants</w:t>
      </w:r>
      <w:r w:rsidRPr="00A9366F">
        <w:rPr>
          <w:rFonts w:ascii="Calibri" w:hAnsi="Calibri" w:cs="Arial"/>
          <w:sz w:val="30"/>
          <w:szCs w:val="30"/>
          <w:lang w:val="en-US"/>
        </w:rPr>
        <w:t>.</w:t>
      </w:r>
    </w:p>
    <w:p w:rsidR="004F4A59" w:rsidRPr="00A9366F" w:rsidRDefault="00EC7461" w:rsidP="004F4A59">
      <w:pPr>
        <w:ind w:firstLine="708"/>
        <w:jc w:val="both"/>
        <w:rPr>
          <w:rFonts w:ascii="Calibri" w:hAnsi="Calibri" w:cs="Arial"/>
          <w:sz w:val="30"/>
          <w:szCs w:val="30"/>
          <w:lang w:val="en-US"/>
        </w:rPr>
      </w:pPr>
      <w:r w:rsidRPr="00A9366F">
        <w:rPr>
          <w:rFonts w:ascii="Calibri" w:hAnsi="Calibri" w:cs="Arial"/>
          <w:sz w:val="30"/>
          <w:szCs w:val="30"/>
          <w:lang w:val="en-US"/>
        </w:rPr>
        <w:t>T</w:t>
      </w:r>
      <w:r w:rsidR="004F4A59" w:rsidRPr="00A9366F">
        <w:rPr>
          <w:rFonts w:ascii="Calibri" w:hAnsi="Calibri" w:cs="Arial"/>
          <w:sz w:val="30"/>
          <w:szCs w:val="30"/>
          <w:lang w:val="en-US"/>
        </w:rPr>
        <w:t>o create conditions for further dev</w:t>
      </w:r>
      <w:r w:rsidRPr="00A9366F">
        <w:rPr>
          <w:rFonts w:ascii="Calibri" w:hAnsi="Calibri" w:cs="Arial"/>
          <w:sz w:val="30"/>
          <w:szCs w:val="30"/>
          <w:lang w:val="en-US"/>
        </w:rPr>
        <w:t>elopment of the payment services</w:t>
      </w:r>
      <w:r w:rsidR="004F4A59" w:rsidRPr="00A9366F">
        <w:rPr>
          <w:rFonts w:ascii="Calibri" w:hAnsi="Calibri" w:cs="Arial"/>
          <w:sz w:val="30"/>
          <w:szCs w:val="30"/>
          <w:lang w:val="en-US"/>
        </w:rPr>
        <w:t xml:space="preserve"> market, including remote services, the National Bank of Kazakhstan </w:t>
      </w:r>
      <w:r w:rsidRPr="00A9366F">
        <w:rPr>
          <w:rFonts w:ascii="Calibri" w:hAnsi="Calibri" w:cs="Arial"/>
          <w:sz w:val="30"/>
          <w:szCs w:val="30"/>
          <w:lang w:val="en-US"/>
        </w:rPr>
        <w:t xml:space="preserve">jointly with the banking community and </w:t>
      </w:r>
      <w:r w:rsidR="004F4A59" w:rsidRPr="00A9366F">
        <w:rPr>
          <w:rFonts w:ascii="Calibri" w:hAnsi="Calibri" w:cs="Arial"/>
          <w:sz w:val="30"/>
          <w:szCs w:val="30"/>
          <w:lang w:val="en-US"/>
        </w:rPr>
        <w:t xml:space="preserve">institutions of the payment market will take additional measures </w:t>
      </w:r>
      <w:r w:rsidRPr="00A9366F">
        <w:rPr>
          <w:rFonts w:ascii="Calibri" w:hAnsi="Calibri" w:cs="Arial"/>
          <w:sz w:val="30"/>
          <w:szCs w:val="30"/>
          <w:lang w:val="en-US"/>
        </w:rPr>
        <w:t>to</w:t>
      </w:r>
      <w:r w:rsidR="004F4A59" w:rsidRPr="00A9366F">
        <w:rPr>
          <w:rFonts w:ascii="Calibri" w:hAnsi="Calibri" w:cs="Arial"/>
          <w:sz w:val="30"/>
          <w:szCs w:val="30"/>
          <w:lang w:val="en-US"/>
        </w:rPr>
        <w:t xml:space="preserve"> ensur</w:t>
      </w:r>
      <w:r w:rsidRPr="00A9366F">
        <w:rPr>
          <w:rFonts w:ascii="Calibri" w:hAnsi="Calibri" w:cs="Arial"/>
          <w:sz w:val="30"/>
          <w:szCs w:val="30"/>
          <w:lang w:val="en-US"/>
        </w:rPr>
        <w:t>e</w:t>
      </w:r>
      <w:r w:rsidR="004F4A59" w:rsidRPr="00A9366F">
        <w:rPr>
          <w:rFonts w:ascii="Calibri" w:hAnsi="Calibri" w:cs="Arial"/>
          <w:sz w:val="30"/>
          <w:szCs w:val="30"/>
          <w:lang w:val="en-US"/>
        </w:rPr>
        <w:t xml:space="preserve"> an efficient settlement and payment infrastructure, increas</w:t>
      </w:r>
      <w:r w:rsidRPr="00A9366F">
        <w:rPr>
          <w:rFonts w:ascii="Calibri" w:hAnsi="Calibri" w:cs="Arial"/>
          <w:sz w:val="30"/>
          <w:szCs w:val="30"/>
          <w:lang w:val="en-US"/>
        </w:rPr>
        <w:t>e</w:t>
      </w:r>
      <w:r w:rsidR="004F4A59" w:rsidRPr="00A9366F">
        <w:rPr>
          <w:rFonts w:ascii="Calibri" w:hAnsi="Calibri" w:cs="Arial"/>
          <w:sz w:val="30"/>
          <w:szCs w:val="30"/>
          <w:lang w:val="en-US"/>
        </w:rPr>
        <w:t xml:space="preserve"> transparency </w:t>
      </w:r>
      <w:r w:rsidRPr="00A9366F">
        <w:rPr>
          <w:rFonts w:ascii="Calibri" w:hAnsi="Calibri" w:cs="Arial"/>
          <w:sz w:val="30"/>
          <w:szCs w:val="30"/>
          <w:lang w:val="en-US"/>
        </w:rPr>
        <w:t xml:space="preserve">of operations </w:t>
      </w:r>
      <w:r w:rsidR="004F4A59" w:rsidRPr="00A9366F">
        <w:rPr>
          <w:rFonts w:ascii="Calibri" w:hAnsi="Calibri" w:cs="Arial"/>
          <w:sz w:val="30"/>
          <w:szCs w:val="30"/>
          <w:lang w:val="en-US"/>
        </w:rPr>
        <w:t xml:space="preserve">in this segment </w:t>
      </w:r>
      <w:r w:rsidRPr="00A9366F">
        <w:rPr>
          <w:rFonts w:ascii="Calibri" w:hAnsi="Calibri" w:cs="Arial"/>
          <w:sz w:val="30"/>
          <w:szCs w:val="30"/>
          <w:lang w:val="en-US"/>
        </w:rPr>
        <w:t>a</w:t>
      </w:r>
      <w:r w:rsidR="004F4A59" w:rsidRPr="00A9366F">
        <w:rPr>
          <w:rFonts w:ascii="Calibri" w:hAnsi="Calibri" w:cs="Arial"/>
          <w:sz w:val="30"/>
          <w:szCs w:val="30"/>
          <w:lang w:val="en-US"/>
        </w:rPr>
        <w:t xml:space="preserve">nd </w:t>
      </w:r>
      <w:r w:rsidRPr="00A9366F">
        <w:rPr>
          <w:rFonts w:ascii="Calibri" w:hAnsi="Calibri" w:cs="Arial"/>
          <w:sz w:val="30"/>
          <w:szCs w:val="30"/>
          <w:lang w:val="en-US"/>
        </w:rPr>
        <w:t>enhance</w:t>
      </w:r>
      <w:r w:rsidR="004F4A59" w:rsidRPr="00A9366F">
        <w:rPr>
          <w:rFonts w:ascii="Calibri" w:hAnsi="Calibri" w:cs="Arial"/>
          <w:sz w:val="30"/>
          <w:szCs w:val="30"/>
          <w:lang w:val="en-US"/>
        </w:rPr>
        <w:t xml:space="preserve"> public confidence in the payment industry.</w:t>
      </w:r>
    </w:p>
    <w:sectPr w:rsidR="004F4A59" w:rsidRPr="00A9366F" w:rsidSect="004E7C3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BA" w:rsidRDefault="004B63BA" w:rsidP="00560586">
      <w:r>
        <w:separator/>
      </w:r>
    </w:p>
  </w:endnote>
  <w:endnote w:type="continuationSeparator" w:id="0">
    <w:p w:rsidR="004B63BA" w:rsidRDefault="004B63BA" w:rsidP="0056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BA" w:rsidRDefault="004B63BA" w:rsidP="00560586">
      <w:r>
        <w:separator/>
      </w:r>
    </w:p>
  </w:footnote>
  <w:footnote w:type="continuationSeparator" w:id="0">
    <w:p w:rsidR="004B63BA" w:rsidRDefault="004B63BA" w:rsidP="00560586">
      <w:r>
        <w:continuationSeparator/>
      </w:r>
    </w:p>
  </w:footnote>
  <w:footnote w:id="1">
    <w:p w:rsidR="00541D5F" w:rsidRPr="00545F3D" w:rsidRDefault="00541D5F" w:rsidP="000426FA">
      <w:pPr>
        <w:pStyle w:val="a4"/>
        <w:rPr>
          <w:lang w:val="en-US"/>
        </w:rPr>
      </w:pPr>
      <w:r w:rsidRPr="00860331">
        <w:rPr>
          <w:rStyle w:val="a6"/>
        </w:rPr>
        <w:footnoteRef/>
      </w:r>
      <w:r w:rsidRPr="00545F3D">
        <w:rPr>
          <w:lang w:val="en-US"/>
        </w:rPr>
        <w:t xml:space="preserve"> </w:t>
      </w:r>
      <w:proofErr w:type="gramStart"/>
      <w:r w:rsidRPr="00545F3D">
        <w:rPr>
          <w:rFonts w:asciiTheme="minorHAnsi" w:hAnsiTheme="minorHAnsi" w:cstheme="minorHAnsi"/>
          <w:sz w:val="16"/>
          <w:szCs w:val="16"/>
          <w:lang w:val="en-US"/>
        </w:rPr>
        <w:t>National interbank clearing for in-country interbank transactions</w:t>
      </w:r>
      <w:r>
        <w:rPr>
          <w:rFonts w:asciiTheme="minorHAnsi" w:hAnsiTheme="minorHAnsi" w:cstheme="minorHAnsi"/>
          <w:sz w:val="16"/>
          <w:szCs w:val="16"/>
          <w:lang w:val="en-US"/>
        </w:rPr>
        <w:t xml:space="preserve"> in the national current using </w:t>
      </w:r>
      <w:r w:rsidRPr="00545F3D">
        <w:rPr>
          <w:rFonts w:asciiTheme="minorHAnsi" w:hAnsiTheme="minorHAnsi" w:cstheme="minorHAnsi"/>
          <w:sz w:val="16"/>
          <w:szCs w:val="16"/>
          <w:lang w:val="en-US"/>
        </w:rPr>
        <w:t>Visa/</w:t>
      </w:r>
      <w:r w:rsidRPr="00860331">
        <w:rPr>
          <w:rFonts w:asciiTheme="minorHAnsi" w:hAnsiTheme="minorHAnsi" w:cstheme="minorHAnsi"/>
          <w:sz w:val="16"/>
          <w:szCs w:val="16"/>
          <w:lang w:val="en-US"/>
        </w:rPr>
        <w:t>Master</w:t>
      </w:r>
      <w:r w:rsidRPr="00545F3D">
        <w:rPr>
          <w:rFonts w:asciiTheme="minorHAnsi" w:hAnsiTheme="minorHAnsi" w:cstheme="minorHAnsi"/>
          <w:sz w:val="16"/>
          <w:szCs w:val="16"/>
          <w:lang w:val="en-US"/>
        </w:rPr>
        <w:t xml:space="preserve"> </w:t>
      </w:r>
      <w:r w:rsidRPr="00860331">
        <w:rPr>
          <w:rFonts w:asciiTheme="minorHAnsi" w:hAnsiTheme="minorHAnsi" w:cstheme="minorHAnsi"/>
          <w:sz w:val="16"/>
          <w:szCs w:val="16"/>
          <w:lang w:val="en-US"/>
        </w:rPr>
        <w:t>Card</w:t>
      </w:r>
      <w:r>
        <w:rPr>
          <w:rFonts w:asciiTheme="minorHAnsi" w:hAnsiTheme="minorHAnsi" w:cstheme="minorHAnsi"/>
          <w:sz w:val="16"/>
          <w:szCs w:val="16"/>
          <w:lang w:val="en-US"/>
        </w:rPr>
        <w:t xml:space="preserve"> payment cards</w:t>
      </w:r>
      <w:r w:rsidRPr="00545F3D">
        <w:rPr>
          <w:rFonts w:asciiTheme="minorHAnsi" w:hAnsiTheme="minorHAnsi" w:cstheme="minorHAnsi"/>
          <w:sz w:val="16"/>
          <w:szCs w:val="16"/>
          <w:lang w:val="en-US"/>
        </w:rPr>
        <w:t>.</w:t>
      </w:r>
      <w:proofErr w:type="gramEnd"/>
    </w:p>
  </w:footnote>
  <w:footnote w:id="2">
    <w:p w:rsidR="00541D5F" w:rsidRPr="00122C18" w:rsidRDefault="00541D5F" w:rsidP="00230F8D">
      <w:pPr>
        <w:pStyle w:val="a4"/>
        <w:rPr>
          <w:lang w:val="en-US"/>
        </w:rPr>
      </w:pPr>
      <w:r>
        <w:rPr>
          <w:rStyle w:val="a6"/>
        </w:rPr>
        <w:footnoteRef/>
      </w:r>
      <w:r w:rsidRPr="00122C18">
        <w:rPr>
          <w:lang w:val="en-US"/>
        </w:rPr>
        <w:t xml:space="preserve"> </w:t>
      </w:r>
      <w:r w:rsidRPr="00122C18">
        <w:rPr>
          <w:rFonts w:ascii="Calibri" w:hAnsi="Calibri" w:cs="Arial"/>
          <w:sz w:val="16"/>
          <w:szCs w:val="16"/>
          <w:lang w:val="en-US"/>
        </w:rPr>
        <w:t xml:space="preserve">http://www.stat.gov.kz – </w:t>
      </w:r>
      <w:r>
        <w:rPr>
          <w:rFonts w:ascii="Calibri" w:hAnsi="Calibri" w:cs="Arial"/>
          <w:sz w:val="16"/>
          <w:szCs w:val="16"/>
          <w:lang w:val="en-US"/>
        </w:rPr>
        <w:t>website of the Statistics Committee of the Ministry of the National Economy of the Republic of Kazakhstan</w:t>
      </w:r>
      <w:r w:rsidRPr="00122C18">
        <w:rPr>
          <w:rFonts w:ascii="Calibri" w:hAnsi="Calibri" w:cs="Arial"/>
          <w:sz w:val="16"/>
          <w:szCs w:val="16"/>
          <w:lang w:val="en-US"/>
        </w:rPr>
        <w:t>.</w:t>
      </w:r>
    </w:p>
  </w:footnote>
  <w:footnote w:id="3">
    <w:p w:rsidR="00541D5F" w:rsidRPr="00122C18" w:rsidRDefault="00541D5F" w:rsidP="00B972FE">
      <w:pPr>
        <w:pStyle w:val="a4"/>
        <w:jc w:val="both"/>
        <w:rPr>
          <w:rFonts w:ascii="Calibri" w:hAnsi="Calibri" w:cs="Arial"/>
          <w:sz w:val="18"/>
          <w:szCs w:val="18"/>
          <w:lang w:val="en-US"/>
        </w:rPr>
      </w:pPr>
      <w:r w:rsidRPr="00EB0CE3">
        <w:rPr>
          <w:rStyle w:val="a6"/>
          <w:rFonts w:ascii="Calibri" w:hAnsi="Calibri" w:cs="Arial"/>
          <w:sz w:val="16"/>
          <w:szCs w:val="16"/>
        </w:rPr>
        <w:footnoteRef/>
      </w:r>
      <w:r w:rsidRPr="00122C18">
        <w:rPr>
          <w:rFonts w:ascii="Calibri" w:hAnsi="Calibri" w:cs="Arial"/>
          <w:sz w:val="16"/>
          <w:szCs w:val="16"/>
          <w:lang w:val="en-US"/>
        </w:rPr>
        <w:t xml:space="preserve"> </w:t>
      </w:r>
      <w:r>
        <w:rPr>
          <w:rFonts w:ascii="Calibri" w:hAnsi="Calibri" w:cs="Arial"/>
          <w:sz w:val="16"/>
          <w:szCs w:val="16"/>
          <w:lang w:val="en-US"/>
        </w:rPr>
        <w:t xml:space="preserve">“Households” economic sector means the institutional units comprising individuals and small groups of individuals (families) who live together, pool (in full or in part) their income and property and consume together certain types of goods and services (dwelling, food products, etc.) </w:t>
      </w:r>
    </w:p>
  </w:footnote>
  <w:footnote w:id="4">
    <w:p w:rsidR="00541D5F" w:rsidRPr="00A9366F" w:rsidRDefault="00541D5F" w:rsidP="008C4E63">
      <w:pPr>
        <w:pStyle w:val="a4"/>
        <w:jc w:val="both"/>
        <w:rPr>
          <w:sz w:val="18"/>
          <w:szCs w:val="18"/>
          <w:lang w:val="en-US"/>
        </w:rPr>
      </w:pPr>
      <w:r w:rsidRPr="00223D1D">
        <w:rPr>
          <w:rStyle w:val="a6"/>
          <w:sz w:val="16"/>
          <w:szCs w:val="16"/>
        </w:rPr>
        <w:footnoteRef/>
      </w:r>
      <w:r w:rsidRPr="00A9366F">
        <w:rPr>
          <w:sz w:val="16"/>
          <w:szCs w:val="16"/>
          <w:lang w:val="en-US"/>
        </w:rPr>
        <w:t xml:space="preserve"> </w:t>
      </w:r>
      <w:r>
        <w:rPr>
          <w:sz w:val="16"/>
          <w:szCs w:val="16"/>
          <w:lang w:val="en-US"/>
        </w:rPr>
        <w:t xml:space="preserve">Average amount of net debit position of users correlate to average daily turnover of users in ISMT, as net positions of the clearing users are settled at the expense of funds of users available in ISTM. </w:t>
      </w:r>
    </w:p>
  </w:footnote>
  <w:footnote w:id="5">
    <w:p w:rsidR="00541D5F" w:rsidRPr="00A9366F" w:rsidRDefault="00541D5F" w:rsidP="0003126B">
      <w:pPr>
        <w:pStyle w:val="a4"/>
        <w:jc w:val="both"/>
        <w:rPr>
          <w:rFonts w:asciiTheme="minorHAnsi" w:hAnsiTheme="minorHAnsi" w:cstheme="minorHAnsi"/>
          <w:sz w:val="16"/>
          <w:szCs w:val="16"/>
          <w:lang w:val="en-US"/>
        </w:rPr>
      </w:pPr>
      <w:r w:rsidRPr="00605A42">
        <w:rPr>
          <w:rStyle w:val="a6"/>
          <w:rFonts w:asciiTheme="minorHAnsi" w:hAnsiTheme="minorHAnsi" w:cstheme="minorHAnsi"/>
          <w:sz w:val="16"/>
          <w:szCs w:val="16"/>
        </w:rPr>
        <w:footnoteRef/>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According to the international standards, indicator above 99% characterizes high efficiency of the systems functioning in the country</w:t>
      </w:r>
      <w:r w:rsidRPr="00A9366F">
        <w:rPr>
          <w:rFonts w:asciiTheme="minorHAnsi" w:hAnsiTheme="minorHAnsi" w:cstheme="minorHAnsi"/>
          <w:spacing w:val="-4"/>
          <w:sz w:val="16"/>
          <w:szCs w:val="16"/>
          <w:lang w:val="en-US"/>
        </w:rPr>
        <w:t>.</w:t>
      </w:r>
    </w:p>
  </w:footnote>
  <w:footnote w:id="6">
    <w:p w:rsidR="00541D5F" w:rsidRPr="00441C81" w:rsidRDefault="00541D5F" w:rsidP="00DF08AA">
      <w:pPr>
        <w:pStyle w:val="a4"/>
        <w:spacing w:line="233" w:lineRule="auto"/>
        <w:jc w:val="both"/>
        <w:rPr>
          <w:rFonts w:asciiTheme="minorHAnsi" w:hAnsiTheme="minorHAnsi" w:cstheme="minorHAnsi"/>
          <w:sz w:val="16"/>
          <w:szCs w:val="16"/>
          <w:lang w:val="en-US"/>
        </w:rPr>
      </w:pPr>
      <w:r w:rsidRPr="0082483E">
        <w:rPr>
          <w:rStyle w:val="a6"/>
          <w:rFonts w:asciiTheme="minorHAnsi" w:hAnsiTheme="minorHAnsi" w:cstheme="minorHAnsi"/>
          <w:sz w:val="16"/>
          <w:szCs w:val="16"/>
        </w:rPr>
        <w:footnoteRef/>
      </w:r>
      <w:r w:rsidRPr="000C15AD">
        <w:rPr>
          <w:rFonts w:asciiTheme="minorHAnsi" w:hAnsiTheme="minorHAnsi" w:cstheme="minorHAnsi"/>
          <w:sz w:val="16"/>
          <w:szCs w:val="16"/>
          <w:lang w:val="en-US"/>
        </w:rPr>
        <w:t xml:space="preserve"> </w:t>
      </w:r>
      <w:r w:rsidRPr="00441C81">
        <w:rPr>
          <w:rFonts w:asciiTheme="minorHAnsi" w:hAnsiTheme="minorHAnsi" w:cstheme="minorHAnsi"/>
          <w:sz w:val="16"/>
          <w:szCs w:val="16"/>
          <w:lang w:val="en-US"/>
        </w:rPr>
        <w:t xml:space="preserve">Credit instruments comprise payment orders, checks, payment advices, postal orders, tax payments and other mandatory payments made through ATMs. </w:t>
      </w:r>
    </w:p>
  </w:footnote>
  <w:footnote w:id="7">
    <w:p w:rsidR="00541D5F" w:rsidRPr="00441C81" w:rsidRDefault="00541D5F" w:rsidP="00DF08AA">
      <w:pPr>
        <w:pStyle w:val="a4"/>
        <w:spacing w:line="233" w:lineRule="auto"/>
        <w:jc w:val="both"/>
        <w:rPr>
          <w:rFonts w:asciiTheme="minorHAnsi" w:hAnsiTheme="minorHAnsi" w:cstheme="minorHAnsi"/>
          <w:sz w:val="16"/>
          <w:szCs w:val="16"/>
          <w:lang w:val="en-US"/>
        </w:rPr>
      </w:pPr>
      <w:r w:rsidRPr="00441C81">
        <w:rPr>
          <w:rStyle w:val="a6"/>
          <w:rFonts w:asciiTheme="minorHAnsi" w:hAnsiTheme="minorHAnsi" w:cstheme="minorHAnsi"/>
          <w:sz w:val="16"/>
          <w:szCs w:val="16"/>
          <w:lang w:val="en-US"/>
        </w:rPr>
        <w:footnoteRef/>
      </w:r>
      <w:r w:rsidRPr="00441C81">
        <w:rPr>
          <w:rFonts w:asciiTheme="minorHAnsi" w:hAnsiTheme="minorHAnsi" w:cstheme="minorHAnsi"/>
          <w:sz w:val="16"/>
          <w:szCs w:val="16"/>
          <w:lang w:val="en-US"/>
        </w:rPr>
        <w:t xml:space="preserve"> Debt instruments comprise payment demand orders, collection orders, direct account debiting.</w:t>
      </w:r>
    </w:p>
  </w:footnote>
  <w:footnote w:id="8">
    <w:p w:rsidR="00541D5F" w:rsidRPr="00441C81" w:rsidRDefault="00541D5F" w:rsidP="00DF08AA">
      <w:pPr>
        <w:pStyle w:val="a4"/>
        <w:spacing w:line="233" w:lineRule="auto"/>
        <w:jc w:val="both"/>
        <w:rPr>
          <w:rFonts w:asciiTheme="minorHAnsi" w:hAnsiTheme="minorHAnsi" w:cstheme="minorHAnsi"/>
          <w:sz w:val="16"/>
          <w:szCs w:val="16"/>
          <w:lang w:val="en-US"/>
        </w:rPr>
      </w:pPr>
      <w:r w:rsidRPr="00441C81">
        <w:rPr>
          <w:rStyle w:val="a6"/>
          <w:rFonts w:asciiTheme="minorHAnsi" w:hAnsiTheme="minorHAnsi" w:cstheme="minorHAnsi"/>
          <w:sz w:val="16"/>
          <w:szCs w:val="16"/>
          <w:lang w:val="en-US"/>
        </w:rPr>
        <w:footnoteRef/>
      </w:r>
      <w:r w:rsidRPr="00441C81">
        <w:rPr>
          <w:rFonts w:asciiTheme="minorHAnsi" w:hAnsiTheme="minorHAnsi" w:cstheme="minorHAnsi"/>
          <w:sz w:val="16"/>
          <w:szCs w:val="16"/>
          <w:lang w:val="en-US"/>
        </w:rPr>
        <w:t xml:space="preserve"> Other instruments comprise payment cards (cash withdrawals, </w:t>
      </w:r>
      <w:r w:rsidRPr="00C1621F">
        <w:rPr>
          <w:rFonts w:asciiTheme="minorHAnsi" w:hAnsiTheme="minorHAnsi" w:cstheme="minorHAnsi"/>
          <w:sz w:val="16"/>
          <w:szCs w:val="16"/>
          <w:lang w:val="en-US"/>
        </w:rPr>
        <w:t>cashless</w:t>
      </w:r>
      <w:r w:rsidRPr="00441C81">
        <w:rPr>
          <w:rFonts w:asciiTheme="minorHAnsi" w:hAnsiTheme="minorHAnsi" w:cstheme="minorHAnsi"/>
          <w:sz w:val="16"/>
          <w:szCs w:val="16"/>
          <w:lang w:val="en-US"/>
        </w:rPr>
        <w:t xml:space="preserve"> payments) and payment orders, as these instruments can be used for both credit transfer and debit transfers, and other methods of making payments. </w:t>
      </w:r>
    </w:p>
  </w:footnote>
  <w:footnote w:id="9">
    <w:p w:rsidR="00541D5F" w:rsidRPr="00441C81" w:rsidRDefault="00541D5F" w:rsidP="0082483E">
      <w:pPr>
        <w:spacing w:line="233" w:lineRule="auto"/>
        <w:jc w:val="both"/>
        <w:rPr>
          <w:rFonts w:asciiTheme="minorHAnsi" w:hAnsiTheme="minorHAnsi" w:cstheme="minorHAnsi"/>
          <w:sz w:val="16"/>
          <w:szCs w:val="16"/>
          <w:lang w:val="en-US"/>
        </w:rPr>
      </w:pPr>
      <w:r w:rsidRPr="00441C81">
        <w:rPr>
          <w:rStyle w:val="a6"/>
          <w:rFonts w:asciiTheme="minorHAnsi" w:hAnsiTheme="minorHAnsi" w:cstheme="minorHAnsi"/>
          <w:sz w:val="16"/>
          <w:szCs w:val="16"/>
          <w:lang w:val="en-US"/>
        </w:rPr>
        <w:footnoteRef/>
      </w:r>
      <w:r w:rsidRPr="00441C81">
        <w:rPr>
          <w:rFonts w:asciiTheme="minorHAnsi" w:hAnsiTheme="minorHAnsi" w:cstheme="minorHAnsi"/>
          <w:sz w:val="16"/>
          <w:szCs w:val="16"/>
          <w:lang w:val="en-US"/>
        </w:rPr>
        <w:t xml:space="preserve"> Sector of economy of the remitter – central government (1); regional and local management authorities (2); central (national) banks (3); other deposit taking organizations (4); other financial organizations (5); government non-financial organizations (6), non-government non-financial organizations (7; non-profit organizations, which provide services to households (8).</w:t>
      </w:r>
    </w:p>
  </w:footnote>
  <w:footnote w:id="10">
    <w:p w:rsidR="00541D5F" w:rsidRPr="00441C81" w:rsidRDefault="00541D5F" w:rsidP="008574B0">
      <w:pPr>
        <w:pStyle w:val="a4"/>
        <w:spacing w:line="233" w:lineRule="auto"/>
        <w:jc w:val="both"/>
        <w:rPr>
          <w:lang w:val="en-US"/>
        </w:rPr>
      </w:pPr>
      <w:r w:rsidRPr="00441C81">
        <w:rPr>
          <w:rStyle w:val="a6"/>
          <w:rFonts w:asciiTheme="minorHAnsi" w:hAnsiTheme="minorHAnsi" w:cstheme="minorHAnsi"/>
          <w:sz w:val="16"/>
          <w:szCs w:val="16"/>
          <w:lang w:val="en-US"/>
        </w:rPr>
        <w:footnoteRef/>
      </w:r>
      <w:r w:rsidRPr="00441C81">
        <w:rPr>
          <w:rFonts w:asciiTheme="minorHAnsi" w:hAnsiTheme="minorHAnsi" w:cstheme="minorHAnsi"/>
          <w:sz w:val="16"/>
          <w:szCs w:val="16"/>
          <w:lang w:val="en-US"/>
        </w:rPr>
        <w:t xml:space="preserve"> Except for </w:t>
      </w:r>
      <w:r w:rsidRPr="00441C81">
        <w:rPr>
          <w:rFonts w:asciiTheme="minorHAnsi" w:hAnsiTheme="minorHAnsi" w:cstheme="minorHAnsi"/>
          <w:sz w:val="16"/>
          <w:szCs w:val="16"/>
          <w:u w:val="single"/>
          <w:lang w:val="en-US"/>
        </w:rPr>
        <w:t xml:space="preserve">cross-border payments and money transfers </w:t>
      </w:r>
      <w:r>
        <w:rPr>
          <w:rFonts w:asciiTheme="minorHAnsi" w:hAnsiTheme="minorHAnsi" w:cstheme="minorHAnsi"/>
          <w:sz w:val="16"/>
          <w:szCs w:val="16"/>
          <w:lang w:val="en-US"/>
        </w:rPr>
        <w:t>through the systems of money transfers and correspondent accounts opened between the banks.</w:t>
      </w:r>
    </w:p>
  </w:footnote>
  <w:footnote w:id="11">
    <w:p w:rsidR="00541D5F" w:rsidRPr="00BA3051" w:rsidRDefault="00541D5F" w:rsidP="008429CA">
      <w:pPr>
        <w:pStyle w:val="a4"/>
        <w:jc w:val="both"/>
        <w:rPr>
          <w:rFonts w:asciiTheme="minorHAnsi" w:hAnsiTheme="minorHAnsi" w:cstheme="minorHAnsi"/>
          <w:sz w:val="16"/>
          <w:szCs w:val="16"/>
          <w:lang w:val="en-US"/>
        </w:rPr>
      </w:pPr>
      <w:r w:rsidRPr="003D5BDF">
        <w:rPr>
          <w:rStyle w:val="a6"/>
          <w:rFonts w:asciiTheme="minorHAnsi" w:hAnsiTheme="minorHAnsi" w:cstheme="minorHAnsi"/>
          <w:sz w:val="16"/>
          <w:szCs w:val="16"/>
        </w:rPr>
        <w:footnoteRef/>
      </w:r>
      <w:r w:rsidRPr="00AD6EF1">
        <w:rPr>
          <w:rFonts w:asciiTheme="minorHAnsi" w:hAnsiTheme="minorHAnsi" w:cstheme="minorHAnsi"/>
          <w:sz w:val="16"/>
          <w:szCs w:val="16"/>
          <w:lang w:val="en-US"/>
        </w:rPr>
        <w:t xml:space="preserve"> </w:t>
      </w:r>
      <w:r>
        <w:rPr>
          <w:rFonts w:asciiTheme="minorHAnsi" w:hAnsiTheme="minorHAnsi" w:cstheme="minorHAnsi"/>
          <w:sz w:val="16"/>
          <w:szCs w:val="16"/>
          <w:lang w:val="en-US"/>
        </w:rPr>
        <w:t>Sector of economy of the money remitter “</w:t>
      </w:r>
      <w:r w:rsidRPr="00AD6EF1">
        <w:rPr>
          <w:rFonts w:asciiTheme="minorHAnsi" w:hAnsiTheme="minorHAnsi" w:cstheme="minorHAnsi"/>
          <w:sz w:val="16"/>
          <w:szCs w:val="16"/>
          <w:lang w:val="en-US"/>
        </w:rPr>
        <w:t xml:space="preserve">Households” </w:t>
      </w:r>
      <w:r>
        <w:rPr>
          <w:rFonts w:asciiTheme="minorHAnsi" w:hAnsiTheme="minorHAnsi" w:cstheme="minorHAnsi"/>
          <w:sz w:val="16"/>
          <w:szCs w:val="16"/>
          <w:lang w:val="en-US"/>
        </w:rPr>
        <w:t xml:space="preserve">– (9) </w:t>
      </w:r>
      <w:r w:rsidRPr="00AD6EF1">
        <w:rPr>
          <w:rFonts w:asciiTheme="minorHAnsi" w:hAnsiTheme="minorHAnsi" w:cstheme="minorHAnsi"/>
          <w:sz w:val="16"/>
          <w:szCs w:val="16"/>
          <w:lang w:val="en-US"/>
        </w:rPr>
        <w:t>means the institutional units comprising individuals and small groups of individuals (families) who live together, pool (in full or in part) their income and property and consume together certain types of goods and services (dwelling, food products, etc.)</w:t>
      </w:r>
      <w:r w:rsidRPr="00BA3051">
        <w:rPr>
          <w:rFonts w:asciiTheme="minorHAnsi" w:hAnsiTheme="minorHAnsi" w:cstheme="minorHAnsi"/>
          <w:sz w:val="16"/>
          <w:szCs w:val="16"/>
          <w:lang w:val="en-US"/>
        </w:rPr>
        <w:t>.</w:t>
      </w:r>
    </w:p>
  </w:footnote>
  <w:footnote w:id="12">
    <w:p w:rsidR="00541D5F" w:rsidRPr="00BA3051" w:rsidRDefault="00541D5F" w:rsidP="003E5BEF">
      <w:pPr>
        <w:pStyle w:val="a4"/>
        <w:jc w:val="both"/>
        <w:rPr>
          <w:rFonts w:asciiTheme="minorHAnsi" w:hAnsiTheme="minorHAnsi" w:cstheme="minorHAnsi"/>
          <w:sz w:val="16"/>
          <w:szCs w:val="16"/>
          <w:lang w:val="en-US"/>
        </w:rPr>
      </w:pPr>
      <w:r w:rsidRPr="003D5BDF">
        <w:rPr>
          <w:rStyle w:val="a6"/>
          <w:rFonts w:asciiTheme="minorHAnsi" w:hAnsiTheme="minorHAnsi" w:cstheme="minorHAnsi"/>
          <w:sz w:val="16"/>
          <w:szCs w:val="16"/>
        </w:rPr>
        <w:footnoteRef/>
      </w:r>
      <w:r w:rsidRPr="00C3515B">
        <w:rPr>
          <w:rFonts w:asciiTheme="minorHAnsi" w:hAnsiTheme="minorHAnsi" w:cstheme="minorHAnsi"/>
          <w:sz w:val="16"/>
          <w:szCs w:val="16"/>
          <w:lang w:val="en-US"/>
        </w:rPr>
        <w:t xml:space="preserve"> Except for </w:t>
      </w:r>
      <w:r w:rsidRPr="00C3515B">
        <w:rPr>
          <w:rFonts w:asciiTheme="minorHAnsi" w:hAnsiTheme="minorHAnsi" w:cstheme="minorHAnsi"/>
          <w:sz w:val="16"/>
          <w:szCs w:val="16"/>
          <w:u w:val="single"/>
          <w:lang w:val="en-US"/>
        </w:rPr>
        <w:t>cross-border payments and money transfers</w:t>
      </w:r>
      <w:r w:rsidRPr="00C3515B">
        <w:rPr>
          <w:rFonts w:asciiTheme="minorHAnsi" w:hAnsiTheme="minorHAnsi" w:cstheme="minorHAnsi"/>
          <w:sz w:val="16"/>
          <w:szCs w:val="16"/>
          <w:lang w:val="en-US"/>
        </w:rPr>
        <w:t xml:space="preserve"> through the systems of money transfers and correspondent accounts opened between the bank</w:t>
      </w:r>
      <w:r>
        <w:rPr>
          <w:rFonts w:asciiTheme="minorHAnsi" w:hAnsiTheme="minorHAnsi" w:cstheme="minorHAnsi"/>
          <w:sz w:val="16"/>
          <w:szCs w:val="16"/>
          <w:lang w:val="en-US"/>
        </w:rPr>
        <w:t>s</w:t>
      </w:r>
      <w:r w:rsidRPr="00C3515B">
        <w:rPr>
          <w:rFonts w:asciiTheme="minorHAnsi" w:hAnsiTheme="minorHAnsi" w:cstheme="minorHAnsi"/>
          <w:sz w:val="16"/>
          <w:szCs w:val="16"/>
          <w:lang w:val="en-US"/>
        </w:rPr>
        <w:t>.</w:t>
      </w:r>
    </w:p>
  </w:footnote>
  <w:footnote w:id="13">
    <w:p w:rsidR="00541D5F" w:rsidRPr="00A72717" w:rsidRDefault="00541D5F" w:rsidP="00FC2B3A">
      <w:pPr>
        <w:spacing w:line="235" w:lineRule="auto"/>
        <w:jc w:val="both"/>
        <w:rPr>
          <w:rFonts w:asciiTheme="minorHAnsi" w:hAnsiTheme="minorHAnsi" w:cstheme="minorHAnsi"/>
          <w:sz w:val="16"/>
          <w:szCs w:val="16"/>
          <w:lang w:val="en-US"/>
        </w:rPr>
      </w:pPr>
      <w:r w:rsidRPr="007D0CC8">
        <w:rPr>
          <w:rStyle w:val="a6"/>
          <w:rFonts w:asciiTheme="minorHAnsi" w:hAnsiTheme="minorHAnsi" w:cstheme="minorHAnsi"/>
          <w:sz w:val="16"/>
          <w:szCs w:val="16"/>
        </w:rPr>
        <w:footnoteRef/>
      </w:r>
      <w:r w:rsidRPr="008574B0">
        <w:rPr>
          <w:rFonts w:asciiTheme="minorHAnsi" w:hAnsiTheme="minorHAnsi" w:cstheme="minorHAnsi"/>
          <w:sz w:val="16"/>
          <w:szCs w:val="16"/>
          <w:lang w:val="en-US"/>
        </w:rPr>
        <w:t xml:space="preserve"> </w:t>
      </w:r>
      <w:r>
        <w:rPr>
          <w:rFonts w:asciiTheme="minorHAnsi" w:hAnsiTheme="minorHAnsi" w:cstheme="minorHAnsi"/>
          <w:sz w:val="16"/>
          <w:szCs w:val="16"/>
          <w:lang w:val="en-US"/>
        </w:rPr>
        <w:t xml:space="preserve">The Decree of the Government of the Republic of Kazakhstan No.604 dated 21 October 2016 “On approval of the list of certain types of activities and use of equipment (devices) intended to accept payments using the payment cards and on declaring invalid the Decree of the Government of the Republic of Kazakhstan No.1147 dated 29 October 2014 “On </w:t>
      </w:r>
      <w:r w:rsidRPr="008574B0">
        <w:rPr>
          <w:rFonts w:asciiTheme="minorHAnsi" w:hAnsiTheme="minorHAnsi" w:cstheme="minorHAnsi"/>
          <w:sz w:val="16"/>
          <w:szCs w:val="16"/>
          <w:lang w:val="en-US"/>
        </w:rPr>
        <w:t>approval of the list of certain types of activities and use of equipment (devices) intended to accept payments using the payment cards</w:t>
      </w:r>
      <w:r>
        <w:rPr>
          <w:rFonts w:asciiTheme="minorHAnsi" w:hAnsiTheme="minorHAnsi" w:cstheme="minorHAnsi"/>
          <w:sz w:val="16"/>
          <w:szCs w:val="16"/>
          <w:lang w:val="en-US"/>
        </w:rPr>
        <w:t>.”</w:t>
      </w:r>
    </w:p>
  </w:footnote>
  <w:footnote w:id="14">
    <w:p w:rsidR="00541D5F" w:rsidRPr="00A9366F" w:rsidRDefault="00541D5F" w:rsidP="00176F0A">
      <w:pPr>
        <w:spacing w:line="235" w:lineRule="auto"/>
        <w:jc w:val="both"/>
        <w:rPr>
          <w:rFonts w:asciiTheme="minorHAnsi" w:hAnsiTheme="minorHAnsi" w:cstheme="minorHAnsi"/>
          <w:sz w:val="16"/>
          <w:szCs w:val="16"/>
          <w:lang w:val="en-US"/>
        </w:rPr>
      </w:pPr>
      <w:r w:rsidRPr="00846DC9">
        <w:rPr>
          <w:rStyle w:val="a6"/>
          <w:rFonts w:asciiTheme="minorHAnsi" w:hAnsiTheme="minorHAnsi" w:cstheme="minorHAnsi"/>
          <w:sz w:val="16"/>
          <w:szCs w:val="16"/>
        </w:rPr>
        <w:footnoteRef/>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A</w:t>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compact</w:t>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device</w:t>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which</w:t>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comprises a</w:t>
      </w:r>
      <w:r w:rsidRPr="00A9366F">
        <w:rPr>
          <w:rFonts w:asciiTheme="minorHAnsi" w:hAnsiTheme="minorHAnsi" w:cstheme="minorHAnsi"/>
          <w:sz w:val="16"/>
          <w:szCs w:val="16"/>
          <w:lang w:val="en-US"/>
        </w:rPr>
        <w:t xml:space="preserve"> </w:t>
      </w:r>
      <w:r>
        <w:rPr>
          <w:rFonts w:asciiTheme="minorHAnsi" w:hAnsiTheme="minorHAnsi" w:cstheme="minorHAnsi"/>
          <w:sz w:val="16"/>
          <w:szCs w:val="16"/>
          <w:lang w:val="en-US"/>
        </w:rPr>
        <w:t>POS</w:t>
      </w:r>
      <w:r w:rsidRPr="00A9366F">
        <w:rPr>
          <w:rFonts w:asciiTheme="minorHAnsi" w:hAnsiTheme="minorHAnsi" w:cstheme="minorHAnsi"/>
          <w:sz w:val="16"/>
          <w:szCs w:val="16"/>
          <w:lang w:val="en-US"/>
        </w:rPr>
        <w:t>-</w:t>
      </w:r>
      <w:r>
        <w:rPr>
          <w:rFonts w:asciiTheme="minorHAnsi" w:hAnsiTheme="minorHAnsi" w:cstheme="minorHAnsi"/>
          <w:sz w:val="16"/>
          <w:szCs w:val="16"/>
          <w:lang w:val="en-US"/>
        </w:rPr>
        <w:t>terminal connected to smartphone or tablet PC that allows making cashless settlements using a payment card</w:t>
      </w:r>
      <w:r w:rsidRPr="00A9366F">
        <w:rPr>
          <w:rFonts w:asciiTheme="minorHAnsi" w:hAnsiTheme="minorHAnsi" w:cstheme="minorHAnsi"/>
          <w:sz w:val="16"/>
          <w:szCs w:val="16"/>
          <w:lang w:val="en-US"/>
        </w:rPr>
        <w:t>.</w:t>
      </w:r>
    </w:p>
  </w:footnote>
  <w:footnote w:id="15">
    <w:p w:rsidR="00541D5F" w:rsidRPr="00CB3CE6" w:rsidRDefault="00541D5F" w:rsidP="00551431">
      <w:pPr>
        <w:pStyle w:val="a4"/>
        <w:jc w:val="both"/>
        <w:rPr>
          <w:sz w:val="16"/>
          <w:szCs w:val="16"/>
          <w:lang w:val="en-US"/>
        </w:rPr>
      </w:pPr>
      <w:r w:rsidRPr="00504B23">
        <w:rPr>
          <w:rStyle w:val="a6"/>
          <w:rFonts w:asciiTheme="minorHAnsi" w:hAnsiTheme="minorHAnsi" w:cstheme="minorHAnsi"/>
          <w:sz w:val="16"/>
          <w:szCs w:val="16"/>
        </w:rPr>
        <w:footnoteRef/>
      </w:r>
      <w:r w:rsidR="00CB3CE6" w:rsidRPr="00CB3CE6">
        <w:rPr>
          <w:rFonts w:asciiTheme="minorHAnsi" w:hAnsiTheme="minorHAnsi" w:cstheme="minorHAnsi"/>
          <w:sz w:val="16"/>
          <w:szCs w:val="16"/>
          <w:lang w:val="en-US"/>
        </w:rPr>
        <w:t xml:space="preserve"> </w:t>
      </w:r>
      <w:r w:rsidR="00CB3CE6" w:rsidRPr="00CB3CE6">
        <w:rPr>
          <w:sz w:val="16"/>
          <w:szCs w:val="16"/>
          <w:lang w:val="en-US"/>
        </w:rPr>
        <w:t>The transactions</w:t>
      </w:r>
      <w:r w:rsidRPr="00CB3CE6">
        <w:rPr>
          <w:sz w:val="16"/>
          <w:szCs w:val="16"/>
          <w:lang w:val="en-US"/>
        </w:rPr>
        <w:t>,</w:t>
      </w:r>
      <w:r w:rsidR="00CB3CE6" w:rsidRPr="00CB3CE6">
        <w:rPr>
          <w:sz w:val="16"/>
          <w:szCs w:val="16"/>
          <w:lang w:val="en-US"/>
        </w:rPr>
        <w:t xml:space="preserve"> carried out within the network of one </w:t>
      </w:r>
      <w:r w:rsidR="00CB3CE6">
        <w:rPr>
          <w:sz w:val="16"/>
          <w:szCs w:val="16"/>
          <w:lang w:val="en-US"/>
        </w:rPr>
        <w:t>bank with using the payment cards of other issuers</w:t>
      </w:r>
      <w:r w:rsidRPr="00CB3CE6">
        <w:rPr>
          <w:sz w:val="16"/>
          <w:szCs w:val="16"/>
          <w:lang w:val="en-US"/>
        </w:rPr>
        <w:t>.</w:t>
      </w:r>
    </w:p>
  </w:footnote>
  <w:footnote w:id="16">
    <w:p w:rsidR="00541D5F" w:rsidRPr="00E35C27" w:rsidRDefault="00541D5F" w:rsidP="00091FB8">
      <w:pPr>
        <w:pStyle w:val="a4"/>
        <w:jc w:val="both"/>
        <w:rPr>
          <w:sz w:val="16"/>
          <w:szCs w:val="16"/>
          <w:lang w:val="en-US"/>
        </w:rPr>
      </w:pPr>
      <w:r w:rsidRPr="00846DC9">
        <w:rPr>
          <w:rStyle w:val="a6"/>
          <w:sz w:val="16"/>
          <w:szCs w:val="16"/>
        </w:rPr>
        <w:footnoteRef/>
      </w:r>
      <w:r w:rsidRPr="00E35C27">
        <w:rPr>
          <w:sz w:val="16"/>
          <w:szCs w:val="16"/>
          <w:lang w:val="en-US"/>
        </w:rPr>
        <w:t xml:space="preserve"> </w:t>
      </w:r>
      <w:r>
        <w:rPr>
          <w:sz w:val="16"/>
          <w:szCs w:val="16"/>
          <w:lang w:val="en-US"/>
        </w:rPr>
        <w:t xml:space="preserve">This channel means that two banks (or their processing centers) have the information and process connection on the basis of the contract they have signed.  </w:t>
      </w:r>
    </w:p>
  </w:footnote>
  <w:footnote w:id="17">
    <w:p w:rsidR="00541D5F" w:rsidRPr="007E45C2" w:rsidRDefault="00541D5F">
      <w:pPr>
        <w:pStyle w:val="a4"/>
        <w:rPr>
          <w:rFonts w:asciiTheme="minorHAnsi" w:hAnsiTheme="minorHAnsi" w:cstheme="minorHAnsi"/>
          <w:sz w:val="16"/>
          <w:szCs w:val="16"/>
        </w:rPr>
      </w:pPr>
      <w:r w:rsidRPr="007E45C2">
        <w:rPr>
          <w:rStyle w:val="a6"/>
          <w:rFonts w:asciiTheme="minorHAnsi" w:hAnsiTheme="minorHAnsi" w:cstheme="minorHAnsi"/>
          <w:sz w:val="16"/>
          <w:szCs w:val="16"/>
        </w:rPr>
        <w:footnoteRef/>
      </w:r>
      <w:r w:rsidRPr="007E45C2">
        <w:rPr>
          <w:rFonts w:asciiTheme="minorHAnsi" w:hAnsiTheme="minorHAnsi" w:cstheme="minorHAnsi"/>
          <w:sz w:val="16"/>
          <w:szCs w:val="16"/>
        </w:rPr>
        <w:t xml:space="preserve"> </w:t>
      </w:r>
      <w:r>
        <w:rPr>
          <w:rFonts w:asciiTheme="minorHAnsi" w:hAnsiTheme="minorHAnsi" w:cstheme="minorHAnsi"/>
          <w:sz w:val="16"/>
          <w:szCs w:val="16"/>
          <w:lang w:val="en-US"/>
        </w:rPr>
        <w:t>Money transfer systems</w:t>
      </w:r>
      <w:r w:rsidRPr="007E45C2">
        <w:rPr>
          <w:rFonts w:asciiTheme="minorHAnsi" w:hAnsiTheme="minorHAnsi" w:cs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D5F" w:rsidRDefault="00541D5F">
    <w:pPr>
      <w:pStyle w:val="ab"/>
    </w:pPr>
    <w:r>
      <w:rPr>
        <w:noProof/>
      </w:rPr>
      <mc:AlternateContent>
        <mc:Choice Requires="wps">
          <w:drawing>
            <wp:anchor distT="0" distB="0" distL="114300" distR="114300" simplePos="0" relativeHeight="251657216" behindDoc="0" locked="0" layoutInCell="0" allowOverlap="1">
              <wp:simplePos x="0" y="0"/>
              <wp:positionH relativeFrom="page">
                <wp:posOffset>7169785</wp:posOffset>
              </wp:positionH>
              <wp:positionV relativeFrom="page">
                <wp:posOffset>488315</wp:posOffset>
              </wp:positionV>
              <wp:extent cx="540385" cy="228600"/>
              <wp:effectExtent l="0" t="0" r="0" b="0"/>
              <wp:wrapNone/>
              <wp:docPr id="475" name="Надпись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28600"/>
                      </a:xfrm>
                      <a:prstGeom prst="rect">
                        <a:avLst/>
                      </a:prstGeom>
                      <a:solidFill>
                        <a:srgbClr val="0E4C28"/>
                      </a:solidFill>
                      <a:extLst/>
                    </wps:spPr>
                    <wps:txbx>
                      <w:txbxContent>
                        <w:p w:rsidR="00541D5F" w:rsidRDefault="00541D5F"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017666">
                            <w:rPr>
                              <w:rFonts w:ascii="Calibri" w:hAnsi="Calibri" w:cs="Calibri"/>
                              <w:b/>
                              <w:noProof/>
                            </w:rPr>
                            <w:t>54</w:t>
                          </w:r>
                          <w:r>
                            <w:rPr>
                              <w:rFonts w:ascii="Calibri" w:hAnsi="Calibri" w:cs="Calibri"/>
                              <w:b/>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76" o:spid="_x0000_s1059" type="#_x0000_t202" style="position:absolute;margin-left:564.55pt;margin-top:38.45pt;width:42.5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" o:allowincell="f" fillcolor="#0e4c28" stroked="f">
              <v:textbox inset=",0,,0">
                <w:txbxContent>
                  <w:p w:rsidR="00541D5F" w:rsidRDefault="00541D5F" w:rsidP="001128AB">
                    <w:r>
                      <w:rPr>
                        <w:rFonts w:ascii="Calibri" w:hAnsi="Calibri" w:cs="Calibri"/>
                        <w:b/>
                      </w:rPr>
                      <w:fldChar w:fldCharType="begin"/>
                    </w:r>
                    <w:r>
                      <w:rPr>
                        <w:rFonts w:ascii="Calibri" w:hAnsi="Calibri" w:cs="Calibri"/>
                        <w:b/>
                      </w:rPr>
                      <w:instrText xml:space="preserve"> PAGE \* MERGEFORMA \* Arabic </w:instrText>
                    </w:r>
                    <w:r>
                      <w:rPr>
                        <w:rFonts w:ascii="Calibri" w:hAnsi="Calibri" w:cs="Calibri"/>
                        <w:b/>
                      </w:rPr>
                      <w:fldChar w:fldCharType="separate"/>
                    </w:r>
                    <w:r w:rsidR="00017666">
                      <w:rPr>
                        <w:rFonts w:ascii="Calibri" w:hAnsi="Calibri" w:cs="Calibri"/>
                        <w:b/>
                        <w:noProof/>
                      </w:rPr>
                      <w:t>54</w:t>
                    </w:r>
                    <w:r>
                      <w:rPr>
                        <w:rFonts w:ascii="Calibri" w:hAnsi="Calibri" w:cs="Calibri"/>
                        <w:b/>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05FD"/>
    <w:multiLevelType w:val="hybridMultilevel"/>
    <w:tmpl w:val="D3D66FC6"/>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D8D039B"/>
    <w:multiLevelType w:val="hybridMultilevel"/>
    <w:tmpl w:val="17E2B3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C8391B"/>
    <w:multiLevelType w:val="hybridMultilevel"/>
    <w:tmpl w:val="D6AE82F8"/>
    <w:lvl w:ilvl="0" w:tplc="13AE4836">
      <w:start w:val="1"/>
      <w:numFmt w:val="bullet"/>
      <w:suff w:val="space"/>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105CA9"/>
    <w:multiLevelType w:val="hybridMultilevel"/>
    <w:tmpl w:val="31C02244"/>
    <w:lvl w:ilvl="0" w:tplc="3CF28AFA">
      <w:start w:val="1"/>
      <w:numFmt w:val="decimal"/>
      <w:pStyle w:val="ParagraphNumbering"/>
      <w:lvlText w:val="%1.     "/>
      <w:lvlJc w:val="left"/>
      <w:pPr>
        <w:tabs>
          <w:tab w:val="num" w:pos="72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74C79F7"/>
    <w:multiLevelType w:val="hybridMultilevel"/>
    <w:tmpl w:val="8C46BC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DF5EFB"/>
    <w:multiLevelType w:val="hybridMultilevel"/>
    <w:tmpl w:val="1B04D3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DFD309B"/>
    <w:multiLevelType w:val="hybridMultilevel"/>
    <w:tmpl w:val="E9644158"/>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E1B3918"/>
    <w:multiLevelType w:val="hybridMultilevel"/>
    <w:tmpl w:val="131EAD0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09957C7"/>
    <w:multiLevelType w:val="hybridMultilevel"/>
    <w:tmpl w:val="81460198"/>
    <w:lvl w:ilvl="0" w:tplc="723844AC">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0D54F6C"/>
    <w:multiLevelType w:val="hybridMultilevel"/>
    <w:tmpl w:val="9B06AFB2"/>
    <w:lvl w:ilvl="0" w:tplc="A58A19CA">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1173378"/>
    <w:multiLevelType w:val="hybridMultilevel"/>
    <w:tmpl w:val="82AA5A96"/>
    <w:lvl w:ilvl="0" w:tplc="93360206">
      <w:start w:val="1"/>
      <w:numFmt w:val="bullet"/>
      <w:lvlText w:val="•"/>
      <w:lvlJc w:val="left"/>
      <w:pPr>
        <w:tabs>
          <w:tab w:val="num" w:pos="720"/>
        </w:tabs>
        <w:ind w:left="720" w:hanging="360"/>
      </w:pPr>
      <w:rPr>
        <w:rFonts w:ascii="Times New Roman" w:hAnsi="Times New Roman" w:hint="default"/>
      </w:rPr>
    </w:lvl>
    <w:lvl w:ilvl="1" w:tplc="23608BCE" w:tentative="1">
      <w:start w:val="1"/>
      <w:numFmt w:val="bullet"/>
      <w:lvlText w:val="•"/>
      <w:lvlJc w:val="left"/>
      <w:pPr>
        <w:tabs>
          <w:tab w:val="num" w:pos="1440"/>
        </w:tabs>
        <w:ind w:left="1440" w:hanging="360"/>
      </w:pPr>
      <w:rPr>
        <w:rFonts w:ascii="Times New Roman" w:hAnsi="Times New Roman" w:hint="default"/>
      </w:rPr>
    </w:lvl>
    <w:lvl w:ilvl="2" w:tplc="D89A4D5C" w:tentative="1">
      <w:start w:val="1"/>
      <w:numFmt w:val="bullet"/>
      <w:lvlText w:val="•"/>
      <w:lvlJc w:val="left"/>
      <w:pPr>
        <w:tabs>
          <w:tab w:val="num" w:pos="2160"/>
        </w:tabs>
        <w:ind w:left="2160" w:hanging="360"/>
      </w:pPr>
      <w:rPr>
        <w:rFonts w:ascii="Times New Roman" w:hAnsi="Times New Roman" w:hint="default"/>
      </w:rPr>
    </w:lvl>
    <w:lvl w:ilvl="3" w:tplc="20523E20" w:tentative="1">
      <w:start w:val="1"/>
      <w:numFmt w:val="bullet"/>
      <w:lvlText w:val="•"/>
      <w:lvlJc w:val="left"/>
      <w:pPr>
        <w:tabs>
          <w:tab w:val="num" w:pos="2880"/>
        </w:tabs>
        <w:ind w:left="2880" w:hanging="360"/>
      </w:pPr>
      <w:rPr>
        <w:rFonts w:ascii="Times New Roman" w:hAnsi="Times New Roman" w:hint="default"/>
      </w:rPr>
    </w:lvl>
    <w:lvl w:ilvl="4" w:tplc="AB3499CE" w:tentative="1">
      <w:start w:val="1"/>
      <w:numFmt w:val="bullet"/>
      <w:lvlText w:val="•"/>
      <w:lvlJc w:val="left"/>
      <w:pPr>
        <w:tabs>
          <w:tab w:val="num" w:pos="3600"/>
        </w:tabs>
        <w:ind w:left="3600" w:hanging="360"/>
      </w:pPr>
      <w:rPr>
        <w:rFonts w:ascii="Times New Roman" w:hAnsi="Times New Roman" w:hint="default"/>
      </w:rPr>
    </w:lvl>
    <w:lvl w:ilvl="5" w:tplc="DA1A954C" w:tentative="1">
      <w:start w:val="1"/>
      <w:numFmt w:val="bullet"/>
      <w:lvlText w:val="•"/>
      <w:lvlJc w:val="left"/>
      <w:pPr>
        <w:tabs>
          <w:tab w:val="num" w:pos="4320"/>
        </w:tabs>
        <w:ind w:left="4320" w:hanging="360"/>
      </w:pPr>
      <w:rPr>
        <w:rFonts w:ascii="Times New Roman" w:hAnsi="Times New Roman" w:hint="default"/>
      </w:rPr>
    </w:lvl>
    <w:lvl w:ilvl="6" w:tplc="2CD660F6" w:tentative="1">
      <w:start w:val="1"/>
      <w:numFmt w:val="bullet"/>
      <w:lvlText w:val="•"/>
      <w:lvlJc w:val="left"/>
      <w:pPr>
        <w:tabs>
          <w:tab w:val="num" w:pos="5040"/>
        </w:tabs>
        <w:ind w:left="5040" w:hanging="360"/>
      </w:pPr>
      <w:rPr>
        <w:rFonts w:ascii="Times New Roman" w:hAnsi="Times New Roman" w:hint="default"/>
      </w:rPr>
    </w:lvl>
    <w:lvl w:ilvl="7" w:tplc="22E6254C" w:tentative="1">
      <w:start w:val="1"/>
      <w:numFmt w:val="bullet"/>
      <w:lvlText w:val="•"/>
      <w:lvlJc w:val="left"/>
      <w:pPr>
        <w:tabs>
          <w:tab w:val="num" w:pos="5760"/>
        </w:tabs>
        <w:ind w:left="5760" w:hanging="360"/>
      </w:pPr>
      <w:rPr>
        <w:rFonts w:ascii="Times New Roman" w:hAnsi="Times New Roman" w:hint="default"/>
      </w:rPr>
    </w:lvl>
    <w:lvl w:ilvl="8" w:tplc="1868975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12538F0"/>
    <w:multiLevelType w:val="hybridMultilevel"/>
    <w:tmpl w:val="1D6885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B90B1C"/>
    <w:multiLevelType w:val="hybridMultilevel"/>
    <w:tmpl w:val="C016AE56"/>
    <w:lvl w:ilvl="0" w:tplc="C0B2F13A">
      <w:start w:val="1"/>
      <w:numFmt w:val="bullet"/>
      <w:lvlText w:val="•"/>
      <w:lvlJc w:val="left"/>
      <w:pPr>
        <w:tabs>
          <w:tab w:val="num" w:pos="720"/>
        </w:tabs>
        <w:ind w:left="720" w:hanging="360"/>
      </w:pPr>
      <w:rPr>
        <w:rFonts w:ascii="Times New Roman" w:hAnsi="Times New Roman" w:hint="default"/>
      </w:rPr>
    </w:lvl>
    <w:lvl w:ilvl="1" w:tplc="CAFEEAA2" w:tentative="1">
      <w:start w:val="1"/>
      <w:numFmt w:val="bullet"/>
      <w:lvlText w:val="•"/>
      <w:lvlJc w:val="left"/>
      <w:pPr>
        <w:tabs>
          <w:tab w:val="num" w:pos="1440"/>
        </w:tabs>
        <w:ind w:left="1440" w:hanging="360"/>
      </w:pPr>
      <w:rPr>
        <w:rFonts w:ascii="Times New Roman" w:hAnsi="Times New Roman" w:hint="default"/>
      </w:rPr>
    </w:lvl>
    <w:lvl w:ilvl="2" w:tplc="FC806D0E" w:tentative="1">
      <w:start w:val="1"/>
      <w:numFmt w:val="bullet"/>
      <w:lvlText w:val="•"/>
      <w:lvlJc w:val="left"/>
      <w:pPr>
        <w:tabs>
          <w:tab w:val="num" w:pos="2160"/>
        </w:tabs>
        <w:ind w:left="2160" w:hanging="360"/>
      </w:pPr>
      <w:rPr>
        <w:rFonts w:ascii="Times New Roman" w:hAnsi="Times New Roman" w:hint="default"/>
      </w:rPr>
    </w:lvl>
    <w:lvl w:ilvl="3" w:tplc="1D62C018" w:tentative="1">
      <w:start w:val="1"/>
      <w:numFmt w:val="bullet"/>
      <w:lvlText w:val="•"/>
      <w:lvlJc w:val="left"/>
      <w:pPr>
        <w:tabs>
          <w:tab w:val="num" w:pos="2880"/>
        </w:tabs>
        <w:ind w:left="2880" w:hanging="360"/>
      </w:pPr>
      <w:rPr>
        <w:rFonts w:ascii="Times New Roman" w:hAnsi="Times New Roman" w:hint="default"/>
      </w:rPr>
    </w:lvl>
    <w:lvl w:ilvl="4" w:tplc="1386382E" w:tentative="1">
      <w:start w:val="1"/>
      <w:numFmt w:val="bullet"/>
      <w:lvlText w:val="•"/>
      <w:lvlJc w:val="left"/>
      <w:pPr>
        <w:tabs>
          <w:tab w:val="num" w:pos="3600"/>
        </w:tabs>
        <w:ind w:left="3600" w:hanging="360"/>
      </w:pPr>
      <w:rPr>
        <w:rFonts w:ascii="Times New Roman" w:hAnsi="Times New Roman" w:hint="default"/>
      </w:rPr>
    </w:lvl>
    <w:lvl w:ilvl="5" w:tplc="A976B6C4" w:tentative="1">
      <w:start w:val="1"/>
      <w:numFmt w:val="bullet"/>
      <w:lvlText w:val="•"/>
      <w:lvlJc w:val="left"/>
      <w:pPr>
        <w:tabs>
          <w:tab w:val="num" w:pos="4320"/>
        </w:tabs>
        <w:ind w:left="4320" w:hanging="360"/>
      </w:pPr>
      <w:rPr>
        <w:rFonts w:ascii="Times New Roman" w:hAnsi="Times New Roman" w:hint="default"/>
      </w:rPr>
    </w:lvl>
    <w:lvl w:ilvl="6" w:tplc="2C5E9914" w:tentative="1">
      <w:start w:val="1"/>
      <w:numFmt w:val="bullet"/>
      <w:lvlText w:val="•"/>
      <w:lvlJc w:val="left"/>
      <w:pPr>
        <w:tabs>
          <w:tab w:val="num" w:pos="5040"/>
        </w:tabs>
        <w:ind w:left="5040" w:hanging="360"/>
      </w:pPr>
      <w:rPr>
        <w:rFonts w:ascii="Times New Roman" w:hAnsi="Times New Roman" w:hint="default"/>
      </w:rPr>
    </w:lvl>
    <w:lvl w:ilvl="7" w:tplc="2BE2D1A0" w:tentative="1">
      <w:start w:val="1"/>
      <w:numFmt w:val="bullet"/>
      <w:lvlText w:val="•"/>
      <w:lvlJc w:val="left"/>
      <w:pPr>
        <w:tabs>
          <w:tab w:val="num" w:pos="5760"/>
        </w:tabs>
        <w:ind w:left="5760" w:hanging="360"/>
      </w:pPr>
      <w:rPr>
        <w:rFonts w:ascii="Times New Roman" w:hAnsi="Times New Roman" w:hint="default"/>
      </w:rPr>
    </w:lvl>
    <w:lvl w:ilvl="8" w:tplc="8154067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2F5238F"/>
    <w:multiLevelType w:val="hybridMultilevel"/>
    <w:tmpl w:val="BE682F58"/>
    <w:lvl w:ilvl="0" w:tplc="71ECF32C">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48479E2"/>
    <w:multiLevelType w:val="hybridMultilevel"/>
    <w:tmpl w:val="5E4E4D9A"/>
    <w:lvl w:ilvl="0" w:tplc="44AAA0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8D927F7"/>
    <w:multiLevelType w:val="hybridMultilevel"/>
    <w:tmpl w:val="C1B49CEC"/>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06E07B1"/>
    <w:multiLevelType w:val="hybridMultilevel"/>
    <w:tmpl w:val="A3BA9E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AA73C89"/>
    <w:multiLevelType w:val="hybridMultilevel"/>
    <w:tmpl w:val="26527DE8"/>
    <w:lvl w:ilvl="0" w:tplc="D466D7CA">
      <w:start w:val="1"/>
      <w:numFmt w:val="bullet"/>
      <w:lvlText w:val="•"/>
      <w:lvlJc w:val="left"/>
      <w:pPr>
        <w:tabs>
          <w:tab w:val="num" w:pos="720"/>
        </w:tabs>
        <w:ind w:left="720" w:hanging="360"/>
      </w:pPr>
      <w:rPr>
        <w:rFonts w:ascii="Times New Roman" w:hAnsi="Times New Roman" w:hint="default"/>
      </w:rPr>
    </w:lvl>
    <w:lvl w:ilvl="1" w:tplc="E9C4C304">
      <w:start w:val="1387"/>
      <w:numFmt w:val="bullet"/>
      <w:lvlText w:val="•"/>
      <w:lvlJc w:val="left"/>
      <w:pPr>
        <w:tabs>
          <w:tab w:val="num" w:pos="1440"/>
        </w:tabs>
        <w:ind w:left="1440" w:hanging="360"/>
      </w:pPr>
      <w:rPr>
        <w:rFonts w:ascii="Times New Roman" w:hAnsi="Times New Roman" w:hint="default"/>
      </w:rPr>
    </w:lvl>
    <w:lvl w:ilvl="2" w:tplc="E41A656C" w:tentative="1">
      <w:start w:val="1"/>
      <w:numFmt w:val="bullet"/>
      <w:lvlText w:val="•"/>
      <w:lvlJc w:val="left"/>
      <w:pPr>
        <w:tabs>
          <w:tab w:val="num" w:pos="2160"/>
        </w:tabs>
        <w:ind w:left="2160" w:hanging="360"/>
      </w:pPr>
      <w:rPr>
        <w:rFonts w:ascii="Times New Roman" w:hAnsi="Times New Roman" w:hint="default"/>
      </w:rPr>
    </w:lvl>
    <w:lvl w:ilvl="3" w:tplc="42120424" w:tentative="1">
      <w:start w:val="1"/>
      <w:numFmt w:val="bullet"/>
      <w:lvlText w:val="•"/>
      <w:lvlJc w:val="left"/>
      <w:pPr>
        <w:tabs>
          <w:tab w:val="num" w:pos="2880"/>
        </w:tabs>
        <w:ind w:left="2880" w:hanging="360"/>
      </w:pPr>
      <w:rPr>
        <w:rFonts w:ascii="Times New Roman" w:hAnsi="Times New Roman" w:hint="default"/>
      </w:rPr>
    </w:lvl>
    <w:lvl w:ilvl="4" w:tplc="34924DE6" w:tentative="1">
      <w:start w:val="1"/>
      <w:numFmt w:val="bullet"/>
      <w:lvlText w:val="•"/>
      <w:lvlJc w:val="left"/>
      <w:pPr>
        <w:tabs>
          <w:tab w:val="num" w:pos="3600"/>
        </w:tabs>
        <w:ind w:left="3600" w:hanging="360"/>
      </w:pPr>
      <w:rPr>
        <w:rFonts w:ascii="Times New Roman" w:hAnsi="Times New Roman" w:hint="default"/>
      </w:rPr>
    </w:lvl>
    <w:lvl w:ilvl="5" w:tplc="D7904602" w:tentative="1">
      <w:start w:val="1"/>
      <w:numFmt w:val="bullet"/>
      <w:lvlText w:val="•"/>
      <w:lvlJc w:val="left"/>
      <w:pPr>
        <w:tabs>
          <w:tab w:val="num" w:pos="4320"/>
        </w:tabs>
        <w:ind w:left="4320" w:hanging="360"/>
      </w:pPr>
      <w:rPr>
        <w:rFonts w:ascii="Times New Roman" w:hAnsi="Times New Roman" w:hint="default"/>
      </w:rPr>
    </w:lvl>
    <w:lvl w:ilvl="6" w:tplc="1DA6BDFE" w:tentative="1">
      <w:start w:val="1"/>
      <w:numFmt w:val="bullet"/>
      <w:lvlText w:val="•"/>
      <w:lvlJc w:val="left"/>
      <w:pPr>
        <w:tabs>
          <w:tab w:val="num" w:pos="5040"/>
        </w:tabs>
        <w:ind w:left="5040" w:hanging="360"/>
      </w:pPr>
      <w:rPr>
        <w:rFonts w:ascii="Times New Roman" w:hAnsi="Times New Roman" w:hint="default"/>
      </w:rPr>
    </w:lvl>
    <w:lvl w:ilvl="7" w:tplc="59FA53DC" w:tentative="1">
      <w:start w:val="1"/>
      <w:numFmt w:val="bullet"/>
      <w:lvlText w:val="•"/>
      <w:lvlJc w:val="left"/>
      <w:pPr>
        <w:tabs>
          <w:tab w:val="num" w:pos="5760"/>
        </w:tabs>
        <w:ind w:left="5760" w:hanging="360"/>
      </w:pPr>
      <w:rPr>
        <w:rFonts w:ascii="Times New Roman" w:hAnsi="Times New Roman" w:hint="default"/>
      </w:rPr>
    </w:lvl>
    <w:lvl w:ilvl="8" w:tplc="936E59E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B802C68"/>
    <w:multiLevelType w:val="hybridMultilevel"/>
    <w:tmpl w:val="BD18E836"/>
    <w:lvl w:ilvl="0" w:tplc="DFE87264">
      <w:start w:val="1"/>
      <w:numFmt w:val="bullet"/>
      <w:lvlText w:val="•"/>
      <w:lvlJc w:val="left"/>
      <w:pPr>
        <w:tabs>
          <w:tab w:val="num" w:pos="720"/>
        </w:tabs>
        <w:ind w:left="720" w:hanging="360"/>
      </w:pPr>
      <w:rPr>
        <w:rFonts w:ascii="Times New Roman" w:hAnsi="Times New Roman" w:hint="default"/>
      </w:rPr>
    </w:lvl>
    <w:lvl w:ilvl="1" w:tplc="007AAECC" w:tentative="1">
      <w:start w:val="1"/>
      <w:numFmt w:val="bullet"/>
      <w:lvlText w:val="•"/>
      <w:lvlJc w:val="left"/>
      <w:pPr>
        <w:tabs>
          <w:tab w:val="num" w:pos="1440"/>
        </w:tabs>
        <w:ind w:left="1440" w:hanging="360"/>
      </w:pPr>
      <w:rPr>
        <w:rFonts w:ascii="Times New Roman" w:hAnsi="Times New Roman" w:hint="default"/>
      </w:rPr>
    </w:lvl>
    <w:lvl w:ilvl="2" w:tplc="6BCC135A" w:tentative="1">
      <w:start w:val="1"/>
      <w:numFmt w:val="bullet"/>
      <w:lvlText w:val="•"/>
      <w:lvlJc w:val="left"/>
      <w:pPr>
        <w:tabs>
          <w:tab w:val="num" w:pos="2160"/>
        </w:tabs>
        <w:ind w:left="2160" w:hanging="360"/>
      </w:pPr>
      <w:rPr>
        <w:rFonts w:ascii="Times New Roman" w:hAnsi="Times New Roman" w:hint="default"/>
      </w:rPr>
    </w:lvl>
    <w:lvl w:ilvl="3" w:tplc="BC521762" w:tentative="1">
      <w:start w:val="1"/>
      <w:numFmt w:val="bullet"/>
      <w:lvlText w:val="•"/>
      <w:lvlJc w:val="left"/>
      <w:pPr>
        <w:tabs>
          <w:tab w:val="num" w:pos="2880"/>
        </w:tabs>
        <w:ind w:left="2880" w:hanging="360"/>
      </w:pPr>
      <w:rPr>
        <w:rFonts w:ascii="Times New Roman" w:hAnsi="Times New Roman" w:hint="default"/>
      </w:rPr>
    </w:lvl>
    <w:lvl w:ilvl="4" w:tplc="5336C3A2" w:tentative="1">
      <w:start w:val="1"/>
      <w:numFmt w:val="bullet"/>
      <w:lvlText w:val="•"/>
      <w:lvlJc w:val="left"/>
      <w:pPr>
        <w:tabs>
          <w:tab w:val="num" w:pos="3600"/>
        </w:tabs>
        <w:ind w:left="3600" w:hanging="360"/>
      </w:pPr>
      <w:rPr>
        <w:rFonts w:ascii="Times New Roman" w:hAnsi="Times New Roman" w:hint="default"/>
      </w:rPr>
    </w:lvl>
    <w:lvl w:ilvl="5" w:tplc="B05E92F4" w:tentative="1">
      <w:start w:val="1"/>
      <w:numFmt w:val="bullet"/>
      <w:lvlText w:val="•"/>
      <w:lvlJc w:val="left"/>
      <w:pPr>
        <w:tabs>
          <w:tab w:val="num" w:pos="4320"/>
        </w:tabs>
        <w:ind w:left="4320" w:hanging="360"/>
      </w:pPr>
      <w:rPr>
        <w:rFonts w:ascii="Times New Roman" w:hAnsi="Times New Roman" w:hint="default"/>
      </w:rPr>
    </w:lvl>
    <w:lvl w:ilvl="6" w:tplc="13029BC6" w:tentative="1">
      <w:start w:val="1"/>
      <w:numFmt w:val="bullet"/>
      <w:lvlText w:val="•"/>
      <w:lvlJc w:val="left"/>
      <w:pPr>
        <w:tabs>
          <w:tab w:val="num" w:pos="5040"/>
        </w:tabs>
        <w:ind w:left="5040" w:hanging="360"/>
      </w:pPr>
      <w:rPr>
        <w:rFonts w:ascii="Times New Roman" w:hAnsi="Times New Roman" w:hint="default"/>
      </w:rPr>
    </w:lvl>
    <w:lvl w:ilvl="7" w:tplc="985CA108" w:tentative="1">
      <w:start w:val="1"/>
      <w:numFmt w:val="bullet"/>
      <w:lvlText w:val="•"/>
      <w:lvlJc w:val="left"/>
      <w:pPr>
        <w:tabs>
          <w:tab w:val="num" w:pos="5760"/>
        </w:tabs>
        <w:ind w:left="5760" w:hanging="360"/>
      </w:pPr>
      <w:rPr>
        <w:rFonts w:ascii="Times New Roman" w:hAnsi="Times New Roman" w:hint="default"/>
      </w:rPr>
    </w:lvl>
    <w:lvl w:ilvl="8" w:tplc="1DA6E5E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0CD1CC2"/>
    <w:multiLevelType w:val="hybridMultilevel"/>
    <w:tmpl w:val="CDA4B4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FB3752"/>
    <w:multiLevelType w:val="hybridMultilevel"/>
    <w:tmpl w:val="063462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BDD0883"/>
    <w:multiLevelType w:val="hybridMultilevel"/>
    <w:tmpl w:val="8A86BAE2"/>
    <w:lvl w:ilvl="0" w:tplc="EE9EB638">
      <w:start w:val="1"/>
      <w:numFmt w:val="bullet"/>
      <w:lvlText w:val="•"/>
      <w:lvlJc w:val="left"/>
      <w:pPr>
        <w:tabs>
          <w:tab w:val="num" w:pos="720"/>
        </w:tabs>
        <w:ind w:left="720" w:hanging="360"/>
      </w:pPr>
      <w:rPr>
        <w:rFonts w:ascii="Times New Roman" w:hAnsi="Times New Roman" w:hint="default"/>
      </w:rPr>
    </w:lvl>
    <w:lvl w:ilvl="1" w:tplc="FD98685C" w:tentative="1">
      <w:start w:val="1"/>
      <w:numFmt w:val="bullet"/>
      <w:lvlText w:val="•"/>
      <w:lvlJc w:val="left"/>
      <w:pPr>
        <w:tabs>
          <w:tab w:val="num" w:pos="1440"/>
        </w:tabs>
        <w:ind w:left="1440" w:hanging="360"/>
      </w:pPr>
      <w:rPr>
        <w:rFonts w:ascii="Times New Roman" w:hAnsi="Times New Roman" w:hint="default"/>
      </w:rPr>
    </w:lvl>
    <w:lvl w:ilvl="2" w:tplc="1FFA0766" w:tentative="1">
      <w:start w:val="1"/>
      <w:numFmt w:val="bullet"/>
      <w:lvlText w:val="•"/>
      <w:lvlJc w:val="left"/>
      <w:pPr>
        <w:tabs>
          <w:tab w:val="num" w:pos="2160"/>
        </w:tabs>
        <w:ind w:left="2160" w:hanging="360"/>
      </w:pPr>
      <w:rPr>
        <w:rFonts w:ascii="Times New Roman" w:hAnsi="Times New Roman" w:hint="default"/>
      </w:rPr>
    </w:lvl>
    <w:lvl w:ilvl="3" w:tplc="263667BA" w:tentative="1">
      <w:start w:val="1"/>
      <w:numFmt w:val="bullet"/>
      <w:lvlText w:val="•"/>
      <w:lvlJc w:val="left"/>
      <w:pPr>
        <w:tabs>
          <w:tab w:val="num" w:pos="2880"/>
        </w:tabs>
        <w:ind w:left="2880" w:hanging="360"/>
      </w:pPr>
      <w:rPr>
        <w:rFonts w:ascii="Times New Roman" w:hAnsi="Times New Roman" w:hint="default"/>
      </w:rPr>
    </w:lvl>
    <w:lvl w:ilvl="4" w:tplc="AEFEB4F0" w:tentative="1">
      <w:start w:val="1"/>
      <w:numFmt w:val="bullet"/>
      <w:lvlText w:val="•"/>
      <w:lvlJc w:val="left"/>
      <w:pPr>
        <w:tabs>
          <w:tab w:val="num" w:pos="3600"/>
        </w:tabs>
        <w:ind w:left="3600" w:hanging="360"/>
      </w:pPr>
      <w:rPr>
        <w:rFonts w:ascii="Times New Roman" w:hAnsi="Times New Roman" w:hint="default"/>
      </w:rPr>
    </w:lvl>
    <w:lvl w:ilvl="5" w:tplc="FDC61EC0" w:tentative="1">
      <w:start w:val="1"/>
      <w:numFmt w:val="bullet"/>
      <w:lvlText w:val="•"/>
      <w:lvlJc w:val="left"/>
      <w:pPr>
        <w:tabs>
          <w:tab w:val="num" w:pos="4320"/>
        </w:tabs>
        <w:ind w:left="4320" w:hanging="360"/>
      </w:pPr>
      <w:rPr>
        <w:rFonts w:ascii="Times New Roman" w:hAnsi="Times New Roman" w:hint="default"/>
      </w:rPr>
    </w:lvl>
    <w:lvl w:ilvl="6" w:tplc="1FE27042" w:tentative="1">
      <w:start w:val="1"/>
      <w:numFmt w:val="bullet"/>
      <w:lvlText w:val="•"/>
      <w:lvlJc w:val="left"/>
      <w:pPr>
        <w:tabs>
          <w:tab w:val="num" w:pos="5040"/>
        </w:tabs>
        <w:ind w:left="5040" w:hanging="360"/>
      </w:pPr>
      <w:rPr>
        <w:rFonts w:ascii="Times New Roman" w:hAnsi="Times New Roman" w:hint="default"/>
      </w:rPr>
    </w:lvl>
    <w:lvl w:ilvl="7" w:tplc="FBA8207A" w:tentative="1">
      <w:start w:val="1"/>
      <w:numFmt w:val="bullet"/>
      <w:lvlText w:val="•"/>
      <w:lvlJc w:val="left"/>
      <w:pPr>
        <w:tabs>
          <w:tab w:val="num" w:pos="5760"/>
        </w:tabs>
        <w:ind w:left="5760" w:hanging="360"/>
      </w:pPr>
      <w:rPr>
        <w:rFonts w:ascii="Times New Roman" w:hAnsi="Times New Roman" w:hint="default"/>
      </w:rPr>
    </w:lvl>
    <w:lvl w:ilvl="8" w:tplc="6AB62F1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082362B"/>
    <w:multiLevelType w:val="hybridMultilevel"/>
    <w:tmpl w:val="A760C1A2"/>
    <w:lvl w:ilvl="0" w:tplc="1D28F75E">
      <w:start w:val="1"/>
      <w:numFmt w:val="bullet"/>
      <w:lvlText w:val=""/>
      <w:lvlJc w:val="left"/>
      <w:pPr>
        <w:tabs>
          <w:tab w:val="num" w:pos="720"/>
        </w:tabs>
        <w:ind w:left="720" w:hanging="360"/>
      </w:pPr>
      <w:rPr>
        <w:rFonts w:ascii="Wingdings" w:hAnsi="Wingdings" w:hint="default"/>
      </w:rPr>
    </w:lvl>
    <w:lvl w:ilvl="1" w:tplc="7FFAF978" w:tentative="1">
      <w:start w:val="1"/>
      <w:numFmt w:val="bullet"/>
      <w:lvlText w:val=""/>
      <w:lvlJc w:val="left"/>
      <w:pPr>
        <w:tabs>
          <w:tab w:val="num" w:pos="1440"/>
        </w:tabs>
        <w:ind w:left="1440" w:hanging="360"/>
      </w:pPr>
      <w:rPr>
        <w:rFonts w:ascii="Wingdings" w:hAnsi="Wingdings" w:hint="default"/>
      </w:rPr>
    </w:lvl>
    <w:lvl w:ilvl="2" w:tplc="066802D6" w:tentative="1">
      <w:start w:val="1"/>
      <w:numFmt w:val="bullet"/>
      <w:lvlText w:val=""/>
      <w:lvlJc w:val="left"/>
      <w:pPr>
        <w:tabs>
          <w:tab w:val="num" w:pos="2160"/>
        </w:tabs>
        <w:ind w:left="2160" w:hanging="360"/>
      </w:pPr>
      <w:rPr>
        <w:rFonts w:ascii="Wingdings" w:hAnsi="Wingdings" w:hint="default"/>
      </w:rPr>
    </w:lvl>
    <w:lvl w:ilvl="3" w:tplc="1E1A4D3A" w:tentative="1">
      <w:start w:val="1"/>
      <w:numFmt w:val="bullet"/>
      <w:lvlText w:val=""/>
      <w:lvlJc w:val="left"/>
      <w:pPr>
        <w:tabs>
          <w:tab w:val="num" w:pos="2880"/>
        </w:tabs>
        <w:ind w:left="2880" w:hanging="360"/>
      </w:pPr>
      <w:rPr>
        <w:rFonts w:ascii="Wingdings" w:hAnsi="Wingdings" w:hint="default"/>
      </w:rPr>
    </w:lvl>
    <w:lvl w:ilvl="4" w:tplc="15E2F582" w:tentative="1">
      <w:start w:val="1"/>
      <w:numFmt w:val="bullet"/>
      <w:lvlText w:val=""/>
      <w:lvlJc w:val="left"/>
      <w:pPr>
        <w:tabs>
          <w:tab w:val="num" w:pos="3600"/>
        </w:tabs>
        <w:ind w:left="3600" w:hanging="360"/>
      </w:pPr>
      <w:rPr>
        <w:rFonts w:ascii="Wingdings" w:hAnsi="Wingdings" w:hint="default"/>
      </w:rPr>
    </w:lvl>
    <w:lvl w:ilvl="5" w:tplc="2D70820E" w:tentative="1">
      <w:start w:val="1"/>
      <w:numFmt w:val="bullet"/>
      <w:lvlText w:val=""/>
      <w:lvlJc w:val="left"/>
      <w:pPr>
        <w:tabs>
          <w:tab w:val="num" w:pos="4320"/>
        </w:tabs>
        <w:ind w:left="4320" w:hanging="360"/>
      </w:pPr>
      <w:rPr>
        <w:rFonts w:ascii="Wingdings" w:hAnsi="Wingdings" w:hint="default"/>
      </w:rPr>
    </w:lvl>
    <w:lvl w:ilvl="6" w:tplc="D062DF4C" w:tentative="1">
      <w:start w:val="1"/>
      <w:numFmt w:val="bullet"/>
      <w:lvlText w:val=""/>
      <w:lvlJc w:val="left"/>
      <w:pPr>
        <w:tabs>
          <w:tab w:val="num" w:pos="5040"/>
        </w:tabs>
        <w:ind w:left="5040" w:hanging="360"/>
      </w:pPr>
      <w:rPr>
        <w:rFonts w:ascii="Wingdings" w:hAnsi="Wingdings" w:hint="default"/>
      </w:rPr>
    </w:lvl>
    <w:lvl w:ilvl="7" w:tplc="2BF24620" w:tentative="1">
      <w:start w:val="1"/>
      <w:numFmt w:val="bullet"/>
      <w:lvlText w:val=""/>
      <w:lvlJc w:val="left"/>
      <w:pPr>
        <w:tabs>
          <w:tab w:val="num" w:pos="5760"/>
        </w:tabs>
        <w:ind w:left="5760" w:hanging="360"/>
      </w:pPr>
      <w:rPr>
        <w:rFonts w:ascii="Wingdings" w:hAnsi="Wingdings" w:hint="default"/>
      </w:rPr>
    </w:lvl>
    <w:lvl w:ilvl="8" w:tplc="9BD4A7FE" w:tentative="1">
      <w:start w:val="1"/>
      <w:numFmt w:val="bullet"/>
      <w:lvlText w:val=""/>
      <w:lvlJc w:val="left"/>
      <w:pPr>
        <w:tabs>
          <w:tab w:val="num" w:pos="6480"/>
        </w:tabs>
        <w:ind w:left="6480" w:hanging="360"/>
      </w:pPr>
      <w:rPr>
        <w:rFonts w:ascii="Wingdings" w:hAnsi="Wingdings" w:hint="default"/>
      </w:rPr>
    </w:lvl>
  </w:abstractNum>
  <w:abstractNum w:abstractNumId="23">
    <w:nsid w:val="6A690126"/>
    <w:multiLevelType w:val="hybridMultilevel"/>
    <w:tmpl w:val="7064116C"/>
    <w:lvl w:ilvl="0" w:tplc="C6427B5C">
      <w:start w:val="1"/>
      <w:numFmt w:val="bullet"/>
      <w:lvlText w:val="•"/>
      <w:lvlJc w:val="left"/>
      <w:pPr>
        <w:tabs>
          <w:tab w:val="num" w:pos="720"/>
        </w:tabs>
        <w:ind w:left="720" w:hanging="360"/>
      </w:pPr>
      <w:rPr>
        <w:rFonts w:ascii="Times New Roman" w:hAnsi="Times New Roman" w:hint="default"/>
      </w:rPr>
    </w:lvl>
    <w:lvl w:ilvl="1" w:tplc="F5D6A690" w:tentative="1">
      <w:start w:val="1"/>
      <w:numFmt w:val="bullet"/>
      <w:lvlText w:val="•"/>
      <w:lvlJc w:val="left"/>
      <w:pPr>
        <w:tabs>
          <w:tab w:val="num" w:pos="1440"/>
        </w:tabs>
        <w:ind w:left="1440" w:hanging="360"/>
      </w:pPr>
      <w:rPr>
        <w:rFonts w:ascii="Times New Roman" w:hAnsi="Times New Roman" w:hint="default"/>
      </w:rPr>
    </w:lvl>
    <w:lvl w:ilvl="2" w:tplc="77DE0FF8" w:tentative="1">
      <w:start w:val="1"/>
      <w:numFmt w:val="bullet"/>
      <w:lvlText w:val="•"/>
      <w:lvlJc w:val="left"/>
      <w:pPr>
        <w:tabs>
          <w:tab w:val="num" w:pos="2160"/>
        </w:tabs>
        <w:ind w:left="2160" w:hanging="360"/>
      </w:pPr>
      <w:rPr>
        <w:rFonts w:ascii="Times New Roman" w:hAnsi="Times New Roman" w:hint="default"/>
      </w:rPr>
    </w:lvl>
    <w:lvl w:ilvl="3" w:tplc="02F4B044" w:tentative="1">
      <w:start w:val="1"/>
      <w:numFmt w:val="bullet"/>
      <w:lvlText w:val="•"/>
      <w:lvlJc w:val="left"/>
      <w:pPr>
        <w:tabs>
          <w:tab w:val="num" w:pos="2880"/>
        </w:tabs>
        <w:ind w:left="2880" w:hanging="360"/>
      </w:pPr>
      <w:rPr>
        <w:rFonts w:ascii="Times New Roman" w:hAnsi="Times New Roman" w:hint="default"/>
      </w:rPr>
    </w:lvl>
    <w:lvl w:ilvl="4" w:tplc="CC8235B4" w:tentative="1">
      <w:start w:val="1"/>
      <w:numFmt w:val="bullet"/>
      <w:lvlText w:val="•"/>
      <w:lvlJc w:val="left"/>
      <w:pPr>
        <w:tabs>
          <w:tab w:val="num" w:pos="3600"/>
        </w:tabs>
        <w:ind w:left="3600" w:hanging="360"/>
      </w:pPr>
      <w:rPr>
        <w:rFonts w:ascii="Times New Roman" w:hAnsi="Times New Roman" w:hint="default"/>
      </w:rPr>
    </w:lvl>
    <w:lvl w:ilvl="5" w:tplc="80EC6F92" w:tentative="1">
      <w:start w:val="1"/>
      <w:numFmt w:val="bullet"/>
      <w:lvlText w:val="•"/>
      <w:lvlJc w:val="left"/>
      <w:pPr>
        <w:tabs>
          <w:tab w:val="num" w:pos="4320"/>
        </w:tabs>
        <w:ind w:left="4320" w:hanging="360"/>
      </w:pPr>
      <w:rPr>
        <w:rFonts w:ascii="Times New Roman" w:hAnsi="Times New Roman" w:hint="default"/>
      </w:rPr>
    </w:lvl>
    <w:lvl w:ilvl="6" w:tplc="9C781E6A" w:tentative="1">
      <w:start w:val="1"/>
      <w:numFmt w:val="bullet"/>
      <w:lvlText w:val="•"/>
      <w:lvlJc w:val="left"/>
      <w:pPr>
        <w:tabs>
          <w:tab w:val="num" w:pos="5040"/>
        </w:tabs>
        <w:ind w:left="5040" w:hanging="360"/>
      </w:pPr>
      <w:rPr>
        <w:rFonts w:ascii="Times New Roman" w:hAnsi="Times New Roman" w:hint="default"/>
      </w:rPr>
    </w:lvl>
    <w:lvl w:ilvl="7" w:tplc="4532F592" w:tentative="1">
      <w:start w:val="1"/>
      <w:numFmt w:val="bullet"/>
      <w:lvlText w:val="•"/>
      <w:lvlJc w:val="left"/>
      <w:pPr>
        <w:tabs>
          <w:tab w:val="num" w:pos="5760"/>
        </w:tabs>
        <w:ind w:left="5760" w:hanging="360"/>
      </w:pPr>
      <w:rPr>
        <w:rFonts w:ascii="Times New Roman" w:hAnsi="Times New Roman" w:hint="default"/>
      </w:rPr>
    </w:lvl>
    <w:lvl w:ilvl="8" w:tplc="8DC898A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6B7A6ED7"/>
    <w:multiLevelType w:val="hybridMultilevel"/>
    <w:tmpl w:val="9196A792"/>
    <w:lvl w:ilvl="0" w:tplc="CC2A0378">
      <w:start w:val="1"/>
      <w:numFmt w:val="decimal"/>
      <w:lvlText w:val="%1)"/>
      <w:lvlJc w:val="left"/>
      <w:pPr>
        <w:ind w:left="1921" w:hanging="121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2590CCC"/>
    <w:multiLevelType w:val="hybridMultilevel"/>
    <w:tmpl w:val="5FD8401C"/>
    <w:lvl w:ilvl="0" w:tplc="DA16FB3E">
      <w:start w:val="1"/>
      <w:numFmt w:val="bullet"/>
      <w:lvlText w:val=""/>
      <w:lvlJc w:val="left"/>
      <w:pPr>
        <w:tabs>
          <w:tab w:val="num" w:pos="720"/>
        </w:tabs>
        <w:ind w:left="720" w:hanging="360"/>
      </w:pPr>
      <w:rPr>
        <w:rFonts w:ascii="Wingdings" w:hAnsi="Wingdings" w:hint="default"/>
      </w:rPr>
    </w:lvl>
    <w:lvl w:ilvl="1" w:tplc="3AF2E92C" w:tentative="1">
      <w:start w:val="1"/>
      <w:numFmt w:val="bullet"/>
      <w:lvlText w:val=""/>
      <w:lvlJc w:val="left"/>
      <w:pPr>
        <w:tabs>
          <w:tab w:val="num" w:pos="1440"/>
        </w:tabs>
        <w:ind w:left="1440" w:hanging="360"/>
      </w:pPr>
      <w:rPr>
        <w:rFonts w:ascii="Wingdings" w:hAnsi="Wingdings" w:hint="default"/>
      </w:rPr>
    </w:lvl>
    <w:lvl w:ilvl="2" w:tplc="DA1C0F6C" w:tentative="1">
      <w:start w:val="1"/>
      <w:numFmt w:val="bullet"/>
      <w:lvlText w:val=""/>
      <w:lvlJc w:val="left"/>
      <w:pPr>
        <w:tabs>
          <w:tab w:val="num" w:pos="2160"/>
        </w:tabs>
        <w:ind w:left="2160" w:hanging="360"/>
      </w:pPr>
      <w:rPr>
        <w:rFonts w:ascii="Wingdings" w:hAnsi="Wingdings" w:hint="default"/>
      </w:rPr>
    </w:lvl>
    <w:lvl w:ilvl="3" w:tplc="1D8E2D86" w:tentative="1">
      <w:start w:val="1"/>
      <w:numFmt w:val="bullet"/>
      <w:lvlText w:val=""/>
      <w:lvlJc w:val="left"/>
      <w:pPr>
        <w:tabs>
          <w:tab w:val="num" w:pos="2880"/>
        </w:tabs>
        <w:ind w:left="2880" w:hanging="360"/>
      </w:pPr>
      <w:rPr>
        <w:rFonts w:ascii="Wingdings" w:hAnsi="Wingdings" w:hint="default"/>
      </w:rPr>
    </w:lvl>
    <w:lvl w:ilvl="4" w:tplc="D73A6E2C" w:tentative="1">
      <w:start w:val="1"/>
      <w:numFmt w:val="bullet"/>
      <w:lvlText w:val=""/>
      <w:lvlJc w:val="left"/>
      <w:pPr>
        <w:tabs>
          <w:tab w:val="num" w:pos="3600"/>
        </w:tabs>
        <w:ind w:left="3600" w:hanging="360"/>
      </w:pPr>
      <w:rPr>
        <w:rFonts w:ascii="Wingdings" w:hAnsi="Wingdings" w:hint="default"/>
      </w:rPr>
    </w:lvl>
    <w:lvl w:ilvl="5" w:tplc="EAC2A74A" w:tentative="1">
      <w:start w:val="1"/>
      <w:numFmt w:val="bullet"/>
      <w:lvlText w:val=""/>
      <w:lvlJc w:val="left"/>
      <w:pPr>
        <w:tabs>
          <w:tab w:val="num" w:pos="4320"/>
        </w:tabs>
        <w:ind w:left="4320" w:hanging="360"/>
      </w:pPr>
      <w:rPr>
        <w:rFonts w:ascii="Wingdings" w:hAnsi="Wingdings" w:hint="default"/>
      </w:rPr>
    </w:lvl>
    <w:lvl w:ilvl="6" w:tplc="72C2F2FA" w:tentative="1">
      <w:start w:val="1"/>
      <w:numFmt w:val="bullet"/>
      <w:lvlText w:val=""/>
      <w:lvlJc w:val="left"/>
      <w:pPr>
        <w:tabs>
          <w:tab w:val="num" w:pos="5040"/>
        </w:tabs>
        <w:ind w:left="5040" w:hanging="360"/>
      </w:pPr>
      <w:rPr>
        <w:rFonts w:ascii="Wingdings" w:hAnsi="Wingdings" w:hint="default"/>
      </w:rPr>
    </w:lvl>
    <w:lvl w:ilvl="7" w:tplc="1554951C" w:tentative="1">
      <w:start w:val="1"/>
      <w:numFmt w:val="bullet"/>
      <w:lvlText w:val=""/>
      <w:lvlJc w:val="left"/>
      <w:pPr>
        <w:tabs>
          <w:tab w:val="num" w:pos="5760"/>
        </w:tabs>
        <w:ind w:left="5760" w:hanging="360"/>
      </w:pPr>
      <w:rPr>
        <w:rFonts w:ascii="Wingdings" w:hAnsi="Wingdings" w:hint="default"/>
      </w:rPr>
    </w:lvl>
    <w:lvl w:ilvl="8" w:tplc="F268099E" w:tentative="1">
      <w:start w:val="1"/>
      <w:numFmt w:val="bullet"/>
      <w:lvlText w:val=""/>
      <w:lvlJc w:val="left"/>
      <w:pPr>
        <w:tabs>
          <w:tab w:val="num" w:pos="6480"/>
        </w:tabs>
        <w:ind w:left="6480" w:hanging="360"/>
      </w:pPr>
      <w:rPr>
        <w:rFonts w:ascii="Wingdings" w:hAnsi="Wingdings" w:hint="default"/>
      </w:rPr>
    </w:lvl>
  </w:abstractNum>
  <w:abstractNum w:abstractNumId="26">
    <w:nsid w:val="74BC1B42"/>
    <w:multiLevelType w:val="hybridMultilevel"/>
    <w:tmpl w:val="8D7C6898"/>
    <w:lvl w:ilvl="0" w:tplc="532084DC">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F105AD8"/>
    <w:multiLevelType w:val="hybridMultilevel"/>
    <w:tmpl w:val="C6646B28"/>
    <w:lvl w:ilvl="0" w:tplc="65C245EC">
      <w:start w:val="1"/>
      <w:numFmt w:val="bullet"/>
      <w:lvlText w:val=""/>
      <w:lvlJc w:val="left"/>
      <w:pPr>
        <w:tabs>
          <w:tab w:val="num" w:pos="720"/>
        </w:tabs>
        <w:ind w:left="720" w:hanging="360"/>
      </w:pPr>
      <w:rPr>
        <w:rFonts w:ascii="Wingdings" w:hAnsi="Wingdings" w:hint="default"/>
      </w:rPr>
    </w:lvl>
    <w:lvl w:ilvl="1" w:tplc="DD0A4F12" w:tentative="1">
      <w:start w:val="1"/>
      <w:numFmt w:val="bullet"/>
      <w:lvlText w:val=""/>
      <w:lvlJc w:val="left"/>
      <w:pPr>
        <w:tabs>
          <w:tab w:val="num" w:pos="1440"/>
        </w:tabs>
        <w:ind w:left="1440" w:hanging="360"/>
      </w:pPr>
      <w:rPr>
        <w:rFonts w:ascii="Wingdings" w:hAnsi="Wingdings" w:hint="default"/>
      </w:rPr>
    </w:lvl>
    <w:lvl w:ilvl="2" w:tplc="FB2A445A" w:tentative="1">
      <w:start w:val="1"/>
      <w:numFmt w:val="bullet"/>
      <w:lvlText w:val=""/>
      <w:lvlJc w:val="left"/>
      <w:pPr>
        <w:tabs>
          <w:tab w:val="num" w:pos="2160"/>
        </w:tabs>
        <w:ind w:left="2160" w:hanging="360"/>
      </w:pPr>
      <w:rPr>
        <w:rFonts w:ascii="Wingdings" w:hAnsi="Wingdings" w:hint="default"/>
      </w:rPr>
    </w:lvl>
    <w:lvl w:ilvl="3" w:tplc="902426F2" w:tentative="1">
      <w:start w:val="1"/>
      <w:numFmt w:val="bullet"/>
      <w:lvlText w:val=""/>
      <w:lvlJc w:val="left"/>
      <w:pPr>
        <w:tabs>
          <w:tab w:val="num" w:pos="2880"/>
        </w:tabs>
        <w:ind w:left="2880" w:hanging="360"/>
      </w:pPr>
      <w:rPr>
        <w:rFonts w:ascii="Wingdings" w:hAnsi="Wingdings" w:hint="default"/>
      </w:rPr>
    </w:lvl>
    <w:lvl w:ilvl="4" w:tplc="8578F516" w:tentative="1">
      <w:start w:val="1"/>
      <w:numFmt w:val="bullet"/>
      <w:lvlText w:val=""/>
      <w:lvlJc w:val="left"/>
      <w:pPr>
        <w:tabs>
          <w:tab w:val="num" w:pos="3600"/>
        </w:tabs>
        <w:ind w:left="3600" w:hanging="360"/>
      </w:pPr>
      <w:rPr>
        <w:rFonts w:ascii="Wingdings" w:hAnsi="Wingdings" w:hint="default"/>
      </w:rPr>
    </w:lvl>
    <w:lvl w:ilvl="5" w:tplc="FEA0F786" w:tentative="1">
      <w:start w:val="1"/>
      <w:numFmt w:val="bullet"/>
      <w:lvlText w:val=""/>
      <w:lvlJc w:val="left"/>
      <w:pPr>
        <w:tabs>
          <w:tab w:val="num" w:pos="4320"/>
        </w:tabs>
        <w:ind w:left="4320" w:hanging="360"/>
      </w:pPr>
      <w:rPr>
        <w:rFonts w:ascii="Wingdings" w:hAnsi="Wingdings" w:hint="default"/>
      </w:rPr>
    </w:lvl>
    <w:lvl w:ilvl="6" w:tplc="66F2BE16" w:tentative="1">
      <w:start w:val="1"/>
      <w:numFmt w:val="bullet"/>
      <w:lvlText w:val=""/>
      <w:lvlJc w:val="left"/>
      <w:pPr>
        <w:tabs>
          <w:tab w:val="num" w:pos="5040"/>
        </w:tabs>
        <w:ind w:left="5040" w:hanging="360"/>
      </w:pPr>
      <w:rPr>
        <w:rFonts w:ascii="Wingdings" w:hAnsi="Wingdings" w:hint="default"/>
      </w:rPr>
    </w:lvl>
    <w:lvl w:ilvl="7" w:tplc="E39C7C48" w:tentative="1">
      <w:start w:val="1"/>
      <w:numFmt w:val="bullet"/>
      <w:lvlText w:val=""/>
      <w:lvlJc w:val="left"/>
      <w:pPr>
        <w:tabs>
          <w:tab w:val="num" w:pos="5760"/>
        </w:tabs>
        <w:ind w:left="5760" w:hanging="360"/>
      </w:pPr>
      <w:rPr>
        <w:rFonts w:ascii="Wingdings" w:hAnsi="Wingdings" w:hint="default"/>
      </w:rPr>
    </w:lvl>
    <w:lvl w:ilvl="8" w:tplc="5494371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9"/>
  </w:num>
  <w:num w:numId="4">
    <w:abstractNumId w:val="20"/>
  </w:num>
  <w:num w:numId="5">
    <w:abstractNumId w:val="7"/>
  </w:num>
  <w:num w:numId="6">
    <w:abstractNumId w:val="10"/>
  </w:num>
  <w:num w:numId="7">
    <w:abstractNumId w:val="18"/>
  </w:num>
  <w:num w:numId="8">
    <w:abstractNumId w:val="12"/>
  </w:num>
  <w:num w:numId="9">
    <w:abstractNumId w:val="23"/>
  </w:num>
  <w:num w:numId="10">
    <w:abstractNumId w:val="17"/>
  </w:num>
  <w:num w:numId="11">
    <w:abstractNumId w:val="21"/>
  </w:num>
  <w:num w:numId="12">
    <w:abstractNumId w:val="26"/>
  </w:num>
  <w:num w:numId="13">
    <w:abstractNumId w:val="11"/>
  </w:num>
  <w:num w:numId="14">
    <w:abstractNumId w:val="19"/>
  </w:num>
  <w:num w:numId="15">
    <w:abstractNumId w:val="16"/>
  </w:num>
  <w:num w:numId="16">
    <w:abstractNumId w:val="25"/>
  </w:num>
  <w:num w:numId="17">
    <w:abstractNumId w:val="14"/>
  </w:num>
  <w:num w:numId="18">
    <w:abstractNumId w:val="0"/>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24"/>
  </w:num>
  <w:num w:numId="26">
    <w:abstractNumId w:val="4"/>
  </w:num>
  <w:num w:numId="27">
    <w:abstractNumId w:val="5"/>
  </w:num>
  <w:num w:numId="28">
    <w:abstractNumId w:val="15"/>
  </w:num>
  <w:num w:numId="29">
    <w:abstractNumId w:val="2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savePreviewPicture/>
  <w:hdrShapeDefaults>
    <o:shapedefaults v:ext="edit" spidmax="2049">
      <o:colormru v:ext="edit" colors="#cf9,#f3f3f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86"/>
    <w:rsid w:val="00000335"/>
    <w:rsid w:val="00001970"/>
    <w:rsid w:val="00001E3D"/>
    <w:rsid w:val="000035DB"/>
    <w:rsid w:val="00003E7C"/>
    <w:rsid w:val="00007B43"/>
    <w:rsid w:val="0001082E"/>
    <w:rsid w:val="00015E28"/>
    <w:rsid w:val="00017666"/>
    <w:rsid w:val="000248DB"/>
    <w:rsid w:val="00025FFE"/>
    <w:rsid w:val="0003126B"/>
    <w:rsid w:val="000354BA"/>
    <w:rsid w:val="00037A35"/>
    <w:rsid w:val="000404B1"/>
    <w:rsid w:val="000426FA"/>
    <w:rsid w:val="0004613E"/>
    <w:rsid w:val="00051207"/>
    <w:rsid w:val="000513B2"/>
    <w:rsid w:val="00051785"/>
    <w:rsid w:val="0005193D"/>
    <w:rsid w:val="00051C7A"/>
    <w:rsid w:val="000526A6"/>
    <w:rsid w:val="000528C5"/>
    <w:rsid w:val="00053437"/>
    <w:rsid w:val="00055BE7"/>
    <w:rsid w:val="00056218"/>
    <w:rsid w:val="000579CC"/>
    <w:rsid w:val="000611C0"/>
    <w:rsid w:val="00061C5D"/>
    <w:rsid w:val="000666B2"/>
    <w:rsid w:val="000701A1"/>
    <w:rsid w:val="000716C8"/>
    <w:rsid w:val="00071E84"/>
    <w:rsid w:val="0007459E"/>
    <w:rsid w:val="00074945"/>
    <w:rsid w:val="00075ABC"/>
    <w:rsid w:val="000818B2"/>
    <w:rsid w:val="000820A9"/>
    <w:rsid w:val="0008501B"/>
    <w:rsid w:val="0008527A"/>
    <w:rsid w:val="00087E64"/>
    <w:rsid w:val="000906D7"/>
    <w:rsid w:val="00091FB8"/>
    <w:rsid w:val="0009490C"/>
    <w:rsid w:val="00095276"/>
    <w:rsid w:val="000A0E99"/>
    <w:rsid w:val="000A34AC"/>
    <w:rsid w:val="000A5F54"/>
    <w:rsid w:val="000B2FBE"/>
    <w:rsid w:val="000B33C3"/>
    <w:rsid w:val="000C0445"/>
    <w:rsid w:val="000C15AD"/>
    <w:rsid w:val="000C2237"/>
    <w:rsid w:val="000C23D7"/>
    <w:rsid w:val="000C42CC"/>
    <w:rsid w:val="000C4D1F"/>
    <w:rsid w:val="000D1266"/>
    <w:rsid w:val="000D2ED1"/>
    <w:rsid w:val="000E01E1"/>
    <w:rsid w:val="000E0DAC"/>
    <w:rsid w:val="000E39CE"/>
    <w:rsid w:val="000E45E8"/>
    <w:rsid w:val="000E4BCF"/>
    <w:rsid w:val="000E6503"/>
    <w:rsid w:val="000E6A55"/>
    <w:rsid w:val="000F1CD2"/>
    <w:rsid w:val="000F616A"/>
    <w:rsid w:val="000F653C"/>
    <w:rsid w:val="000F7DB1"/>
    <w:rsid w:val="001011AA"/>
    <w:rsid w:val="001123A0"/>
    <w:rsid w:val="001128AB"/>
    <w:rsid w:val="00120718"/>
    <w:rsid w:val="001220BE"/>
    <w:rsid w:val="00122C18"/>
    <w:rsid w:val="001252F6"/>
    <w:rsid w:val="001271F5"/>
    <w:rsid w:val="001300AD"/>
    <w:rsid w:val="00132CEE"/>
    <w:rsid w:val="00141516"/>
    <w:rsid w:val="00156563"/>
    <w:rsid w:val="001566AE"/>
    <w:rsid w:val="0015759F"/>
    <w:rsid w:val="001575F9"/>
    <w:rsid w:val="00157779"/>
    <w:rsid w:val="00161DCA"/>
    <w:rsid w:val="001673C1"/>
    <w:rsid w:val="00170B5E"/>
    <w:rsid w:val="00173FAD"/>
    <w:rsid w:val="00174372"/>
    <w:rsid w:val="0017507B"/>
    <w:rsid w:val="00175FF1"/>
    <w:rsid w:val="00176760"/>
    <w:rsid w:val="00176C5F"/>
    <w:rsid w:val="00176F0A"/>
    <w:rsid w:val="001771BC"/>
    <w:rsid w:val="001801A4"/>
    <w:rsid w:val="00183D62"/>
    <w:rsid w:val="0018597A"/>
    <w:rsid w:val="00187E58"/>
    <w:rsid w:val="00190E9C"/>
    <w:rsid w:val="0019163D"/>
    <w:rsid w:val="00191647"/>
    <w:rsid w:val="001942E1"/>
    <w:rsid w:val="0019522D"/>
    <w:rsid w:val="001A17BE"/>
    <w:rsid w:val="001B2C5D"/>
    <w:rsid w:val="001B3C32"/>
    <w:rsid w:val="001B430A"/>
    <w:rsid w:val="001B5C8F"/>
    <w:rsid w:val="001B7FFD"/>
    <w:rsid w:val="001C17B1"/>
    <w:rsid w:val="001D19E4"/>
    <w:rsid w:val="001D3002"/>
    <w:rsid w:val="001D639D"/>
    <w:rsid w:val="001D6989"/>
    <w:rsid w:val="001E4B4D"/>
    <w:rsid w:val="001F492E"/>
    <w:rsid w:val="0020134E"/>
    <w:rsid w:val="00205482"/>
    <w:rsid w:val="00205F86"/>
    <w:rsid w:val="00211BF3"/>
    <w:rsid w:val="00213151"/>
    <w:rsid w:val="00214E08"/>
    <w:rsid w:val="00215A65"/>
    <w:rsid w:val="00216555"/>
    <w:rsid w:val="002168F7"/>
    <w:rsid w:val="00217710"/>
    <w:rsid w:val="0021778F"/>
    <w:rsid w:val="00226733"/>
    <w:rsid w:val="00230065"/>
    <w:rsid w:val="00230836"/>
    <w:rsid w:val="00230F8D"/>
    <w:rsid w:val="00231521"/>
    <w:rsid w:val="00232293"/>
    <w:rsid w:val="00233378"/>
    <w:rsid w:val="00237B34"/>
    <w:rsid w:val="00237F8D"/>
    <w:rsid w:val="0024159D"/>
    <w:rsid w:val="00243283"/>
    <w:rsid w:val="00244BF6"/>
    <w:rsid w:val="00246E23"/>
    <w:rsid w:val="00250515"/>
    <w:rsid w:val="00257626"/>
    <w:rsid w:val="00261F7B"/>
    <w:rsid w:val="00264041"/>
    <w:rsid w:val="00264178"/>
    <w:rsid w:val="00266204"/>
    <w:rsid w:val="00267F74"/>
    <w:rsid w:val="00275EAB"/>
    <w:rsid w:val="0027642A"/>
    <w:rsid w:val="002767FC"/>
    <w:rsid w:val="00277811"/>
    <w:rsid w:val="002876A1"/>
    <w:rsid w:val="00292AEA"/>
    <w:rsid w:val="00294301"/>
    <w:rsid w:val="002955FA"/>
    <w:rsid w:val="00297BAA"/>
    <w:rsid w:val="002A0184"/>
    <w:rsid w:val="002A4D9F"/>
    <w:rsid w:val="002B3A7D"/>
    <w:rsid w:val="002C0782"/>
    <w:rsid w:val="002C2AFD"/>
    <w:rsid w:val="002C3786"/>
    <w:rsid w:val="002C4B79"/>
    <w:rsid w:val="002C50F3"/>
    <w:rsid w:val="002C5E45"/>
    <w:rsid w:val="002C6093"/>
    <w:rsid w:val="002C64D4"/>
    <w:rsid w:val="002C72D1"/>
    <w:rsid w:val="002D05A9"/>
    <w:rsid w:val="002D1528"/>
    <w:rsid w:val="002D2649"/>
    <w:rsid w:val="002D5ED3"/>
    <w:rsid w:val="002E1073"/>
    <w:rsid w:val="002E33BB"/>
    <w:rsid w:val="002E4355"/>
    <w:rsid w:val="002E5C2F"/>
    <w:rsid w:val="002F5468"/>
    <w:rsid w:val="002F6F48"/>
    <w:rsid w:val="00300DA7"/>
    <w:rsid w:val="00306CC4"/>
    <w:rsid w:val="0030723A"/>
    <w:rsid w:val="0030775A"/>
    <w:rsid w:val="003104C6"/>
    <w:rsid w:val="003124CD"/>
    <w:rsid w:val="003128EE"/>
    <w:rsid w:val="00313F39"/>
    <w:rsid w:val="00317C8E"/>
    <w:rsid w:val="003204E2"/>
    <w:rsid w:val="00321AFF"/>
    <w:rsid w:val="00322BC3"/>
    <w:rsid w:val="00322E13"/>
    <w:rsid w:val="00322F31"/>
    <w:rsid w:val="00325287"/>
    <w:rsid w:val="0032693E"/>
    <w:rsid w:val="0032750B"/>
    <w:rsid w:val="0032786F"/>
    <w:rsid w:val="00327BDD"/>
    <w:rsid w:val="00332B6A"/>
    <w:rsid w:val="0033456F"/>
    <w:rsid w:val="003405AE"/>
    <w:rsid w:val="00341D47"/>
    <w:rsid w:val="003429D7"/>
    <w:rsid w:val="00343AC3"/>
    <w:rsid w:val="00343D1C"/>
    <w:rsid w:val="00346487"/>
    <w:rsid w:val="00351477"/>
    <w:rsid w:val="00354088"/>
    <w:rsid w:val="0035454E"/>
    <w:rsid w:val="00354EA0"/>
    <w:rsid w:val="0035580C"/>
    <w:rsid w:val="00361A78"/>
    <w:rsid w:val="00365547"/>
    <w:rsid w:val="00367935"/>
    <w:rsid w:val="003760DA"/>
    <w:rsid w:val="00377868"/>
    <w:rsid w:val="00382F2E"/>
    <w:rsid w:val="00385B09"/>
    <w:rsid w:val="003874CE"/>
    <w:rsid w:val="0038768B"/>
    <w:rsid w:val="003908B1"/>
    <w:rsid w:val="00391165"/>
    <w:rsid w:val="003965D5"/>
    <w:rsid w:val="003973A1"/>
    <w:rsid w:val="003A3106"/>
    <w:rsid w:val="003A4257"/>
    <w:rsid w:val="003A522E"/>
    <w:rsid w:val="003A6A0F"/>
    <w:rsid w:val="003B0337"/>
    <w:rsid w:val="003B32C6"/>
    <w:rsid w:val="003B54A9"/>
    <w:rsid w:val="003C295A"/>
    <w:rsid w:val="003C393B"/>
    <w:rsid w:val="003C6E33"/>
    <w:rsid w:val="003D5BDF"/>
    <w:rsid w:val="003E0133"/>
    <w:rsid w:val="003E02BE"/>
    <w:rsid w:val="003E0529"/>
    <w:rsid w:val="003E1657"/>
    <w:rsid w:val="003E3996"/>
    <w:rsid w:val="003E5BEF"/>
    <w:rsid w:val="003F027D"/>
    <w:rsid w:val="003F0B3E"/>
    <w:rsid w:val="003F6B5B"/>
    <w:rsid w:val="004061CF"/>
    <w:rsid w:val="00406E47"/>
    <w:rsid w:val="0041080D"/>
    <w:rsid w:val="004133C7"/>
    <w:rsid w:val="004171C4"/>
    <w:rsid w:val="004225CE"/>
    <w:rsid w:val="00441C81"/>
    <w:rsid w:val="00446474"/>
    <w:rsid w:val="00447584"/>
    <w:rsid w:val="00447CDB"/>
    <w:rsid w:val="00452C35"/>
    <w:rsid w:val="0045471B"/>
    <w:rsid w:val="00454A34"/>
    <w:rsid w:val="00457B00"/>
    <w:rsid w:val="00460A14"/>
    <w:rsid w:val="00460B6F"/>
    <w:rsid w:val="004611D3"/>
    <w:rsid w:val="00471727"/>
    <w:rsid w:val="0047262C"/>
    <w:rsid w:val="00476637"/>
    <w:rsid w:val="004847CB"/>
    <w:rsid w:val="0048654C"/>
    <w:rsid w:val="00486E1D"/>
    <w:rsid w:val="00487CCB"/>
    <w:rsid w:val="00493281"/>
    <w:rsid w:val="004970CA"/>
    <w:rsid w:val="0049767F"/>
    <w:rsid w:val="00497FE9"/>
    <w:rsid w:val="004A0F9D"/>
    <w:rsid w:val="004A3D0E"/>
    <w:rsid w:val="004A7C62"/>
    <w:rsid w:val="004B16FD"/>
    <w:rsid w:val="004B26ED"/>
    <w:rsid w:val="004B2ADF"/>
    <w:rsid w:val="004B3663"/>
    <w:rsid w:val="004B63BA"/>
    <w:rsid w:val="004C00CA"/>
    <w:rsid w:val="004C066E"/>
    <w:rsid w:val="004C58D2"/>
    <w:rsid w:val="004C657B"/>
    <w:rsid w:val="004C6CFA"/>
    <w:rsid w:val="004C701E"/>
    <w:rsid w:val="004C7137"/>
    <w:rsid w:val="004D32BE"/>
    <w:rsid w:val="004E01F1"/>
    <w:rsid w:val="004E1E7F"/>
    <w:rsid w:val="004E2977"/>
    <w:rsid w:val="004E4074"/>
    <w:rsid w:val="004E7C3A"/>
    <w:rsid w:val="004E7ECE"/>
    <w:rsid w:val="004F4A59"/>
    <w:rsid w:val="004F51FE"/>
    <w:rsid w:val="004F5B58"/>
    <w:rsid w:val="005010CE"/>
    <w:rsid w:val="0050190F"/>
    <w:rsid w:val="005029CA"/>
    <w:rsid w:val="00503AD2"/>
    <w:rsid w:val="00504B23"/>
    <w:rsid w:val="00504F22"/>
    <w:rsid w:val="005059BB"/>
    <w:rsid w:val="005070E6"/>
    <w:rsid w:val="005128DC"/>
    <w:rsid w:val="0051421C"/>
    <w:rsid w:val="00514AD6"/>
    <w:rsid w:val="00517E84"/>
    <w:rsid w:val="00521C00"/>
    <w:rsid w:val="00522F85"/>
    <w:rsid w:val="00525291"/>
    <w:rsid w:val="005277D3"/>
    <w:rsid w:val="00532C40"/>
    <w:rsid w:val="00533725"/>
    <w:rsid w:val="005360F1"/>
    <w:rsid w:val="0054035A"/>
    <w:rsid w:val="00541D5F"/>
    <w:rsid w:val="00542C80"/>
    <w:rsid w:val="00543970"/>
    <w:rsid w:val="005442A7"/>
    <w:rsid w:val="00545F3D"/>
    <w:rsid w:val="00546122"/>
    <w:rsid w:val="00550221"/>
    <w:rsid w:val="005509B8"/>
    <w:rsid w:val="00550E0F"/>
    <w:rsid w:val="00551431"/>
    <w:rsid w:val="005523CC"/>
    <w:rsid w:val="005528B2"/>
    <w:rsid w:val="005528CA"/>
    <w:rsid w:val="00555C35"/>
    <w:rsid w:val="005576B3"/>
    <w:rsid w:val="00560586"/>
    <w:rsid w:val="00561EF3"/>
    <w:rsid w:val="0056566F"/>
    <w:rsid w:val="0056588B"/>
    <w:rsid w:val="00570CF8"/>
    <w:rsid w:val="00574C6B"/>
    <w:rsid w:val="00575E00"/>
    <w:rsid w:val="00576B35"/>
    <w:rsid w:val="005805D6"/>
    <w:rsid w:val="00583F9B"/>
    <w:rsid w:val="005857A4"/>
    <w:rsid w:val="00586301"/>
    <w:rsid w:val="00586B57"/>
    <w:rsid w:val="00587D56"/>
    <w:rsid w:val="0059045B"/>
    <w:rsid w:val="00590644"/>
    <w:rsid w:val="00590C25"/>
    <w:rsid w:val="00592C80"/>
    <w:rsid w:val="00596030"/>
    <w:rsid w:val="0059699A"/>
    <w:rsid w:val="005975A6"/>
    <w:rsid w:val="005A20D8"/>
    <w:rsid w:val="005A4F6B"/>
    <w:rsid w:val="005A66B4"/>
    <w:rsid w:val="005A7B82"/>
    <w:rsid w:val="005B1B7E"/>
    <w:rsid w:val="005B27F8"/>
    <w:rsid w:val="005B31B0"/>
    <w:rsid w:val="005B4325"/>
    <w:rsid w:val="005B4CB5"/>
    <w:rsid w:val="005B5481"/>
    <w:rsid w:val="005B70B5"/>
    <w:rsid w:val="005B7457"/>
    <w:rsid w:val="005B7922"/>
    <w:rsid w:val="005B7E01"/>
    <w:rsid w:val="005C7913"/>
    <w:rsid w:val="005C7ECE"/>
    <w:rsid w:val="005D2373"/>
    <w:rsid w:val="005D2A5D"/>
    <w:rsid w:val="005D4F6E"/>
    <w:rsid w:val="005D5A3E"/>
    <w:rsid w:val="005D6D1C"/>
    <w:rsid w:val="005E288D"/>
    <w:rsid w:val="005E301B"/>
    <w:rsid w:val="005E3FFC"/>
    <w:rsid w:val="005E44AE"/>
    <w:rsid w:val="005E4DC0"/>
    <w:rsid w:val="005E5076"/>
    <w:rsid w:val="005E5300"/>
    <w:rsid w:val="005E5AC1"/>
    <w:rsid w:val="005F0BFB"/>
    <w:rsid w:val="005F3A9A"/>
    <w:rsid w:val="005F6980"/>
    <w:rsid w:val="005F73BD"/>
    <w:rsid w:val="005F79FE"/>
    <w:rsid w:val="00600BC7"/>
    <w:rsid w:val="00603EBC"/>
    <w:rsid w:val="00605549"/>
    <w:rsid w:val="00605A42"/>
    <w:rsid w:val="00610467"/>
    <w:rsid w:val="0061133E"/>
    <w:rsid w:val="00612BA8"/>
    <w:rsid w:val="006131ED"/>
    <w:rsid w:val="006244C1"/>
    <w:rsid w:val="00624F4A"/>
    <w:rsid w:val="00625E4D"/>
    <w:rsid w:val="00625E73"/>
    <w:rsid w:val="0063062E"/>
    <w:rsid w:val="00633E6E"/>
    <w:rsid w:val="00635995"/>
    <w:rsid w:val="0063751B"/>
    <w:rsid w:val="00637C78"/>
    <w:rsid w:val="006429A5"/>
    <w:rsid w:val="00643727"/>
    <w:rsid w:val="00650980"/>
    <w:rsid w:val="00660297"/>
    <w:rsid w:val="0066398E"/>
    <w:rsid w:val="00664602"/>
    <w:rsid w:val="006665DC"/>
    <w:rsid w:val="00667C56"/>
    <w:rsid w:val="006708F4"/>
    <w:rsid w:val="00671D55"/>
    <w:rsid w:val="006726F2"/>
    <w:rsid w:val="00674B93"/>
    <w:rsid w:val="0067702E"/>
    <w:rsid w:val="0067762A"/>
    <w:rsid w:val="0068254D"/>
    <w:rsid w:val="006848F2"/>
    <w:rsid w:val="006869DD"/>
    <w:rsid w:val="00687214"/>
    <w:rsid w:val="00692CBC"/>
    <w:rsid w:val="006950E0"/>
    <w:rsid w:val="006954C2"/>
    <w:rsid w:val="006959B9"/>
    <w:rsid w:val="006A1A84"/>
    <w:rsid w:val="006A1BFD"/>
    <w:rsid w:val="006A27FD"/>
    <w:rsid w:val="006A2C30"/>
    <w:rsid w:val="006A3053"/>
    <w:rsid w:val="006A4C0A"/>
    <w:rsid w:val="006A51D6"/>
    <w:rsid w:val="006A7611"/>
    <w:rsid w:val="006B03CB"/>
    <w:rsid w:val="006B0516"/>
    <w:rsid w:val="006B1C90"/>
    <w:rsid w:val="006B2F53"/>
    <w:rsid w:val="006B4BEA"/>
    <w:rsid w:val="006C0929"/>
    <w:rsid w:val="006C0E53"/>
    <w:rsid w:val="006C34B0"/>
    <w:rsid w:val="006C78C6"/>
    <w:rsid w:val="006D1A2D"/>
    <w:rsid w:val="006D1ECB"/>
    <w:rsid w:val="006D2C9C"/>
    <w:rsid w:val="006D3A99"/>
    <w:rsid w:val="006D75CE"/>
    <w:rsid w:val="006E34B6"/>
    <w:rsid w:val="006E4615"/>
    <w:rsid w:val="006E5D33"/>
    <w:rsid w:val="006E7AD4"/>
    <w:rsid w:val="006F1349"/>
    <w:rsid w:val="006F1B27"/>
    <w:rsid w:val="006F65CE"/>
    <w:rsid w:val="007009F7"/>
    <w:rsid w:val="00701CCA"/>
    <w:rsid w:val="00701D2D"/>
    <w:rsid w:val="0070273A"/>
    <w:rsid w:val="00702F43"/>
    <w:rsid w:val="0070676B"/>
    <w:rsid w:val="007067D2"/>
    <w:rsid w:val="00707438"/>
    <w:rsid w:val="00715162"/>
    <w:rsid w:val="00716687"/>
    <w:rsid w:val="00717C19"/>
    <w:rsid w:val="00721CE4"/>
    <w:rsid w:val="007234AE"/>
    <w:rsid w:val="00730A68"/>
    <w:rsid w:val="00730E40"/>
    <w:rsid w:val="00731430"/>
    <w:rsid w:val="0073169E"/>
    <w:rsid w:val="00731D01"/>
    <w:rsid w:val="0073388E"/>
    <w:rsid w:val="00737F6F"/>
    <w:rsid w:val="00740A12"/>
    <w:rsid w:val="007410E5"/>
    <w:rsid w:val="00744150"/>
    <w:rsid w:val="00745ECF"/>
    <w:rsid w:val="007551E0"/>
    <w:rsid w:val="00755AC0"/>
    <w:rsid w:val="007603CC"/>
    <w:rsid w:val="007612B9"/>
    <w:rsid w:val="00765502"/>
    <w:rsid w:val="00765DC8"/>
    <w:rsid w:val="00767DD4"/>
    <w:rsid w:val="007724B1"/>
    <w:rsid w:val="00772C7C"/>
    <w:rsid w:val="00772FFA"/>
    <w:rsid w:val="007736CB"/>
    <w:rsid w:val="00775236"/>
    <w:rsid w:val="00775C42"/>
    <w:rsid w:val="00777308"/>
    <w:rsid w:val="00784268"/>
    <w:rsid w:val="007850EB"/>
    <w:rsid w:val="0078569F"/>
    <w:rsid w:val="007925F1"/>
    <w:rsid w:val="00797195"/>
    <w:rsid w:val="0079787B"/>
    <w:rsid w:val="007A2E97"/>
    <w:rsid w:val="007A514D"/>
    <w:rsid w:val="007A5ACD"/>
    <w:rsid w:val="007B2C66"/>
    <w:rsid w:val="007B30F5"/>
    <w:rsid w:val="007B3735"/>
    <w:rsid w:val="007B3B0C"/>
    <w:rsid w:val="007B520C"/>
    <w:rsid w:val="007B5838"/>
    <w:rsid w:val="007B7A42"/>
    <w:rsid w:val="007B7D6A"/>
    <w:rsid w:val="007C1F96"/>
    <w:rsid w:val="007C3E96"/>
    <w:rsid w:val="007D0CC8"/>
    <w:rsid w:val="007D1D6C"/>
    <w:rsid w:val="007D2193"/>
    <w:rsid w:val="007D383F"/>
    <w:rsid w:val="007D438D"/>
    <w:rsid w:val="007D53D1"/>
    <w:rsid w:val="007D7526"/>
    <w:rsid w:val="007E22AB"/>
    <w:rsid w:val="007E40A1"/>
    <w:rsid w:val="007E432E"/>
    <w:rsid w:val="007E45C2"/>
    <w:rsid w:val="007E4D10"/>
    <w:rsid w:val="007E6EEA"/>
    <w:rsid w:val="007F103A"/>
    <w:rsid w:val="007F1ACE"/>
    <w:rsid w:val="007F3DC2"/>
    <w:rsid w:val="007F4782"/>
    <w:rsid w:val="007F69B6"/>
    <w:rsid w:val="00801E21"/>
    <w:rsid w:val="00802CD3"/>
    <w:rsid w:val="00803AB5"/>
    <w:rsid w:val="00804E09"/>
    <w:rsid w:val="00811ACF"/>
    <w:rsid w:val="00812573"/>
    <w:rsid w:val="00813C2D"/>
    <w:rsid w:val="0081627F"/>
    <w:rsid w:val="0081653F"/>
    <w:rsid w:val="00817208"/>
    <w:rsid w:val="008203C7"/>
    <w:rsid w:val="008226E3"/>
    <w:rsid w:val="0082483E"/>
    <w:rsid w:val="00824C8B"/>
    <w:rsid w:val="00825442"/>
    <w:rsid w:val="008258E6"/>
    <w:rsid w:val="008260F1"/>
    <w:rsid w:val="00827908"/>
    <w:rsid w:val="008323F8"/>
    <w:rsid w:val="00840EC9"/>
    <w:rsid w:val="008419A2"/>
    <w:rsid w:val="008429CA"/>
    <w:rsid w:val="00842C3A"/>
    <w:rsid w:val="00843DBA"/>
    <w:rsid w:val="00846DC9"/>
    <w:rsid w:val="0085035C"/>
    <w:rsid w:val="0085478C"/>
    <w:rsid w:val="00855CAB"/>
    <w:rsid w:val="008574B0"/>
    <w:rsid w:val="008578F3"/>
    <w:rsid w:val="00860331"/>
    <w:rsid w:val="00860DAB"/>
    <w:rsid w:val="0086123F"/>
    <w:rsid w:val="008632AA"/>
    <w:rsid w:val="00863639"/>
    <w:rsid w:val="00867914"/>
    <w:rsid w:val="00873300"/>
    <w:rsid w:val="00880401"/>
    <w:rsid w:val="008822A6"/>
    <w:rsid w:val="008878F2"/>
    <w:rsid w:val="00887F44"/>
    <w:rsid w:val="008A19C3"/>
    <w:rsid w:val="008A5CA5"/>
    <w:rsid w:val="008A6796"/>
    <w:rsid w:val="008A6FB1"/>
    <w:rsid w:val="008A7E05"/>
    <w:rsid w:val="008B08BC"/>
    <w:rsid w:val="008B106E"/>
    <w:rsid w:val="008B12E9"/>
    <w:rsid w:val="008B3A8C"/>
    <w:rsid w:val="008C1746"/>
    <w:rsid w:val="008C4E63"/>
    <w:rsid w:val="008C6196"/>
    <w:rsid w:val="008C7CD9"/>
    <w:rsid w:val="008D1425"/>
    <w:rsid w:val="008D2765"/>
    <w:rsid w:val="008D47CF"/>
    <w:rsid w:val="008E3F25"/>
    <w:rsid w:val="008E4A61"/>
    <w:rsid w:val="008E504B"/>
    <w:rsid w:val="008E569C"/>
    <w:rsid w:val="008E728A"/>
    <w:rsid w:val="008F27AD"/>
    <w:rsid w:val="008F3A37"/>
    <w:rsid w:val="008F3CA7"/>
    <w:rsid w:val="008F6928"/>
    <w:rsid w:val="008F6CDF"/>
    <w:rsid w:val="008F7F6F"/>
    <w:rsid w:val="00901036"/>
    <w:rsid w:val="0090149B"/>
    <w:rsid w:val="00910F41"/>
    <w:rsid w:val="00915A26"/>
    <w:rsid w:val="00915CFE"/>
    <w:rsid w:val="0091779F"/>
    <w:rsid w:val="00917DBA"/>
    <w:rsid w:val="00917F6B"/>
    <w:rsid w:val="0092095F"/>
    <w:rsid w:val="009262BE"/>
    <w:rsid w:val="009267DD"/>
    <w:rsid w:val="00927CE5"/>
    <w:rsid w:val="00927FA4"/>
    <w:rsid w:val="0093063F"/>
    <w:rsid w:val="009353BC"/>
    <w:rsid w:val="0093743B"/>
    <w:rsid w:val="009539FA"/>
    <w:rsid w:val="009545C8"/>
    <w:rsid w:val="00956D7B"/>
    <w:rsid w:val="009632FB"/>
    <w:rsid w:val="009632FC"/>
    <w:rsid w:val="00965C6B"/>
    <w:rsid w:val="00970393"/>
    <w:rsid w:val="00970C66"/>
    <w:rsid w:val="00970F5D"/>
    <w:rsid w:val="0097371C"/>
    <w:rsid w:val="00974520"/>
    <w:rsid w:val="0098131D"/>
    <w:rsid w:val="00981833"/>
    <w:rsid w:val="009820BE"/>
    <w:rsid w:val="0098575E"/>
    <w:rsid w:val="009903CA"/>
    <w:rsid w:val="009948F2"/>
    <w:rsid w:val="009A0CF5"/>
    <w:rsid w:val="009A2C4A"/>
    <w:rsid w:val="009A3231"/>
    <w:rsid w:val="009A3629"/>
    <w:rsid w:val="009A372B"/>
    <w:rsid w:val="009B17E8"/>
    <w:rsid w:val="009B1B20"/>
    <w:rsid w:val="009B2042"/>
    <w:rsid w:val="009B3B2D"/>
    <w:rsid w:val="009B50BF"/>
    <w:rsid w:val="009B5451"/>
    <w:rsid w:val="009B6379"/>
    <w:rsid w:val="009B70D0"/>
    <w:rsid w:val="009C415F"/>
    <w:rsid w:val="009C5BA7"/>
    <w:rsid w:val="009C6E0D"/>
    <w:rsid w:val="009D0180"/>
    <w:rsid w:val="009D1C5D"/>
    <w:rsid w:val="009D29B0"/>
    <w:rsid w:val="009D4439"/>
    <w:rsid w:val="009D4D7A"/>
    <w:rsid w:val="009D4E29"/>
    <w:rsid w:val="009D5CC5"/>
    <w:rsid w:val="009D6121"/>
    <w:rsid w:val="009D64A3"/>
    <w:rsid w:val="009E09D9"/>
    <w:rsid w:val="009E1B53"/>
    <w:rsid w:val="009E41D7"/>
    <w:rsid w:val="009E7D83"/>
    <w:rsid w:val="009F6C5A"/>
    <w:rsid w:val="00A02639"/>
    <w:rsid w:val="00A02F67"/>
    <w:rsid w:val="00A04AAC"/>
    <w:rsid w:val="00A0643C"/>
    <w:rsid w:val="00A06458"/>
    <w:rsid w:val="00A12077"/>
    <w:rsid w:val="00A16ABB"/>
    <w:rsid w:val="00A16F6E"/>
    <w:rsid w:val="00A20E78"/>
    <w:rsid w:val="00A2100B"/>
    <w:rsid w:val="00A2149B"/>
    <w:rsid w:val="00A21C86"/>
    <w:rsid w:val="00A2362A"/>
    <w:rsid w:val="00A3064C"/>
    <w:rsid w:val="00A30B7D"/>
    <w:rsid w:val="00A323A6"/>
    <w:rsid w:val="00A34E05"/>
    <w:rsid w:val="00A3581D"/>
    <w:rsid w:val="00A42D50"/>
    <w:rsid w:val="00A44398"/>
    <w:rsid w:val="00A4444F"/>
    <w:rsid w:val="00A446E6"/>
    <w:rsid w:val="00A51E1C"/>
    <w:rsid w:val="00A56B58"/>
    <w:rsid w:val="00A56F4C"/>
    <w:rsid w:val="00A57450"/>
    <w:rsid w:val="00A6399A"/>
    <w:rsid w:val="00A72717"/>
    <w:rsid w:val="00A75BF3"/>
    <w:rsid w:val="00A76649"/>
    <w:rsid w:val="00A80CBB"/>
    <w:rsid w:val="00A81CEE"/>
    <w:rsid w:val="00A825A0"/>
    <w:rsid w:val="00A85216"/>
    <w:rsid w:val="00A86BA8"/>
    <w:rsid w:val="00A93427"/>
    <w:rsid w:val="00A9366F"/>
    <w:rsid w:val="00AA174E"/>
    <w:rsid w:val="00AB2BFD"/>
    <w:rsid w:val="00AB712F"/>
    <w:rsid w:val="00AC28BC"/>
    <w:rsid w:val="00AC6C7D"/>
    <w:rsid w:val="00AD00C3"/>
    <w:rsid w:val="00AD1F6E"/>
    <w:rsid w:val="00AD4E6E"/>
    <w:rsid w:val="00AD61DA"/>
    <w:rsid w:val="00AD6EF1"/>
    <w:rsid w:val="00AE15B3"/>
    <w:rsid w:val="00AE30BF"/>
    <w:rsid w:val="00AE499A"/>
    <w:rsid w:val="00AF1356"/>
    <w:rsid w:val="00AF349C"/>
    <w:rsid w:val="00AF4EEF"/>
    <w:rsid w:val="00AF5816"/>
    <w:rsid w:val="00AF6CEB"/>
    <w:rsid w:val="00AF7523"/>
    <w:rsid w:val="00B0317F"/>
    <w:rsid w:val="00B047FC"/>
    <w:rsid w:val="00B123E1"/>
    <w:rsid w:val="00B1573D"/>
    <w:rsid w:val="00B16C22"/>
    <w:rsid w:val="00B2113A"/>
    <w:rsid w:val="00B26278"/>
    <w:rsid w:val="00B31D1C"/>
    <w:rsid w:val="00B40D3C"/>
    <w:rsid w:val="00B410BD"/>
    <w:rsid w:val="00B41594"/>
    <w:rsid w:val="00B435DB"/>
    <w:rsid w:val="00B44CA1"/>
    <w:rsid w:val="00B460A3"/>
    <w:rsid w:val="00B47A6D"/>
    <w:rsid w:val="00B51810"/>
    <w:rsid w:val="00B571B2"/>
    <w:rsid w:val="00B571DA"/>
    <w:rsid w:val="00B60224"/>
    <w:rsid w:val="00B63ABB"/>
    <w:rsid w:val="00B65DF1"/>
    <w:rsid w:val="00B7048D"/>
    <w:rsid w:val="00B73D05"/>
    <w:rsid w:val="00B80F38"/>
    <w:rsid w:val="00B81FBE"/>
    <w:rsid w:val="00B85DB3"/>
    <w:rsid w:val="00B86C28"/>
    <w:rsid w:val="00B87B3C"/>
    <w:rsid w:val="00B911DA"/>
    <w:rsid w:val="00B91897"/>
    <w:rsid w:val="00B972FE"/>
    <w:rsid w:val="00BA3051"/>
    <w:rsid w:val="00BA33CD"/>
    <w:rsid w:val="00BA3C9B"/>
    <w:rsid w:val="00BB0CFD"/>
    <w:rsid w:val="00BB2670"/>
    <w:rsid w:val="00BB3365"/>
    <w:rsid w:val="00BB41E3"/>
    <w:rsid w:val="00BB6F62"/>
    <w:rsid w:val="00BB7B17"/>
    <w:rsid w:val="00BC1404"/>
    <w:rsid w:val="00BC2EAE"/>
    <w:rsid w:val="00BC42DD"/>
    <w:rsid w:val="00BD5459"/>
    <w:rsid w:val="00BD554F"/>
    <w:rsid w:val="00BE010B"/>
    <w:rsid w:val="00BE44AD"/>
    <w:rsid w:val="00BE65AC"/>
    <w:rsid w:val="00BE697E"/>
    <w:rsid w:val="00BE6AAE"/>
    <w:rsid w:val="00BF255C"/>
    <w:rsid w:val="00BF2D40"/>
    <w:rsid w:val="00BF32A7"/>
    <w:rsid w:val="00BF3544"/>
    <w:rsid w:val="00BF4D0E"/>
    <w:rsid w:val="00BF7F6B"/>
    <w:rsid w:val="00C00A5C"/>
    <w:rsid w:val="00C05032"/>
    <w:rsid w:val="00C07449"/>
    <w:rsid w:val="00C11292"/>
    <w:rsid w:val="00C1621F"/>
    <w:rsid w:val="00C17808"/>
    <w:rsid w:val="00C2493B"/>
    <w:rsid w:val="00C25153"/>
    <w:rsid w:val="00C32095"/>
    <w:rsid w:val="00C3321B"/>
    <w:rsid w:val="00C3515B"/>
    <w:rsid w:val="00C41480"/>
    <w:rsid w:val="00C425AE"/>
    <w:rsid w:val="00C435B4"/>
    <w:rsid w:val="00C440BD"/>
    <w:rsid w:val="00C44A56"/>
    <w:rsid w:val="00C47D67"/>
    <w:rsid w:val="00C5100E"/>
    <w:rsid w:val="00C52217"/>
    <w:rsid w:val="00C52ECE"/>
    <w:rsid w:val="00C53867"/>
    <w:rsid w:val="00C54697"/>
    <w:rsid w:val="00C555F1"/>
    <w:rsid w:val="00C55880"/>
    <w:rsid w:val="00C55900"/>
    <w:rsid w:val="00C6015B"/>
    <w:rsid w:val="00C639E2"/>
    <w:rsid w:val="00C64530"/>
    <w:rsid w:val="00C66A2A"/>
    <w:rsid w:val="00C70E3B"/>
    <w:rsid w:val="00C71150"/>
    <w:rsid w:val="00C751D4"/>
    <w:rsid w:val="00C76244"/>
    <w:rsid w:val="00C76684"/>
    <w:rsid w:val="00C77E3B"/>
    <w:rsid w:val="00C8193B"/>
    <w:rsid w:val="00C82A37"/>
    <w:rsid w:val="00C82AB1"/>
    <w:rsid w:val="00C84134"/>
    <w:rsid w:val="00C87ED4"/>
    <w:rsid w:val="00C91738"/>
    <w:rsid w:val="00C92948"/>
    <w:rsid w:val="00C933D6"/>
    <w:rsid w:val="00C95127"/>
    <w:rsid w:val="00C97AD7"/>
    <w:rsid w:val="00CA40C1"/>
    <w:rsid w:val="00CB2E51"/>
    <w:rsid w:val="00CB37F6"/>
    <w:rsid w:val="00CB3927"/>
    <w:rsid w:val="00CB3CE6"/>
    <w:rsid w:val="00CB418D"/>
    <w:rsid w:val="00CB58E0"/>
    <w:rsid w:val="00CB5E96"/>
    <w:rsid w:val="00CC1D20"/>
    <w:rsid w:val="00CC43D9"/>
    <w:rsid w:val="00CC6A0E"/>
    <w:rsid w:val="00CD0851"/>
    <w:rsid w:val="00CD23AC"/>
    <w:rsid w:val="00CD3794"/>
    <w:rsid w:val="00CD7D51"/>
    <w:rsid w:val="00CD7F47"/>
    <w:rsid w:val="00CE3C8C"/>
    <w:rsid w:val="00CE53B8"/>
    <w:rsid w:val="00CE6DF0"/>
    <w:rsid w:val="00CF1A93"/>
    <w:rsid w:val="00CF32C1"/>
    <w:rsid w:val="00CF36AE"/>
    <w:rsid w:val="00D02E06"/>
    <w:rsid w:val="00D03AA5"/>
    <w:rsid w:val="00D0608D"/>
    <w:rsid w:val="00D106AB"/>
    <w:rsid w:val="00D1183C"/>
    <w:rsid w:val="00D12606"/>
    <w:rsid w:val="00D15CBE"/>
    <w:rsid w:val="00D22D89"/>
    <w:rsid w:val="00D24E59"/>
    <w:rsid w:val="00D34626"/>
    <w:rsid w:val="00D4325A"/>
    <w:rsid w:val="00D43604"/>
    <w:rsid w:val="00D47542"/>
    <w:rsid w:val="00D51071"/>
    <w:rsid w:val="00D5365A"/>
    <w:rsid w:val="00D57547"/>
    <w:rsid w:val="00D63CA7"/>
    <w:rsid w:val="00D7003A"/>
    <w:rsid w:val="00D73D50"/>
    <w:rsid w:val="00D744DF"/>
    <w:rsid w:val="00D75E7F"/>
    <w:rsid w:val="00D7614C"/>
    <w:rsid w:val="00D8403A"/>
    <w:rsid w:val="00D85DFF"/>
    <w:rsid w:val="00D869C9"/>
    <w:rsid w:val="00D87C0A"/>
    <w:rsid w:val="00D91C2B"/>
    <w:rsid w:val="00D94FFB"/>
    <w:rsid w:val="00D96100"/>
    <w:rsid w:val="00DA25FB"/>
    <w:rsid w:val="00DA40B8"/>
    <w:rsid w:val="00DA4E6F"/>
    <w:rsid w:val="00DA5502"/>
    <w:rsid w:val="00DA6A33"/>
    <w:rsid w:val="00DA72E1"/>
    <w:rsid w:val="00DB0E4E"/>
    <w:rsid w:val="00DC1000"/>
    <w:rsid w:val="00DC153A"/>
    <w:rsid w:val="00DC2C0B"/>
    <w:rsid w:val="00DD08FE"/>
    <w:rsid w:val="00DD09C2"/>
    <w:rsid w:val="00DD15BC"/>
    <w:rsid w:val="00DD214E"/>
    <w:rsid w:val="00DD3239"/>
    <w:rsid w:val="00DD3E73"/>
    <w:rsid w:val="00DD643A"/>
    <w:rsid w:val="00DE28E2"/>
    <w:rsid w:val="00DE5C6A"/>
    <w:rsid w:val="00DE613F"/>
    <w:rsid w:val="00DE66F7"/>
    <w:rsid w:val="00DE744B"/>
    <w:rsid w:val="00DF08AA"/>
    <w:rsid w:val="00DF20F3"/>
    <w:rsid w:val="00DF3EE4"/>
    <w:rsid w:val="00DF4304"/>
    <w:rsid w:val="00DF43AB"/>
    <w:rsid w:val="00DF50FA"/>
    <w:rsid w:val="00E01A69"/>
    <w:rsid w:val="00E01B9B"/>
    <w:rsid w:val="00E0790F"/>
    <w:rsid w:val="00E11097"/>
    <w:rsid w:val="00E12459"/>
    <w:rsid w:val="00E141DD"/>
    <w:rsid w:val="00E148B7"/>
    <w:rsid w:val="00E14961"/>
    <w:rsid w:val="00E158F1"/>
    <w:rsid w:val="00E166A5"/>
    <w:rsid w:val="00E24071"/>
    <w:rsid w:val="00E26FF0"/>
    <w:rsid w:val="00E27C79"/>
    <w:rsid w:val="00E35C27"/>
    <w:rsid w:val="00E363C5"/>
    <w:rsid w:val="00E40A29"/>
    <w:rsid w:val="00E40AA5"/>
    <w:rsid w:val="00E4241C"/>
    <w:rsid w:val="00E425FF"/>
    <w:rsid w:val="00E4361B"/>
    <w:rsid w:val="00E4562A"/>
    <w:rsid w:val="00E47AAE"/>
    <w:rsid w:val="00E52EAF"/>
    <w:rsid w:val="00E54AD4"/>
    <w:rsid w:val="00E579C5"/>
    <w:rsid w:val="00E640DA"/>
    <w:rsid w:val="00E660A2"/>
    <w:rsid w:val="00E71B9B"/>
    <w:rsid w:val="00E738C8"/>
    <w:rsid w:val="00E74F09"/>
    <w:rsid w:val="00E75289"/>
    <w:rsid w:val="00E82171"/>
    <w:rsid w:val="00E82DA2"/>
    <w:rsid w:val="00E83F4A"/>
    <w:rsid w:val="00E84D1D"/>
    <w:rsid w:val="00E909F9"/>
    <w:rsid w:val="00E9125B"/>
    <w:rsid w:val="00E92487"/>
    <w:rsid w:val="00E92AD8"/>
    <w:rsid w:val="00E960C9"/>
    <w:rsid w:val="00EA48A6"/>
    <w:rsid w:val="00EA5182"/>
    <w:rsid w:val="00EA53E0"/>
    <w:rsid w:val="00EA720F"/>
    <w:rsid w:val="00EB0CE3"/>
    <w:rsid w:val="00EB2214"/>
    <w:rsid w:val="00EB4B60"/>
    <w:rsid w:val="00EB5068"/>
    <w:rsid w:val="00EB5BA1"/>
    <w:rsid w:val="00EB6FA5"/>
    <w:rsid w:val="00EC1801"/>
    <w:rsid w:val="00EC507E"/>
    <w:rsid w:val="00EC7461"/>
    <w:rsid w:val="00EC7A59"/>
    <w:rsid w:val="00ED4BFB"/>
    <w:rsid w:val="00ED6B0F"/>
    <w:rsid w:val="00EE0381"/>
    <w:rsid w:val="00EE1B7B"/>
    <w:rsid w:val="00EE24D2"/>
    <w:rsid w:val="00EE2B73"/>
    <w:rsid w:val="00EE6892"/>
    <w:rsid w:val="00EF05B6"/>
    <w:rsid w:val="00EF1A0F"/>
    <w:rsid w:val="00EF783B"/>
    <w:rsid w:val="00F00AC1"/>
    <w:rsid w:val="00F02ED3"/>
    <w:rsid w:val="00F03F68"/>
    <w:rsid w:val="00F04A71"/>
    <w:rsid w:val="00F05161"/>
    <w:rsid w:val="00F06E27"/>
    <w:rsid w:val="00F07056"/>
    <w:rsid w:val="00F13FD3"/>
    <w:rsid w:val="00F141D1"/>
    <w:rsid w:val="00F148F5"/>
    <w:rsid w:val="00F171F6"/>
    <w:rsid w:val="00F20840"/>
    <w:rsid w:val="00F224A0"/>
    <w:rsid w:val="00F26958"/>
    <w:rsid w:val="00F32AA7"/>
    <w:rsid w:val="00F32FC0"/>
    <w:rsid w:val="00F42132"/>
    <w:rsid w:val="00F42F77"/>
    <w:rsid w:val="00F435AA"/>
    <w:rsid w:val="00F43EE2"/>
    <w:rsid w:val="00F44CA1"/>
    <w:rsid w:val="00F508C2"/>
    <w:rsid w:val="00F50CF9"/>
    <w:rsid w:val="00F5691D"/>
    <w:rsid w:val="00F609E2"/>
    <w:rsid w:val="00F62BC0"/>
    <w:rsid w:val="00F63544"/>
    <w:rsid w:val="00F666EA"/>
    <w:rsid w:val="00F66BA7"/>
    <w:rsid w:val="00F735B2"/>
    <w:rsid w:val="00F7641B"/>
    <w:rsid w:val="00F80208"/>
    <w:rsid w:val="00F8274D"/>
    <w:rsid w:val="00F84F86"/>
    <w:rsid w:val="00F853A9"/>
    <w:rsid w:val="00F85D5B"/>
    <w:rsid w:val="00F90B37"/>
    <w:rsid w:val="00F936A3"/>
    <w:rsid w:val="00F9410B"/>
    <w:rsid w:val="00F95C38"/>
    <w:rsid w:val="00FA0328"/>
    <w:rsid w:val="00FA23F3"/>
    <w:rsid w:val="00FA63CC"/>
    <w:rsid w:val="00FA751C"/>
    <w:rsid w:val="00FB0B4F"/>
    <w:rsid w:val="00FB0E3B"/>
    <w:rsid w:val="00FB3635"/>
    <w:rsid w:val="00FB400A"/>
    <w:rsid w:val="00FB4CF4"/>
    <w:rsid w:val="00FB60A9"/>
    <w:rsid w:val="00FC1B6F"/>
    <w:rsid w:val="00FC1D65"/>
    <w:rsid w:val="00FC2B3A"/>
    <w:rsid w:val="00FC33C8"/>
    <w:rsid w:val="00FC6BCA"/>
    <w:rsid w:val="00FC7CC5"/>
    <w:rsid w:val="00FD25AD"/>
    <w:rsid w:val="00FD2FB4"/>
    <w:rsid w:val="00FD3353"/>
    <w:rsid w:val="00FD6682"/>
    <w:rsid w:val="00FD6A7F"/>
    <w:rsid w:val="00FD7006"/>
    <w:rsid w:val="00FD7BD3"/>
    <w:rsid w:val="00FE0764"/>
    <w:rsid w:val="00FE15EB"/>
    <w:rsid w:val="00FE1DF9"/>
    <w:rsid w:val="00FE202D"/>
    <w:rsid w:val="00FE24F4"/>
    <w:rsid w:val="00FE41C9"/>
    <w:rsid w:val="00FE5035"/>
    <w:rsid w:val="00FE754E"/>
    <w:rsid w:val="00FF0B52"/>
    <w:rsid w:val="00FF277A"/>
    <w:rsid w:val="00FF4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9,#f3f3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C00A5C"/>
    <w:pPr>
      <w:spacing w:after="100"/>
    </w:p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 w:type="character" w:styleId="aff3">
    <w:name w:val="Emphasis"/>
    <w:basedOn w:val="a0"/>
    <w:uiPriority w:val="20"/>
    <w:qFormat/>
    <w:rsid w:val="004E1E7F"/>
    <w:rPr>
      <w:i/>
      <w:iCs/>
    </w:rPr>
  </w:style>
  <w:style w:type="character" w:customStyle="1" w:styleId="tgc">
    <w:name w:val="_tgc"/>
    <w:basedOn w:val="a0"/>
    <w:rsid w:val="004F4A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560586"/>
    <w:rPr>
      <w:rFonts w:eastAsia="Times New Roman"/>
      <w:sz w:val="24"/>
      <w:szCs w:val="24"/>
    </w:rPr>
  </w:style>
  <w:style w:type="paragraph" w:styleId="1">
    <w:name w:val="heading 1"/>
    <w:basedOn w:val="a"/>
    <w:next w:val="a"/>
    <w:link w:val="10"/>
    <w:qFormat/>
    <w:rsid w:val="00560586"/>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F1CD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qFormat/>
    <w:rsid w:val="00DF50FA"/>
    <w:pPr>
      <w:keepNext/>
      <w:keepLines/>
      <w:spacing w:before="200"/>
      <w:outlineLvl w:val="2"/>
    </w:pPr>
    <w:rPr>
      <w:rFonts w:ascii="Cambria" w:hAnsi="Cambria"/>
      <w:b/>
      <w:bCs/>
      <w:color w:val="4F81BD"/>
    </w:rPr>
  </w:style>
  <w:style w:type="paragraph" w:styleId="6">
    <w:name w:val="heading 6"/>
    <w:basedOn w:val="a"/>
    <w:next w:val="a"/>
    <w:link w:val="60"/>
    <w:qFormat/>
    <w:rsid w:val="00F04A7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0586"/>
    <w:rPr>
      <w:rFonts w:ascii="Cambria" w:eastAsia="Times New Roman" w:hAnsi="Cambria"/>
      <w:b/>
      <w:bCs/>
      <w:kern w:val="32"/>
      <w:sz w:val="32"/>
      <w:szCs w:val="32"/>
    </w:rPr>
  </w:style>
  <w:style w:type="character" w:customStyle="1" w:styleId="20">
    <w:name w:val="Заголовок 2 Знак"/>
    <w:link w:val="2"/>
    <w:semiHidden/>
    <w:rsid w:val="000F1CD2"/>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DF50FA"/>
    <w:rPr>
      <w:rFonts w:ascii="Cambria" w:eastAsia="Times New Roman" w:hAnsi="Cambria" w:cs="Times New Roman"/>
      <w:b/>
      <w:bCs/>
      <w:color w:val="4F81BD"/>
      <w:sz w:val="24"/>
      <w:szCs w:val="24"/>
    </w:rPr>
  </w:style>
  <w:style w:type="table" w:styleId="a3">
    <w:name w:val="Table Grid"/>
    <w:basedOn w:val="a1"/>
    <w:rsid w:val="005605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FN,single space"/>
    <w:basedOn w:val="a"/>
    <w:link w:val="a5"/>
    <w:uiPriority w:val="99"/>
    <w:rsid w:val="00560586"/>
    <w:rPr>
      <w:sz w:val="20"/>
      <w:szCs w:val="20"/>
    </w:rPr>
  </w:style>
  <w:style w:type="character" w:customStyle="1" w:styleId="a5">
    <w:name w:val="Текст сноски Знак"/>
    <w:aliases w:val="Текст сноски-FN Знак,single space Знак"/>
    <w:link w:val="a4"/>
    <w:uiPriority w:val="99"/>
    <w:rsid w:val="00560586"/>
    <w:rPr>
      <w:rFonts w:eastAsia="Times New Roman"/>
    </w:rPr>
  </w:style>
  <w:style w:type="character" w:styleId="a6">
    <w:name w:val="footnote reference"/>
    <w:aliases w:val="Footnote Reference Number,Footnote Reference_LVL6,Footnote Reference_LVL61,Footnote Reference_LVL62,Footnote Reference_LVL63,Footnote Reference_LVL64,fr"/>
    <w:rsid w:val="00560586"/>
    <w:rPr>
      <w:vertAlign w:val="superscript"/>
    </w:rPr>
  </w:style>
  <w:style w:type="character" w:styleId="a7">
    <w:name w:val="Hyperlink"/>
    <w:uiPriority w:val="99"/>
    <w:rsid w:val="00560586"/>
    <w:rPr>
      <w:color w:val="0000FF"/>
      <w:u w:val="single"/>
    </w:rPr>
  </w:style>
  <w:style w:type="paragraph" w:styleId="a8">
    <w:name w:val="Balloon Text"/>
    <w:basedOn w:val="a"/>
    <w:link w:val="a9"/>
    <w:uiPriority w:val="99"/>
    <w:semiHidden/>
    <w:unhideWhenUsed/>
    <w:rsid w:val="00560586"/>
    <w:rPr>
      <w:rFonts w:ascii="Tahoma" w:hAnsi="Tahoma" w:cs="Tahoma"/>
      <w:sz w:val="16"/>
      <w:szCs w:val="16"/>
    </w:rPr>
  </w:style>
  <w:style w:type="character" w:customStyle="1" w:styleId="a9">
    <w:name w:val="Текст выноски Знак"/>
    <w:link w:val="a8"/>
    <w:uiPriority w:val="99"/>
    <w:semiHidden/>
    <w:rsid w:val="00560586"/>
    <w:rPr>
      <w:rFonts w:ascii="Tahoma" w:eastAsia="Times New Roman" w:hAnsi="Tahoma" w:cs="Tahoma"/>
      <w:sz w:val="16"/>
      <w:szCs w:val="16"/>
    </w:rPr>
  </w:style>
  <w:style w:type="paragraph" w:styleId="aa">
    <w:name w:val="Normal (Web)"/>
    <w:basedOn w:val="a"/>
    <w:uiPriority w:val="99"/>
    <w:unhideWhenUsed/>
    <w:rsid w:val="00DD15BC"/>
    <w:pPr>
      <w:spacing w:before="100" w:beforeAutospacing="1" w:after="100" w:afterAutospacing="1"/>
    </w:pPr>
  </w:style>
  <w:style w:type="paragraph" w:styleId="ab">
    <w:name w:val="header"/>
    <w:basedOn w:val="a"/>
    <w:link w:val="ac"/>
    <w:uiPriority w:val="99"/>
    <w:unhideWhenUsed/>
    <w:rsid w:val="00001970"/>
    <w:pPr>
      <w:tabs>
        <w:tab w:val="center" w:pos="4677"/>
        <w:tab w:val="right" w:pos="9355"/>
      </w:tabs>
    </w:pPr>
  </w:style>
  <w:style w:type="character" w:customStyle="1" w:styleId="ac">
    <w:name w:val="Верхний колонтитул Знак"/>
    <w:link w:val="ab"/>
    <w:uiPriority w:val="99"/>
    <w:rsid w:val="00001970"/>
    <w:rPr>
      <w:rFonts w:eastAsia="Times New Roman"/>
      <w:sz w:val="24"/>
      <w:szCs w:val="24"/>
    </w:rPr>
  </w:style>
  <w:style w:type="paragraph" w:styleId="ad">
    <w:name w:val="footer"/>
    <w:basedOn w:val="a"/>
    <w:link w:val="ae"/>
    <w:uiPriority w:val="99"/>
    <w:unhideWhenUsed/>
    <w:rsid w:val="00001970"/>
    <w:pPr>
      <w:tabs>
        <w:tab w:val="center" w:pos="4677"/>
        <w:tab w:val="right" w:pos="9355"/>
      </w:tabs>
    </w:pPr>
  </w:style>
  <w:style w:type="character" w:customStyle="1" w:styleId="ae">
    <w:name w:val="Нижний колонтитул Знак"/>
    <w:link w:val="ad"/>
    <w:uiPriority w:val="99"/>
    <w:rsid w:val="00001970"/>
    <w:rPr>
      <w:rFonts w:eastAsia="Times New Roman"/>
      <w:sz w:val="24"/>
      <w:szCs w:val="24"/>
    </w:rPr>
  </w:style>
  <w:style w:type="paragraph" w:styleId="af">
    <w:name w:val="List Paragraph"/>
    <w:basedOn w:val="a"/>
    <w:uiPriority w:val="34"/>
    <w:qFormat/>
    <w:rsid w:val="006E4615"/>
    <w:pPr>
      <w:ind w:left="720"/>
      <w:contextualSpacing/>
    </w:pPr>
  </w:style>
  <w:style w:type="paragraph" w:styleId="af0">
    <w:name w:val="Body Text Indent"/>
    <w:basedOn w:val="a"/>
    <w:link w:val="af1"/>
    <w:uiPriority w:val="99"/>
    <w:rsid w:val="00A446E6"/>
    <w:pPr>
      <w:widowControl w:val="0"/>
      <w:jc w:val="both"/>
    </w:pPr>
    <w:rPr>
      <w:sz w:val="18"/>
      <w:szCs w:val="20"/>
    </w:rPr>
  </w:style>
  <w:style w:type="character" w:customStyle="1" w:styleId="af1">
    <w:name w:val="Основной текст с отступом Знак"/>
    <w:link w:val="af0"/>
    <w:uiPriority w:val="99"/>
    <w:rsid w:val="00A446E6"/>
    <w:rPr>
      <w:rFonts w:eastAsia="Times New Roman"/>
      <w:sz w:val="18"/>
    </w:rPr>
  </w:style>
  <w:style w:type="paragraph" w:styleId="af2">
    <w:name w:val="Body Text"/>
    <w:basedOn w:val="a"/>
    <w:link w:val="af3"/>
    <w:uiPriority w:val="99"/>
    <w:rsid w:val="00A446E6"/>
    <w:pPr>
      <w:jc w:val="both"/>
    </w:pPr>
    <w:rPr>
      <w:sz w:val="20"/>
      <w:szCs w:val="20"/>
    </w:rPr>
  </w:style>
  <w:style w:type="character" w:customStyle="1" w:styleId="af3">
    <w:name w:val="Основной текст Знак"/>
    <w:link w:val="af2"/>
    <w:uiPriority w:val="99"/>
    <w:rsid w:val="00A446E6"/>
    <w:rPr>
      <w:rFonts w:eastAsia="Times New Roman"/>
    </w:rPr>
  </w:style>
  <w:style w:type="paragraph" w:customStyle="1" w:styleId="Default">
    <w:name w:val="Default"/>
    <w:uiPriority w:val="99"/>
    <w:rsid w:val="0059699A"/>
    <w:pPr>
      <w:autoSpaceDE w:val="0"/>
      <w:autoSpaceDN w:val="0"/>
      <w:adjustRightInd w:val="0"/>
    </w:pPr>
    <w:rPr>
      <w:rFonts w:ascii="Calibri" w:hAnsi="Calibri" w:cs="Calibri"/>
      <w:color w:val="000000"/>
      <w:sz w:val="24"/>
      <w:szCs w:val="24"/>
      <w:lang w:eastAsia="en-US"/>
    </w:rPr>
  </w:style>
  <w:style w:type="paragraph" w:styleId="af4">
    <w:name w:val="caption"/>
    <w:basedOn w:val="a"/>
    <w:next w:val="a"/>
    <w:uiPriority w:val="35"/>
    <w:qFormat/>
    <w:rsid w:val="0059699A"/>
    <w:pPr>
      <w:spacing w:after="200"/>
    </w:pPr>
    <w:rPr>
      <w:rFonts w:eastAsia="Calibri"/>
      <w:b/>
      <w:bCs/>
      <w:color w:val="4F81BD"/>
      <w:sz w:val="18"/>
      <w:szCs w:val="18"/>
    </w:rPr>
  </w:style>
  <w:style w:type="character" w:styleId="af5">
    <w:name w:val="annotation reference"/>
    <w:unhideWhenUsed/>
    <w:rsid w:val="00E40AA5"/>
    <w:rPr>
      <w:sz w:val="16"/>
      <w:szCs w:val="16"/>
    </w:rPr>
  </w:style>
  <w:style w:type="paragraph" w:styleId="af6">
    <w:name w:val="annotation text"/>
    <w:basedOn w:val="a"/>
    <w:link w:val="af7"/>
    <w:uiPriority w:val="99"/>
    <w:unhideWhenUsed/>
    <w:rsid w:val="00E40AA5"/>
    <w:rPr>
      <w:sz w:val="20"/>
      <w:szCs w:val="20"/>
    </w:rPr>
  </w:style>
  <w:style w:type="character" w:customStyle="1" w:styleId="af7">
    <w:name w:val="Текст примечания Знак"/>
    <w:link w:val="af6"/>
    <w:uiPriority w:val="99"/>
    <w:rsid w:val="00E40AA5"/>
    <w:rPr>
      <w:rFonts w:eastAsia="Times New Roman"/>
    </w:rPr>
  </w:style>
  <w:style w:type="paragraph" w:styleId="af8">
    <w:name w:val="annotation subject"/>
    <w:basedOn w:val="af6"/>
    <w:next w:val="af6"/>
    <w:link w:val="af9"/>
    <w:uiPriority w:val="99"/>
    <w:semiHidden/>
    <w:unhideWhenUsed/>
    <w:rsid w:val="00E40AA5"/>
    <w:rPr>
      <w:b/>
      <w:bCs/>
    </w:rPr>
  </w:style>
  <w:style w:type="character" w:customStyle="1" w:styleId="af9">
    <w:name w:val="Тема примечания Знак"/>
    <w:link w:val="af8"/>
    <w:uiPriority w:val="99"/>
    <w:semiHidden/>
    <w:rsid w:val="00E40AA5"/>
    <w:rPr>
      <w:rFonts w:eastAsia="Times New Roman"/>
      <w:b/>
      <w:bCs/>
    </w:rPr>
  </w:style>
  <w:style w:type="paragraph" w:customStyle="1" w:styleId="11">
    <w:name w:val="Обычный1"/>
    <w:uiPriority w:val="99"/>
    <w:rsid w:val="00DF50FA"/>
    <w:pPr>
      <w:widowControl w:val="0"/>
      <w:autoSpaceDE w:val="0"/>
      <w:autoSpaceDN w:val="0"/>
    </w:pPr>
    <w:rPr>
      <w:rFonts w:eastAsia="Times New Roman"/>
    </w:rPr>
  </w:style>
  <w:style w:type="character" w:styleId="afa">
    <w:name w:val="page number"/>
    <w:basedOn w:val="a0"/>
    <w:rsid w:val="000F1CD2"/>
  </w:style>
  <w:style w:type="paragraph" w:styleId="afb">
    <w:name w:val="TOC Heading"/>
    <w:basedOn w:val="1"/>
    <w:next w:val="a"/>
    <w:uiPriority w:val="39"/>
    <w:qFormat/>
    <w:rsid w:val="00C00A5C"/>
    <w:pPr>
      <w:keepLines/>
      <w:spacing w:before="480" w:after="0" w:line="276" w:lineRule="auto"/>
      <w:outlineLvl w:val="9"/>
    </w:pPr>
    <w:rPr>
      <w:color w:val="365F91"/>
      <w:kern w:val="0"/>
      <w:sz w:val="28"/>
      <w:szCs w:val="28"/>
    </w:rPr>
  </w:style>
  <w:style w:type="paragraph" w:styleId="12">
    <w:name w:val="toc 1"/>
    <w:basedOn w:val="a"/>
    <w:next w:val="a"/>
    <w:autoRedefine/>
    <w:uiPriority w:val="39"/>
    <w:unhideWhenUsed/>
    <w:qFormat/>
    <w:rsid w:val="00C00A5C"/>
    <w:pPr>
      <w:spacing w:after="100"/>
    </w:pPr>
  </w:style>
  <w:style w:type="paragraph" w:styleId="21">
    <w:name w:val="toc 2"/>
    <w:basedOn w:val="a"/>
    <w:next w:val="a"/>
    <w:autoRedefine/>
    <w:uiPriority w:val="39"/>
    <w:unhideWhenUsed/>
    <w:qFormat/>
    <w:rsid w:val="005C7913"/>
    <w:pPr>
      <w:tabs>
        <w:tab w:val="right" w:leader="dot" w:pos="9344"/>
      </w:tabs>
      <w:spacing w:after="100"/>
      <w:ind w:firstLine="180"/>
    </w:pPr>
  </w:style>
  <w:style w:type="table" w:customStyle="1" w:styleId="13">
    <w:name w:val="Сетка таблицы1"/>
    <w:basedOn w:val="a1"/>
    <w:next w:val="a3"/>
    <w:uiPriority w:val="59"/>
    <w:rsid w:val="005B745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6A3053"/>
    <w:pPr>
      <w:spacing w:after="120"/>
      <w:ind w:left="283"/>
    </w:pPr>
    <w:rPr>
      <w:sz w:val="16"/>
      <w:szCs w:val="16"/>
    </w:rPr>
  </w:style>
  <w:style w:type="character" w:customStyle="1" w:styleId="32">
    <w:name w:val="Основной текст с отступом 3 Знак"/>
    <w:link w:val="31"/>
    <w:uiPriority w:val="99"/>
    <w:rsid w:val="006A3053"/>
    <w:rPr>
      <w:rFonts w:eastAsia="Times New Roman"/>
      <w:sz w:val="16"/>
      <w:szCs w:val="16"/>
    </w:rPr>
  </w:style>
  <w:style w:type="paragraph" w:styleId="afc">
    <w:name w:val="Title"/>
    <w:basedOn w:val="a"/>
    <w:link w:val="afd"/>
    <w:qFormat/>
    <w:rsid w:val="006D1A2D"/>
    <w:pPr>
      <w:jc w:val="center"/>
    </w:pPr>
    <w:rPr>
      <w:b/>
      <w:szCs w:val="20"/>
    </w:rPr>
  </w:style>
  <w:style w:type="character" w:customStyle="1" w:styleId="afd">
    <w:name w:val="Название Знак"/>
    <w:link w:val="afc"/>
    <w:rsid w:val="006D1A2D"/>
    <w:rPr>
      <w:rFonts w:eastAsia="Times New Roman"/>
      <w:b/>
      <w:sz w:val="24"/>
    </w:rPr>
  </w:style>
  <w:style w:type="paragraph" w:customStyle="1" w:styleId="22">
    <w:name w:val="Обычный2"/>
    <w:rsid w:val="009A372B"/>
    <w:pPr>
      <w:spacing w:before="100" w:after="100"/>
    </w:pPr>
    <w:rPr>
      <w:rFonts w:eastAsia="Times New Roman"/>
      <w:snapToGrid w:val="0"/>
      <w:sz w:val="24"/>
    </w:rPr>
  </w:style>
  <w:style w:type="paragraph" w:customStyle="1" w:styleId="afe">
    <w:name w:val="Знак"/>
    <w:basedOn w:val="a"/>
    <w:autoRedefine/>
    <w:uiPriority w:val="99"/>
    <w:rsid w:val="009A372B"/>
    <w:pPr>
      <w:spacing w:after="160" w:line="240" w:lineRule="exact"/>
    </w:pPr>
    <w:rPr>
      <w:rFonts w:eastAsia="SimSun"/>
      <w:b/>
      <w:sz w:val="28"/>
      <w:lang w:val="en-US" w:eastAsia="en-US"/>
    </w:rPr>
  </w:style>
  <w:style w:type="character" w:customStyle="1" w:styleId="60">
    <w:name w:val="Заголовок 6 Знак"/>
    <w:link w:val="6"/>
    <w:semiHidden/>
    <w:rsid w:val="00F04A71"/>
    <w:rPr>
      <w:rFonts w:ascii="Calibri" w:eastAsia="Times New Roman" w:hAnsi="Calibri"/>
      <w:b/>
      <w:bCs/>
      <w:sz w:val="22"/>
      <w:szCs w:val="22"/>
    </w:rPr>
  </w:style>
  <w:style w:type="character" w:styleId="aff">
    <w:name w:val="FollowedHyperlink"/>
    <w:uiPriority w:val="99"/>
    <w:semiHidden/>
    <w:unhideWhenUsed/>
    <w:rsid w:val="00F04A71"/>
    <w:rPr>
      <w:color w:val="800080"/>
      <w:u w:val="single"/>
    </w:rPr>
  </w:style>
  <w:style w:type="character" w:customStyle="1" w:styleId="23">
    <w:name w:val="Основной текст 2 Знак"/>
    <w:link w:val="24"/>
    <w:uiPriority w:val="99"/>
    <w:semiHidden/>
    <w:rsid w:val="00F04A71"/>
    <w:rPr>
      <w:rFonts w:eastAsia="Times New Roman"/>
      <w:sz w:val="24"/>
      <w:szCs w:val="24"/>
    </w:rPr>
  </w:style>
  <w:style w:type="paragraph" w:styleId="24">
    <w:name w:val="Body Text 2"/>
    <w:basedOn w:val="a"/>
    <w:link w:val="23"/>
    <w:uiPriority w:val="99"/>
    <w:semiHidden/>
    <w:unhideWhenUsed/>
    <w:rsid w:val="00F04A71"/>
    <w:pPr>
      <w:spacing w:after="120" w:line="480" w:lineRule="auto"/>
    </w:pPr>
  </w:style>
  <w:style w:type="character" w:customStyle="1" w:styleId="33">
    <w:name w:val="Основной текст 3 Знак"/>
    <w:link w:val="34"/>
    <w:uiPriority w:val="99"/>
    <w:semiHidden/>
    <w:rsid w:val="00F04A71"/>
    <w:rPr>
      <w:rFonts w:eastAsia="MS Mincho"/>
      <w:sz w:val="16"/>
      <w:szCs w:val="16"/>
      <w:lang w:eastAsia="ja-JP"/>
    </w:rPr>
  </w:style>
  <w:style w:type="paragraph" w:styleId="34">
    <w:name w:val="Body Text 3"/>
    <w:basedOn w:val="a"/>
    <w:link w:val="33"/>
    <w:uiPriority w:val="99"/>
    <w:semiHidden/>
    <w:unhideWhenUsed/>
    <w:rsid w:val="00F04A71"/>
    <w:pPr>
      <w:spacing w:after="120"/>
    </w:pPr>
    <w:rPr>
      <w:rFonts w:eastAsia="MS Mincho"/>
      <w:sz w:val="16"/>
      <w:szCs w:val="16"/>
      <w:lang w:eastAsia="ja-JP"/>
    </w:rPr>
  </w:style>
  <w:style w:type="character" w:customStyle="1" w:styleId="aff0">
    <w:name w:val="Схема документа Знак"/>
    <w:link w:val="aff1"/>
    <w:uiPriority w:val="99"/>
    <w:semiHidden/>
    <w:rsid w:val="00F04A71"/>
    <w:rPr>
      <w:rFonts w:ascii="Tahoma" w:eastAsia="Times New Roman" w:hAnsi="Tahoma" w:cs="Tahoma"/>
      <w:shd w:val="clear" w:color="auto" w:fill="000080"/>
    </w:rPr>
  </w:style>
  <w:style w:type="paragraph" w:styleId="aff1">
    <w:name w:val="Document Map"/>
    <w:basedOn w:val="a"/>
    <w:link w:val="aff0"/>
    <w:uiPriority w:val="99"/>
    <w:semiHidden/>
    <w:unhideWhenUsed/>
    <w:rsid w:val="00F04A71"/>
    <w:pPr>
      <w:shd w:val="clear" w:color="auto" w:fill="000080"/>
    </w:pPr>
    <w:rPr>
      <w:rFonts w:ascii="Tahoma" w:hAnsi="Tahoma" w:cs="Tahoma"/>
      <w:sz w:val="20"/>
      <w:szCs w:val="20"/>
    </w:rPr>
  </w:style>
  <w:style w:type="paragraph" w:customStyle="1" w:styleId="aff2">
    <w:name w:val="......."/>
    <w:basedOn w:val="Default"/>
    <w:next w:val="Default"/>
    <w:uiPriority w:val="99"/>
    <w:rsid w:val="00F04A71"/>
    <w:rPr>
      <w:rFonts w:ascii="Times New Roman" w:eastAsia="Times New Roman" w:hAnsi="Times New Roman" w:cs="Times New Roman"/>
      <w:color w:val="auto"/>
      <w:lang w:eastAsia="ru-RU"/>
    </w:rPr>
  </w:style>
  <w:style w:type="paragraph" w:customStyle="1" w:styleId="TableParagraph">
    <w:name w:val="Table Paragraph"/>
    <w:basedOn w:val="a"/>
    <w:uiPriority w:val="1"/>
    <w:qFormat/>
    <w:rsid w:val="00F04A71"/>
    <w:pPr>
      <w:widowControl w:val="0"/>
    </w:pPr>
    <w:rPr>
      <w:rFonts w:ascii="Calibri" w:eastAsia="Calibri" w:hAnsi="Calibri"/>
      <w:sz w:val="22"/>
      <w:szCs w:val="22"/>
      <w:lang w:val="en-US" w:eastAsia="en-US"/>
    </w:rPr>
  </w:style>
  <w:style w:type="character" w:customStyle="1" w:styleId="ParagraphNumberingChar">
    <w:name w:val="Paragraph Numbering Char"/>
    <w:link w:val="ParagraphNumbering"/>
    <w:locked/>
    <w:rsid w:val="00F04A71"/>
    <w:rPr>
      <w:sz w:val="24"/>
      <w:szCs w:val="24"/>
      <w:lang w:val="en-US" w:eastAsia="en-US"/>
    </w:rPr>
  </w:style>
  <w:style w:type="paragraph" w:customStyle="1" w:styleId="ParagraphNumbering">
    <w:name w:val="Paragraph Numbering"/>
    <w:basedOn w:val="a"/>
    <w:link w:val="ParagraphNumberingChar"/>
    <w:rsid w:val="00F04A71"/>
    <w:pPr>
      <w:numPr>
        <w:numId w:val="20"/>
      </w:numPr>
      <w:spacing w:after="240"/>
    </w:pPr>
    <w:rPr>
      <w:rFonts w:eastAsia="Calibri"/>
      <w:lang w:val="en-US" w:eastAsia="en-US"/>
    </w:rPr>
  </w:style>
  <w:style w:type="paragraph" w:customStyle="1" w:styleId="14">
    <w:name w:val="Знак Знак Знак1 Знак Знак Знак Знак Знак Знак"/>
    <w:basedOn w:val="a"/>
    <w:next w:val="2"/>
    <w:autoRedefine/>
    <w:uiPriority w:val="99"/>
    <w:rsid w:val="00F04A71"/>
    <w:pPr>
      <w:spacing w:after="160"/>
      <w:ind w:firstLine="720"/>
      <w:jc w:val="both"/>
    </w:pPr>
    <w:rPr>
      <w:sz w:val="28"/>
      <w:szCs w:val="28"/>
      <w:lang w:val="en-US" w:eastAsia="en-US"/>
    </w:rPr>
  </w:style>
  <w:style w:type="character" w:customStyle="1" w:styleId="15">
    <w:name w:val="Стиль1 Знак"/>
    <w:link w:val="16"/>
    <w:uiPriority w:val="1"/>
    <w:locked/>
    <w:rsid w:val="00F04A71"/>
    <w:rPr>
      <w:rFonts w:ascii="Arial" w:eastAsia="Arial" w:hAnsi="Arial" w:cs="Arial"/>
      <w:b/>
      <w:sz w:val="18"/>
      <w:szCs w:val="18"/>
    </w:rPr>
  </w:style>
  <w:style w:type="paragraph" w:customStyle="1" w:styleId="16">
    <w:name w:val="Стиль1"/>
    <w:basedOn w:val="af2"/>
    <w:link w:val="15"/>
    <w:uiPriority w:val="1"/>
    <w:qFormat/>
    <w:rsid w:val="00F04A71"/>
    <w:pPr>
      <w:widowControl w:val="0"/>
      <w:tabs>
        <w:tab w:val="left" w:pos="775"/>
      </w:tabs>
      <w:snapToGrid w:val="0"/>
      <w:spacing w:line="252" w:lineRule="auto"/>
      <w:ind w:left="1386" w:right="109"/>
      <w:jc w:val="left"/>
    </w:pPr>
    <w:rPr>
      <w:rFonts w:ascii="Arial" w:eastAsia="Arial" w:hAnsi="Arial" w:cs="Arial"/>
      <w:b/>
      <w:sz w:val="18"/>
      <w:szCs w:val="18"/>
    </w:rPr>
  </w:style>
  <w:style w:type="paragraph" w:customStyle="1" w:styleId="210">
    <w:name w:val="Основной текст 21"/>
    <w:basedOn w:val="a"/>
    <w:uiPriority w:val="99"/>
    <w:rsid w:val="00F04A71"/>
    <w:pPr>
      <w:snapToGrid w:val="0"/>
      <w:jc w:val="center"/>
    </w:pPr>
    <w:rPr>
      <w:sz w:val="28"/>
      <w:szCs w:val="20"/>
    </w:rPr>
  </w:style>
  <w:style w:type="paragraph" w:customStyle="1" w:styleId="e12">
    <w:name w:val="Основной тек—e1т 2"/>
    <w:basedOn w:val="a"/>
    <w:uiPriority w:val="99"/>
    <w:rsid w:val="00F04A71"/>
    <w:pPr>
      <w:widowControl w:val="0"/>
      <w:tabs>
        <w:tab w:val="left" w:pos="993"/>
      </w:tabs>
      <w:snapToGrid w:val="0"/>
      <w:spacing w:line="288" w:lineRule="auto"/>
      <w:ind w:firstLine="720"/>
      <w:jc w:val="both"/>
    </w:pPr>
    <w:rPr>
      <w:sz w:val="28"/>
      <w:szCs w:val="20"/>
    </w:rPr>
  </w:style>
  <w:style w:type="paragraph" w:customStyle="1" w:styleId="220">
    <w:name w:val="Основной текст 22"/>
    <w:basedOn w:val="a"/>
    <w:uiPriority w:val="99"/>
    <w:rsid w:val="00F04A71"/>
    <w:pPr>
      <w:snapToGrid w:val="0"/>
      <w:ind w:firstLine="709"/>
      <w:jc w:val="both"/>
    </w:pPr>
    <w:rPr>
      <w:sz w:val="28"/>
      <w:szCs w:val="20"/>
    </w:rPr>
  </w:style>
  <w:style w:type="paragraph" w:customStyle="1" w:styleId="110">
    <w:name w:val="Стиль11"/>
    <w:basedOn w:val="a"/>
    <w:uiPriority w:val="99"/>
    <w:rsid w:val="00F04A71"/>
    <w:pPr>
      <w:widowControl w:val="0"/>
      <w:snapToGrid w:val="0"/>
      <w:jc w:val="both"/>
    </w:pPr>
    <w:rPr>
      <w:sz w:val="28"/>
      <w:szCs w:val="20"/>
    </w:rPr>
  </w:style>
  <w:style w:type="paragraph" w:customStyle="1" w:styleId="CharCharCharChar">
    <w:name w:val="Char Char Знак Знак Char Char Знак"/>
    <w:basedOn w:val="a"/>
    <w:autoRedefine/>
    <w:uiPriority w:val="99"/>
    <w:rsid w:val="00F04A71"/>
    <w:pPr>
      <w:spacing w:after="160" w:line="240" w:lineRule="exact"/>
    </w:pPr>
    <w:rPr>
      <w:rFonts w:eastAsia="SimSun"/>
      <w:b/>
      <w:sz w:val="28"/>
      <w:lang w:val="en-US" w:eastAsia="en-US"/>
    </w:rPr>
  </w:style>
  <w:style w:type="character" w:customStyle="1" w:styleId="s1">
    <w:name w:val="s1"/>
    <w:rsid w:val="00F04A71"/>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rsid w:val="00F04A71"/>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F04A71"/>
    <w:rPr>
      <w:shd w:val="clear" w:color="auto" w:fill="FFFFFF"/>
    </w:rPr>
  </w:style>
  <w:style w:type="character" w:customStyle="1" w:styleId="st">
    <w:name w:val="st"/>
    <w:rsid w:val="00F04A71"/>
  </w:style>
  <w:style w:type="character" w:customStyle="1" w:styleId="s3">
    <w:name w:val="s3"/>
    <w:rsid w:val="00F04A71"/>
    <w:rPr>
      <w:rFonts w:ascii="Times New Roman" w:hAnsi="Times New Roman" w:cs="Times New Roman" w:hint="default"/>
      <w:b w:val="0"/>
      <w:bCs w:val="0"/>
      <w:i/>
      <w:iCs/>
      <w:strike w:val="0"/>
      <w:dstrike w:val="0"/>
      <w:color w:val="FF0000"/>
      <w:sz w:val="28"/>
      <w:szCs w:val="28"/>
      <w:u w:val="none"/>
      <w:effect w:val="none"/>
    </w:rPr>
  </w:style>
  <w:style w:type="character" w:customStyle="1" w:styleId="s9">
    <w:name w:val="s9"/>
    <w:rsid w:val="00F04A71"/>
    <w:rPr>
      <w:rFonts w:ascii="Times New Roman" w:hAnsi="Times New Roman" w:cs="Times New Roman" w:hint="default"/>
      <w:b/>
      <w:bCs/>
      <w:i/>
      <w:iCs/>
      <w:color w:val="333399"/>
      <w:u w:val="single"/>
      <w:bdr w:val="none" w:sz="0" w:space="0" w:color="auto" w:frame="1"/>
    </w:rPr>
  </w:style>
  <w:style w:type="character" w:customStyle="1" w:styleId="t101">
    <w:name w:val="t101"/>
    <w:rsid w:val="00F04A71"/>
    <w:rPr>
      <w:rFonts w:ascii="Tahoma" w:hAnsi="Tahoma" w:cs="Tahoma" w:hint="default"/>
      <w:b/>
      <w:bCs/>
      <w:color w:val="000000"/>
      <w:sz w:val="18"/>
      <w:szCs w:val="18"/>
    </w:rPr>
  </w:style>
  <w:style w:type="paragraph" w:customStyle="1" w:styleId="17">
    <w:name w:val="Знак1"/>
    <w:basedOn w:val="a"/>
    <w:autoRedefine/>
    <w:rsid w:val="00F07056"/>
    <w:pPr>
      <w:spacing w:after="160" w:line="240" w:lineRule="exact"/>
    </w:pPr>
    <w:rPr>
      <w:sz w:val="28"/>
      <w:szCs w:val="20"/>
      <w:lang w:val="en-US" w:eastAsia="en-US"/>
    </w:rPr>
  </w:style>
  <w:style w:type="character" w:customStyle="1" w:styleId="s2">
    <w:name w:val="s2"/>
    <w:basedOn w:val="a0"/>
    <w:rsid w:val="00731D01"/>
    <w:rPr>
      <w:color w:val="000080"/>
    </w:rPr>
  </w:style>
  <w:style w:type="character" w:styleId="aff3">
    <w:name w:val="Emphasis"/>
    <w:basedOn w:val="a0"/>
    <w:uiPriority w:val="20"/>
    <w:qFormat/>
    <w:rsid w:val="004E1E7F"/>
    <w:rPr>
      <w:i/>
      <w:iCs/>
    </w:rPr>
  </w:style>
  <w:style w:type="character" w:customStyle="1" w:styleId="tgc">
    <w:name w:val="_tgc"/>
    <w:basedOn w:val="a0"/>
    <w:rsid w:val="004F4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794">
      <w:bodyDiv w:val="1"/>
      <w:marLeft w:val="0"/>
      <w:marRight w:val="0"/>
      <w:marTop w:val="0"/>
      <w:marBottom w:val="0"/>
      <w:divBdr>
        <w:top w:val="none" w:sz="0" w:space="0" w:color="auto"/>
        <w:left w:val="none" w:sz="0" w:space="0" w:color="auto"/>
        <w:bottom w:val="none" w:sz="0" w:space="0" w:color="auto"/>
        <w:right w:val="none" w:sz="0" w:space="0" w:color="auto"/>
      </w:divBdr>
    </w:div>
    <w:div w:id="7997537">
      <w:bodyDiv w:val="1"/>
      <w:marLeft w:val="0"/>
      <w:marRight w:val="0"/>
      <w:marTop w:val="0"/>
      <w:marBottom w:val="0"/>
      <w:divBdr>
        <w:top w:val="none" w:sz="0" w:space="0" w:color="auto"/>
        <w:left w:val="none" w:sz="0" w:space="0" w:color="auto"/>
        <w:bottom w:val="none" w:sz="0" w:space="0" w:color="auto"/>
        <w:right w:val="none" w:sz="0" w:space="0" w:color="auto"/>
      </w:divBdr>
      <w:divsChild>
        <w:div w:id="233202506">
          <w:marLeft w:val="0"/>
          <w:marRight w:val="0"/>
          <w:marTop w:val="0"/>
          <w:marBottom w:val="0"/>
          <w:divBdr>
            <w:top w:val="none" w:sz="0" w:space="0" w:color="auto"/>
            <w:left w:val="none" w:sz="0" w:space="0" w:color="auto"/>
            <w:bottom w:val="none" w:sz="0" w:space="0" w:color="auto"/>
            <w:right w:val="none" w:sz="0" w:space="0" w:color="auto"/>
          </w:divBdr>
        </w:div>
        <w:div w:id="717320906">
          <w:marLeft w:val="0"/>
          <w:marRight w:val="0"/>
          <w:marTop w:val="0"/>
          <w:marBottom w:val="0"/>
          <w:divBdr>
            <w:top w:val="none" w:sz="0" w:space="0" w:color="auto"/>
            <w:left w:val="none" w:sz="0" w:space="0" w:color="auto"/>
            <w:bottom w:val="none" w:sz="0" w:space="0" w:color="auto"/>
            <w:right w:val="none" w:sz="0" w:space="0" w:color="auto"/>
          </w:divBdr>
        </w:div>
        <w:div w:id="998776309">
          <w:marLeft w:val="0"/>
          <w:marRight w:val="0"/>
          <w:marTop w:val="0"/>
          <w:marBottom w:val="0"/>
          <w:divBdr>
            <w:top w:val="none" w:sz="0" w:space="0" w:color="auto"/>
            <w:left w:val="none" w:sz="0" w:space="0" w:color="auto"/>
            <w:bottom w:val="none" w:sz="0" w:space="0" w:color="auto"/>
            <w:right w:val="none" w:sz="0" w:space="0" w:color="auto"/>
          </w:divBdr>
        </w:div>
        <w:div w:id="1368068410">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817333136">
          <w:marLeft w:val="0"/>
          <w:marRight w:val="0"/>
          <w:marTop w:val="0"/>
          <w:marBottom w:val="0"/>
          <w:divBdr>
            <w:top w:val="none" w:sz="0" w:space="0" w:color="auto"/>
            <w:left w:val="none" w:sz="0" w:space="0" w:color="auto"/>
            <w:bottom w:val="none" w:sz="0" w:space="0" w:color="auto"/>
            <w:right w:val="none" w:sz="0" w:space="0" w:color="auto"/>
          </w:divBdr>
        </w:div>
      </w:divsChild>
    </w:div>
    <w:div w:id="32467728">
      <w:bodyDiv w:val="1"/>
      <w:marLeft w:val="0"/>
      <w:marRight w:val="0"/>
      <w:marTop w:val="0"/>
      <w:marBottom w:val="0"/>
      <w:divBdr>
        <w:top w:val="none" w:sz="0" w:space="0" w:color="auto"/>
        <w:left w:val="none" w:sz="0" w:space="0" w:color="auto"/>
        <w:bottom w:val="none" w:sz="0" w:space="0" w:color="auto"/>
        <w:right w:val="none" w:sz="0" w:space="0" w:color="auto"/>
      </w:divBdr>
    </w:div>
    <w:div w:id="59518860">
      <w:bodyDiv w:val="1"/>
      <w:marLeft w:val="0"/>
      <w:marRight w:val="0"/>
      <w:marTop w:val="0"/>
      <w:marBottom w:val="0"/>
      <w:divBdr>
        <w:top w:val="none" w:sz="0" w:space="0" w:color="auto"/>
        <w:left w:val="none" w:sz="0" w:space="0" w:color="auto"/>
        <w:bottom w:val="none" w:sz="0" w:space="0" w:color="auto"/>
        <w:right w:val="none" w:sz="0" w:space="0" w:color="auto"/>
      </w:divBdr>
    </w:div>
    <w:div w:id="72897413">
      <w:bodyDiv w:val="1"/>
      <w:marLeft w:val="0"/>
      <w:marRight w:val="0"/>
      <w:marTop w:val="0"/>
      <w:marBottom w:val="0"/>
      <w:divBdr>
        <w:top w:val="none" w:sz="0" w:space="0" w:color="auto"/>
        <w:left w:val="none" w:sz="0" w:space="0" w:color="auto"/>
        <w:bottom w:val="none" w:sz="0" w:space="0" w:color="auto"/>
        <w:right w:val="none" w:sz="0" w:space="0" w:color="auto"/>
      </w:divBdr>
    </w:div>
    <w:div w:id="77023350">
      <w:bodyDiv w:val="1"/>
      <w:marLeft w:val="0"/>
      <w:marRight w:val="0"/>
      <w:marTop w:val="0"/>
      <w:marBottom w:val="0"/>
      <w:divBdr>
        <w:top w:val="none" w:sz="0" w:space="0" w:color="auto"/>
        <w:left w:val="none" w:sz="0" w:space="0" w:color="auto"/>
        <w:bottom w:val="none" w:sz="0" w:space="0" w:color="auto"/>
        <w:right w:val="none" w:sz="0" w:space="0" w:color="auto"/>
      </w:divBdr>
    </w:div>
    <w:div w:id="134496283">
      <w:bodyDiv w:val="1"/>
      <w:marLeft w:val="0"/>
      <w:marRight w:val="0"/>
      <w:marTop w:val="0"/>
      <w:marBottom w:val="0"/>
      <w:divBdr>
        <w:top w:val="none" w:sz="0" w:space="0" w:color="auto"/>
        <w:left w:val="none" w:sz="0" w:space="0" w:color="auto"/>
        <w:bottom w:val="none" w:sz="0" w:space="0" w:color="auto"/>
        <w:right w:val="none" w:sz="0" w:space="0" w:color="auto"/>
      </w:divBdr>
    </w:div>
    <w:div w:id="174463490">
      <w:bodyDiv w:val="1"/>
      <w:marLeft w:val="0"/>
      <w:marRight w:val="0"/>
      <w:marTop w:val="0"/>
      <w:marBottom w:val="0"/>
      <w:divBdr>
        <w:top w:val="none" w:sz="0" w:space="0" w:color="auto"/>
        <w:left w:val="none" w:sz="0" w:space="0" w:color="auto"/>
        <w:bottom w:val="none" w:sz="0" w:space="0" w:color="auto"/>
        <w:right w:val="none" w:sz="0" w:space="0" w:color="auto"/>
      </w:divBdr>
    </w:div>
    <w:div w:id="185489246">
      <w:bodyDiv w:val="1"/>
      <w:marLeft w:val="0"/>
      <w:marRight w:val="0"/>
      <w:marTop w:val="0"/>
      <w:marBottom w:val="0"/>
      <w:divBdr>
        <w:top w:val="none" w:sz="0" w:space="0" w:color="auto"/>
        <w:left w:val="none" w:sz="0" w:space="0" w:color="auto"/>
        <w:bottom w:val="none" w:sz="0" w:space="0" w:color="auto"/>
        <w:right w:val="none" w:sz="0" w:space="0" w:color="auto"/>
      </w:divBdr>
    </w:div>
    <w:div w:id="211622711">
      <w:bodyDiv w:val="1"/>
      <w:marLeft w:val="0"/>
      <w:marRight w:val="0"/>
      <w:marTop w:val="0"/>
      <w:marBottom w:val="0"/>
      <w:divBdr>
        <w:top w:val="none" w:sz="0" w:space="0" w:color="auto"/>
        <w:left w:val="none" w:sz="0" w:space="0" w:color="auto"/>
        <w:bottom w:val="none" w:sz="0" w:space="0" w:color="auto"/>
        <w:right w:val="none" w:sz="0" w:space="0" w:color="auto"/>
      </w:divBdr>
      <w:divsChild>
        <w:div w:id="1702125435">
          <w:marLeft w:val="0"/>
          <w:marRight w:val="0"/>
          <w:marTop w:val="0"/>
          <w:marBottom w:val="0"/>
          <w:divBdr>
            <w:top w:val="none" w:sz="0" w:space="0" w:color="auto"/>
            <w:left w:val="none" w:sz="0" w:space="0" w:color="auto"/>
            <w:bottom w:val="none" w:sz="0" w:space="0" w:color="auto"/>
            <w:right w:val="none" w:sz="0" w:space="0" w:color="auto"/>
          </w:divBdr>
          <w:divsChild>
            <w:div w:id="10355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22431">
      <w:bodyDiv w:val="1"/>
      <w:marLeft w:val="0"/>
      <w:marRight w:val="0"/>
      <w:marTop w:val="0"/>
      <w:marBottom w:val="0"/>
      <w:divBdr>
        <w:top w:val="none" w:sz="0" w:space="0" w:color="auto"/>
        <w:left w:val="none" w:sz="0" w:space="0" w:color="auto"/>
        <w:bottom w:val="none" w:sz="0" w:space="0" w:color="auto"/>
        <w:right w:val="none" w:sz="0" w:space="0" w:color="auto"/>
      </w:divBdr>
      <w:divsChild>
        <w:div w:id="22558270">
          <w:marLeft w:val="0"/>
          <w:marRight w:val="0"/>
          <w:marTop w:val="0"/>
          <w:marBottom w:val="0"/>
          <w:divBdr>
            <w:top w:val="none" w:sz="0" w:space="0" w:color="auto"/>
            <w:left w:val="none" w:sz="0" w:space="0" w:color="auto"/>
            <w:bottom w:val="none" w:sz="0" w:space="0" w:color="auto"/>
            <w:right w:val="none" w:sz="0" w:space="0" w:color="auto"/>
          </w:divBdr>
        </w:div>
        <w:div w:id="617639160">
          <w:marLeft w:val="0"/>
          <w:marRight w:val="0"/>
          <w:marTop w:val="0"/>
          <w:marBottom w:val="0"/>
          <w:divBdr>
            <w:top w:val="none" w:sz="0" w:space="0" w:color="auto"/>
            <w:left w:val="none" w:sz="0" w:space="0" w:color="auto"/>
            <w:bottom w:val="none" w:sz="0" w:space="0" w:color="auto"/>
            <w:right w:val="none" w:sz="0" w:space="0" w:color="auto"/>
          </w:divBdr>
        </w:div>
        <w:div w:id="1135486685">
          <w:marLeft w:val="0"/>
          <w:marRight w:val="0"/>
          <w:marTop w:val="0"/>
          <w:marBottom w:val="0"/>
          <w:divBdr>
            <w:top w:val="none" w:sz="0" w:space="0" w:color="auto"/>
            <w:left w:val="none" w:sz="0" w:space="0" w:color="auto"/>
            <w:bottom w:val="none" w:sz="0" w:space="0" w:color="auto"/>
            <w:right w:val="none" w:sz="0" w:space="0" w:color="auto"/>
          </w:divBdr>
        </w:div>
        <w:div w:id="1618170921">
          <w:marLeft w:val="0"/>
          <w:marRight w:val="0"/>
          <w:marTop w:val="0"/>
          <w:marBottom w:val="0"/>
          <w:divBdr>
            <w:top w:val="none" w:sz="0" w:space="0" w:color="auto"/>
            <w:left w:val="none" w:sz="0" w:space="0" w:color="auto"/>
            <w:bottom w:val="none" w:sz="0" w:space="0" w:color="auto"/>
            <w:right w:val="none" w:sz="0" w:space="0" w:color="auto"/>
          </w:divBdr>
        </w:div>
        <w:div w:id="2062442624">
          <w:marLeft w:val="0"/>
          <w:marRight w:val="0"/>
          <w:marTop w:val="0"/>
          <w:marBottom w:val="0"/>
          <w:divBdr>
            <w:top w:val="none" w:sz="0" w:space="0" w:color="auto"/>
            <w:left w:val="none" w:sz="0" w:space="0" w:color="auto"/>
            <w:bottom w:val="none" w:sz="0" w:space="0" w:color="auto"/>
            <w:right w:val="none" w:sz="0" w:space="0" w:color="auto"/>
          </w:divBdr>
        </w:div>
      </w:divsChild>
    </w:div>
    <w:div w:id="304437335">
      <w:bodyDiv w:val="1"/>
      <w:marLeft w:val="0"/>
      <w:marRight w:val="0"/>
      <w:marTop w:val="0"/>
      <w:marBottom w:val="0"/>
      <w:divBdr>
        <w:top w:val="none" w:sz="0" w:space="0" w:color="auto"/>
        <w:left w:val="none" w:sz="0" w:space="0" w:color="auto"/>
        <w:bottom w:val="none" w:sz="0" w:space="0" w:color="auto"/>
        <w:right w:val="none" w:sz="0" w:space="0" w:color="auto"/>
      </w:divBdr>
    </w:div>
    <w:div w:id="309526541">
      <w:bodyDiv w:val="1"/>
      <w:marLeft w:val="0"/>
      <w:marRight w:val="0"/>
      <w:marTop w:val="0"/>
      <w:marBottom w:val="0"/>
      <w:divBdr>
        <w:top w:val="none" w:sz="0" w:space="0" w:color="auto"/>
        <w:left w:val="none" w:sz="0" w:space="0" w:color="auto"/>
        <w:bottom w:val="none" w:sz="0" w:space="0" w:color="auto"/>
        <w:right w:val="none" w:sz="0" w:space="0" w:color="auto"/>
      </w:divBdr>
      <w:divsChild>
        <w:div w:id="683244622">
          <w:marLeft w:val="0"/>
          <w:marRight w:val="0"/>
          <w:marTop w:val="0"/>
          <w:marBottom w:val="0"/>
          <w:divBdr>
            <w:top w:val="none" w:sz="0" w:space="0" w:color="auto"/>
            <w:left w:val="none" w:sz="0" w:space="0" w:color="auto"/>
            <w:bottom w:val="none" w:sz="0" w:space="0" w:color="auto"/>
            <w:right w:val="none" w:sz="0" w:space="0" w:color="auto"/>
          </w:divBdr>
        </w:div>
        <w:div w:id="1873573356">
          <w:marLeft w:val="0"/>
          <w:marRight w:val="0"/>
          <w:marTop w:val="0"/>
          <w:marBottom w:val="0"/>
          <w:divBdr>
            <w:top w:val="none" w:sz="0" w:space="0" w:color="auto"/>
            <w:left w:val="none" w:sz="0" w:space="0" w:color="auto"/>
            <w:bottom w:val="none" w:sz="0" w:space="0" w:color="auto"/>
            <w:right w:val="none" w:sz="0" w:space="0" w:color="auto"/>
          </w:divBdr>
        </w:div>
        <w:div w:id="2064518686">
          <w:marLeft w:val="0"/>
          <w:marRight w:val="0"/>
          <w:marTop w:val="0"/>
          <w:marBottom w:val="0"/>
          <w:divBdr>
            <w:top w:val="none" w:sz="0" w:space="0" w:color="auto"/>
            <w:left w:val="none" w:sz="0" w:space="0" w:color="auto"/>
            <w:bottom w:val="none" w:sz="0" w:space="0" w:color="auto"/>
            <w:right w:val="none" w:sz="0" w:space="0" w:color="auto"/>
          </w:divBdr>
        </w:div>
      </w:divsChild>
    </w:div>
    <w:div w:id="372579029">
      <w:bodyDiv w:val="1"/>
      <w:marLeft w:val="0"/>
      <w:marRight w:val="0"/>
      <w:marTop w:val="0"/>
      <w:marBottom w:val="0"/>
      <w:divBdr>
        <w:top w:val="none" w:sz="0" w:space="0" w:color="auto"/>
        <w:left w:val="none" w:sz="0" w:space="0" w:color="auto"/>
        <w:bottom w:val="none" w:sz="0" w:space="0" w:color="auto"/>
        <w:right w:val="none" w:sz="0" w:space="0" w:color="auto"/>
      </w:divBdr>
      <w:divsChild>
        <w:div w:id="271015352">
          <w:marLeft w:val="0"/>
          <w:marRight w:val="0"/>
          <w:marTop w:val="0"/>
          <w:marBottom w:val="0"/>
          <w:divBdr>
            <w:top w:val="none" w:sz="0" w:space="0" w:color="auto"/>
            <w:left w:val="none" w:sz="0" w:space="0" w:color="auto"/>
            <w:bottom w:val="none" w:sz="0" w:space="0" w:color="auto"/>
            <w:right w:val="none" w:sz="0" w:space="0" w:color="auto"/>
          </w:divBdr>
        </w:div>
        <w:div w:id="274413303">
          <w:marLeft w:val="0"/>
          <w:marRight w:val="0"/>
          <w:marTop w:val="0"/>
          <w:marBottom w:val="0"/>
          <w:divBdr>
            <w:top w:val="none" w:sz="0" w:space="0" w:color="auto"/>
            <w:left w:val="none" w:sz="0" w:space="0" w:color="auto"/>
            <w:bottom w:val="none" w:sz="0" w:space="0" w:color="auto"/>
            <w:right w:val="none" w:sz="0" w:space="0" w:color="auto"/>
          </w:divBdr>
        </w:div>
        <w:div w:id="984359799">
          <w:marLeft w:val="0"/>
          <w:marRight w:val="0"/>
          <w:marTop w:val="0"/>
          <w:marBottom w:val="0"/>
          <w:divBdr>
            <w:top w:val="none" w:sz="0" w:space="0" w:color="auto"/>
            <w:left w:val="none" w:sz="0" w:space="0" w:color="auto"/>
            <w:bottom w:val="none" w:sz="0" w:space="0" w:color="auto"/>
            <w:right w:val="none" w:sz="0" w:space="0" w:color="auto"/>
          </w:divBdr>
        </w:div>
        <w:div w:id="1091969077">
          <w:marLeft w:val="0"/>
          <w:marRight w:val="0"/>
          <w:marTop w:val="0"/>
          <w:marBottom w:val="0"/>
          <w:divBdr>
            <w:top w:val="none" w:sz="0" w:space="0" w:color="auto"/>
            <w:left w:val="none" w:sz="0" w:space="0" w:color="auto"/>
            <w:bottom w:val="none" w:sz="0" w:space="0" w:color="auto"/>
            <w:right w:val="none" w:sz="0" w:space="0" w:color="auto"/>
          </w:divBdr>
        </w:div>
      </w:divsChild>
    </w:div>
    <w:div w:id="423305682">
      <w:bodyDiv w:val="1"/>
      <w:marLeft w:val="0"/>
      <w:marRight w:val="0"/>
      <w:marTop w:val="0"/>
      <w:marBottom w:val="0"/>
      <w:divBdr>
        <w:top w:val="none" w:sz="0" w:space="0" w:color="auto"/>
        <w:left w:val="none" w:sz="0" w:space="0" w:color="auto"/>
        <w:bottom w:val="none" w:sz="0" w:space="0" w:color="auto"/>
        <w:right w:val="none" w:sz="0" w:space="0" w:color="auto"/>
      </w:divBdr>
    </w:div>
    <w:div w:id="444739573">
      <w:bodyDiv w:val="1"/>
      <w:marLeft w:val="0"/>
      <w:marRight w:val="0"/>
      <w:marTop w:val="0"/>
      <w:marBottom w:val="0"/>
      <w:divBdr>
        <w:top w:val="none" w:sz="0" w:space="0" w:color="auto"/>
        <w:left w:val="none" w:sz="0" w:space="0" w:color="auto"/>
        <w:bottom w:val="none" w:sz="0" w:space="0" w:color="auto"/>
        <w:right w:val="none" w:sz="0" w:space="0" w:color="auto"/>
      </w:divBdr>
    </w:div>
    <w:div w:id="483471650">
      <w:bodyDiv w:val="1"/>
      <w:marLeft w:val="0"/>
      <w:marRight w:val="0"/>
      <w:marTop w:val="0"/>
      <w:marBottom w:val="0"/>
      <w:divBdr>
        <w:top w:val="none" w:sz="0" w:space="0" w:color="auto"/>
        <w:left w:val="none" w:sz="0" w:space="0" w:color="auto"/>
        <w:bottom w:val="none" w:sz="0" w:space="0" w:color="auto"/>
        <w:right w:val="none" w:sz="0" w:space="0" w:color="auto"/>
      </w:divBdr>
    </w:div>
    <w:div w:id="511381113">
      <w:bodyDiv w:val="1"/>
      <w:marLeft w:val="0"/>
      <w:marRight w:val="0"/>
      <w:marTop w:val="0"/>
      <w:marBottom w:val="0"/>
      <w:divBdr>
        <w:top w:val="none" w:sz="0" w:space="0" w:color="auto"/>
        <w:left w:val="none" w:sz="0" w:space="0" w:color="auto"/>
        <w:bottom w:val="none" w:sz="0" w:space="0" w:color="auto"/>
        <w:right w:val="none" w:sz="0" w:space="0" w:color="auto"/>
      </w:divBdr>
      <w:divsChild>
        <w:div w:id="1647541144">
          <w:marLeft w:val="0"/>
          <w:marRight w:val="0"/>
          <w:marTop w:val="0"/>
          <w:marBottom w:val="0"/>
          <w:divBdr>
            <w:top w:val="none" w:sz="0" w:space="0" w:color="auto"/>
            <w:left w:val="none" w:sz="0" w:space="0" w:color="auto"/>
            <w:bottom w:val="none" w:sz="0" w:space="0" w:color="auto"/>
            <w:right w:val="none" w:sz="0" w:space="0" w:color="auto"/>
          </w:divBdr>
          <w:divsChild>
            <w:div w:id="15720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3147">
      <w:bodyDiv w:val="1"/>
      <w:marLeft w:val="0"/>
      <w:marRight w:val="0"/>
      <w:marTop w:val="0"/>
      <w:marBottom w:val="0"/>
      <w:divBdr>
        <w:top w:val="none" w:sz="0" w:space="0" w:color="auto"/>
        <w:left w:val="none" w:sz="0" w:space="0" w:color="auto"/>
        <w:bottom w:val="none" w:sz="0" w:space="0" w:color="auto"/>
        <w:right w:val="none" w:sz="0" w:space="0" w:color="auto"/>
      </w:divBdr>
      <w:divsChild>
        <w:div w:id="938414379">
          <w:marLeft w:val="0"/>
          <w:marRight w:val="0"/>
          <w:marTop w:val="0"/>
          <w:marBottom w:val="0"/>
          <w:divBdr>
            <w:top w:val="none" w:sz="0" w:space="0" w:color="auto"/>
            <w:left w:val="none" w:sz="0" w:space="0" w:color="auto"/>
            <w:bottom w:val="none" w:sz="0" w:space="0" w:color="auto"/>
            <w:right w:val="none" w:sz="0" w:space="0" w:color="auto"/>
          </w:divBdr>
          <w:divsChild>
            <w:div w:id="20978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01723">
      <w:bodyDiv w:val="1"/>
      <w:marLeft w:val="0"/>
      <w:marRight w:val="0"/>
      <w:marTop w:val="0"/>
      <w:marBottom w:val="0"/>
      <w:divBdr>
        <w:top w:val="none" w:sz="0" w:space="0" w:color="auto"/>
        <w:left w:val="none" w:sz="0" w:space="0" w:color="auto"/>
        <w:bottom w:val="none" w:sz="0" w:space="0" w:color="auto"/>
        <w:right w:val="none" w:sz="0" w:space="0" w:color="auto"/>
      </w:divBdr>
      <w:divsChild>
        <w:div w:id="383530336">
          <w:marLeft w:val="0"/>
          <w:marRight w:val="0"/>
          <w:marTop w:val="0"/>
          <w:marBottom w:val="0"/>
          <w:divBdr>
            <w:top w:val="none" w:sz="0" w:space="0" w:color="auto"/>
            <w:left w:val="none" w:sz="0" w:space="0" w:color="auto"/>
            <w:bottom w:val="none" w:sz="0" w:space="0" w:color="auto"/>
            <w:right w:val="none" w:sz="0" w:space="0" w:color="auto"/>
          </w:divBdr>
        </w:div>
        <w:div w:id="629170430">
          <w:marLeft w:val="0"/>
          <w:marRight w:val="0"/>
          <w:marTop w:val="0"/>
          <w:marBottom w:val="0"/>
          <w:divBdr>
            <w:top w:val="none" w:sz="0" w:space="0" w:color="auto"/>
            <w:left w:val="none" w:sz="0" w:space="0" w:color="auto"/>
            <w:bottom w:val="none" w:sz="0" w:space="0" w:color="auto"/>
            <w:right w:val="none" w:sz="0" w:space="0" w:color="auto"/>
          </w:divBdr>
        </w:div>
        <w:div w:id="805317633">
          <w:marLeft w:val="0"/>
          <w:marRight w:val="0"/>
          <w:marTop w:val="0"/>
          <w:marBottom w:val="0"/>
          <w:divBdr>
            <w:top w:val="none" w:sz="0" w:space="0" w:color="auto"/>
            <w:left w:val="none" w:sz="0" w:space="0" w:color="auto"/>
            <w:bottom w:val="none" w:sz="0" w:space="0" w:color="auto"/>
            <w:right w:val="none" w:sz="0" w:space="0" w:color="auto"/>
          </w:divBdr>
        </w:div>
      </w:divsChild>
    </w:div>
    <w:div w:id="666633872">
      <w:bodyDiv w:val="1"/>
      <w:marLeft w:val="0"/>
      <w:marRight w:val="0"/>
      <w:marTop w:val="0"/>
      <w:marBottom w:val="0"/>
      <w:divBdr>
        <w:top w:val="none" w:sz="0" w:space="0" w:color="auto"/>
        <w:left w:val="none" w:sz="0" w:space="0" w:color="auto"/>
        <w:bottom w:val="none" w:sz="0" w:space="0" w:color="auto"/>
        <w:right w:val="none" w:sz="0" w:space="0" w:color="auto"/>
      </w:divBdr>
      <w:divsChild>
        <w:div w:id="121073454">
          <w:marLeft w:val="0"/>
          <w:marRight w:val="0"/>
          <w:marTop w:val="0"/>
          <w:marBottom w:val="0"/>
          <w:divBdr>
            <w:top w:val="none" w:sz="0" w:space="0" w:color="auto"/>
            <w:left w:val="none" w:sz="0" w:space="0" w:color="auto"/>
            <w:bottom w:val="none" w:sz="0" w:space="0" w:color="auto"/>
            <w:right w:val="none" w:sz="0" w:space="0" w:color="auto"/>
          </w:divBdr>
        </w:div>
        <w:div w:id="683677701">
          <w:marLeft w:val="0"/>
          <w:marRight w:val="0"/>
          <w:marTop w:val="0"/>
          <w:marBottom w:val="0"/>
          <w:divBdr>
            <w:top w:val="none" w:sz="0" w:space="0" w:color="auto"/>
            <w:left w:val="none" w:sz="0" w:space="0" w:color="auto"/>
            <w:bottom w:val="none" w:sz="0" w:space="0" w:color="auto"/>
            <w:right w:val="none" w:sz="0" w:space="0" w:color="auto"/>
          </w:divBdr>
        </w:div>
        <w:div w:id="756366321">
          <w:marLeft w:val="0"/>
          <w:marRight w:val="0"/>
          <w:marTop w:val="0"/>
          <w:marBottom w:val="0"/>
          <w:divBdr>
            <w:top w:val="none" w:sz="0" w:space="0" w:color="auto"/>
            <w:left w:val="none" w:sz="0" w:space="0" w:color="auto"/>
            <w:bottom w:val="none" w:sz="0" w:space="0" w:color="auto"/>
            <w:right w:val="none" w:sz="0" w:space="0" w:color="auto"/>
          </w:divBdr>
        </w:div>
        <w:div w:id="1627008577">
          <w:marLeft w:val="0"/>
          <w:marRight w:val="0"/>
          <w:marTop w:val="0"/>
          <w:marBottom w:val="0"/>
          <w:divBdr>
            <w:top w:val="none" w:sz="0" w:space="0" w:color="auto"/>
            <w:left w:val="none" w:sz="0" w:space="0" w:color="auto"/>
            <w:bottom w:val="none" w:sz="0" w:space="0" w:color="auto"/>
            <w:right w:val="none" w:sz="0" w:space="0" w:color="auto"/>
          </w:divBdr>
        </w:div>
        <w:div w:id="1845702684">
          <w:marLeft w:val="0"/>
          <w:marRight w:val="0"/>
          <w:marTop w:val="0"/>
          <w:marBottom w:val="0"/>
          <w:divBdr>
            <w:top w:val="none" w:sz="0" w:space="0" w:color="auto"/>
            <w:left w:val="none" w:sz="0" w:space="0" w:color="auto"/>
            <w:bottom w:val="none" w:sz="0" w:space="0" w:color="auto"/>
            <w:right w:val="none" w:sz="0" w:space="0" w:color="auto"/>
          </w:divBdr>
        </w:div>
        <w:div w:id="2097091334">
          <w:marLeft w:val="0"/>
          <w:marRight w:val="0"/>
          <w:marTop w:val="0"/>
          <w:marBottom w:val="0"/>
          <w:divBdr>
            <w:top w:val="none" w:sz="0" w:space="0" w:color="auto"/>
            <w:left w:val="none" w:sz="0" w:space="0" w:color="auto"/>
            <w:bottom w:val="none" w:sz="0" w:space="0" w:color="auto"/>
            <w:right w:val="none" w:sz="0" w:space="0" w:color="auto"/>
          </w:divBdr>
        </w:div>
        <w:div w:id="2116434676">
          <w:marLeft w:val="0"/>
          <w:marRight w:val="0"/>
          <w:marTop w:val="0"/>
          <w:marBottom w:val="0"/>
          <w:divBdr>
            <w:top w:val="none" w:sz="0" w:space="0" w:color="auto"/>
            <w:left w:val="none" w:sz="0" w:space="0" w:color="auto"/>
            <w:bottom w:val="none" w:sz="0" w:space="0" w:color="auto"/>
            <w:right w:val="none" w:sz="0" w:space="0" w:color="auto"/>
          </w:divBdr>
        </w:div>
      </w:divsChild>
    </w:div>
    <w:div w:id="686907794">
      <w:bodyDiv w:val="1"/>
      <w:marLeft w:val="0"/>
      <w:marRight w:val="0"/>
      <w:marTop w:val="0"/>
      <w:marBottom w:val="0"/>
      <w:divBdr>
        <w:top w:val="none" w:sz="0" w:space="0" w:color="auto"/>
        <w:left w:val="none" w:sz="0" w:space="0" w:color="auto"/>
        <w:bottom w:val="none" w:sz="0" w:space="0" w:color="auto"/>
        <w:right w:val="none" w:sz="0" w:space="0" w:color="auto"/>
      </w:divBdr>
      <w:divsChild>
        <w:div w:id="94637935">
          <w:marLeft w:val="0"/>
          <w:marRight w:val="0"/>
          <w:marTop w:val="0"/>
          <w:marBottom w:val="0"/>
          <w:divBdr>
            <w:top w:val="none" w:sz="0" w:space="0" w:color="auto"/>
            <w:left w:val="none" w:sz="0" w:space="0" w:color="auto"/>
            <w:bottom w:val="none" w:sz="0" w:space="0" w:color="auto"/>
            <w:right w:val="none" w:sz="0" w:space="0" w:color="auto"/>
          </w:divBdr>
        </w:div>
        <w:div w:id="296105595">
          <w:marLeft w:val="0"/>
          <w:marRight w:val="0"/>
          <w:marTop w:val="0"/>
          <w:marBottom w:val="0"/>
          <w:divBdr>
            <w:top w:val="none" w:sz="0" w:space="0" w:color="auto"/>
            <w:left w:val="none" w:sz="0" w:space="0" w:color="auto"/>
            <w:bottom w:val="none" w:sz="0" w:space="0" w:color="auto"/>
            <w:right w:val="none" w:sz="0" w:space="0" w:color="auto"/>
          </w:divBdr>
        </w:div>
        <w:div w:id="1488746781">
          <w:marLeft w:val="0"/>
          <w:marRight w:val="0"/>
          <w:marTop w:val="0"/>
          <w:marBottom w:val="0"/>
          <w:divBdr>
            <w:top w:val="none" w:sz="0" w:space="0" w:color="auto"/>
            <w:left w:val="none" w:sz="0" w:space="0" w:color="auto"/>
            <w:bottom w:val="none" w:sz="0" w:space="0" w:color="auto"/>
            <w:right w:val="none" w:sz="0" w:space="0" w:color="auto"/>
          </w:divBdr>
        </w:div>
      </w:divsChild>
    </w:div>
    <w:div w:id="711539555">
      <w:bodyDiv w:val="1"/>
      <w:marLeft w:val="0"/>
      <w:marRight w:val="0"/>
      <w:marTop w:val="0"/>
      <w:marBottom w:val="0"/>
      <w:divBdr>
        <w:top w:val="none" w:sz="0" w:space="0" w:color="auto"/>
        <w:left w:val="none" w:sz="0" w:space="0" w:color="auto"/>
        <w:bottom w:val="none" w:sz="0" w:space="0" w:color="auto"/>
        <w:right w:val="none" w:sz="0" w:space="0" w:color="auto"/>
      </w:divBdr>
    </w:div>
    <w:div w:id="732168272">
      <w:bodyDiv w:val="1"/>
      <w:marLeft w:val="0"/>
      <w:marRight w:val="0"/>
      <w:marTop w:val="0"/>
      <w:marBottom w:val="0"/>
      <w:divBdr>
        <w:top w:val="none" w:sz="0" w:space="0" w:color="auto"/>
        <w:left w:val="none" w:sz="0" w:space="0" w:color="auto"/>
        <w:bottom w:val="none" w:sz="0" w:space="0" w:color="auto"/>
        <w:right w:val="none" w:sz="0" w:space="0" w:color="auto"/>
      </w:divBdr>
    </w:div>
    <w:div w:id="736392442">
      <w:bodyDiv w:val="1"/>
      <w:marLeft w:val="0"/>
      <w:marRight w:val="0"/>
      <w:marTop w:val="0"/>
      <w:marBottom w:val="0"/>
      <w:divBdr>
        <w:top w:val="none" w:sz="0" w:space="0" w:color="auto"/>
        <w:left w:val="none" w:sz="0" w:space="0" w:color="auto"/>
        <w:bottom w:val="none" w:sz="0" w:space="0" w:color="auto"/>
        <w:right w:val="none" w:sz="0" w:space="0" w:color="auto"/>
      </w:divBdr>
    </w:div>
    <w:div w:id="747187424">
      <w:bodyDiv w:val="1"/>
      <w:marLeft w:val="0"/>
      <w:marRight w:val="0"/>
      <w:marTop w:val="0"/>
      <w:marBottom w:val="0"/>
      <w:divBdr>
        <w:top w:val="none" w:sz="0" w:space="0" w:color="auto"/>
        <w:left w:val="none" w:sz="0" w:space="0" w:color="auto"/>
        <w:bottom w:val="none" w:sz="0" w:space="0" w:color="auto"/>
        <w:right w:val="none" w:sz="0" w:space="0" w:color="auto"/>
      </w:divBdr>
    </w:div>
    <w:div w:id="775255590">
      <w:bodyDiv w:val="1"/>
      <w:marLeft w:val="0"/>
      <w:marRight w:val="0"/>
      <w:marTop w:val="0"/>
      <w:marBottom w:val="0"/>
      <w:divBdr>
        <w:top w:val="none" w:sz="0" w:space="0" w:color="auto"/>
        <w:left w:val="none" w:sz="0" w:space="0" w:color="auto"/>
        <w:bottom w:val="none" w:sz="0" w:space="0" w:color="auto"/>
        <w:right w:val="none" w:sz="0" w:space="0" w:color="auto"/>
      </w:divBdr>
      <w:divsChild>
        <w:div w:id="812134501">
          <w:marLeft w:val="0"/>
          <w:marRight w:val="0"/>
          <w:marTop w:val="0"/>
          <w:marBottom w:val="0"/>
          <w:divBdr>
            <w:top w:val="none" w:sz="0" w:space="0" w:color="auto"/>
            <w:left w:val="none" w:sz="0" w:space="0" w:color="auto"/>
            <w:bottom w:val="none" w:sz="0" w:space="0" w:color="auto"/>
            <w:right w:val="none" w:sz="0" w:space="0" w:color="auto"/>
          </w:divBdr>
        </w:div>
        <w:div w:id="1083523965">
          <w:marLeft w:val="0"/>
          <w:marRight w:val="0"/>
          <w:marTop w:val="0"/>
          <w:marBottom w:val="0"/>
          <w:divBdr>
            <w:top w:val="none" w:sz="0" w:space="0" w:color="auto"/>
            <w:left w:val="none" w:sz="0" w:space="0" w:color="auto"/>
            <w:bottom w:val="none" w:sz="0" w:space="0" w:color="auto"/>
            <w:right w:val="none" w:sz="0" w:space="0" w:color="auto"/>
          </w:divBdr>
        </w:div>
        <w:div w:id="1596012182">
          <w:marLeft w:val="0"/>
          <w:marRight w:val="0"/>
          <w:marTop w:val="0"/>
          <w:marBottom w:val="0"/>
          <w:divBdr>
            <w:top w:val="none" w:sz="0" w:space="0" w:color="auto"/>
            <w:left w:val="none" w:sz="0" w:space="0" w:color="auto"/>
            <w:bottom w:val="none" w:sz="0" w:space="0" w:color="auto"/>
            <w:right w:val="none" w:sz="0" w:space="0" w:color="auto"/>
          </w:divBdr>
        </w:div>
        <w:div w:id="2111000340">
          <w:marLeft w:val="0"/>
          <w:marRight w:val="0"/>
          <w:marTop w:val="0"/>
          <w:marBottom w:val="0"/>
          <w:divBdr>
            <w:top w:val="none" w:sz="0" w:space="0" w:color="auto"/>
            <w:left w:val="none" w:sz="0" w:space="0" w:color="auto"/>
            <w:bottom w:val="none" w:sz="0" w:space="0" w:color="auto"/>
            <w:right w:val="none" w:sz="0" w:space="0" w:color="auto"/>
          </w:divBdr>
        </w:div>
      </w:divsChild>
    </w:div>
    <w:div w:id="835076077">
      <w:bodyDiv w:val="1"/>
      <w:marLeft w:val="0"/>
      <w:marRight w:val="0"/>
      <w:marTop w:val="0"/>
      <w:marBottom w:val="0"/>
      <w:divBdr>
        <w:top w:val="none" w:sz="0" w:space="0" w:color="auto"/>
        <w:left w:val="none" w:sz="0" w:space="0" w:color="auto"/>
        <w:bottom w:val="none" w:sz="0" w:space="0" w:color="auto"/>
        <w:right w:val="none" w:sz="0" w:space="0" w:color="auto"/>
      </w:divBdr>
      <w:divsChild>
        <w:div w:id="802382142">
          <w:marLeft w:val="0"/>
          <w:marRight w:val="0"/>
          <w:marTop w:val="0"/>
          <w:marBottom w:val="0"/>
          <w:divBdr>
            <w:top w:val="none" w:sz="0" w:space="0" w:color="auto"/>
            <w:left w:val="none" w:sz="0" w:space="0" w:color="auto"/>
            <w:bottom w:val="none" w:sz="0" w:space="0" w:color="auto"/>
            <w:right w:val="none" w:sz="0" w:space="0" w:color="auto"/>
          </w:divBdr>
        </w:div>
        <w:div w:id="1179924767">
          <w:marLeft w:val="0"/>
          <w:marRight w:val="0"/>
          <w:marTop w:val="0"/>
          <w:marBottom w:val="0"/>
          <w:divBdr>
            <w:top w:val="none" w:sz="0" w:space="0" w:color="auto"/>
            <w:left w:val="none" w:sz="0" w:space="0" w:color="auto"/>
            <w:bottom w:val="none" w:sz="0" w:space="0" w:color="auto"/>
            <w:right w:val="none" w:sz="0" w:space="0" w:color="auto"/>
          </w:divBdr>
        </w:div>
        <w:div w:id="1247572101">
          <w:marLeft w:val="0"/>
          <w:marRight w:val="0"/>
          <w:marTop w:val="0"/>
          <w:marBottom w:val="0"/>
          <w:divBdr>
            <w:top w:val="none" w:sz="0" w:space="0" w:color="auto"/>
            <w:left w:val="none" w:sz="0" w:space="0" w:color="auto"/>
            <w:bottom w:val="none" w:sz="0" w:space="0" w:color="auto"/>
            <w:right w:val="none" w:sz="0" w:space="0" w:color="auto"/>
          </w:divBdr>
        </w:div>
        <w:div w:id="1637176330">
          <w:marLeft w:val="0"/>
          <w:marRight w:val="0"/>
          <w:marTop w:val="0"/>
          <w:marBottom w:val="0"/>
          <w:divBdr>
            <w:top w:val="none" w:sz="0" w:space="0" w:color="auto"/>
            <w:left w:val="none" w:sz="0" w:space="0" w:color="auto"/>
            <w:bottom w:val="none" w:sz="0" w:space="0" w:color="auto"/>
            <w:right w:val="none" w:sz="0" w:space="0" w:color="auto"/>
          </w:divBdr>
        </w:div>
      </w:divsChild>
    </w:div>
    <w:div w:id="843209453">
      <w:bodyDiv w:val="1"/>
      <w:marLeft w:val="0"/>
      <w:marRight w:val="0"/>
      <w:marTop w:val="0"/>
      <w:marBottom w:val="0"/>
      <w:divBdr>
        <w:top w:val="none" w:sz="0" w:space="0" w:color="auto"/>
        <w:left w:val="none" w:sz="0" w:space="0" w:color="auto"/>
        <w:bottom w:val="none" w:sz="0" w:space="0" w:color="auto"/>
        <w:right w:val="none" w:sz="0" w:space="0" w:color="auto"/>
      </w:divBdr>
      <w:divsChild>
        <w:div w:id="254755253">
          <w:marLeft w:val="0"/>
          <w:marRight w:val="0"/>
          <w:marTop w:val="0"/>
          <w:marBottom w:val="0"/>
          <w:divBdr>
            <w:top w:val="none" w:sz="0" w:space="0" w:color="auto"/>
            <w:left w:val="none" w:sz="0" w:space="0" w:color="auto"/>
            <w:bottom w:val="none" w:sz="0" w:space="0" w:color="auto"/>
            <w:right w:val="none" w:sz="0" w:space="0" w:color="auto"/>
          </w:divBdr>
        </w:div>
        <w:div w:id="290676263">
          <w:marLeft w:val="0"/>
          <w:marRight w:val="0"/>
          <w:marTop w:val="0"/>
          <w:marBottom w:val="0"/>
          <w:divBdr>
            <w:top w:val="none" w:sz="0" w:space="0" w:color="auto"/>
            <w:left w:val="none" w:sz="0" w:space="0" w:color="auto"/>
            <w:bottom w:val="none" w:sz="0" w:space="0" w:color="auto"/>
            <w:right w:val="none" w:sz="0" w:space="0" w:color="auto"/>
          </w:divBdr>
        </w:div>
        <w:div w:id="358941324">
          <w:marLeft w:val="0"/>
          <w:marRight w:val="0"/>
          <w:marTop w:val="0"/>
          <w:marBottom w:val="0"/>
          <w:divBdr>
            <w:top w:val="none" w:sz="0" w:space="0" w:color="auto"/>
            <w:left w:val="none" w:sz="0" w:space="0" w:color="auto"/>
            <w:bottom w:val="none" w:sz="0" w:space="0" w:color="auto"/>
            <w:right w:val="none" w:sz="0" w:space="0" w:color="auto"/>
          </w:divBdr>
        </w:div>
        <w:div w:id="644311730">
          <w:marLeft w:val="0"/>
          <w:marRight w:val="0"/>
          <w:marTop w:val="0"/>
          <w:marBottom w:val="0"/>
          <w:divBdr>
            <w:top w:val="none" w:sz="0" w:space="0" w:color="auto"/>
            <w:left w:val="none" w:sz="0" w:space="0" w:color="auto"/>
            <w:bottom w:val="none" w:sz="0" w:space="0" w:color="auto"/>
            <w:right w:val="none" w:sz="0" w:space="0" w:color="auto"/>
          </w:divBdr>
        </w:div>
        <w:div w:id="671448519">
          <w:marLeft w:val="0"/>
          <w:marRight w:val="0"/>
          <w:marTop w:val="0"/>
          <w:marBottom w:val="0"/>
          <w:divBdr>
            <w:top w:val="none" w:sz="0" w:space="0" w:color="auto"/>
            <w:left w:val="none" w:sz="0" w:space="0" w:color="auto"/>
            <w:bottom w:val="none" w:sz="0" w:space="0" w:color="auto"/>
            <w:right w:val="none" w:sz="0" w:space="0" w:color="auto"/>
          </w:divBdr>
        </w:div>
        <w:div w:id="715199047">
          <w:marLeft w:val="0"/>
          <w:marRight w:val="0"/>
          <w:marTop w:val="0"/>
          <w:marBottom w:val="0"/>
          <w:divBdr>
            <w:top w:val="none" w:sz="0" w:space="0" w:color="auto"/>
            <w:left w:val="none" w:sz="0" w:space="0" w:color="auto"/>
            <w:bottom w:val="none" w:sz="0" w:space="0" w:color="auto"/>
            <w:right w:val="none" w:sz="0" w:space="0" w:color="auto"/>
          </w:divBdr>
        </w:div>
        <w:div w:id="1019234724">
          <w:marLeft w:val="0"/>
          <w:marRight w:val="0"/>
          <w:marTop w:val="0"/>
          <w:marBottom w:val="0"/>
          <w:divBdr>
            <w:top w:val="none" w:sz="0" w:space="0" w:color="auto"/>
            <w:left w:val="none" w:sz="0" w:space="0" w:color="auto"/>
            <w:bottom w:val="none" w:sz="0" w:space="0" w:color="auto"/>
            <w:right w:val="none" w:sz="0" w:space="0" w:color="auto"/>
          </w:divBdr>
        </w:div>
        <w:div w:id="1039623732">
          <w:marLeft w:val="0"/>
          <w:marRight w:val="0"/>
          <w:marTop w:val="0"/>
          <w:marBottom w:val="0"/>
          <w:divBdr>
            <w:top w:val="none" w:sz="0" w:space="0" w:color="auto"/>
            <w:left w:val="none" w:sz="0" w:space="0" w:color="auto"/>
            <w:bottom w:val="none" w:sz="0" w:space="0" w:color="auto"/>
            <w:right w:val="none" w:sz="0" w:space="0" w:color="auto"/>
          </w:divBdr>
        </w:div>
        <w:div w:id="1111432310">
          <w:marLeft w:val="0"/>
          <w:marRight w:val="0"/>
          <w:marTop w:val="0"/>
          <w:marBottom w:val="0"/>
          <w:divBdr>
            <w:top w:val="none" w:sz="0" w:space="0" w:color="auto"/>
            <w:left w:val="none" w:sz="0" w:space="0" w:color="auto"/>
            <w:bottom w:val="none" w:sz="0" w:space="0" w:color="auto"/>
            <w:right w:val="none" w:sz="0" w:space="0" w:color="auto"/>
          </w:divBdr>
        </w:div>
        <w:div w:id="1662542885">
          <w:marLeft w:val="0"/>
          <w:marRight w:val="0"/>
          <w:marTop w:val="0"/>
          <w:marBottom w:val="0"/>
          <w:divBdr>
            <w:top w:val="none" w:sz="0" w:space="0" w:color="auto"/>
            <w:left w:val="none" w:sz="0" w:space="0" w:color="auto"/>
            <w:bottom w:val="none" w:sz="0" w:space="0" w:color="auto"/>
            <w:right w:val="none" w:sz="0" w:space="0" w:color="auto"/>
          </w:divBdr>
        </w:div>
        <w:div w:id="1676036850">
          <w:marLeft w:val="0"/>
          <w:marRight w:val="0"/>
          <w:marTop w:val="0"/>
          <w:marBottom w:val="0"/>
          <w:divBdr>
            <w:top w:val="none" w:sz="0" w:space="0" w:color="auto"/>
            <w:left w:val="none" w:sz="0" w:space="0" w:color="auto"/>
            <w:bottom w:val="none" w:sz="0" w:space="0" w:color="auto"/>
            <w:right w:val="none" w:sz="0" w:space="0" w:color="auto"/>
          </w:divBdr>
        </w:div>
        <w:div w:id="1676611709">
          <w:marLeft w:val="0"/>
          <w:marRight w:val="0"/>
          <w:marTop w:val="0"/>
          <w:marBottom w:val="0"/>
          <w:divBdr>
            <w:top w:val="none" w:sz="0" w:space="0" w:color="auto"/>
            <w:left w:val="none" w:sz="0" w:space="0" w:color="auto"/>
            <w:bottom w:val="none" w:sz="0" w:space="0" w:color="auto"/>
            <w:right w:val="none" w:sz="0" w:space="0" w:color="auto"/>
          </w:divBdr>
        </w:div>
        <w:div w:id="1960408733">
          <w:marLeft w:val="0"/>
          <w:marRight w:val="0"/>
          <w:marTop w:val="0"/>
          <w:marBottom w:val="0"/>
          <w:divBdr>
            <w:top w:val="none" w:sz="0" w:space="0" w:color="auto"/>
            <w:left w:val="none" w:sz="0" w:space="0" w:color="auto"/>
            <w:bottom w:val="none" w:sz="0" w:space="0" w:color="auto"/>
            <w:right w:val="none" w:sz="0" w:space="0" w:color="auto"/>
          </w:divBdr>
        </w:div>
        <w:div w:id="1969967939">
          <w:marLeft w:val="0"/>
          <w:marRight w:val="0"/>
          <w:marTop w:val="0"/>
          <w:marBottom w:val="0"/>
          <w:divBdr>
            <w:top w:val="none" w:sz="0" w:space="0" w:color="auto"/>
            <w:left w:val="none" w:sz="0" w:space="0" w:color="auto"/>
            <w:bottom w:val="none" w:sz="0" w:space="0" w:color="auto"/>
            <w:right w:val="none" w:sz="0" w:space="0" w:color="auto"/>
          </w:divBdr>
        </w:div>
      </w:divsChild>
    </w:div>
    <w:div w:id="849835026">
      <w:bodyDiv w:val="1"/>
      <w:marLeft w:val="0"/>
      <w:marRight w:val="0"/>
      <w:marTop w:val="0"/>
      <w:marBottom w:val="0"/>
      <w:divBdr>
        <w:top w:val="none" w:sz="0" w:space="0" w:color="auto"/>
        <w:left w:val="none" w:sz="0" w:space="0" w:color="auto"/>
        <w:bottom w:val="none" w:sz="0" w:space="0" w:color="auto"/>
        <w:right w:val="none" w:sz="0" w:space="0" w:color="auto"/>
      </w:divBdr>
      <w:divsChild>
        <w:div w:id="620964679">
          <w:marLeft w:val="0"/>
          <w:marRight w:val="0"/>
          <w:marTop w:val="0"/>
          <w:marBottom w:val="0"/>
          <w:divBdr>
            <w:top w:val="none" w:sz="0" w:space="0" w:color="auto"/>
            <w:left w:val="none" w:sz="0" w:space="0" w:color="auto"/>
            <w:bottom w:val="none" w:sz="0" w:space="0" w:color="auto"/>
            <w:right w:val="none" w:sz="0" w:space="0" w:color="auto"/>
          </w:divBdr>
        </w:div>
        <w:div w:id="759446267">
          <w:marLeft w:val="0"/>
          <w:marRight w:val="0"/>
          <w:marTop w:val="0"/>
          <w:marBottom w:val="0"/>
          <w:divBdr>
            <w:top w:val="none" w:sz="0" w:space="0" w:color="auto"/>
            <w:left w:val="none" w:sz="0" w:space="0" w:color="auto"/>
            <w:bottom w:val="none" w:sz="0" w:space="0" w:color="auto"/>
            <w:right w:val="none" w:sz="0" w:space="0" w:color="auto"/>
          </w:divBdr>
        </w:div>
        <w:div w:id="1355570174">
          <w:marLeft w:val="0"/>
          <w:marRight w:val="0"/>
          <w:marTop w:val="0"/>
          <w:marBottom w:val="0"/>
          <w:divBdr>
            <w:top w:val="none" w:sz="0" w:space="0" w:color="auto"/>
            <w:left w:val="none" w:sz="0" w:space="0" w:color="auto"/>
            <w:bottom w:val="none" w:sz="0" w:space="0" w:color="auto"/>
            <w:right w:val="none" w:sz="0" w:space="0" w:color="auto"/>
          </w:divBdr>
        </w:div>
        <w:div w:id="1523009735">
          <w:marLeft w:val="0"/>
          <w:marRight w:val="0"/>
          <w:marTop w:val="0"/>
          <w:marBottom w:val="0"/>
          <w:divBdr>
            <w:top w:val="none" w:sz="0" w:space="0" w:color="auto"/>
            <w:left w:val="none" w:sz="0" w:space="0" w:color="auto"/>
            <w:bottom w:val="none" w:sz="0" w:space="0" w:color="auto"/>
            <w:right w:val="none" w:sz="0" w:space="0" w:color="auto"/>
          </w:divBdr>
        </w:div>
      </w:divsChild>
    </w:div>
    <w:div w:id="854267298">
      <w:bodyDiv w:val="1"/>
      <w:marLeft w:val="0"/>
      <w:marRight w:val="0"/>
      <w:marTop w:val="0"/>
      <w:marBottom w:val="0"/>
      <w:divBdr>
        <w:top w:val="none" w:sz="0" w:space="0" w:color="auto"/>
        <w:left w:val="none" w:sz="0" w:space="0" w:color="auto"/>
        <w:bottom w:val="none" w:sz="0" w:space="0" w:color="auto"/>
        <w:right w:val="none" w:sz="0" w:space="0" w:color="auto"/>
      </w:divBdr>
    </w:div>
    <w:div w:id="860553584">
      <w:bodyDiv w:val="1"/>
      <w:marLeft w:val="0"/>
      <w:marRight w:val="0"/>
      <w:marTop w:val="0"/>
      <w:marBottom w:val="0"/>
      <w:divBdr>
        <w:top w:val="none" w:sz="0" w:space="0" w:color="auto"/>
        <w:left w:val="none" w:sz="0" w:space="0" w:color="auto"/>
        <w:bottom w:val="none" w:sz="0" w:space="0" w:color="auto"/>
        <w:right w:val="none" w:sz="0" w:space="0" w:color="auto"/>
      </w:divBdr>
    </w:div>
    <w:div w:id="885750521">
      <w:bodyDiv w:val="1"/>
      <w:marLeft w:val="0"/>
      <w:marRight w:val="0"/>
      <w:marTop w:val="0"/>
      <w:marBottom w:val="0"/>
      <w:divBdr>
        <w:top w:val="none" w:sz="0" w:space="0" w:color="auto"/>
        <w:left w:val="none" w:sz="0" w:space="0" w:color="auto"/>
        <w:bottom w:val="none" w:sz="0" w:space="0" w:color="auto"/>
        <w:right w:val="none" w:sz="0" w:space="0" w:color="auto"/>
      </w:divBdr>
      <w:divsChild>
        <w:div w:id="320230702">
          <w:marLeft w:val="0"/>
          <w:marRight w:val="0"/>
          <w:marTop w:val="0"/>
          <w:marBottom w:val="0"/>
          <w:divBdr>
            <w:top w:val="none" w:sz="0" w:space="0" w:color="auto"/>
            <w:left w:val="none" w:sz="0" w:space="0" w:color="auto"/>
            <w:bottom w:val="none" w:sz="0" w:space="0" w:color="auto"/>
            <w:right w:val="none" w:sz="0" w:space="0" w:color="auto"/>
          </w:divBdr>
        </w:div>
        <w:div w:id="483933730">
          <w:marLeft w:val="0"/>
          <w:marRight w:val="0"/>
          <w:marTop w:val="0"/>
          <w:marBottom w:val="0"/>
          <w:divBdr>
            <w:top w:val="none" w:sz="0" w:space="0" w:color="auto"/>
            <w:left w:val="none" w:sz="0" w:space="0" w:color="auto"/>
            <w:bottom w:val="none" w:sz="0" w:space="0" w:color="auto"/>
            <w:right w:val="none" w:sz="0" w:space="0" w:color="auto"/>
          </w:divBdr>
        </w:div>
        <w:div w:id="679427267">
          <w:marLeft w:val="0"/>
          <w:marRight w:val="0"/>
          <w:marTop w:val="0"/>
          <w:marBottom w:val="0"/>
          <w:divBdr>
            <w:top w:val="none" w:sz="0" w:space="0" w:color="auto"/>
            <w:left w:val="none" w:sz="0" w:space="0" w:color="auto"/>
            <w:bottom w:val="none" w:sz="0" w:space="0" w:color="auto"/>
            <w:right w:val="none" w:sz="0" w:space="0" w:color="auto"/>
          </w:divBdr>
        </w:div>
        <w:div w:id="745609048">
          <w:marLeft w:val="0"/>
          <w:marRight w:val="0"/>
          <w:marTop w:val="0"/>
          <w:marBottom w:val="0"/>
          <w:divBdr>
            <w:top w:val="none" w:sz="0" w:space="0" w:color="auto"/>
            <w:left w:val="none" w:sz="0" w:space="0" w:color="auto"/>
            <w:bottom w:val="none" w:sz="0" w:space="0" w:color="auto"/>
            <w:right w:val="none" w:sz="0" w:space="0" w:color="auto"/>
          </w:divBdr>
        </w:div>
        <w:div w:id="1610119241">
          <w:marLeft w:val="0"/>
          <w:marRight w:val="0"/>
          <w:marTop w:val="0"/>
          <w:marBottom w:val="0"/>
          <w:divBdr>
            <w:top w:val="none" w:sz="0" w:space="0" w:color="auto"/>
            <w:left w:val="none" w:sz="0" w:space="0" w:color="auto"/>
            <w:bottom w:val="none" w:sz="0" w:space="0" w:color="auto"/>
            <w:right w:val="none" w:sz="0" w:space="0" w:color="auto"/>
          </w:divBdr>
        </w:div>
      </w:divsChild>
    </w:div>
    <w:div w:id="996347811">
      <w:bodyDiv w:val="1"/>
      <w:marLeft w:val="0"/>
      <w:marRight w:val="0"/>
      <w:marTop w:val="0"/>
      <w:marBottom w:val="0"/>
      <w:divBdr>
        <w:top w:val="none" w:sz="0" w:space="0" w:color="auto"/>
        <w:left w:val="none" w:sz="0" w:space="0" w:color="auto"/>
        <w:bottom w:val="none" w:sz="0" w:space="0" w:color="auto"/>
        <w:right w:val="none" w:sz="0" w:space="0" w:color="auto"/>
      </w:divBdr>
    </w:div>
    <w:div w:id="996690630">
      <w:bodyDiv w:val="1"/>
      <w:marLeft w:val="0"/>
      <w:marRight w:val="0"/>
      <w:marTop w:val="0"/>
      <w:marBottom w:val="0"/>
      <w:divBdr>
        <w:top w:val="none" w:sz="0" w:space="0" w:color="auto"/>
        <w:left w:val="none" w:sz="0" w:space="0" w:color="auto"/>
        <w:bottom w:val="none" w:sz="0" w:space="0" w:color="auto"/>
        <w:right w:val="none" w:sz="0" w:space="0" w:color="auto"/>
      </w:divBdr>
    </w:div>
    <w:div w:id="1030838794">
      <w:bodyDiv w:val="1"/>
      <w:marLeft w:val="0"/>
      <w:marRight w:val="0"/>
      <w:marTop w:val="0"/>
      <w:marBottom w:val="0"/>
      <w:divBdr>
        <w:top w:val="none" w:sz="0" w:space="0" w:color="auto"/>
        <w:left w:val="none" w:sz="0" w:space="0" w:color="auto"/>
        <w:bottom w:val="none" w:sz="0" w:space="0" w:color="auto"/>
        <w:right w:val="none" w:sz="0" w:space="0" w:color="auto"/>
      </w:divBdr>
    </w:div>
    <w:div w:id="1060321581">
      <w:bodyDiv w:val="1"/>
      <w:marLeft w:val="0"/>
      <w:marRight w:val="0"/>
      <w:marTop w:val="0"/>
      <w:marBottom w:val="0"/>
      <w:divBdr>
        <w:top w:val="none" w:sz="0" w:space="0" w:color="auto"/>
        <w:left w:val="none" w:sz="0" w:space="0" w:color="auto"/>
        <w:bottom w:val="none" w:sz="0" w:space="0" w:color="auto"/>
        <w:right w:val="none" w:sz="0" w:space="0" w:color="auto"/>
      </w:divBdr>
    </w:div>
    <w:div w:id="1063411051">
      <w:bodyDiv w:val="1"/>
      <w:marLeft w:val="0"/>
      <w:marRight w:val="0"/>
      <w:marTop w:val="0"/>
      <w:marBottom w:val="0"/>
      <w:divBdr>
        <w:top w:val="none" w:sz="0" w:space="0" w:color="auto"/>
        <w:left w:val="none" w:sz="0" w:space="0" w:color="auto"/>
        <w:bottom w:val="none" w:sz="0" w:space="0" w:color="auto"/>
        <w:right w:val="none" w:sz="0" w:space="0" w:color="auto"/>
      </w:divBdr>
    </w:div>
    <w:div w:id="1082338525">
      <w:bodyDiv w:val="1"/>
      <w:marLeft w:val="0"/>
      <w:marRight w:val="0"/>
      <w:marTop w:val="0"/>
      <w:marBottom w:val="0"/>
      <w:divBdr>
        <w:top w:val="none" w:sz="0" w:space="0" w:color="auto"/>
        <w:left w:val="none" w:sz="0" w:space="0" w:color="auto"/>
        <w:bottom w:val="none" w:sz="0" w:space="0" w:color="auto"/>
        <w:right w:val="none" w:sz="0" w:space="0" w:color="auto"/>
      </w:divBdr>
      <w:divsChild>
        <w:div w:id="489756168">
          <w:marLeft w:val="0"/>
          <w:marRight w:val="0"/>
          <w:marTop w:val="0"/>
          <w:marBottom w:val="0"/>
          <w:divBdr>
            <w:top w:val="none" w:sz="0" w:space="0" w:color="auto"/>
            <w:left w:val="none" w:sz="0" w:space="0" w:color="auto"/>
            <w:bottom w:val="none" w:sz="0" w:space="0" w:color="auto"/>
            <w:right w:val="none" w:sz="0" w:space="0" w:color="auto"/>
          </w:divBdr>
        </w:div>
        <w:div w:id="1240019458">
          <w:marLeft w:val="0"/>
          <w:marRight w:val="0"/>
          <w:marTop w:val="0"/>
          <w:marBottom w:val="0"/>
          <w:divBdr>
            <w:top w:val="none" w:sz="0" w:space="0" w:color="auto"/>
            <w:left w:val="none" w:sz="0" w:space="0" w:color="auto"/>
            <w:bottom w:val="none" w:sz="0" w:space="0" w:color="auto"/>
            <w:right w:val="none" w:sz="0" w:space="0" w:color="auto"/>
          </w:divBdr>
        </w:div>
        <w:div w:id="1576627129">
          <w:marLeft w:val="0"/>
          <w:marRight w:val="0"/>
          <w:marTop w:val="0"/>
          <w:marBottom w:val="0"/>
          <w:divBdr>
            <w:top w:val="none" w:sz="0" w:space="0" w:color="auto"/>
            <w:left w:val="none" w:sz="0" w:space="0" w:color="auto"/>
            <w:bottom w:val="none" w:sz="0" w:space="0" w:color="auto"/>
            <w:right w:val="none" w:sz="0" w:space="0" w:color="auto"/>
          </w:divBdr>
        </w:div>
        <w:div w:id="1704478107">
          <w:marLeft w:val="0"/>
          <w:marRight w:val="0"/>
          <w:marTop w:val="0"/>
          <w:marBottom w:val="0"/>
          <w:divBdr>
            <w:top w:val="none" w:sz="0" w:space="0" w:color="auto"/>
            <w:left w:val="none" w:sz="0" w:space="0" w:color="auto"/>
            <w:bottom w:val="none" w:sz="0" w:space="0" w:color="auto"/>
            <w:right w:val="none" w:sz="0" w:space="0" w:color="auto"/>
          </w:divBdr>
        </w:div>
      </w:divsChild>
    </w:div>
    <w:div w:id="1114253075">
      <w:bodyDiv w:val="1"/>
      <w:marLeft w:val="0"/>
      <w:marRight w:val="0"/>
      <w:marTop w:val="0"/>
      <w:marBottom w:val="0"/>
      <w:divBdr>
        <w:top w:val="none" w:sz="0" w:space="0" w:color="auto"/>
        <w:left w:val="none" w:sz="0" w:space="0" w:color="auto"/>
        <w:bottom w:val="none" w:sz="0" w:space="0" w:color="auto"/>
        <w:right w:val="none" w:sz="0" w:space="0" w:color="auto"/>
      </w:divBdr>
    </w:div>
    <w:div w:id="1148859329">
      <w:bodyDiv w:val="1"/>
      <w:marLeft w:val="0"/>
      <w:marRight w:val="0"/>
      <w:marTop w:val="0"/>
      <w:marBottom w:val="0"/>
      <w:divBdr>
        <w:top w:val="none" w:sz="0" w:space="0" w:color="auto"/>
        <w:left w:val="none" w:sz="0" w:space="0" w:color="auto"/>
        <w:bottom w:val="none" w:sz="0" w:space="0" w:color="auto"/>
        <w:right w:val="none" w:sz="0" w:space="0" w:color="auto"/>
      </w:divBdr>
    </w:div>
    <w:div w:id="1157645927">
      <w:bodyDiv w:val="1"/>
      <w:marLeft w:val="0"/>
      <w:marRight w:val="0"/>
      <w:marTop w:val="0"/>
      <w:marBottom w:val="0"/>
      <w:divBdr>
        <w:top w:val="none" w:sz="0" w:space="0" w:color="auto"/>
        <w:left w:val="none" w:sz="0" w:space="0" w:color="auto"/>
        <w:bottom w:val="none" w:sz="0" w:space="0" w:color="auto"/>
        <w:right w:val="none" w:sz="0" w:space="0" w:color="auto"/>
      </w:divBdr>
      <w:divsChild>
        <w:div w:id="157116650">
          <w:marLeft w:val="0"/>
          <w:marRight w:val="0"/>
          <w:marTop w:val="0"/>
          <w:marBottom w:val="0"/>
          <w:divBdr>
            <w:top w:val="none" w:sz="0" w:space="0" w:color="auto"/>
            <w:left w:val="none" w:sz="0" w:space="0" w:color="auto"/>
            <w:bottom w:val="none" w:sz="0" w:space="0" w:color="auto"/>
            <w:right w:val="none" w:sz="0" w:space="0" w:color="auto"/>
          </w:divBdr>
        </w:div>
        <w:div w:id="206529633">
          <w:marLeft w:val="0"/>
          <w:marRight w:val="0"/>
          <w:marTop w:val="0"/>
          <w:marBottom w:val="0"/>
          <w:divBdr>
            <w:top w:val="none" w:sz="0" w:space="0" w:color="auto"/>
            <w:left w:val="none" w:sz="0" w:space="0" w:color="auto"/>
            <w:bottom w:val="none" w:sz="0" w:space="0" w:color="auto"/>
            <w:right w:val="none" w:sz="0" w:space="0" w:color="auto"/>
          </w:divBdr>
        </w:div>
        <w:div w:id="554587264">
          <w:marLeft w:val="0"/>
          <w:marRight w:val="0"/>
          <w:marTop w:val="0"/>
          <w:marBottom w:val="0"/>
          <w:divBdr>
            <w:top w:val="none" w:sz="0" w:space="0" w:color="auto"/>
            <w:left w:val="none" w:sz="0" w:space="0" w:color="auto"/>
            <w:bottom w:val="none" w:sz="0" w:space="0" w:color="auto"/>
            <w:right w:val="none" w:sz="0" w:space="0" w:color="auto"/>
          </w:divBdr>
        </w:div>
        <w:div w:id="2129855542">
          <w:marLeft w:val="0"/>
          <w:marRight w:val="0"/>
          <w:marTop w:val="0"/>
          <w:marBottom w:val="0"/>
          <w:divBdr>
            <w:top w:val="none" w:sz="0" w:space="0" w:color="auto"/>
            <w:left w:val="none" w:sz="0" w:space="0" w:color="auto"/>
            <w:bottom w:val="none" w:sz="0" w:space="0" w:color="auto"/>
            <w:right w:val="none" w:sz="0" w:space="0" w:color="auto"/>
          </w:divBdr>
        </w:div>
      </w:divsChild>
    </w:div>
    <w:div w:id="1191576996">
      <w:bodyDiv w:val="1"/>
      <w:marLeft w:val="0"/>
      <w:marRight w:val="0"/>
      <w:marTop w:val="0"/>
      <w:marBottom w:val="0"/>
      <w:divBdr>
        <w:top w:val="none" w:sz="0" w:space="0" w:color="auto"/>
        <w:left w:val="none" w:sz="0" w:space="0" w:color="auto"/>
        <w:bottom w:val="none" w:sz="0" w:space="0" w:color="auto"/>
        <w:right w:val="none" w:sz="0" w:space="0" w:color="auto"/>
      </w:divBdr>
    </w:div>
    <w:div w:id="1253202452">
      <w:bodyDiv w:val="1"/>
      <w:marLeft w:val="0"/>
      <w:marRight w:val="0"/>
      <w:marTop w:val="0"/>
      <w:marBottom w:val="0"/>
      <w:divBdr>
        <w:top w:val="none" w:sz="0" w:space="0" w:color="auto"/>
        <w:left w:val="none" w:sz="0" w:space="0" w:color="auto"/>
        <w:bottom w:val="none" w:sz="0" w:space="0" w:color="auto"/>
        <w:right w:val="none" w:sz="0" w:space="0" w:color="auto"/>
      </w:divBdr>
    </w:div>
    <w:div w:id="1281952425">
      <w:bodyDiv w:val="1"/>
      <w:marLeft w:val="0"/>
      <w:marRight w:val="0"/>
      <w:marTop w:val="0"/>
      <w:marBottom w:val="0"/>
      <w:divBdr>
        <w:top w:val="none" w:sz="0" w:space="0" w:color="auto"/>
        <w:left w:val="none" w:sz="0" w:space="0" w:color="auto"/>
        <w:bottom w:val="none" w:sz="0" w:space="0" w:color="auto"/>
        <w:right w:val="none" w:sz="0" w:space="0" w:color="auto"/>
      </w:divBdr>
      <w:divsChild>
        <w:div w:id="438179927">
          <w:marLeft w:val="0"/>
          <w:marRight w:val="0"/>
          <w:marTop w:val="0"/>
          <w:marBottom w:val="0"/>
          <w:divBdr>
            <w:top w:val="none" w:sz="0" w:space="0" w:color="auto"/>
            <w:left w:val="none" w:sz="0" w:space="0" w:color="auto"/>
            <w:bottom w:val="none" w:sz="0" w:space="0" w:color="auto"/>
            <w:right w:val="none" w:sz="0" w:space="0" w:color="auto"/>
          </w:divBdr>
        </w:div>
        <w:div w:id="827021236">
          <w:marLeft w:val="0"/>
          <w:marRight w:val="0"/>
          <w:marTop w:val="0"/>
          <w:marBottom w:val="0"/>
          <w:divBdr>
            <w:top w:val="none" w:sz="0" w:space="0" w:color="auto"/>
            <w:left w:val="none" w:sz="0" w:space="0" w:color="auto"/>
            <w:bottom w:val="none" w:sz="0" w:space="0" w:color="auto"/>
            <w:right w:val="none" w:sz="0" w:space="0" w:color="auto"/>
          </w:divBdr>
        </w:div>
        <w:div w:id="913972063">
          <w:marLeft w:val="0"/>
          <w:marRight w:val="0"/>
          <w:marTop w:val="0"/>
          <w:marBottom w:val="0"/>
          <w:divBdr>
            <w:top w:val="none" w:sz="0" w:space="0" w:color="auto"/>
            <w:left w:val="none" w:sz="0" w:space="0" w:color="auto"/>
            <w:bottom w:val="none" w:sz="0" w:space="0" w:color="auto"/>
            <w:right w:val="none" w:sz="0" w:space="0" w:color="auto"/>
          </w:divBdr>
        </w:div>
        <w:div w:id="1891114571">
          <w:marLeft w:val="0"/>
          <w:marRight w:val="0"/>
          <w:marTop w:val="0"/>
          <w:marBottom w:val="0"/>
          <w:divBdr>
            <w:top w:val="none" w:sz="0" w:space="0" w:color="auto"/>
            <w:left w:val="none" w:sz="0" w:space="0" w:color="auto"/>
            <w:bottom w:val="none" w:sz="0" w:space="0" w:color="auto"/>
            <w:right w:val="none" w:sz="0" w:space="0" w:color="auto"/>
          </w:divBdr>
        </w:div>
      </w:divsChild>
    </w:div>
    <w:div w:id="1315375342">
      <w:bodyDiv w:val="1"/>
      <w:marLeft w:val="0"/>
      <w:marRight w:val="0"/>
      <w:marTop w:val="0"/>
      <w:marBottom w:val="0"/>
      <w:divBdr>
        <w:top w:val="none" w:sz="0" w:space="0" w:color="auto"/>
        <w:left w:val="none" w:sz="0" w:space="0" w:color="auto"/>
        <w:bottom w:val="none" w:sz="0" w:space="0" w:color="auto"/>
        <w:right w:val="none" w:sz="0" w:space="0" w:color="auto"/>
      </w:divBdr>
      <w:divsChild>
        <w:div w:id="867452155">
          <w:marLeft w:val="0"/>
          <w:marRight w:val="0"/>
          <w:marTop w:val="0"/>
          <w:marBottom w:val="0"/>
          <w:divBdr>
            <w:top w:val="none" w:sz="0" w:space="0" w:color="auto"/>
            <w:left w:val="none" w:sz="0" w:space="0" w:color="auto"/>
            <w:bottom w:val="none" w:sz="0" w:space="0" w:color="auto"/>
            <w:right w:val="none" w:sz="0" w:space="0" w:color="auto"/>
          </w:divBdr>
        </w:div>
        <w:div w:id="1435904438">
          <w:marLeft w:val="0"/>
          <w:marRight w:val="0"/>
          <w:marTop w:val="0"/>
          <w:marBottom w:val="0"/>
          <w:divBdr>
            <w:top w:val="none" w:sz="0" w:space="0" w:color="auto"/>
            <w:left w:val="none" w:sz="0" w:space="0" w:color="auto"/>
            <w:bottom w:val="none" w:sz="0" w:space="0" w:color="auto"/>
            <w:right w:val="none" w:sz="0" w:space="0" w:color="auto"/>
          </w:divBdr>
        </w:div>
        <w:div w:id="1810055665">
          <w:marLeft w:val="0"/>
          <w:marRight w:val="0"/>
          <w:marTop w:val="0"/>
          <w:marBottom w:val="0"/>
          <w:divBdr>
            <w:top w:val="none" w:sz="0" w:space="0" w:color="auto"/>
            <w:left w:val="none" w:sz="0" w:space="0" w:color="auto"/>
            <w:bottom w:val="none" w:sz="0" w:space="0" w:color="auto"/>
            <w:right w:val="none" w:sz="0" w:space="0" w:color="auto"/>
          </w:divBdr>
        </w:div>
        <w:div w:id="1964386299">
          <w:marLeft w:val="0"/>
          <w:marRight w:val="0"/>
          <w:marTop w:val="0"/>
          <w:marBottom w:val="0"/>
          <w:divBdr>
            <w:top w:val="none" w:sz="0" w:space="0" w:color="auto"/>
            <w:left w:val="none" w:sz="0" w:space="0" w:color="auto"/>
            <w:bottom w:val="none" w:sz="0" w:space="0" w:color="auto"/>
            <w:right w:val="none" w:sz="0" w:space="0" w:color="auto"/>
          </w:divBdr>
        </w:div>
        <w:div w:id="2060207632">
          <w:marLeft w:val="0"/>
          <w:marRight w:val="0"/>
          <w:marTop w:val="0"/>
          <w:marBottom w:val="0"/>
          <w:divBdr>
            <w:top w:val="none" w:sz="0" w:space="0" w:color="auto"/>
            <w:left w:val="none" w:sz="0" w:space="0" w:color="auto"/>
            <w:bottom w:val="none" w:sz="0" w:space="0" w:color="auto"/>
            <w:right w:val="none" w:sz="0" w:space="0" w:color="auto"/>
          </w:divBdr>
        </w:div>
      </w:divsChild>
    </w:div>
    <w:div w:id="1393577241">
      <w:bodyDiv w:val="1"/>
      <w:marLeft w:val="0"/>
      <w:marRight w:val="0"/>
      <w:marTop w:val="0"/>
      <w:marBottom w:val="0"/>
      <w:divBdr>
        <w:top w:val="none" w:sz="0" w:space="0" w:color="auto"/>
        <w:left w:val="none" w:sz="0" w:space="0" w:color="auto"/>
        <w:bottom w:val="none" w:sz="0" w:space="0" w:color="auto"/>
        <w:right w:val="none" w:sz="0" w:space="0" w:color="auto"/>
      </w:divBdr>
    </w:div>
    <w:div w:id="1411808253">
      <w:bodyDiv w:val="1"/>
      <w:marLeft w:val="0"/>
      <w:marRight w:val="0"/>
      <w:marTop w:val="0"/>
      <w:marBottom w:val="0"/>
      <w:divBdr>
        <w:top w:val="none" w:sz="0" w:space="0" w:color="auto"/>
        <w:left w:val="none" w:sz="0" w:space="0" w:color="auto"/>
        <w:bottom w:val="none" w:sz="0" w:space="0" w:color="auto"/>
        <w:right w:val="none" w:sz="0" w:space="0" w:color="auto"/>
      </w:divBdr>
    </w:div>
    <w:div w:id="1489396614">
      <w:bodyDiv w:val="1"/>
      <w:marLeft w:val="0"/>
      <w:marRight w:val="0"/>
      <w:marTop w:val="0"/>
      <w:marBottom w:val="0"/>
      <w:divBdr>
        <w:top w:val="none" w:sz="0" w:space="0" w:color="auto"/>
        <w:left w:val="none" w:sz="0" w:space="0" w:color="auto"/>
        <w:bottom w:val="none" w:sz="0" w:space="0" w:color="auto"/>
        <w:right w:val="none" w:sz="0" w:space="0" w:color="auto"/>
      </w:divBdr>
      <w:divsChild>
        <w:div w:id="766968761">
          <w:marLeft w:val="0"/>
          <w:marRight w:val="0"/>
          <w:marTop w:val="0"/>
          <w:marBottom w:val="0"/>
          <w:divBdr>
            <w:top w:val="none" w:sz="0" w:space="0" w:color="auto"/>
            <w:left w:val="none" w:sz="0" w:space="0" w:color="auto"/>
            <w:bottom w:val="none" w:sz="0" w:space="0" w:color="auto"/>
            <w:right w:val="none" w:sz="0" w:space="0" w:color="auto"/>
          </w:divBdr>
        </w:div>
      </w:divsChild>
    </w:div>
    <w:div w:id="1533372710">
      <w:bodyDiv w:val="1"/>
      <w:marLeft w:val="0"/>
      <w:marRight w:val="0"/>
      <w:marTop w:val="0"/>
      <w:marBottom w:val="0"/>
      <w:divBdr>
        <w:top w:val="none" w:sz="0" w:space="0" w:color="auto"/>
        <w:left w:val="none" w:sz="0" w:space="0" w:color="auto"/>
        <w:bottom w:val="none" w:sz="0" w:space="0" w:color="auto"/>
        <w:right w:val="none" w:sz="0" w:space="0" w:color="auto"/>
      </w:divBdr>
      <w:divsChild>
        <w:div w:id="375783797">
          <w:marLeft w:val="0"/>
          <w:marRight w:val="0"/>
          <w:marTop w:val="0"/>
          <w:marBottom w:val="0"/>
          <w:divBdr>
            <w:top w:val="none" w:sz="0" w:space="0" w:color="auto"/>
            <w:left w:val="none" w:sz="0" w:space="0" w:color="auto"/>
            <w:bottom w:val="none" w:sz="0" w:space="0" w:color="auto"/>
            <w:right w:val="none" w:sz="0" w:space="0" w:color="auto"/>
          </w:divBdr>
        </w:div>
        <w:div w:id="1741558381">
          <w:marLeft w:val="0"/>
          <w:marRight w:val="0"/>
          <w:marTop w:val="0"/>
          <w:marBottom w:val="0"/>
          <w:divBdr>
            <w:top w:val="none" w:sz="0" w:space="0" w:color="auto"/>
            <w:left w:val="none" w:sz="0" w:space="0" w:color="auto"/>
            <w:bottom w:val="none" w:sz="0" w:space="0" w:color="auto"/>
            <w:right w:val="none" w:sz="0" w:space="0" w:color="auto"/>
          </w:divBdr>
        </w:div>
        <w:div w:id="1961254614">
          <w:marLeft w:val="0"/>
          <w:marRight w:val="0"/>
          <w:marTop w:val="0"/>
          <w:marBottom w:val="0"/>
          <w:divBdr>
            <w:top w:val="none" w:sz="0" w:space="0" w:color="auto"/>
            <w:left w:val="none" w:sz="0" w:space="0" w:color="auto"/>
            <w:bottom w:val="none" w:sz="0" w:space="0" w:color="auto"/>
            <w:right w:val="none" w:sz="0" w:space="0" w:color="auto"/>
          </w:divBdr>
        </w:div>
      </w:divsChild>
    </w:div>
    <w:div w:id="1570849487">
      <w:bodyDiv w:val="1"/>
      <w:marLeft w:val="0"/>
      <w:marRight w:val="0"/>
      <w:marTop w:val="0"/>
      <w:marBottom w:val="0"/>
      <w:divBdr>
        <w:top w:val="none" w:sz="0" w:space="0" w:color="auto"/>
        <w:left w:val="none" w:sz="0" w:space="0" w:color="auto"/>
        <w:bottom w:val="none" w:sz="0" w:space="0" w:color="auto"/>
        <w:right w:val="none" w:sz="0" w:space="0" w:color="auto"/>
      </w:divBdr>
    </w:div>
    <w:div w:id="1571963347">
      <w:bodyDiv w:val="1"/>
      <w:marLeft w:val="0"/>
      <w:marRight w:val="0"/>
      <w:marTop w:val="0"/>
      <w:marBottom w:val="0"/>
      <w:divBdr>
        <w:top w:val="none" w:sz="0" w:space="0" w:color="auto"/>
        <w:left w:val="none" w:sz="0" w:space="0" w:color="auto"/>
        <w:bottom w:val="none" w:sz="0" w:space="0" w:color="auto"/>
        <w:right w:val="none" w:sz="0" w:space="0" w:color="auto"/>
      </w:divBdr>
    </w:div>
    <w:div w:id="1624922037">
      <w:bodyDiv w:val="1"/>
      <w:marLeft w:val="0"/>
      <w:marRight w:val="0"/>
      <w:marTop w:val="0"/>
      <w:marBottom w:val="0"/>
      <w:divBdr>
        <w:top w:val="none" w:sz="0" w:space="0" w:color="auto"/>
        <w:left w:val="none" w:sz="0" w:space="0" w:color="auto"/>
        <w:bottom w:val="none" w:sz="0" w:space="0" w:color="auto"/>
        <w:right w:val="none" w:sz="0" w:space="0" w:color="auto"/>
      </w:divBdr>
      <w:divsChild>
        <w:div w:id="105122004">
          <w:marLeft w:val="0"/>
          <w:marRight w:val="0"/>
          <w:marTop w:val="0"/>
          <w:marBottom w:val="0"/>
          <w:divBdr>
            <w:top w:val="none" w:sz="0" w:space="0" w:color="auto"/>
            <w:left w:val="none" w:sz="0" w:space="0" w:color="auto"/>
            <w:bottom w:val="none" w:sz="0" w:space="0" w:color="auto"/>
            <w:right w:val="none" w:sz="0" w:space="0" w:color="auto"/>
          </w:divBdr>
        </w:div>
        <w:div w:id="390925933">
          <w:marLeft w:val="0"/>
          <w:marRight w:val="0"/>
          <w:marTop w:val="0"/>
          <w:marBottom w:val="0"/>
          <w:divBdr>
            <w:top w:val="none" w:sz="0" w:space="0" w:color="auto"/>
            <w:left w:val="none" w:sz="0" w:space="0" w:color="auto"/>
            <w:bottom w:val="none" w:sz="0" w:space="0" w:color="auto"/>
            <w:right w:val="none" w:sz="0" w:space="0" w:color="auto"/>
          </w:divBdr>
        </w:div>
        <w:div w:id="827746512">
          <w:marLeft w:val="0"/>
          <w:marRight w:val="0"/>
          <w:marTop w:val="0"/>
          <w:marBottom w:val="0"/>
          <w:divBdr>
            <w:top w:val="none" w:sz="0" w:space="0" w:color="auto"/>
            <w:left w:val="none" w:sz="0" w:space="0" w:color="auto"/>
            <w:bottom w:val="none" w:sz="0" w:space="0" w:color="auto"/>
            <w:right w:val="none" w:sz="0" w:space="0" w:color="auto"/>
          </w:divBdr>
        </w:div>
        <w:div w:id="1165171673">
          <w:marLeft w:val="0"/>
          <w:marRight w:val="0"/>
          <w:marTop w:val="0"/>
          <w:marBottom w:val="0"/>
          <w:divBdr>
            <w:top w:val="none" w:sz="0" w:space="0" w:color="auto"/>
            <w:left w:val="none" w:sz="0" w:space="0" w:color="auto"/>
            <w:bottom w:val="none" w:sz="0" w:space="0" w:color="auto"/>
            <w:right w:val="none" w:sz="0" w:space="0" w:color="auto"/>
          </w:divBdr>
        </w:div>
        <w:div w:id="1921980980">
          <w:marLeft w:val="0"/>
          <w:marRight w:val="0"/>
          <w:marTop w:val="0"/>
          <w:marBottom w:val="0"/>
          <w:divBdr>
            <w:top w:val="none" w:sz="0" w:space="0" w:color="auto"/>
            <w:left w:val="none" w:sz="0" w:space="0" w:color="auto"/>
            <w:bottom w:val="none" w:sz="0" w:space="0" w:color="auto"/>
            <w:right w:val="none" w:sz="0" w:space="0" w:color="auto"/>
          </w:divBdr>
        </w:div>
      </w:divsChild>
    </w:div>
    <w:div w:id="1628511451">
      <w:bodyDiv w:val="1"/>
      <w:marLeft w:val="0"/>
      <w:marRight w:val="0"/>
      <w:marTop w:val="0"/>
      <w:marBottom w:val="0"/>
      <w:divBdr>
        <w:top w:val="none" w:sz="0" w:space="0" w:color="auto"/>
        <w:left w:val="none" w:sz="0" w:space="0" w:color="auto"/>
        <w:bottom w:val="none" w:sz="0" w:space="0" w:color="auto"/>
        <w:right w:val="none" w:sz="0" w:space="0" w:color="auto"/>
      </w:divBdr>
      <w:divsChild>
        <w:div w:id="406075478">
          <w:marLeft w:val="0"/>
          <w:marRight w:val="0"/>
          <w:marTop w:val="0"/>
          <w:marBottom w:val="0"/>
          <w:divBdr>
            <w:top w:val="none" w:sz="0" w:space="0" w:color="auto"/>
            <w:left w:val="none" w:sz="0" w:space="0" w:color="auto"/>
            <w:bottom w:val="none" w:sz="0" w:space="0" w:color="auto"/>
            <w:right w:val="none" w:sz="0" w:space="0" w:color="auto"/>
          </w:divBdr>
        </w:div>
        <w:div w:id="505634136">
          <w:marLeft w:val="0"/>
          <w:marRight w:val="0"/>
          <w:marTop w:val="0"/>
          <w:marBottom w:val="0"/>
          <w:divBdr>
            <w:top w:val="none" w:sz="0" w:space="0" w:color="auto"/>
            <w:left w:val="none" w:sz="0" w:space="0" w:color="auto"/>
            <w:bottom w:val="none" w:sz="0" w:space="0" w:color="auto"/>
            <w:right w:val="none" w:sz="0" w:space="0" w:color="auto"/>
          </w:divBdr>
        </w:div>
        <w:div w:id="1294091581">
          <w:marLeft w:val="0"/>
          <w:marRight w:val="0"/>
          <w:marTop w:val="0"/>
          <w:marBottom w:val="0"/>
          <w:divBdr>
            <w:top w:val="none" w:sz="0" w:space="0" w:color="auto"/>
            <w:left w:val="none" w:sz="0" w:space="0" w:color="auto"/>
            <w:bottom w:val="none" w:sz="0" w:space="0" w:color="auto"/>
            <w:right w:val="none" w:sz="0" w:space="0" w:color="auto"/>
          </w:divBdr>
        </w:div>
        <w:div w:id="1453746966">
          <w:marLeft w:val="0"/>
          <w:marRight w:val="0"/>
          <w:marTop w:val="0"/>
          <w:marBottom w:val="0"/>
          <w:divBdr>
            <w:top w:val="none" w:sz="0" w:space="0" w:color="auto"/>
            <w:left w:val="none" w:sz="0" w:space="0" w:color="auto"/>
            <w:bottom w:val="none" w:sz="0" w:space="0" w:color="auto"/>
            <w:right w:val="none" w:sz="0" w:space="0" w:color="auto"/>
          </w:divBdr>
        </w:div>
      </w:divsChild>
    </w:div>
    <w:div w:id="1633367019">
      <w:bodyDiv w:val="1"/>
      <w:marLeft w:val="0"/>
      <w:marRight w:val="0"/>
      <w:marTop w:val="0"/>
      <w:marBottom w:val="0"/>
      <w:divBdr>
        <w:top w:val="none" w:sz="0" w:space="0" w:color="auto"/>
        <w:left w:val="none" w:sz="0" w:space="0" w:color="auto"/>
        <w:bottom w:val="none" w:sz="0" w:space="0" w:color="auto"/>
        <w:right w:val="none" w:sz="0" w:space="0" w:color="auto"/>
      </w:divBdr>
      <w:divsChild>
        <w:div w:id="1012411264">
          <w:marLeft w:val="0"/>
          <w:marRight w:val="0"/>
          <w:marTop w:val="0"/>
          <w:marBottom w:val="0"/>
          <w:divBdr>
            <w:top w:val="none" w:sz="0" w:space="0" w:color="auto"/>
            <w:left w:val="none" w:sz="0" w:space="0" w:color="auto"/>
            <w:bottom w:val="none" w:sz="0" w:space="0" w:color="auto"/>
            <w:right w:val="none" w:sz="0" w:space="0" w:color="auto"/>
          </w:divBdr>
        </w:div>
        <w:div w:id="1371608458">
          <w:marLeft w:val="0"/>
          <w:marRight w:val="0"/>
          <w:marTop w:val="0"/>
          <w:marBottom w:val="0"/>
          <w:divBdr>
            <w:top w:val="none" w:sz="0" w:space="0" w:color="auto"/>
            <w:left w:val="none" w:sz="0" w:space="0" w:color="auto"/>
            <w:bottom w:val="none" w:sz="0" w:space="0" w:color="auto"/>
            <w:right w:val="none" w:sz="0" w:space="0" w:color="auto"/>
          </w:divBdr>
        </w:div>
        <w:div w:id="1874808489">
          <w:marLeft w:val="0"/>
          <w:marRight w:val="0"/>
          <w:marTop w:val="0"/>
          <w:marBottom w:val="0"/>
          <w:divBdr>
            <w:top w:val="none" w:sz="0" w:space="0" w:color="auto"/>
            <w:left w:val="none" w:sz="0" w:space="0" w:color="auto"/>
            <w:bottom w:val="none" w:sz="0" w:space="0" w:color="auto"/>
            <w:right w:val="none" w:sz="0" w:space="0" w:color="auto"/>
          </w:divBdr>
        </w:div>
      </w:divsChild>
    </w:div>
    <w:div w:id="1662388934">
      <w:bodyDiv w:val="1"/>
      <w:marLeft w:val="0"/>
      <w:marRight w:val="0"/>
      <w:marTop w:val="0"/>
      <w:marBottom w:val="0"/>
      <w:divBdr>
        <w:top w:val="none" w:sz="0" w:space="0" w:color="auto"/>
        <w:left w:val="none" w:sz="0" w:space="0" w:color="auto"/>
        <w:bottom w:val="none" w:sz="0" w:space="0" w:color="auto"/>
        <w:right w:val="none" w:sz="0" w:space="0" w:color="auto"/>
      </w:divBdr>
    </w:div>
    <w:div w:id="1674406220">
      <w:bodyDiv w:val="1"/>
      <w:marLeft w:val="0"/>
      <w:marRight w:val="0"/>
      <w:marTop w:val="0"/>
      <w:marBottom w:val="0"/>
      <w:divBdr>
        <w:top w:val="none" w:sz="0" w:space="0" w:color="auto"/>
        <w:left w:val="none" w:sz="0" w:space="0" w:color="auto"/>
        <w:bottom w:val="none" w:sz="0" w:space="0" w:color="auto"/>
        <w:right w:val="none" w:sz="0" w:space="0" w:color="auto"/>
      </w:divBdr>
    </w:div>
    <w:div w:id="1678579344">
      <w:bodyDiv w:val="1"/>
      <w:marLeft w:val="0"/>
      <w:marRight w:val="0"/>
      <w:marTop w:val="0"/>
      <w:marBottom w:val="0"/>
      <w:divBdr>
        <w:top w:val="none" w:sz="0" w:space="0" w:color="auto"/>
        <w:left w:val="none" w:sz="0" w:space="0" w:color="auto"/>
        <w:bottom w:val="none" w:sz="0" w:space="0" w:color="auto"/>
        <w:right w:val="none" w:sz="0" w:space="0" w:color="auto"/>
      </w:divBdr>
    </w:div>
    <w:div w:id="1698502567">
      <w:bodyDiv w:val="1"/>
      <w:marLeft w:val="0"/>
      <w:marRight w:val="0"/>
      <w:marTop w:val="0"/>
      <w:marBottom w:val="0"/>
      <w:divBdr>
        <w:top w:val="none" w:sz="0" w:space="0" w:color="auto"/>
        <w:left w:val="none" w:sz="0" w:space="0" w:color="auto"/>
        <w:bottom w:val="none" w:sz="0" w:space="0" w:color="auto"/>
        <w:right w:val="none" w:sz="0" w:space="0" w:color="auto"/>
      </w:divBdr>
      <w:divsChild>
        <w:div w:id="151220698">
          <w:marLeft w:val="0"/>
          <w:marRight w:val="0"/>
          <w:marTop w:val="0"/>
          <w:marBottom w:val="0"/>
          <w:divBdr>
            <w:top w:val="none" w:sz="0" w:space="0" w:color="auto"/>
            <w:left w:val="none" w:sz="0" w:space="0" w:color="auto"/>
            <w:bottom w:val="none" w:sz="0" w:space="0" w:color="auto"/>
            <w:right w:val="none" w:sz="0" w:space="0" w:color="auto"/>
          </w:divBdr>
        </w:div>
        <w:div w:id="799569648">
          <w:marLeft w:val="0"/>
          <w:marRight w:val="0"/>
          <w:marTop w:val="0"/>
          <w:marBottom w:val="0"/>
          <w:divBdr>
            <w:top w:val="none" w:sz="0" w:space="0" w:color="auto"/>
            <w:left w:val="none" w:sz="0" w:space="0" w:color="auto"/>
            <w:bottom w:val="none" w:sz="0" w:space="0" w:color="auto"/>
            <w:right w:val="none" w:sz="0" w:space="0" w:color="auto"/>
          </w:divBdr>
        </w:div>
        <w:div w:id="1749501775">
          <w:marLeft w:val="0"/>
          <w:marRight w:val="0"/>
          <w:marTop w:val="0"/>
          <w:marBottom w:val="0"/>
          <w:divBdr>
            <w:top w:val="none" w:sz="0" w:space="0" w:color="auto"/>
            <w:left w:val="none" w:sz="0" w:space="0" w:color="auto"/>
            <w:bottom w:val="none" w:sz="0" w:space="0" w:color="auto"/>
            <w:right w:val="none" w:sz="0" w:space="0" w:color="auto"/>
          </w:divBdr>
        </w:div>
      </w:divsChild>
    </w:div>
    <w:div w:id="1698506522">
      <w:bodyDiv w:val="1"/>
      <w:marLeft w:val="0"/>
      <w:marRight w:val="0"/>
      <w:marTop w:val="0"/>
      <w:marBottom w:val="0"/>
      <w:divBdr>
        <w:top w:val="none" w:sz="0" w:space="0" w:color="auto"/>
        <w:left w:val="none" w:sz="0" w:space="0" w:color="auto"/>
        <w:bottom w:val="none" w:sz="0" w:space="0" w:color="auto"/>
        <w:right w:val="none" w:sz="0" w:space="0" w:color="auto"/>
      </w:divBdr>
      <w:divsChild>
        <w:div w:id="1192918471">
          <w:marLeft w:val="274"/>
          <w:marRight w:val="0"/>
          <w:marTop w:val="0"/>
          <w:marBottom w:val="0"/>
          <w:divBdr>
            <w:top w:val="none" w:sz="0" w:space="0" w:color="auto"/>
            <w:left w:val="none" w:sz="0" w:space="0" w:color="auto"/>
            <w:bottom w:val="none" w:sz="0" w:space="0" w:color="auto"/>
            <w:right w:val="none" w:sz="0" w:space="0" w:color="auto"/>
          </w:divBdr>
        </w:div>
      </w:divsChild>
    </w:div>
    <w:div w:id="1706249647">
      <w:bodyDiv w:val="1"/>
      <w:marLeft w:val="0"/>
      <w:marRight w:val="0"/>
      <w:marTop w:val="0"/>
      <w:marBottom w:val="0"/>
      <w:divBdr>
        <w:top w:val="none" w:sz="0" w:space="0" w:color="auto"/>
        <w:left w:val="none" w:sz="0" w:space="0" w:color="auto"/>
        <w:bottom w:val="none" w:sz="0" w:space="0" w:color="auto"/>
        <w:right w:val="none" w:sz="0" w:space="0" w:color="auto"/>
      </w:divBdr>
    </w:div>
    <w:div w:id="1771464046">
      <w:bodyDiv w:val="1"/>
      <w:marLeft w:val="0"/>
      <w:marRight w:val="0"/>
      <w:marTop w:val="0"/>
      <w:marBottom w:val="0"/>
      <w:divBdr>
        <w:top w:val="none" w:sz="0" w:space="0" w:color="auto"/>
        <w:left w:val="none" w:sz="0" w:space="0" w:color="auto"/>
        <w:bottom w:val="none" w:sz="0" w:space="0" w:color="auto"/>
        <w:right w:val="none" w:sz="0" w:space="0" w:color="auto"/>
      </w:divBdr>
      <w:divsChild>
        <w:div w:id="170071918">
          <w:marLeft w:val="0"/>
          <w:marRight w:val="0"/>
          <w:marTop w:val="0"/>
          <w:marBottom w:val="0"/>
          <w:divBdr>
            <w:top w:val="none" w:sz="0" w:space="0" w:color="auto"/>
            <w:left w:val="none" w:sz="0" w:space="0" w:color="auto"/>
            <w:bottom w:val="none" w:sz="0" w:space="0" w:color="auto"/>
            <w:right w:val="none" w:sz="0" w:space="0" w:color="auto"/>
          </w:divBdr>
        </w:div>
        <w:div w:id="832599388">
          <w:marLeft w:val="0"/>
          <w:marRight w:val="0"/>
          <w:marTop w:val="0"/>
          <w:marBottom w:val="0"/>
          <w:divBdr>
            <w:top w:val="none" w:sz="0" w:space="0" w:color="auto"/>
            <w:left w:val="none" w:sz="0" w:space="0" w:color="auto"/>
            <w:bottom w:val="none" w:sz="0" w:space="0" w:color="auto"/>
            <w:right w:val="none" w:sz="0" w:space="0" w:color="auto"/>
          </w:divBdr>
        </w:div>
        <w:div w:id="935165135">
          <w:marLeft w:val="0"/>
          <w:marRight w:val="0"/>
          <w:marTop w:val="0"/>
          <w:marBottom w:val="0"/>
          <w:divBdr>
            <w:top w:val="none" w:sz="0" w:space="0" w:color="auto"/>
            <w:left w:val="none" w:sz="0" w:space="0" w:color="auto"/>
            <w:bottom w:val="none" w:sz="0" w:space="0" w:color="auto"/>
            <w:right w:val="none" w:sz="0" w:space="0" w:color="auto"/>
          </w:divBdr>
        </w:div>
        <w:div w:id="1882865629">
          <w:marLeft w:val="0"/>
          <w:marRight w:val="0"/>
          <w:marTop w:val="0"/>
          <w:marBottom w:val="0"/>
          <w:divBdr>
            <w:top w:val="none" w:sz="0" w:space="0" w:color="auto"/>
            <w:left w:val="none" w:sz="0" w:space="0" w:color="auto"/>
            <w:bottom w:val="none" w:sz="0" w:space="0" w:color="auto"/>
            <w:right w:val="none" w:sz="0" w:space="0" w:color="auto"/>
          </w:divBdr>
        </w:div>
      </w:divsChild>
    </w:div>
    <w:div w:id="1775594501">
      <w:bodyDiv w:val="1"/>
      <w:marLeft w:val="0"/>
      <w:marRight w:val="0"/>
      <w:marTop w:val="0"/>
      <w:marBottom w:val="0"/>
      <w:divBdr>
        <w:top w:val="none" w:sz="0" w:space="0" w:color="auto"/>
        <w:left w:val="none" w:sz="0" w:space="0" w:color="auto"/>
        <w:bottom w:val="none" w:sz="0" w:space="0" w:color="auto"/>
        <w:right w:val="none" w:sz="0" w:space="0" w:color="auto"/>
      </w:divBdr>
      <w:divsChild>
        <w:div w:id="346909783">
          <w:marLeft w:val="0"/>
          <w:marRight w:val="0"/>
          <w:marTop w:val="0"/>
          <w:marBottom w:val="0"/>
          <w:divBdr>
            <w:top w:val="none" w:sz="0" w:space="0" w:color="auto"/>
            <w:left w:val="none" w:sz="0" w:space="0" w:color="auto"/>
            <w:bottom w:val="none" w:sz="0" w:space="0" w:color="auto"/>
            <w:right w:val="none" w:sz="0" w:space="0" w:color="auto"/>
          </w:divBdr>
        </w:div>
        <w:div w:id="423769893">
          <w:marLeft w:val="0"/>
          <w:marRight w:val="0"/>
          <w:marTop w:val="0"/>
          <w:marBottom w:val="0"/>
          <w:divBdr>
            <w:top w:val="none" w:sz="0" w:space="0" w:color="auto"/>
            <w:left w:val="none" w:sz="0" w:space="0" w:color="auto"/>
            <w:bottom w:val="none" w:sz="0" w:space="0" w:color="auto"/>
            <w:right w:val="none" w:sz="0" w:space="0" w:color="auto"/>
          </w:divBdr>
        </w:div>
        <w:div w:id="432939644">
          <w:marLeft w:val="0"/>
          <w:marRight w:val="0"/>
          <w:marTop w:val="0"/>
          <w:marBottom w:val="0"/>
          <w:divBdr>
            <w:top w:val="none" w:sz="0" w:space="0" w:color="auto"/>
            <w:left w:val="none" w:sz="0" w:space="0" w:color="auto"/>
            <w:bottom w:val="none" w:sz="0" w:space="0" w:color="auto"/>
            <w:right w:val="none" w:sz="0" w:space="0" w:color="auto"/>
          </w:divBdr>
        </w:div>
        <w:div w:id="1158617928">
          <w:marLeft w:val="0"/>
          <w:marRight w:val="0"/>
          <w:marTop w:val="0"/>
          <w:marBottom w:val="0"/>
          <w:divBdr>
            <w:top w:val="none" w:sz="0" w:space="0" w:color="auto"/>
            <w:left w:val="none" w:sz="0" w:space="0" w:color="auto"/>
            <w:bottom w:val="none" w:sz="0" w:space="0" w:color="auto"/>
            <w:right w:val="none" w:sz="0" w:space="0" w:color="auto"/>
          </w:divBdr>
        </w:div>
        <w:div w:id="1590650834">
          <w:marLeft w:val="0"/>
          <w:marRight w:val="0"/>
          <w:marTop w:val="0"/>
          <w:marBottom w:val="0"/>
          <w:divBdr>
            <w:top w:val="none" w:sz="0" w:space="0" w:color="auto"/>
            <w:left w:val="none" w:sz="0" w:space="0" w:color="auto"/>
            <w:bottom w:val="none" w:sz="0" w:space="0" w:color="auto"/>
            <w:right w:val="none" w:sz="0" w:space="0" w:color="auto"/>
          </w:divBdr>
        </w:div>
        <w:div w:id="1908148655">
          <w:marLeft w:val="0"/>
          <w:marRight w:val="0"/>
          <w:marTop w:val="0"/>
          <w:marBottom w:val="0"/>
          <w:divBdr>
            <w:top w:val="none" w:sz="0" w:space="0" w:color="auto"/>
            <w:left w:val="none" w:sz="0" w:space="0" w:color="auto"/>
            <w:bottom w:val="none" w:sz="0" w:space="0" w:color="auto"/>
            <w:right w:val="none" w:sz="0" w:space="0" w:color="auto"/>
          </w:divBdr>
        </w:div>
        <w:div w:id="2135949994">
          <w:marLeft w:val="0"/>
          <w:marRight w:val="0"/>
          <w:marTop w:val="0"/>
          <w:marBottom w:val="0"/>
          <w:divBdr>
            <w:top w:val="none" w:sz="0" w:space="0" w:color="auto"/>
            <w:left w:val="none" w:sz="0" w:space="0" w:color="auto"/>
            <w:bottom w:val="none" w:sz="0" w:space="0" w:color="auto"/>
            <w:right w:val="none" w:sz="0" w:space="0" w:color="auto"/>
          </w:divBdr>
        </w:div>
      </w:divsChild>
    </w:div>
    <w:div w:id="1792629113">
      <w:bodyDiv w:val="1"/>
      <w:marLeft w:val="0"/>
      <w:marRight w:val="0"/>
      <w:marTop w:val="0"/>
      <w:marBottom w:val="0"/>
      <w:divBdr>
        <w:top w:val="none" w:sz="0" w:space="0" w:color="auto"/>
        <w:left w:val="none" w:sz="0" w:space="0" w:color="auto"/>
        <w:bottom w:val="none" w:sz="0" w:space="0" w:color="auto"/>
        <w:right w:val="none" w:sz="0" w:space="0" w:color="auto"/>
      </w:divBdr>
    </w:div>
    <w:div w:id="1794399293">
      <w:bodyDiv w:val="1"/>
      <w:marLeft w:val="0"/>
      <w:marRight w:val="0"/>
      <w:marTop w:val="0"/>
      <w:marBottom w:val="0"/>
      <w:divBdr>
        <w:top w:val="none" w:sz="0" w:space="0" w:color="auto"/>
        <w:left w:val="none" w:sz="0" w:space="0" w:color="auto"/>
        <w:bottom w:val="none" w:sz="0" w:space="0" w:color="auto"/>
        <w:right w:val="none" w:sz="0" w:space="0" w:color="auto"/>
      </w:divBdr>
    </w:div>
    <w:div w:id="1809472932">
      <w:bodyDiv w:val="1"/>
      <w:marLeft w:val="0"/>
      <w:marRight w:val="0"/>
      <w:marTop w:val="0"/>
      <w:marBottom w:val="0"/>
      <w:divBdr>
        <w:top w:val="none" w:sz="0" w:space="0" w:color="auto"/>
        <w:left w:val="none" w:sz="0" w:space="0" w:color="auto"/>
        <w:bottom w:val="none" w:sz="0" w:space="0" w:color="auto"/>
        <w:right w:val="none" w:sz="0" w:space="0" w:color="auto"/>
      </w:divBdr>
    </w:div>
    <w:div w:id="1923444922">
      <w:bodyDiv w:val="1"/>
      <w:marLeft w:val="0"/>
      <w:marRight w:val="0"/>
      <w:marTop w:val="0"/>
      <w:marBottom w:val="0"/>
      <w:divBdr>
        <w:top w:val="none" w:sz="0" w:space="0" w:color="auto"/>
        <w:left w:val="none" w:sz="0" w:space="0" w:color="auto"/>
        <w:bottom w:val="none" w:sz="0" w:space="0" w:color="auto"/>
        <w:right w:val="none" w:sz="0" w:space="0" w:color="auto"/>
      </w:divBdr>
    </w:div>
    <w:div w:id="1941256523">
      <w:bodyDiv w:val="1"/>
      <w:marLeft w:val="0"/>
      <w:marRight w:val="0"/>
      <w:marTop w:val="0"/>
      <w:marBottom w:val="0"/>
      <w:divBdr>
        <w:top w:val="none" w:sz="0" w:space="0" w:color="auto"/>
        <w:left w:val="none" w:sz="0" w:space="0" w:color="auto"/>
        <w:bottom w:val="none" w:sz="0" w:space="0" w:color="auto"/>
        <w:right w:val="none" w:sz="0" w:space="0" w:color="auto"/>
      </w:divBdr>
    </w:div>
    <w:div w:id="1948080375">
      <w:bodyDiv w:val="1"/>
      <w:marLeft w:val="0"/>
      <w:marRight w:val="0"/>
      <w:marTop w:val="0"/>
      <w:marBottom w:val="0"/>
      <w:divBdr>
        <w:top w:val="none" w:sz="0" w:space="0" w:color="auto"/>
        <w:left w:val="none" w:sz="0" w:space="0" w:color="auto"/>
        <w:bottom w:val="none" w:sz="0" w:space="0" w:color="auto"/>
        <w:right w:val="none" w:sz="0" w:space="0" w:color="auto"/>
      </w:divBdr>
    </w:div>
    <w:div w:id="1986466694">
      <w:bodyDiv w:val="1"/>
      <w:marLeft w:val="0"/>
      <w:marRight w:val="0"/>
      <w:marTop w:val="0"/>
      <w:marBottom w:val="0"/>
      <w:divBdr>
        <w:top w:val="none" w:sz="0" w:space="0" w:color="auto"/>
        <w:left w:val="none" w:sz="0" w:space="0" w:color="auto"/>
        <w:bottom w:val="none" w:sz="0" w:space="0" w:color="auto"/>
        <w:right w:val="none" w:sz="0" w:space="0" w:color="auto"/>
      </w:divBdr>
    </w:div>
    <w:div w:id="2019230572">
      <w:bodyDiv w:val="1"/>
      <w:marLeft w:val="0"/>
      <w:marRight w:val="0"/>
      <w:marTop w:val="0"/>
      <w:marBottom w:val="0"/>
      <w:divBdr>
        <w:top w:val="none" w:sz="0" w:space="0" w:color="auto"/>
        <w:left w:val="none" w:sz="0" w:space="0" w:color="auto"/>
        <w:bottom w:val="none" w:sz="0" w:space="0" w:color="auto"/>
        <w:right w:val="none" w:sz="0" w:space="0" w:color="auto"/>
      </w:divBdr>
    </w:div>
    <w:div w:id="2031837745">
      <w:bodyDiv w:val="1"/>
      <w:marLeft w:val="0"/>
      <w:marRight w:val="0"/>
      <w:marTop w:val="0"/>
      <w:marBottom w:val="0"/>
      <w:divBdr>
        <w:top w:val="none" w:sz="0" w:space="0" w:color="auto"/>
        <w:left w:val="none" w:sz="0" w:space="0" w:color="auto"/>
        <w:bottom w:val="none" w:sz="0" w:space="0" w:color="auto"/>
        <w:right w:val="none" w:sz="0" w:space="0" w:color="auto"/>
      </w:divBdr>
    </w:div>
    <w:div w:id="2045476821">
      <w:bodyDiv w:val="1"/>
      <w:marLeft w:val="0"/>
      <w:marRight w:val="0"/>
      <w:marTop w:val="0"/>
      <w:marBottom w:val="0"/>
      <w:divBdr>
        <w:top w:val="none" w:sz="0" w:space="0" w:color="auto"/>
        <w:left w:val="none" w:sz="0" w:space="0" w:color="auto"/>
        <w:bottom w:val="none" w:sz="0" w:space="0" w:color="auto"/>
        <w:right w:val="none" w:sz="0" w:space="0" w:color="auto"/>
      </w:divBdr>
      <w:divsChild>
        <w:div w:id="184637352">
          <w:marLeft w:val="0"/>
          <w:marRight w:val="0"/>
          <w:marTop w:val="0"/>
          <w:marBottom w:val="0"/>
          <w:divBdr>
            <w:top w:val="none" w:sz="0" w:space="0" w:color="auto"/>
            <w:left w:val="none" w:sz="0" w:space="0" w:color="auto"/>
            <w:bottom w:val="none" w:sz="0" w:space="0" w:color="auto"/>
            <w:right w:val="none" w:sz="0" w:space="0" w:color="auto"/>
          </w:divBdr>
        </w:div>
        <w:div w:id="732235488">
          <w:marLeft w:val="0"/>
          <w:marRight w:val="0"/>
          <w:marTop w:val="0"/>
          <w:marBottom w:val="0"/>
          <w:divBdr>
            <w:top w:val="none" w:sz="0" w:space="0" w:color="auto"/>
            <w:left w:val="none" w:sz="0" w:space="0" w:color="auto"/>
            <w:bottom w:val="none" w:sz="0" w:space="0" w:color="auto"/>
            <w:right w:val="none" w:sz="0" w:space="0" w:color="auto"/>
          </w:divBdr>
        </w:div>
        <w:div w:id="893663435">
          <w:marLeft w:val="0"/>
          <w:marRight w:val="0"/>
          <w:marTop w:val="0"/>
          <w:marBottom w:val="0"/>
          <w:divBdr>
            <w:top w:val="none" w:sz="0" w:space="0" w:color="auto"/>
            <w:left w:val="none" w:sz="0" w:space="0" w:color="auto"/>
            <w:bottom w:val="none" w:sz="0" w:space="0" w:color="auto"/>
            <w:right w:val="none" w:sz="0" w:space="0" w:color="auto"/>
          </w:divBdr>
        </w:div>
        <w:div w:id="938607439">
          <w:marLeft w:val="0"/>
          <w:marRight w:val="0"/>
          <w:marTop w:val="0"/>
          <w:marBottom w:val="0"/>
          <w:divBdr>
            <w:top w:val="none" w:sz="0" w:space="0" w:color="auto"/>
            <w:left w:val="none" w:sz="0" w:space="0" w:color="auto"/>
            <w:bottom w:val="none" w:sz="0" w:space="0" w:color="auto"/>
            <w:right w:val="none" w:sz="0" w:space="0" w:color="auto"/>
          </w:divBdr>
        </w:div>
        <w:div w:id="994991430">
          <w:marLeft w:val="0"/>
          <w:marRight w:val="0"/>
          <w:marTop w:val="0"/>
          <w:marBottom w:val="0"/>
          <w:divBdr>
            <w:top w:val="none" w:sz="0" w:space="0" w:color="auto"/>
            <w:left w:val="none" w:sz="0" w:space="0" w:color="auto"/>
            <w:bottom w:val="none" w:sz="0" w:space="0" w:color="auto"/>
            <w:right w:val="none" w:sz="0" w:space="0" w:color="auto"/>
          </w:divBdr>
        </w:div>
        <w:div w:id="1081678530">
          <w:marLeft w:val="0"/>
          <w:marRight w:val="0"/>
          <w:marTop w:val="0"/>
          <w:marBottom w:val="0"/>
          <w:divBdr>
            <w:top w:val="none" w:sz="0" w:space="0" w:color="auto"/>
            <w:left w:val="none" w:sz="0" w:space="0" w:color="auto"/>
            <w:bottom w:val="none" w:sz="0" w:space="0" w:color="auto"/>
            <w:right w:val="none" w:sz="0" w:space="0" w:color="auto"/>
          </w:divBdr>
        </w:div>
        <w:div w:id="1265727037">
          <w:marLeft w:val="0"/>
          <w:marRight w:val="0"/>
          <w:marTop w:val="0"/>
          <w:marBottom w:val="0"/>
          <w:divBdr>
            <w:top w:val="none" w:sz="0" w:space="0" w:color="auto"/>
            <w:left w:val="none" w:sz="0" w:space="0" w:color="auto"/>
            <w:bottom w:val="none" w:sz="0" w:space="0" w:color="auto"/>
            <w:right w:val="none" w:sz="0" w:space="0" w:color="auto"/>
          </w:divBdr>
        </w:div>
        <w:div w:id="1497186060">
          <w:marLeft w:val="0"/>
          <w:marRight w:val="0"/>
          <w:marTop w:val="0"/>
          <w:marBottom w:val="0"/>
          <w:divBdr>
            <w:top w:val="none" w:sz="0" w:space="0" w:color="auto"/>
            <w:left w:val="none" w:sz="0" w:space="0" w:color="auto"/>
            <w:bottom w:val="none" w:sz="0" w:space="0" w:color="auto"/>
            <w:right w:val="none" w:sz="0" w:space="0" w:color="auto"/>
          </w:divBdr>
        </w:div>
        <w:div w:id="1547449536">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sChild>
    </w:div>
    <w:div w:id="2069495969">
      <w:bodyDiv w:val="1"/>
      <w:marLeft w:val="0"/>
      <w:marRight w:val="0"/>
      <w:marTop w:val="0"/>
      <w:marBottom w:val="0"/>
      <w:divBdr>
        <w:top w:val="none" w:sz="0" w:space="0" w:color="auto"/>
        <w:left w:val="none" w:sz="0" w:space="0" w:color="auto"/>
        <w:bottom w:val="none" w:sz="0" w:space="0" w:color="auto"/>
        <w:right w:val="none" w:sz="0" w:space="0" w:color="auto"/>
      </w:divBdr>
    </w:div>
    <w:div w:id="2081828868">
      <w:bodyDiv w:val="1"/>
      <w:marLeft w:val="0"/>
      <w:marRight w:val="0"/>
      <w:marTop w:val="0"/>
      <w:marBottom w:val="0"/>
      <w:divBdr>
        <w:top w:val="none" w:sz="0" w:space="0" w:color="auto"/>
        <w:left w:val="none" w:sz="0" w:space="0" w:color="auto"/>
        <w:bottom w:val="none" w:sz="0" w:space="0" w:color="auto"/>
        <w:right w:val="none" w:sz="0" w:space="0" w:color="auto"/>
      </w:divBdr>
      <w:divsChild>
        <w:div w:id="432944922">
          <w:marLeft w:val="0"/>
          <w:marRight w:val="0"/>
          <w:marTop w:val="0"/>
          <w:marBottom w:val="0"/>
          <w:divBdr>
            <w:top w:val="none" w:sz="0" w:space="0" w:color="auto"/>
            <w:left w:val="none" w:sz="0" w:space="0" w:color="auto"/>
            <w:bottom w:val="none" w:sz="0" w:space="0" w:color="auto"/>
            <w:right w:val="none" w:sz="0" w:space="0" w:color="auto"/>
          </w:divBdr>
        </w:div>
      </w:divsChild>
    </w:div>
    <w:div w:id="21059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6.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chart" Target="charts/chart28.xml"/><Relationship Id="rId47" Type="http://schemas.openxmlformats.org/officeDocument/2006/relationships/chart" Target="charts/chart33.xml"/><Relationship Id="rId50" Type="http://schemas.openxmlformats.org/officeDocument/2006/relationships/chart" Target="charts/chart36.xml"/><Relationship Id="rId55" Type="http://schemas.openxmlformats.org/officeDocument/2006/relationships/chart" Target="charts/chart41.xml"/><Relationship Id="rId63" Type="http://schemas.openxmlformats.org/officeDocument/2006/relationships/chart" Target="charts/chart49.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sc.kz"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7.xml"/><Relationship Id="rId45" Type="http://schemas.openxmlformats.org/officeDocument/2006/relationships/chart" Target="charts/chart31.xml"/><Relationship Id="rId53" Type="http://schemas.openxmlformats.org/officeDocument/2006/relationships/chart" Target="charts/chart39.xml"/><Relationship Id="rId58" Type="http://schemas.openxmlformats.org/officeDocument/2006/relationships/chart" Target="charts/chart44.xml"/><Relationship Id="rId66" Type="http://schemas.openxmlformats.org/officeDocument/2006/relationships/chart" Target="charts/chart5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6.png"/><Relationship Id="rId49" Type="http://schemas.openxmlformats.org/officeDocument/2006/relationships/chart" Target="charts/chart35.xml"/><Relationship Id="rId57" Type="http://schemas.openxmlformats.org/officeDocument/2006/relationships/chart" Target="charts/chart43.xml"/><Relationship Id="rId61" Type="http://schemas.openxmlformats.org/officeDocument/2006/relationships/chart" Target="charts/chart47.xml"/><Relationship Id="rId10" Type="http://schemas.openxmlformats.org/officeDocument/2006/relationships/chart" Target="charts/chart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29.xml"/><Relationship Id="rId48" Type="http://schemas.openxmlformats.org/officeDocument/2006/relationships/chart" Target="charts/chart34.xml"/><Relationship Id="rId56" Type="http://schemas.openxmlformats.org/officeDocument/2006/relationships/chart" Target="charts/chart42.xml"/><Relationship Id="rId64" Type="http://schemas.openxmlformats.org/officeDocument/2006/relationships/chart" Target="charts/chart50.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37.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7.png"/><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chart" Target="charts/chart53.xml"/><Relationship Id="rId20" Type="http://schemas.openxmlformats.org/officeDocument/2006/relationships/chart" Target="charts/chart9.xml"/><Relationship Id="rId41" Type="http://schemas.openxmlformats.org/officeDocument/2006/relationships/image" Target="media/image8.png"/><Relationship Id="rId54" Type="http://schemas.openxmlformats.org/officeDocument/2006/relationships/chart" Target="charts/chart40.xml"/><Relationship Id="rId62" Type="http://schemas.openxmlformats.org/officeDocument/2006/relationships/chart" Target="charts/chart4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S_Raushan_K\Desktop\&#1044;&#1086;&#1075;&#1086;&#1074;&#1086;&#1088;%20&#1087;&#1077;&#1088;&#1077;&#1074;&#1086;&#1076;%20&#1072;&#1085;&#1072;&#1083;&#1080;&#1090;\&#1043;&#1054;&#1044;%202016.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nbrk\dps$\&#1040;&#1088;&#1093;&#1080;&#1074;\&#1040;&#1085;&#1072;&#1083;&#1080;&#1079;\Svod\&#1052;&#1057;&#1055;&#1044;\&#1048;&#1085;&#1090;&#1077;&#1088;&#1074;&#1072;&#1083;&#1099;%20&#1089;&#1091;&#1084;&#1084;.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nbrk\dps$\&#1040;&#1088;&#1093;&#1080;&#1074;\&#1040;&#1085;&#1072;&#1083;&#1080;&#1079;\Svod\&#1052;&#1057;&#1055;&#1044;\&#1048;&#1085;&#1090;&#1077;&#1088;&#1074;&#1072;&#1083;&#1099;%20&#1089;&#1091;&#1084;&#1084;.xls" TargetMode="Externa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2.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6.xlsx"/><Relationship Id="rId1" Type="http://schemas.openxmlformats.org/officeDocument/2006/relationships/themeOverride" Target="../theme/themeOverride13.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7.xlsx"/><Relationship Id="rId1" Type="http://schemas.openxmlformats.org/officeDocument/2006/relationships/themeOverride" Target="../theme/themeOverride14.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8.xlsx"/><Relationship Id="rId1" Type="http://schemas.openxmlformats.org/officeDocument/2006/relationships/themeOverride" Target="../theme/themeOverride15.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9.xlsx"/><Relationship Id="rId1" Type="http://schemas.openxmlformats.org/officeDocument/2006/relationships/themeOverride" Target="../theme/themeOverride16.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7.xml"/></Relationships>
</file>

<file path=word/charts/_rels/chart26.xml.rels><?xml version="1.0" encoding="UTF-8" standalone="yes"?>
<Relationships xmlns="http://schemas.openxmlformats.org/package/2006/relationships"><Relationship Id="rId2" Type="http://schemas.openxmlformats.org/officeDocument/2006/relationships/oleObject" Target="file:///D:\Aleksandr\Desktop\&#1040;&#1083;&#1077;&#1082;&#1089;&#1072;&#1085;&#1076;&#1088;\&#1050;&#1072;&#1088;&#1090;&#1086;&#1095;&#1082;&#1080;%20&#1080;%20&#1101;&#1083;.%20&#1091;&#1089;&#1083;&#1091;&#1075;&#1080;\&#1040;&#1085;&#1072;&#1083;&#1080;&#1090;&#1080;&#1095;&#1077;&#1089;&#1082;&#1080;&#1077;\2016\&#1076;&#1072;&#1085;&#1085;&#1099;&#1077;.xls" TargetMode="External"/><Relationship Id="rId1" Type="http://schemas.openxmlformats.org/officeDocument/2006/relationships/themeOverride" Target="../theme/themeOverride18.xml"/></Relationships>
</file>

<file path=word/charts/_rels/chart27.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19.xml"/></Relationships>
</file>

<file path=word/charts/_rels/chart28.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21.xlsx"/><Relationship Id="rId1" Type="http://schemas.openxmlformats.org/officeDocument/2006/relationships/themeOverride" Target="../theme/themeOverride20.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2.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3.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4.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5.xml"/></Relationships>
</file>

<file path=word/charts/_rels/chart34.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36.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27.xlsx"/><Relationship Id="rId1" Type="http://schemas.openxmlformats.org/officeDocument/2006/relationships/themeOverride" Target="../theme/themeOverride2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7.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8.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29.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0.xml"/></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34.xlsx"/><Relationship Id="rId1" Type="http://schemas.openxmlformats.org/officeDocument/2006/relationships/themeOverride" Target="../theme/themeOverride31.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32.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36.xlsx"/><Relationship Id="rId1" Type="http://schemas.openxmlformats.org/officeDocument/2006/relationships/themeOverride" Target="../theme/themeOverride33.xml"/></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4.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5.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39.xlsx"/><Relationship Id="rId1" Type="http://schemas.openxmlformats.org/officeDocument/2006/relationships/themeOverride" Target="../theme/themeOverride36.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0.xlsx"/><Relationship Id="rId1" Type="http://schemas.openxmlformats.org/officeDocument/2006/relationships/themeOverride" Target="../theme/themeOverride37.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50.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41.xlsx"/><Relationship Id="rId1" Type="http://schemas.openxmlformats.org/officeDocument/2006/relationships/themeOverride" Target="../theme/themeOverride38.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42.xlsx"/><Relationship Id="rId1" Type="http://schemas.openxmlformats.org/officeDocument/2006/relationships/themeOverride" Target="../theme/themeOverride39.xml"/></Relationships>
</file>

<file path=word/charts/_rels/chart52.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Worksheet43.xlsx"/><Relationship Id="rId1" Type="http://schemas.openxmlformats.org/officeDocument/2006/relationships/themeOverride" Target="../theme/themeOverride40.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44.xlsx"/><Relationship Id="rId1" Type="http://schemas.openxmlformats.org/officeDocument/2006/relationships/themeOverride" Target="../theme/themeOverride41.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oleObject" Target="file:///\\nbrk\dps$\&#1040;&#1088;&#1093;&#1080;&#1074;\&#1040;&#1085;&#1072;&#1083;&#1080;&#1079;\Svod\&#1052;&#1086;&#1085;&#1080;&#1090;&#1086;&#1088;&#1080;&#1085;&#1075;%20&#1052;&#1057;&#1055;&#1044;\&#1048;&#1085;&#1090;&#1077;&#1088;&#1074;&#1072;&#1083;&#1099;%20&#1052;&#1057;&#1055;&#104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3.6911441622151993E-2"/>
          <c:y val="0"/>
          <c:w val="0.95487179487179485"/>
          <c:h val="0.91543753839280728"/>
        </c:manualLayout>
      </c:layout>
      <c:barChart>
        <c:barDir val="col"/>
        <c:grouping val="clustered"/>
        <c:varyColors val="0"/>
        <c:ser>
          <c:idx val="0"/>
          <c:order val="0"/>
          <c:tx>
            <c:strRef>
              <c:f>Лист1!$B$1</c:f>
              <c:strCache>
                <c:ptCount val="1"/>
                <c:pt idx="0">
                  <c:v>2014</c:v>
                </c:pt>
              </c:strCache>
            </c:strRef>
          </c:tx>
          <c:invertIfNegative val="0"/>
          <c:trendline>
            <c:spPr>
              <a:ln w="76200">
                <a:solidFill>
                  <a:schemeClr val="accent3">
                    <a:lumMod val="50000"/>
                  </a:schemeClr>
                </a:solidFill>
                <a:tailEnd type="stealth"/>
              </a:ln>
            </c:spPr>
            <c:trendlineType val="exp"/>
            <c:dispRSqr val="0"/>
            <c:dispEq val="0"/>
          </c:trendline>
          <c:cat>
            <c:numRef>
              <c:f>Лист1!$A$2:$A$5</c:f>
              <c:numCache>
                <c:formatCode>General</c:formatCode>
                <c:ptCount val="4"/>
              </c:numCache>
            </c:numRef>
          </c:cat>
          <c:val>
            <c:numRef>
              <c:f>Лист1!$B$2:$B$5</c:f>
              <c:numCache>
                <c:formatCode>General</c:formatCode>
                <c:ptCount val="4"/>
                <c:pt idx="0">
                  <c:v>4</c:v>
                </c:pt>
                <c:pt idx="1">
                  <c:v>7</c:v>
                </c:pt>
                <c:pt idx="2">
                  <c:v>10</c:v>
                </c:pt>
                <c:pt idx="3">
                  <c:v>13</c:v>
                </c:pt>
              </c:numCache>
            </c:numRef>
          </c:val>
        </c:ser>
        <c:ser>
          <c:idx val="1"/>
          <c:order val="1"/>
          <c:tx>
            <c:strRef>
              <c:f>Лист1!$C$1</c:f>
              <c:strCache>
                <c:ptCount val="1"/>
                <c:pt idx="0">
                  <c:v>2015</c:v>
                </c:pt>
              </c:strCache>
            </c:strRef>
          </c:tx>
          <c:invertIfNegative val="0"/>
          <c:cat>
            <c:numRef>
              <c:f>Лист1!$A$2:$A$5</c:f>
              <c:numCache>
                <c:formatCode>General</c:formatCode>
                <c:ptCount val="4"/>
              </c:numCache>
            </c:numRef>
          </c:cat>
          <c:val>
            <c:numRef>
              <c:f>Лист1!$C$2:$C$5</c:f>
              <c:numCache>
                <c:formatCode>General</c:formatCode>
                <c:ptCount val="4"/>
                <c:pt idx="0">
                  <c:v>5</c:v>
                </c:pt>
                <c:pt idx="1">
                  <c:v>8</c:v>
                </c:pt>
                <c:pt idx="2">
                  <c:v>11</c:v>
                </c:pt>
                <c:pt idx="3">
                  <c:v>14</c:v>
                </c:pt>
              </c:numCache>
            </c:numRef>
          </c:val>
        </c:ser>
        <c:ser>
          <c:idx val="2"/>
          <c:order val="2"/>
          <c:tx>
            <c:strRef>
              <c:f>Лист1!$D$1</c:f>
              <c:strCache>
                <c:ptCount val="1"/>
                <c:pt idx="0">
                  <c:v>2016</c:v>
                </c:pt>
              </c:strCache>
            </c:strRef>
          </c:tx>
          <c:invertIfNegative val="0"/>
          <c:cat>
            <c:numRef>
              <c:f>Лист1!$A$2:$A$5</c:f>
              <c:numCache>
                <c:formatCode>General</c:formatCode>
                <c:ptCount val="4"/>
              </c:numCache>
            </c:numRef>
          </c:cat>
          <c:val>
            <c:numRef>
              <c:f>Лист1!$D$2:$D$5</c:f>
              <c:numCache>
                <c:formatCode>General</c:formatCode>
                <c:ptCount val="4"/>
                <c:pt idx="0">
                  <c:v>6</c:v>
                </c:pt>
                <c:pt idx="1">
                  <c:v>9</c:v>
                </c:pt>
                <c:pt idx="2">
                  <c:v>12</c:v>
                </c:pt>
                <c:pt idx="3">
                  <c:v>15</c:v>
                </c:pt>
              </c:numCache>
            </c:numRef>
          </c:val>
        </c:ser>
        <c:dLbls>
          <c:showLegendKey val="0"/>
          <c:showVal val="0"/>
          <c:showCatName val="0"/>
          <c:showSerName val="0"/>
          <c:showPercent val="0"/>
          <c:showBubbleSize val="0"/>
        </c:dLbls>
        <c:gapWidth val="120"/>
        <c:axId val="159791744"/>
        <c:axId val="168112512"/>
      </c:barChart>
      <c:catAx>
        <c:axId val="159791744"/>
        <c:scaling>
          <c:orientation val="minMax"/>
        </c:scaling>
        <c:delete val="0"/>
        <c:axPos val="b"/>
        <c:numFmt formatCode="General" sourceLinked="1"/>
        <c:majorTickMark val="out"/>
        <c:minorTickMark val="none"/>
        <c:tickLblPos val="nextTo"/>
        <c:crossAx val="168112512"/>
        <c:crosses val="autoZero"/>
        <c:auto val="1"/>
        <c:lblAlgn val="ctr"/>
        <c:lblOffset val="100"/>
        <c:noMultiLvlLbl val="0"/>
      </c:catAx>
      <c:valAx>
        <c:axId val="168112512"/>
        <c:scaling>
          <c:orientation val="minMax"/>
        </c:scaling>
        <c:delete val="1"/>
        <c:axPos val="l"/>
        <c:numFmt formatCode="General" sourceLinked="1"/>
        <c:majorTickMark val="out"/>
        <c:minorTickMark val="none"/>
        <c:tickLblPos val="none"/>
        <c:crossAx val="159791744"/>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'2016'!$E$134</c:f>
              <c:strCache>
                <c:ptCount val="1"/>
                <c:pt idx="0">
                  <c:v>Under KZT 3 mln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'2016'!$F$134:$Q$134</c:f>
              <c:numCache>
                <c:formatCode>#" "###" "###" "###" "##0.00</c:formatCode>
                <c:ptCount val="12"/>
                <c:pt idx="0">
                  <c:v>13589.442353356932</c:v>
                </c:pt>
                <c:pt idx="1">
                  <c:v>25569.102617275636</c:v>
                </c:pt>
                <c:pt idx="2">
                  <c:v>38429.560313774775</c:v>
                </c:pt>
                <c:pt idx="3">
                  <c:v>49202.80770439472</c:v>
                </c:pt>
                <c:pt idx="4">
                  <c:v>47307.522118684712</c:v>
                </c:pt>
                <c:pt idx="5">
                  <c:v>51010.659243259171</c:v>
                </c:pt>
                <c:pt idx="6">
                  <c:v>47638.812911391389</c:v>
                </c:pt>
                <c:pt idx="7">
                  <c:v>50856.684341067681</c:v>
                </c:pt>
                <c:pt idx="8">
                  <c:v>42811.088055169625</c:v>
                </c:pt>
                <c:pt idx="9">
                  <c:v>41441.188309541983</c:v>
                </c:pt>
                <c:pt idx="10">
                  <c:v>42569.521917327707</c:v>
                </c:pt>
                <c:pt idx="11">
                  <c:v>51643.268638484544</c:v>
                </c:pt>
              </c:numCache>
            </c:numRef>
          </c:val>
        </c:ser>
        <c:ser>
          <c:idx val="1"/>
          <c:order val="1"/>
          <c:tx>
            <c:strRef>
              <c:f>'2016'!$E$135</c:f>
              <c:strCache>
                <c:ptCount val="1"/>
                <c:pt idx="0">
                  <c:v>From KZT 3 mln to KZT 5 mln </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'2016'!$F$135:$Q$135</c:f>
              <c:numCache>
                <c:formatCode>#" "###" "###" "###" "##0.00</c:formatCode>
                <c:ptCount val="12"/>
                <c:pt idx="0">
                  <c:v>3475.7979325983288</c:v>
                </c:pt>
                <c:pt idx="1">
                  <c:v>2839.5950049234889</c:v>
                </c:pt>
                <c:pt idx="2">
                  <c:v>2691.551398625601</c:v>
                </c:pt>
                <c:pt idx="3">
                  <c:v>2914.4024879573062</c:v>
                </c:pt>
                <c:pt idx="4">
                  <c:v>2419.6438871167306</c:v>
                </c:pt>
                <c:pt idx="5">
                  <c:v>2501.7147551920884</c:v>
                </c:pt>
                <c:pt idx="6">
                  <c:v>2376.860896948092</c:v>
                </c:pt>
                <c:pt idx="7">
                  <c:v>2747.7310786221083</c:v>
                </c:pt>
                <c:pt idx="8">
                  <c:v>2558.5406385168121</c:v>
                </c:pt>
                <c:pt idx="9">
                  <c:v>2237.3505003630498</c:v>
                </c:pt>
                <c:pt idx="10">
                  <c:v>2322.0178909313736</c:v>
                </c:pt>
                <c:pt idx="11">
                  <c:v>2240.5222237395083</c:v>
                </c:pt>
              </c:numCache>
            </c:numRef>
          </c:val>
        </c:ser>
        <c:ser>
          <c:idx val="2"/>
          <c:order val="2"/>
          <c:tx>
            <c:strRef>
              <c:f>'2016'!$E$136</c:f>
              <c:strCache>
                <c:ptCount val="1"/>
                <c:pt idx="0">
                  <c:v>From KZT 5 mln to KZT 10 mln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'2016'!$F$136:$Q$136</c:f>
              <c:numCache>
                <c:formatCode>#" "###" "###" "###" "##0.00</c:formatCode>
                <c:ptCount val="12"/>
                <c:pt idx="0">
                  <c:v>2026.2630864182693</c:v>
                </c:pt>
                <c:pt idx="1">
                  <c:v>1887.8635055605389</c:v>
                </c:pt>
                <c:pt idx="2">
                  <c:v>1887.5043214701436</c:v>
                </c:pt>
                <c:pt idx="3">
                  <c:v>2000.7677712053576</c:v>
                </c:pt>
                <c:pt idx="4">
                  <c:v>1710.2730626959312</c:v>
                </c:pt>
                <c:pt idx="5">
                  <c:v>1861.0771527338516</c:v>
                </c:pt>
                <c:pt idx="6">
                  <c:v>1677.3261168803801</c:v>
                </c:pt>
                <c:pt idx="7">
                  <c:v>1901.2740158549409</c:v>
                </c:pt>
                <c:pt idx="8">
                  <c:v>1796.8475648065626</c:v>
                </c:pt>
                <c:pt idx="9">
                  <c:v>1856.2763857326581</c:v>
                </c:pt>
                <c:pt idx="10">
                  <c:v>2334.477933530658</c:v>
                </c:pt>
                <c:pt idx="11">
                  <c:v>3131.9717321075432</c:v>
                </c:pt>
              </c:numCache>
            </c:numRef>
          </c:val>
        </c:ser>
        <c:ser>
          <c:idx val="3"/>
          <c:order val="3"/>
          <c:tx>
            <c:strRef>
              <c:f>'2016'!$E$137</c:f>
              <c:strCache>
                <c:ptCount val="1"/>
                <c:pt idx="0">
                  <c:v>From KZT 10 mln to KZT 50 mln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'2016'!$F$137:$Q$137</c:f>
              <c:numCache>
                <c:formatCode>#" "###" "###" "###" "##0.00</c:formatCode>
                <c:ptCount val="12"/>
                <c:pt idx="0">
                  <c:v>429.30937039739075</c:v>
                </c:pt>
                <c:pt idx="1">
                  <c:v>499.35659528492948</c:v>
                </c:pt>
                <c:pt idx="2">
                  <c:v>499.28419433621013</c:v>
                </c:pt>
                <c:pt idx="3">
                  <c:v>535.20111084158975</c:v>
                </c:pt>
                <c:pt idx="4">
                  <c:v>525.4983765853691</c:v>
                </c:pt>
                <c:pt idx="5">
                  <c:v>540.29455405863985</c:v>
                </c:pt>
                <c:pt idx="6">
                  <c:v>522.88756662785067</c:v>
                </c:pt>
                <c:pt idx="7">
                  <c:v>592.37552371143022</c:v>
                </c:pt>
                <c:pt idx="8">
                  <c:v>568.3630969072085</c:v>
                </c:pt>
                <c:pt idx="9">
                  <c:v>571.81802688150924</c:v>
                </c:pt>
                <c:pt idx="10">
                  <c:v>648.63897160107956</c:v>
                </c:pt>
                <c:pt idx="11">
                  <c:v>725.05752327680034</c:v>
                </c:pt>
              </c:numCache>
            </c:numRef>
          </c:val>
        </c:ser>
        <c:ser>
          <c:idx val="4"/>
          <c:order val="4"/>
          <c:tx>
            <c:strRef>
              <c:f>'2016'!$E$138</c:f>
              <c:strCache>
                <c:ptCount val="1"/>
                <c:pt idx="0">
                  <c:v>From KZT 50 mln to KZT 200 mln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'2016'!$F$138:$Q$138</c:f>
              <c:numCache>
                <c:formatCode>#" "###" "###" "###" "##0.00</c:formatCode>
                <c:ptCount val="12"/>
                <c:pt idx="0">
                  <c:v>757.54597514110139</c:v>
                </c:pt>
                <c:pt idx="1">
                  <c:v>926.21693215536959</c:v>
                </c:pt>
                <c:pt idx="2">
                  <c:v>916.33872490892065</c:v>
                </c:pt>
                <c:pt idx="3">
                  <c:v>1007.7730881920095</c:v>
                </c:pt>
                <c:pt idx="4">
                  <c:v>992.6086586208105</c:v>
                </c:pt>
                <c:pt idx="5">
                  <c:v>1062.9613990114715</c:v>
                </c:pt>
                <c:pt idx="6">
                  <c:v>1001.82040515456</c:v>
                </c:pt>
                <c:pt idx="7">
                  <c:v>1110.1883196137112</c:v>
                </c:pt>
                <c:pt idx="8">
                  <c:v>1101.9923599755723</c:v>
                </c:pt>
                <c:pt idx="9">
                  <c:v>1107.0442461640105</c:v>
                </c:pt>
                <c:pt idx="10">
                  <c:v>1225.256191812312</c:v>
                </c:pt>
                <c:pt idx="11">
                  <c:v>1326.1122351099737</c:v>
                </c:pt>
              </c:numCache>
            </c:numRef>
          </c:val>
        </c:ser>
        <c:ser>
          <c:idx val="5"/>
          <c:order val="5"/>
          <c:tx>
            <c:strRef>
              <c:f>'2016'!$E$139</c:f>
              <c:strCache>
                <c:ptCount val="1"/>
                <c:pt idx="0">
                  <c:v>From KZT 100 mln to KZT 500 mln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'2016'!$F$139:$Q$139</c:f>
              <c:numCache>
                <c:formatCode>#" "###" "###" "###" "##0.00</c:formatCode>
                <c:ptCount val="12"/>
                <c:pt idx="0">
                  <c:v>220.46196573325986</c:v>
                </c:pt>
                <c:pt idx="1">
                  <c:v>295.1929071814302</c:v>
                </c:pt>
                <c:pt idx="2">
                  <c:v>292.25600732889035</c:v>
                </c:pt>
                <c:pt idx="3">
                  <c:v>321.2049681667097</c:v>
                </c:pt>
                <c:pt idx="4">
                  <c:v>324.61396292339964</c:v>
                </c:pt>
                <c:pt idx="5">
                  <c:v>350.52785448825011</c:v>
                </c:pt>
                <c:pt idx="6">
                  <c:v>321.9310815296796</c:v>
                </c:pt>
                <c:pt idx="7">
                  <c:v>361.11262210827016</c:v>
                </c:pt>
                <c:pt idx="8">
                  <c:v>360.48342912933958</c:v>
                </c:pt>
                <c:pt idx="9">
                  <c:v>357.48609431996084</c:v>
                </c:pt>
                <c:pt idx="10">
                  <c:v>381.97076825424017</c:v>
                </c:pt>
                <c:pt idx="11">
                  <c:v>429.32392256209079</c:v>
                </c:pt>
              </c:numCache>
            </c:numRef>
          </c:val>
        </c:ser>
        <c:ser>
          <c:idx val="6"/>
          <c:order val="6"/>
          <c:tx>
            <c:strRef>
              <c:f>'2016'!$E$140</c:f>
              <c:strCache>
                <c:ptCount val="1"/>
                <c:pt idx="0">
                  <c:v>From KZT 500 mln to KZT 1 bln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'2016'!$F$140:$Q$140</c:f>
              <c:numCache>
                <c:formatCode>#" "###" "###" "###" "##0.00</c:formatCode>
                <c:ptCount val="12"/>
                <c:pt idx="0">
                  <c:v>67.311484527410059</c:v>
                </c:pt>
                <c:pt idx="1">
                  <c:v>80.486029607429984</c:v>
                </c:pt>
                <c:pt idx="2">
                  <c:v>85.660142293750056</c:v>
                </c:pt>
                <c:pt idx="3">
                  <c:v>92.774670724199979</c:v>
                </c:pt>
                <c:pt idx="4">
                  <c:v>94.893001752920043</c:v>
                </c:pt>
                <c:pt idx="5">
                  <c:v>100.07219909908989</c:v>
                </c:pt>
                <c:pt idx="6">
                  <c:v>93.608548757240015</c:v>
                </c:pt>
                <c:pt idx="7">
                  <c:v>102.9240704585401</c:v>
                </c:pt>
                <c:pt idx="8">
                  <c:v>102.42046936377</c:v>
                </c:pt>
                <c:pt idx="9">
                  <c:v>101.27442482276008</c:v>
                </c:pt>
                <c:pt idx="10">
                  <c:v>103.99617574841984</c:v>
                </c:pt>
                <c:pt idx="11">
                  <c:v>116.07786239993979</c:v>
                </c:pt>
              </c:numCache>
            </c:numRef>
          </c:val>
        </c:ser>
        <c:ser>
          <c:idx val="7"/>
          <c:order val="7"/>
          <c:tx>
            <c:strRef>
              <c:f>'2016'!$E$141</c:f>
              <c:strCache>
                <c:ptCount val="1"/>
                <c:pt idx="0">
                  <c:v>Above KZT 1 bln</c:v>
                </c:pt>
              </c:strCache>
            </c:strRef>
          </c:tx>
          <c:invertIfNegative val="0"/>
          <c:cat>
            <c:strRef>
              <c:f>'2016'!$F$133:$Q$133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'2016'!$F$141:$Q$141</c:f>
              <c:numCache>
                <c:formatCode>#" "###" "###" "###" "##0.00</c:formatCode>
                <c:ptCount val="12"/>
                <c:pt idx="0">
                  <c:v>170.13274128316033</c:v>
                </c:pt>
                <c:pt idx="1">
                  <c:v>217.82202060456115</c:v>
                </c:pt>
                <c:pt idx="2">
                  <c:v>222.73240038742992</c:v>
                </c:pt>
                <c:pt idx="3">
                  <c:v>240.11217126562994</c:v>
                </c:pt>
                <c:pt idx="4">
                  <c:v>234.61958021248068</c:v>
                </c:pt>
                <c:pt idx="5">
                  <c:v>251.55633100510011</c:v>
                </c:pt>
                <c:pt idx="6">
                  <c:v>239.25465609623046</c:v>
                </c:pt>
                <c:pt idx="7">
                  <c:v>258.98660986310915</c:v>
                </c:pt>
                <c:pt idx="8">
                  <c:v>242.17879754986924</c:v>
                </c:pt>
                <c:pt idx="9">
                  <c:v>241.4461451173101</c:v>
                </c:pt>
                <c:pt idx="10">
                  <c:v>250.30879990524062</c:v>
                </c:pt>
                <c:pt idx="11">
                  <c:v>283.24005219350994</c:v>
                </c:pt>
              </c:numCache>
            </c:numRef>
          </c:val>
        </c:ser>
        <c:dLbls>
          <c:showLegendKey val="0"/>
          <c:showVal val="0"/>
          <c:showCatName val="0"/>
          <c:showSerName val="0"/>
          <c:showPercent val="0"/>
          <c:showBubbleSize val="0"/>
        </c:dLbls>
        <c:gapWidth val="150"/>
        <c:overlap val="100"/>
        <c:axId val="168796928"/>
        <c:axId val="168798464"/>
      </c:barChart>
      <c:catAx>
        <c:axId val="168796928"/>
        <c:scaling>
          <c:orientation val="minMax"/>
        </c:scaling>
        <c:delete val="0"/>
        <c:axPos val="b"/>
        <c:majorTickMark val="out"/>
        <c:minorTickMark val="none"/>
        <c:tickLblPos val="nextTo"/>
        <c:crossAx val="168798464"/>
        <c:crosses val="autoZero"/>
        <c:auto val="1"/>
        <c:lblAlgn val="ctr"/>
        <c:lblOffset val="100"/>
        <c:noMultiLvlLbl val="0"/>
      </c:catAx>
      <c:valAx>
        <c:axId val="168798464"/>
        <c:scaling>
          <c:orientation val="minMax"/>
          <c:min val="0.5"/>
        </c:scaling>
        <c:delete val="0"/>
        <c:axPos val="l"/>
        <c:majorGridlines/>
        <c:numFmt formatCode="0%" sourceLinked="1"/>
        <c:majorTickMark val="out"/>
        <c:minorTickMark val="none"/>
        <c:tickLblPos val="nextTo"/>
        <c:crossAx val="168796928"/>
        <c:crosses val="autoZero"/>
        <c:crossBetween val="between"/>
        <c:majorUnit val="0.1"/>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Number</a:t>
            </a:r>
            <a:endParaRPr lang="ru-RU"/>
          </a:p>
        </c:rich>
      </c:tx>
      <c:overlay val="0"/>
      <c:spPr>
        <a:noFill/>
        <a:ln w="25389">
          <a:noFill/>
        </a:ln>
      </c:spPr>
    </c:title>
    <c:autoTitleDeleted val="0"/>
    <c:plotArea>
      <c:layout>
        <c:manualLayout>
          <c:layoutTarget val="inner"/>
          <c:xMode val="edge"/>
          <c:yMode val="edge"/>
          <c:x val="0.11829352856019111"/>
          <c:y val="0.29486990491634191"/>
          <c:w val="0.83942332691771548"/>
          <c:h val="0.55064569602823621"/>
        </c:manualLayout>
      </c:layout>
      <c:barChart>
        <c:barDir val="col"/>
        <c:grouping val="clustered"/>
        <c:varyColors val="0"/>
        <c:ser>
          <c:idx val="0"/>
          <c:order val="0"/>
          <c:tx>
            <c:strRef>
              <c:f>Лист1!$B$1</c:f>
              <c:strCache>
                <c:ptCount val="1"/>
                <c:pt idx="0">
                  <c:v>Количество</c:v>
                </c:pt>
              </c:strCache>
            </c:strRef>
          </c:tx>
          <c:spPr>
            <a:solidFill>
              <a:srgbClr val="92D050"/>
            </a:solidFill>
          </c:spPr>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20.067700000000002</c:v>
                </c:pt>
                <c:pt idx="1">
                  <c:v>21.352799999999956</c:v>
                </c:pt>
                <c:pt idx="2">
                  <c:v>20.6889</c:v>
                </c:pt>
                <c:pt idx="3">
                  <c:v>21.700732999999936</c:v>
                </c:pt>
                <c:pt idx="4">
                  <c:v>21.3</c:v>
                </c:pt>
              </c:numCache>
            </c:numRef>
          </c:val>
        </c:ser>
        <c:dLbls>
          <c:showLegendKey val="0"/>
          <c:showVal val="0"/>
          <c:showCatName val="0"/>
          <c:showSerName val="0"/>
          <c:showPercent val="0"/>
          <c:showBubbleSize val="0"/>
        </c:dLbls>
        <c:gapWidth val="70"/>
        <c:axId val="168982784"/>
        <c:axId val="168988672"/>
      </c:barChart>
      <c:catAx>
        <c:axId val="168982784"/>
        <c:scaling>
          <c:orientation val="minMax"/>
        </c:scaling>
        <c:delete val="0"/>
        <c:axPos val="b"/>
        <c:numFmt formatCode="General" sourceLinked="1"/>
        <c:majorTickMark val="out"/>
        <c:minorTickMark val="none"/>
        <c:tickLblPos val="nextTo"/>
        <c:txPr>
          <a:bodyPr/>
          <a:lstStyle/>
          <a:p>
            <a:pPr>
              <a:defRPr sz="900"/>
            </a:pPr>
            <a:endParaRPr lang="ru-RU"/>
          </a:p>
        </c:txPr>
        <c:crossAx val="168988672"/>
        <c:crosses val="autoZero"/>
        <c:auto val="1"/>
        <c:lblAlgn val="ctr"/>
        <c:lblOffset val="100"/>
        <c:noMultiLvlLbl val="0"/>
      </c:catAx>
      <c:valAx>
        <c:axId val="168988672"/>
        <c:scaling>
          <c:orientation val="minMax"/>
        </c:scaling>
        <c:delete val="0"/>
        <c:axPos val="l"/>
        <c:numFmt formatCode="#,##0.0" sourceLinked="1"/>
        <c:majorTickMark val="out"/>
        <c:minorTickMark val="none"/>
        <c:tickLblPos val="nextTo"/>
        <c:txPr>
          <a:bodyPr/>
          <a:lstStyle/>
          <a:p>
            <a:pPr>
              <a:defRPr sz="900"/>
            </a:pPr>
            <a:endParaRPr lang="ru-RU"/>
          </a:p>
        </c:txPr>
        <c:crossAx val="168982784"/>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9"/>
            </a:pPr>
            <a:r>
              <a:rPr lang="en-US"/>
              <a:t>Amount</a:t>
            </a:r>
            <a:endParaRPr lang="ru-RU"/>
          </a:p>
        </c:rich>
      </c:tx>
      <c:layout>
        <c:manualLayout>
          <c:xMode val="edge"/>
          <c:yMode val="edge"/>
          <c:x val="0.41634024807812725"/>
          <c:y val="0"/>
        </c:manualLayout>
      </c:layout>
      <c:overlay val="0"/>
      <c:spPr>
        <a:noFill/>
        <a:ln w="25315">
          <a:noFill/>
        </a:ln>
      </c:spPr>
    </c:title>
    <c:autoTitleDeleted val="0"/>
    <c:plotArea>
      <c:layout>
        <c:manualLayout>
          <c:layoutTarget val="inner"/>
          <c:xMode val="edge"/>
          <c:yMode val="edge"/>
          <c:x val="0.12211153055510852"/>
          <c:y val="0.18277690273259467"/>
          <c:w val="0.86194392214725368"/>
          <c:h val="0.63653149913637863"/>
        </c:manualLayout>
      </c:layout>
      <c:barChart>
        <c:barDir val="col"/>
        <c:grouping val="clustered"/>
        <c:varyColors val="0"/>
        <c:ser>
          <c:idx val="0"/>
          <c:order val="0"/>
          <c:tx>
            <c:strRef>
              <c:f>Лист1!$B$1</c:f>
              <c:strCache>
                <c:ptCount val="1"/>
                <c:pt idx="0">
                  <c:v>Сумма</c:v>
                </c:pt>
              </c:strCache>
            </c:strRef>
          </c:tx>
          <c:spPr>
            <a:solidFill>
              <a:srgbClr val="F79646">
                <a:lumMod val="20000"/>
                <a:lumOff val="80000"/>
              </a:srgbClr>
            </a:solidFill>
          </c:spPr>
          <c:invertIfNegative val="0"/>
          <c:dLbls>
            <c:spPr>
              <a:noFill/>
              <a:ln w="25315">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4218.5</c:v>
                </c:pt>
                <c:pt idx="1">
                  <c:v>4814.9000000000005</c:v>
                </c:pt>
                <c:pt idx="2">
                  <c:v>5388.8</c:v>
                </c:pt>
                <c:pt idx="3">
                  <c:v>5525.7604032653844</c:v>
                </c:pt>
                <c:pt idx="4">
                  <c:v>6015.4</c:v>
                </c:pt>
              </c:numCache>
            </c:numRef>
          </c:val>
        </c:ser>
        <c:dLbls>
          <c:showLegendKey val="0"/>
          <c:showVal val="0"/>
          <c:showCatName val="0"/>
          <c:showSerName val="0"/>
          <c:showPercent val="0"/>
          <c:showBubbleSize val="0"/>
        </c:dLbls>
        <c:gapWidth val="70"/>
        <c:axId val="168407424"/>
        <c:axId val="168408960"/>
      </c:barChart>
      <c:catAx>
        <c:axId val="168407424"/>
        <c:scaling>
          <c:orientation val="minMax"/>
        </c:scaling>
        <c:delete val="0"/>
        <c:axPos val="b"/>
        <c:numFmt formatCode="General" sourceLinked="1"/>
        <c:majorTickMark val="out"/>
        <c:minorTickMark val="none"/>
        <c:tickLblPos val="nextTo"/>
        <c:crossAx val="168408960"/>
        <c:crosses val="autoZero"/>
        <c:auto val="1"/>
        <c:lblAlgn val="ctr"/>
        <c:lblOffset val="100"/>
        <c:noMultiLvlLbl val="0"/>
      </c:catAx>
      <c:valAx>
        <c:axId val="168408960"/>
        <c:scaling>
          <c:orientation val="minMax"/>
        </c:scaling>
        <c:delete val="0"/>
        <c:axPos val="l"/>
        <c:numFmt formatCode="#,##0" sourceLinked="0"/>
        <c:majorTickMark val="out"/>
        <c:minorTickMark val="none"/>
        <c:tickLblPos val="nextTo"/>
        <c:txPr>
          <a:bodyPr/>
          <a:lstStyle/>
          <a:p>
            <a:pPr>
              <a:defRPr sz="699"/>
            </a:pPr>
            <a:endParaRPr lang="ru-RU"/>
          </a:p>
        </c:txPr>
        <c:crossAx val="168407424"/>
        <c:crosses val="autoZero"/>
        <c:crossBetween val="between"/>
      </c:valAx>
    </c:plotArea>
    <c:plotVisOnly val="1"/>
    <c:dispBlanksAs val="gap"/>
    <c:showDLblsOverMax val="0"/>
  </c:chart>
  <c:spPr>
    <a:ln>
      <a:noFill/>
    </a:ln>
  </c:spPr>
  <c:txPr>
    <a:bodyPr/>
    <a:lstStyle/>
    <a:p>
      <a:pPr>
        <a:defRPr>
          <a:latin typeface="+mn-lt"/>
        </a:defRPr>
      </a:pPr>
      <a:endParaRPr lang="ru-RU"/>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Лист2!$B$80</c:f>
              <c:strCache>
                <c:ptCount val="1"/>
                <c:pt idx="0">
                  <c:v>2016</c:v>
                </c:pt>
              </c:strCache>
            </c:strRef>
          </c:tx>
          <c:invertIfNegative val="0"/>
          <c:dLbls>
            <c:showLegendKey val="0"/>
            <c:showVal val="1"/>
            <c:showCatName val="0"/>
            <c:showSerName val="0"/>
            <c:showPercent val="0"/>
            <c:showBubbleSize val="0"/>
            <c:showLeaderLines val="0"/>
          </c:dLbls>
          <c:cat>
            <c:strRef>
              <c:f>Лист2!$A$81:$A$87</c:f>
              <c:strCache>
                <c:ptCount val="7"/>
                <c:pt idx="0">
                  <c:v>Goods</c:v>
                </c:pt>
                <c:pt idx="1">
                  <c:v>Services </c:v>
                </c:pt>
                <c:pt idx="2">
                  <c:v>Payments to budget </c:v>
                </c:pt>
                <c:pt idx="3">
                  <c:v>Deposits </c:v>
                </c:pt>
                <c:pt idx="4">
                  <c:v>Pension payments </c:v>
                </c:pt>
                <c:pt idx="5">
                  <c:v>Special transfers</c:v>
                </c:pt>
                <c:pt idx="6">
                  <c:v>Other payments </c:v>
                </c:pt>
              </c:strCache>
            </c:strRef>
          </c:cat>
          <c:val>
            <c:numRef>
              <c:f>Лист2!$B$81:$B$87</c:f>
              <c:numCache>
                <c:formatCode>_-* #,##0.0_р_._-;\-* #,##0.0_р_._-;_-* "-"??_р_._-;_-@_-</c:formatCode>
                <c:ptCount val="7"/>
                <c:pt idx="0">
                  <c:v>1661.342735865449</c:v>
                </c:pt>
                <c:pt idx="1">
                  <c:v>1545.1202078544286</c:v>
                </c:pt>
                <c:pt idx="2">
                  <c:v>1100.2385673060664</c:v>
                </c:pt>
                <c:pt idx="3">
                  <c:v>633.4739160138231</c:v>
                </c:pt>
                <c:pt idx="4">
                  <c:v>516.55713509224859</c:v>
                </c:pt>
                <c:pt idx="5">
                  <c:v>300.36832917608047</c:v>
                </c:pt>
                <c:pt idx="6">
                  <c:v>258.29642313439365</c:v>
                </c:pt>
              </c:numCache>
            </c:numRef>
          </c:val>
        </c:ser>
        <c:ser>
          <c:idx val="1"/>
          <c:order val="1"/>
          <c:tx>
            <c:strRef>
              <c:f>Лист2!$C$80</c:f>
              <c:strCache>
                <c:ptCount val="1"/>
                <c:pt idx="0">
                  <c:v>2015</c:v>
                </c:pt>
              </c:strCache>
            </c:strRef>
          </c:tx>
          <c:invertIfNegative val="0"/>
          <c:dLbls>
            <c:showLegendKey val="0"/>
            <c:showVal val="1"/>
            <c:showCatName val="0"/>
            <c:showSerName val="0"/>
            <c:showPercent val="0"/>
            <c:showBubbleSize val="0"/>
            <c:showLeaderLines val="0"/>
          </c:dLbls>
          <c:cat>
            <c:strRef>
              <c:f>Лист2!$A$81:$A$87</c:f>
              <c:strCache>
                <c:ptCount val="7"/>
                <c:pt idx="0">
                  <c:v>Goods</c:v>
                </c:pt>
                <c:pt idx="1">
                  <c:v>Services </c:v>
                </c:pt>
                <c:pt idx="2">
                  <c:v>Payments to budget </c:v>
                </c:pt>
                <c:pt idx="3">
                  <c:v>Deposits </c:v>
                </c:pt>
                <c:pt idx="4">
                  <c:v>Pension payments </c:v>
                </c:pt>
                <c:pt idx="5">
                  <c:v>Special transfers</c:v>
                </c:pt>
                <c:pt idx="6">
                  <c:v>Other payments </c:v>
                </c:pt>
              </c:strCache>
            </c:strRef>
          </c:cat>
          <c:val>
            <c:numRef>
              <c:f>Лист2!$C$81:$C$87</c:f>
              <c:numCache>
                <c:formatCode>_-* #,##0.0_р_._-;\-* #,##0.0_р_._-;_-* "-"??_р_._-;_-@_-</c:formatCode>
                <c:ptCount val="7"/>
                <c:pt idx="0">
                  <c:v>1529.3632885266093</c:v>
                </c:pt>
                <c:pt idx="1">
                  <c:v>1457.9482786796709</c:v>
                </c:pt>
                <c:pt idx="2">
                  <c:v>1037.2403881481416</c:v>
                </c:pt>
                <c:pt idx="3">
                  <c:v>523.64773923055202</c:v>
                </c:pt>
                <c:pt idx="4">
                  <c:v>556.00558318725973</c:v>
                </c:pt>
                <c:pt idx="5">
                  <c:v>228.00856012703079</c:v>
                </c:pt>
                <c:pt idx="6">
                  <c:v>193.54656536611549</c:v>
                </c:pt>
              </c:numCache>
            </c:numRef>
          </c:val>
        </c:ser>
        <c:dLbls>
          <c:showLegendKey val="0"/>
          <c:showVal val="0"/>
          <c:showCatName val="0"/>
          <c:showSerName val="0"/>
          <c:showPercent val="0"/>
          <c:showBubbleSize val="0"/>
        </c:dLbls>
        <c:gapWidth val="150"/>
        <c:axId val="168954496"/>
        <c:axId val="169021824"/>
      </c:barChart>
      <c:catAx>
        <c:axId val="168954496"/>
        <c:scaling>
          <c:orientation val="minMax"/>
        </c:scaling>
        <c:delete val="0"/>
        <c:axPos val="l"/>
        <c:majorGridlines/>
        <c:majorTickMark val="out"/>
        <c:minorTickMark val="none"/>
        <c:tickLblPos val="nextTo"/>
        <c:crossAx val="169021824"/>
        <c:crosses val="autoZero"/>
        <c:auto val="1"/>
        <c:lblAlgn val="ctr"/>
        <c:lblOffset val="100"/>
        <c:noMultiLvlLbl val="0"/>
      </c:catAx>
      <c:valAx>
        <c:axId val="169021824"/>
        <c:scaling>
          <c:orientation val="minMax"/>
        </c:scaling>
        <c:delete val="1"/>
        <c:axPos val="b"/>
        <c:numFmt formatCode="_-* #,##0.0_р_._-;\-* #,##0.0_р_._-;_-* &quot;-&quot;??_р_._-;_-@_-" sourceLinked="1"/>
        <c:majorTickMark val="out"/>
        <c:minorTickMark val="none"/>
        <c:tickLblPos val="nextTo"/>
        <c:crossAx val="1689544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интервалы!$F$77</c:f>
              <c:strCache>
                <c:ptCount val="1"/>
                <c:pt idx="0">
                  <c:v>0 - 500 000</c:v>
                </c:pt>
              </c:strCache>
            </c:strRef>
          </c:tx>
          <c:invertIfNegative val="0"/>
          <c:cat>
            <c:numRef>
              <c:f>интервалы!$G$76:$R$76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интервалы!$G$77:$R$77</c:f>
              <c:numCache>
                <c:formatCode>_-* #,##0.0_ _-;\-* #,##0.0_ _-;_-* "-"??_ _-;_-@_-</c:formatCode>
                <c:ptCount val="12"/>
                <c:pt idx="0">
                  <c:v>1187.1869999999999</c:v>
                </c:pt>
                <c:pt idx="1">
                  <c:v>2085.91</c:v>
                </c:pt>
                <c:pt idx="2">
                  <c:v>1593.403</c:v>
                </c:pt>
                <c:pt idx="3">
                  <c:v>1487.711</c:v>
                </c:pt>
                <c:pt idx="4">
                  <c:v>1460.854</c:v>
                </c:pt>
                <c:pt idx="5">
                  <c:v>1672.636</c:v>
                </c:pt>
                <c:pt idx="6">
                  <c:v>1575.9570000000001</c:v>
                </c:pt>
                <c:pt idx="7">
                  <c:v>2051.6570000000002</c:v>
                </c:pt>
                <c:pt idx="8">
                  <c:v>1520.9780000000001</c:v>
                </c:pt>
                <c:pt idx="9">
                  <c:v>1415.258</c:v>
                </c:pt>
                <c:pt idx="10">
                  <c:v>1449.0909999999999</c:v>
                </c:pt>
                <c:pt idx="11">
                  <c:v>1670.126</c:v>
                </c:pt>
              </c:numCache>
            </c:numRef>
          </c:val>
        </c:ser>
        <c:ser>
          <c:idx val="1"/>
          <c:order val="1"/>
          <c:tx>
            <c:strRef>
              <c:f>интервалы!$F$78</c:f>
              <c:strCache>
                <c:ptCount val="1"/>
                <c:pt idx="0">
                  <c:v>500 000 - 1 млн.</c:v>
                </c:pt>
              </c:strCache>
            </c:strRef>
          </c:tx>
          <c:invertIfNegative val="0"/>
          <c:cat>
            <c:numRef>
              <c:f>интервалы!$G$76:$R$76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интервалы!$G$78:$R$78</c:f>
              <c:numCache>
                <c:formatCode>_-* #,##0.0_ _-;\-* #,##0.0_ _-;_-* "-"??_ _-;_-@_-</c:formatCode>
                <c:ptCount val="12"/>
                <c:pt idx="0">
                  <c:v>36.145000000000003</c:v>
                </c:pt>
                <c:pt idx="1">
                  <c:v>51.508000000000003</c:v>
                </c:pt>
                <c:pt idx="2">
                  <c:v>49.411999999999999</c:v>
                </c:pt>
                <c:pt idx="3">
                  <c:v>52.427</c:v>
                </c:pt>
                <c:pt idx="4">
                  <c:v>51.875</c:v>
                </c:pt>
                <c:pt idx="5">
                  <c:v>61.031999999999996</c:v>
                </c:pt>
                <c:pt idx="6">
                  <c:v>52.573</c:v>
                </c:pt>
                <c:pt idx="7">
                  <c:v>57.304000000000002</c:v>
                </c:pt>
                <c:pt idx="8">
                  <c:v>54.726999999999997</c:v>
                </c:pt>
                <c:pt idx="9">
                  <c:v>52.125999999999998</c:v>
                </c:pt>
                <c:pt idx="10">
                  <c:v>56.924999999999997</c:v>
                </c:pt>
                <c:pt idx="11">
                  <c:v>62.636000000000003</c:v>
                </c:pt>
              </c:numCache>
            </c:numRef>
          </c:val>
        </c:ser>
        <c:ser>
          <c:idx val="2"/>
          <c:order val="2"/>
          <c:tx>
            <c:strRef>
              <c:f>интервалы!$F$79</c:f>
              <c:strCache>
                <c:ptCount val="1"/>
                <c:pt idx="0">
                  <c:v>Above 1 mln</c:v>
                </c:pt>
              </c:strCache>
            </c:strRef>
          </c:tx>
          <c:invertIfNegative val="0"/>
          <c:cat>
            <c:numRef>
              <c:f>интервалы!$G$76:$R$76</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интервалы!$G$79:$R$79</c:f>
              <c:numCache>
                <c:formatCode>_-* #,##0.0_ _-;\-* #,##0.0_ _-;_-* "-"??_ _-;_-@_-</c:formatCode>
                <c:ptCount val="12"/>
                <c:pt idx="0">
                  <c:v>73.23</c:v>
                </c:pt>
                <c:pt idx="1">
                  <c:v>107.884</c:v>
                </c:pt>
                <c:pt idx="2">
                  <c:v>110.06699999999999</c:v>
                </c:pt>
                <c:pt idx="3">
                  <c:v>122.78400000000001</c:v>
                </c:pt>
                <c:pt idx="4">
                  <c:v>122.607</c:v>
                </c:pt>
                <c:pt idx="5">
                  <c:v>135.67599999999999</c:v>
                </c:pt>
                <c:pt idx="6">
                  <c:v>120.006</c:v>
                </c:pt>
                <c:pt idx="7">
                  <c:v>135.876</c:v>
                </c:pt>
                <c:pt idx="8">
                  <c:v>129.65600000000001</c:v>
                </c:pt>
                <c:pt idx="9">
                  <c:v>131.03</c:v>
                </c:pt>
                <c:pt idx="10">
                  <c:v>147.00200000000001</c:v>
                </c:pt>
                <c:pt idx="11">
                  <c:v>156.36199999999999</c:v>
                </c:pt>
              </c:numCache>
            </c:numRef>
          </c:val>
        </c:ser>
        <c:dLbls>
          <c:showLegendKey val="0"/>
          <c:showVal val="0"/>
          <c:showCatName val="0"/>
          <c:showSerName val="0"/>
          <c:showPercent val="0"/>
          <c:showBubbleSize val="0"/>
        </c:dLbls>
        <c:gapWidth val="150"/>
        <c:overlap val="100"/>
        <c:axId val="169043456"/>
        <c:axId val="169044992"/>
      </c:barChart>
      <c:catAx>
        <c:axId val="169043456"/>
        <c:scaling>
          <c:orientation val="minMax"/>
        </c:scaling>
        <c:delete val="0"/>
        <c:axPos val="b"/>
        <c:numFmt formatCode="General" sourceLinked="1"/>
        <c:majorTickMark val="out"/>
        <c:minorTickMark val="none"/>
        <c:tickLblPos val="nextTo"/>
        <c:crossAx val="169044992"/>
        <c:crosses val="autoZero"/>
        <c:auto val="1"/>
        <c:lblAlgn val="ctr"/>
        <c:lblOffset val="100"/>
        <c:noMultiLvlLbl val="0"/>
      </c:catAx>
      <c:valAx>
        <c:axId val="169044992"/>
        <c:scaling>
          <c:orientation val="minMax"/>
          <c:min val="0.8"/>
        </c:scaling>
        <c:delete val="0"/>
        <c:axPos val="l"/>
        <c:majorGridlines/>
        <c:numFmt formatCode="0%" sourceLinked="1"/>
        <c:majorTickMark val="out"/>
        <c:minorTickMark val="none"/>
        <c:tickLblPos val="nextTo"/>
        <c:crossAx val="169043456"/>
        <c:crosses val="autoZero"/>
        <c:crossBetween val="between"/>
        <c:majorUnit val="5.000000000000001E-2"/>
      </c:valAx>
    </c:plotArea>
    <c:legend>
      <c:legendPos val="b"/>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интервалы!$F$83</c:f>
              <c:strCache>
                <c:ptCount val="1"/>
                <c:pt idx="0">
                  <c:v>Above 1 mln</c:v>
                </c:pt>
              </c:strCache>
            </c:strRef>
          </c:tx>
          <c:invertIfNegative val="0"/>
          <c:cat>
            <c:numRef>
              <c:f>интервалы!$G$82:$R$82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интервалы!$G$83:$R$83</c:f>
              <c:numCache>
                <c:formatCode>_-* #,##0.0_ _-;\-* #,##0.0_ _-;_-* "-"??_ _-;_-@_-</c:formatCode>
                <c:ptCount val="12"/>
                <c:pt idx="0">
                  <c:v>220.40077746756998</c:v>
                </c:pt>
                <c:pt idx="1">
                  <c:v>330.71061763980003</c:v>
                </c:pt>
                <c:pt idx="2">
                  <c:v>342.61994916017994</c:v>
                </c:pt>
                <c:pt idx="3">
                  <c:v>385.82721433132997</c:v>
                </c:pt>
                <c:pt idx="4">
                  <c:v>384.96199737960018</c:v>
                </c:pt>
                <c:pt idx="5">
                  <c:v>416.07468087515002</c:v>
                </c:pt>
                <c:pt idx="6">
                  <c:v>373.28404469861999</c:v>
                </c:pt>
                <c:pt idx="7">
                  <c:v>426.42135838094015</c:v>
                </c:pt>
                <c:pt idx="8">
                  <c:v>405.73951024873008</c:v>
                </c:pt>
                <c:pt idx="9">
                  <c:v>413.27309573491999</c:v>
                </c:pt>
                <c:pt idx="10">
                  <c:v>469.02477454295996</c:v>
                </c:pt>
                <c:pt idx="11">
                  <c:v>497.63671438303004</c:v>
                </c:pt>
              </c:numCache>
            </c:numRef>
          </c:val>
        </c:ser>
        <c:ser>
          <c:idx val="1"/>
          <c:order val="1"/>
          <c:tx>
            <c:strRef>
              <c:f>интервалы!$F$84</c:f>
              <c:strCache>
                <c:ptCount val="1"/>
                <c:pt idx="0">
                  <c:v>0 - 500 000</c:v>
                </c:pt>
              </c:strCache>
            </c:strRef>
          </c:tx>
          <c:invertIfNegative val="0"/>
          <c:cat>
            <c:numRef>
              <c:f>интервалы!$G$82:$R$82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интервалы!$G$84:$R$84</c:f>
              <c:numCache>
                <c:formatCode>_-* #,##0.0_ _-;\-* #,##0.0_ _-;_-* "-"??_ _-;_-@_-</c:formatCode>
                <c:ptCount val="12"/>
                <c:pt idx="0">
                  <c:v>51.915119535720009</c:v>
                </c:pt>
                <c:pt idx="1">
                  <c:v>85.205942719660015</c:v>
                </c:pt>
                <c:pt idx="2">
                  <c:v>71.281277292690007</c:v>
                </c:pt>
                <c:pt idx="3">
                  <c:v>73.356389095760008</c:v>
                </c:pt>
                <c:pt idx="4">
                  <c:v>72.358840052929992</c:v>
                </c:pt>
                <c:pt idx="5">
                  <c:v>81.081750935000002</c:v>
                </c:pt>
                <c:pt idx="6">
                  <c:v>75.413188199380002</c:v>
                </c:pt>
                <c:pt idx="7">
                  <c:v>88.270707933789993</c:v>
                </c:pt>
                <c:pt idx="8">
                  <c:v>70.202921160539987</c:v>
                </c:pt>
                <c:pt idx="9">
                  <c:v>68.582323102840007</c:v>
                </c:pt>
                <c:pt idx="10">
                  <c:v>72.160120835919997</c:v>
                </c:pt>
                <c:pt idx="11">
                  <c:v>79.183015301560019</c:v>
                </c:pt>
              </c:numCache>
            </c:numRef>
          </c:val>
        </c:ser>
        <c:ser>
          <c:idx val="2"/>
          <c:order val="2"/>
          <c:tx>
            <c:strRef>
              <c:f>интервалы!$F$85</c:f>
              <c:strCache>
                <c:ptCount val="1"/>
                <c:pt idx="0">
                  <c:v>500 000 - 1 млн.</c:v>
                </c:pt>
              </c:strCache>
            </c:strRef>
          </c:tx>
          <c:invertIfNegative val="0"/>
          <c:cat>
            <c:numRef>
              <c:f>интервалы!$G$82:$R$82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интервалы!$G$85:$R$85</c:f>
              <c:numCache>
                <c:formatCode>_-* #,##0.0_ _-;\-* #,##0.0_ _-;_-* "-"??_ _-;_-@_-</c:formatCode>
                <c:ptCount val="12"/>
                <c:pt idx="0">
                  <c:v>26.014469533349999</c:v>
                </c:pt>
                <c:pt idx="1">
                  <c:v>37.07303355997</c:v>
                </c:pt>
                <c:pt idx="2">
                  <c:v>35.614119696879996</c:v>
                </c:pt>
                <c:pt idx="3">
                  <c:v>37.841122422520002</c:v>
                </c:pt>
                <c:pt idx="4">
                  <c:v>37.360796474680001</c:v>
                </c:pt>
                <c:pt idx="5">
                  <c:v>44.012644859970003</c:v>
                </c:pt>
                <c:pt idx="6">
                  <c:v>37.841934381369995</c:v>
                </c:pt>
                <c:pt idx="7">
                  <c:v>41.245822765650004</c:v>
                </c:pt>
                <c:pt idx="8">
                  <c:v>39.460626049089996</c:v>
                </c:pt>
                <c:pt idx="9">
                  <c:v>37.640609907589997</c:v>
                </c:pt>
                <c:pt idx="10">
                  <c:v>41.106019325119995</c:v>
                </c:pt>
                <c:pt idx="11">
                  <c:v>45.199784457679989</c:v>
                </c:pt>
              </c:numCache>
            </c:numRef>
          </c:val>
        </c:ser>
        <c:dLbls>
          <c:showLegendKey val="0"/>
          <c:showVal val="0"/>
          <c:showCatName val="0"/>
          <c:showSerName val="0"/>
          <c:showPercent val="0"/>
          <c:showBubbleSize val="0"/>
        </c:dLbls>
        <c:gapWidth val="150"/>
        <c:overlap val="100"/>
        <c:axId val="169070976"/>
        <c:axId val="169072512"/>
      </c:barChart>
      <c:catAx>
        <c:axId val="169070976"/>
        <c:scaling>
          <c:orientation val="minMax"/>
        </c:scaling>
        <c:delete val="0"/>
        <c:axPos val="b"/>
        <c:numFmt formatCode="General" sourceLinked="1"/>
        <c:majorTickMark val="out"/>
        <c:minorTickMark val="none"/>
        <c:tickLblPos val="nextTo"/>
        <c:crossAx val="169072512"/>
        <c:crosses val="autoZero"/>
        <c:auto val="1"/>
        <c:lblAlgn val="ctr"/>
        <c:lblOffset val="100"/>
        <c:noMultiLvlLbl val="0"/>
      </c:catAx>
      <c:valAx>
        <c:axId val="169072512"/>
        <c:scaling>
          <c:orientation val="minMax"/>
        </c:scaling>
        <c:delete val="0"/>
        <c:axPos val="l"/>
        <c:majorGridlines/>
        <c:numFmt formatCode="0%" sourceLinked="1"/>
        <c:majorTickMark val="out"/>
        <c:minorTickMark val="none"/>
        <c:tickLblPos val="nextTo"/>
        <c:crossAx val="169070976"/>
        <c:crosses val="autoZero"/>
        <c:crossBetween val="between"/>
        <c:majorUnit val="0.2"/>
      </c:valAx>
    </c:plotArea>
    <c:legend>
      <c:legendPos val="b"/>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16339869281078"/>
          <c:y val="3.8392700126073452E-2"/>
          <c:w val="0.79999999999999993"/>
          <c:h val="0.83545660126866028"/>
        </c:manualLayout>
      </c:layout>
      <c:barChart>
        <c:barDir val="col"/>
        <c:grouping val="clustered"/>
        <c:varyColors val="0"/>
        <c:ser>
          <c:idx val="0"/>
          <c:order val="0"/>
          <c:tx>
            <c:strRef>
              <c:f>Лист1!$B$1</c:f>
              <c:strCache>
                <c:ptCount val="1"/>
                <c:pt idx="0">
                  <c:v>Ликвидность в среднем, млрд.тг</c:v>
                </c:pt>
              </c:strCache>
            </c:strRef>
          </c:tx>
          <c:spPr>
            <a:solidFill>
              <a:srgbClr val="008000"/>
            </a:solidFill>
            <a:ln w="25344">
              <a:noFill/>
            </a:ln>
          </c:spPr>
          <c:invertIfNegative val="0"/>
          <c:dLbls>
            <c:dLbl>
              <c:idx val="0"/>
              <c:layout>
                <c:manualLayout>
                  <c:x val="-4.2789901583226491E-3"/>
                  <c:y val="1.789463817022871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5579803166453104E-3"/>
                  <c:y val="-1.186726659167603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6.4184852374839915E-3"/>
                  <c:y val="1.789463817022871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1394441079480449E-3"/>
                  <c:y val="1.293412340111810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77386341693664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7.8447246673294529E-17"/>
                  <c:y val="1.789463817022871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2789901583226491E-3"/>
                  <c:y val="2.53351143607048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6.4184852374839542E-3"/>
                  <c:y val="2.53351143607048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6.4184852374839542E-3"/>
                  <c:y val="-1.1867266591676039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4.2790564640958501E-3"/>
                  <c:y val="-2.8732185237441383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rot="0" vert="horz"/>
              <a:lstStyle/>
              <a:p>
                <a:pPr>
                  <a:defRPr sz="1098">
                    <a:solidFill>
                      <a:schemeClr val="tx1"/>
                    </a:solidFill>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Лист1!$B$2:$B$11</c:f>
              <c:numCache>
                <c:formatCode>_-* #,##0.0_р_._-;\-* #,##0.0_р_._-;_-* "-"??_р_._-;_-@_-</c:formatCode>
                <c:ptCount val="10"/>
                <c:pt idx="0">
                  <c:v>580.29999999999995</c:v>
                </c:pt>
                <c:pt idx="1">
                  <c:v>531.9</c:v>
                </c:pt>
                <c:pt idx="2">
                  <c:v>578.29999999999995</c:v>
                </c:pt>
                <c:pt idx="3">
                  <c:v>732.4</c:v>
                </c:pt>
                <c:pt idx="4">
                  <c:v>845.6</c:v>
                </c:pt>
                <c:pt idx="5">
                  <c:v>912</c:v>
                </c:pt>
                <c:pt idx="6">
                  <c:v>924.7</c:v>
                </c:pt>
                <c:pt idx="7">
                  <c:v>927.9</c:v>
                </c:pt>
                <c:pt idx="8">
                  <c:v>860.4</c:v>
                </c:pt>
                <c:pt idx="9">
                  <c:v>1072.8</c:v>
                </c:pt>
              </c:numCache>
            </c:numRef>
          </c:val>
        </c:ser>
        <c:dLbls>
          <c:showLegendKey val="0"/>
          <c:showVal val="0"/>
          <c:showCatName val="0"/>
          <c:showSerName val="0"/>
          <c:showPercent val="0"/>
          <c:showBubbleSize val="0"/>
        </c:dLbls>
        <c:gapWidth val="100"/>
        <c:axId val="169191296"/>
        <c:axId val="169192832"/>
      </c:barChart>
      <c:catAx>
        <c:axId val="169191296"/>
        <c:scaling>
          <c:orientation val="minMax"/>
        </c:scaling>
        <c:delete val="0"/>
        <c:axPos val="b"/>
        <c:numFmt formatCode="General" sourceLinked="1"/>
        <c:majorTickMark val="out"/>
        <c:minorTickMark val="none"/>
        <c:tickLblPos val="nextTo"/>
        <c:crossAx val="169192832"/>
        <c:crosses val="autoZero"/>
        <c:auto val="1"/>
        <c:lblAlgn val="ctr"/>
        <c:lblOffset val="100"/>
        <c:noMultiLvlLbl val="0"/>
      </c:catAx>
      <c:valAx>
        <c:axId val="169192832"/>
        <c:scaling>
          <c:orientation val="minMax"/>
        </c:scaling>
        <c:delete val="0"/>
        <c:axPos val="l"/>
        <c:title>
          <c:tx>
            <c:rich>
              <a:bodyPr/>
              <a:lstStyle/>
              <a:p>
                <a:pPr>
                  <a:defRPr sz="998" b="0" i="0" u="none" strike="noStrike" baseline="0">
                    <a:solidFill>
                      <a:srgbClr val="000000"/>
                    </a:solidFill>
                    <a:latin typeface="Calibri"/>
                    <a:ea typeface="Calibri"/>
                    <a:cs typeface="Calibri"/>
                  </a:defRPr>
                </a:pPr>
                <a:r>
                  <a:rPr lang="en-US"/>
                  <a:t>KZT billion</a:t>
                </a:r>
                <a:endParaRPr lang="ru-RU"/>
              </a:p>
            </c:rich>
          </c:tx>
          <c:layout>
            <c:manualLayout>
              <c:xMode val="edge"/>
              <c:yMode val="edge"/>
              <c:x val="1.2594218991856778E-2"/>
              <c:y val="0.21904781908930293"/>
            </c:manualLayout>
          </c:layout>
          <c:overlay val="0"/>
          <c:spPr>
            <a:noFill/>
            <a:ln w="25344">
              <a:noFill/>
            </a:ln>
          </c:spPr>
        </c:title>
        <c:numFmt formatCode="_-* #,##0.0_р_._-;\-* #,##0.0_р_._-;_-* &quot;-&quot;??_р_._-;_-@_-" sourceLinked="1"/>
        <c:majorTickMark val="out"/>
        <c:minorTickMark val="none"/>
        <c:tickLblPos val="nextTo"/>
        <c:spPr>
          <a:ln>
            <a:solidFill>
              <a:sysClr val="windowText" lastClr="000000"/>
            </a:solidFill>
          </a:ln>
        </c:spPr>
        <c:crossAx val="169191296"/>
        <c:crosses val="autoZero"/>
        <c:crossBetween val="between"/>
      </c:valAx>
      <c:spPr>
        <a:noFill/>
        <a:ln w="25400">
          <a:noFill/>
        </a:ln>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7349810047840417"/>
          <c:y val="3.2901076044739692E-2"/>
          <c:w val="0.71725239616613423"/>
          <c:h val="0.68938441794494032"/>
        </c:manualLayout>
      </c:layout>
      <c:barChart>
        <c:barDir val="col"/>
        <c:grouping val="clustered"/>
        <c:varyColors val="0"/>
        <c:ser>
          <c:idx val="1"/>
          <c:order val="0"/>
          <c:tx>
            <c:strRef>
              <c:f>Sheet1!$A$2</c:f>
              <c:strCache>
                <c:ptCount val="1"/>
                <c:pt idx="0">
                  <c:v>Liquidity (KZT bln)</c:v>
                </c:pt>
              </c:strCache>
            </c:strRef>
          </c:tx>
          <c:spPr>
            <a:solidFill>
              <a:schemeClr val="accent1"/>
            </a:solidFill>
            <a:ln>
              <a:solidFill>
                <a:schemeClr val="accent1"/>
              </a:solidFill>
            </a:ln>
          </c:spPr>
          <c:invertIfNegative val="0"/>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Sheet1!$B$2:$M$2</c:f>
              <c:numCache>
                <c:formatCode>#,##0.0</c:formatCode>
                <c:ptCount val="12"/>
                <c:pt idx="0">
                  <c:v>765.80748750298289</c:v>
                </c:pt>
                <c:pt idx="1">
                  <c:v>787.49160022627234</c:v>
                </c:pt>
                <c:pt idx="2">
                  <c:v>915.09060123332756</c:v>
                </c:pt>
                <c:pt idx="3">
                  <c:v>1089.1820936459442</c:v>
                </c:pt>
                <c:pt idx="4">
                  <c:v>1052.2879316218875</c:v>
                </c:pt>
                <c:pt idx="5">
                  <c:v>1042.9176135929451</c:v>
                </c:pt>
                <c:pt idx="6">
                  <c:v>993.45092846686919</c:v>
                </c:pt>
                <c:pt idx="7">
                  <c:v>968.88040926630777</c:v>
                </c:pt>
                <c:pt idx="8">
                  <c:v>1262.4782563220294</c:v>
                </c:pt>
                <c:pt idx="9">
                  <c:v>1262.3973227698598</c:v>
                </c:pt>
                <c:pt idx="10">
                  <c:v>1329.4151688829779</c:v>
                </c:pt>
                <c:pt idx="11">
                  <c:v>1361.8467762097184</c:v>
                </c:pt>
              </c:numCache>
            </c:numRef>
          </c:val>
        </c:ser>
        <c:dLbls>
          <c:showLegendKey val="0"/>
          <c:showVal val="0"/>
          <c:showCatName val="0"/>
          <c:showSerName val="0"/>
          <c:showPercent val="0"/>
          <c:showBubbleSize val="0"/>
        </c:dLbls>
        <c:gapWidth val="100"/>
        <c:axId val="168551168"/>
        <c:axId val="168553088"/>
      </c:barChart>
      <c:lineChart>
        <c:grouping val="standard"/>
        <c:varyColors val="0"/>
        <c:ser>
          <c:idx val="0"/>
          <c:order val="1"/>
          <c:tx>
            <c:strRef>
              <c:f>Sheet1!$A$3</c:f>
              <c:strCache>
                <c:ptCount val="1"/>
                <c:pt idx="0">
                  <c:v>In % of average turnover</c:v>
                </c:pt>
              </c:strCache>
            </c:strRef>
          </c:tx>
          <c:spPr>
            <a:ln>
              <a:solidFill>
                <a:schemeClr val="accent2"/>
              </a:solidFill>
            </a:ln>
          </c:spPr>
          <c:marker>
            <c:spPr>
              <a:solidFill>
                <a:schemeClr val="accent2"/>
              </a:solidFill>
              <a:ln>
                <a:solidFill>
                  <a:schemeClr val="accent2"/>
                </a:solidFill>
              </a:ln>
            </c:spPr>
          </c:marker>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Sheet1!$B$3:$M$3</c:f>
              <c:numCache>
                <c:formatCode>0.0%</c:formatCode>
                <c:ptCount val="12"/>
                <c:pt idx="0">
                  <c:v>0.66475495154230302</c:v>
                </c:pt>
                <c:pt idx="1">
                  <c:v>0.51174372068693352</c:v>
                </c:pt>
                <c:pt idx="2">
                  <c:v>0.38615802032212082</c:v>
                </c:pt>
                <c:pt idx="3">
                  <c:v>0.40615832560893739</c:v>
                </c:pt>
                <c:pt idx="4">
                  <c:v>0.37294521143360937</c:v>
                </c:pt>
                <c:pt idx="5">
                  <c:v>0.39779194857889533</c:v>
                </c:pt>
                <c:pt idx="6">
                  <c:v>0.36881558799147679</c:v>
                </c:pt>
                <c:pt idx="7">
                  <c:v>0.36794233204830384</c:v>
                </c:pt>
                <c:pt idx="8">
                  <c:v>0.53514369999097067</c:v>
                </c:pt>
                <c:pt idx="9">
                  <c:v>0.55329147819890179</c:v>
                </c:pt>
                <c:pt idx="10">
                  <c:v>0.58686537851740816</c:v>
                </c:pt>
                <c:pt idx="11">
                  <c:v>0.43200335079781499</c:v>
                </c:pt>
              </c:numCache>
            </c:numRef>
          </c:val>
          <c:smooth val="0"/>
        </c:ser>
        <c:dLbls>
          <c:showLegendKey val="0"/>
          <c:showVal val="0"/>
          <c:showCatName val="0"/>
          <c:showSerName val="0"/>
          <c:showPercent val="0"/>
          <c:showBubbleSize val="0"/>
        </c:dLbls>
        <c:marker val="1"/>
        <c:smooth val="0"/>
        <c:axId val="169087744"/>
        <c:axId val="169089280"/>
      </c:lineChart>
      <c:catAx>
        <c:axId val="168551168"/>
        <c:scaling>
          <c:orientation val="minMax"/>
        </c:scaling>
        <c:delete val="0"/>
        <c:axPos val="b"/>
        <c:numFmt formatCode="General" sourceLinked="1"/>
        <c:majorTickMark val="out"/>
        <c:minorTickMark val="none"/>
        <c:tickLblPos val="nextTo"/>
        <c:txPr>
          <a:bodyPr rot="0" vert="horz"/>
          <a:lstStyle/>
          <a:p>
            <a:pPr>
              <a:defRPr/>
            </a:pPr>
            <a:endParaRPr lang="ru-RU"/>
          </a:p>
        </c:txPr>
        <c:crossAx val="168553088"/>
        <c:crossesAt val="0"/>
        <c:auto val="0"/>
        <c:lblAlgn val="ctr"/>
        <c:lblOffset val="100"/>
        <c:tickMarkSkip val="1"/>
        <c:noMultiLvlLbl val="0"/>
      </c:catAx>
      <c:valAx>
        <c:axId val="168553088"/>
        <c:scaling>
          <c:orientation val="minMax"/>
          <c:max val="1400"/>
          <c:min val="0"/>
        </c:scaling>
        <c:delete val="0"/>
        <c:axPos val="l"/>
        <c:title>
          <c:tx>
            <c:rich>
              <a:bodyPr/>
              <a:lstStyle/>
              <a:p>
                <a:pPr>
                  <a:defRPr sz="999" b="0" i="0" u="none" strike="noStrike" baseline="0">
                    <a:solidFill>
                      <a:srgbClr val="000000"/>
                    </a:solidFill>
                    <a:latin typeface="Calibri"/>
                    <a:ea typeface="Calibri"/>
                    <a:cs typeface="Calibri"/>
                  </a:defRPr>
                </a:pPr>
                <a:r>
                  <a:rPr lang="en-US"/>
                  <a:t>KZT bln</a:t>
                </a:r>
                <a:endParaRPr lang="ru-RU"/>
              </a:p>
            </c:rich>
          </c:tx>
          <c:layout>
            <c:manualLayout>
              <c:xMode val="edge"/>
              <c:yMode val="edge"/>
              <c:x val="0.13566549464335825"/>
              <c:y val="0.15166962368533418"/>
            </c:manualLayout>
          </c:layout>
          <c:overlay val="0"/>
        </c:title>
        <c:numFmt formatCode="#,##0" sourceLinked="0"/>
        <c:majorTickMark val="out"/>
        <c:minorTickMark val="none"/>
        <c:tickLblPos val="nextTo"/>
        <c:txPr>
          <a:bodyPr rot="0" vert="horz"/>
          <a:lstStyle/>
          <a:p>
            <a:pPr>
              <a:defRPr sz="800"/>
            </a:pPr>
            <a:endParaRPr lang="ru-RU"/>
          </a:p>
        </c:txPr>
        <c:crossAx val="168551168"/>
        <c:crosses val="autoZero"/>
        <c:crossBetween val="between"/>
        <c:majorUnit val="200"/>
        <c:minorUnit val="200"/>
      </c:valAx>
      <c:catAx>
        <c:axId val="169087744"/>
        <c:scaling>
          <c:orientation val="minMax"/>
        </c:scaling>
        <c:delete val="1"/>
        <c:axPos val="b"/>
        <c:numFmt formatCode="General" sourceLinked="1"/>
        <c:majorTickMark val="out"/>
        <c:minorTickMark val="none"/>
        <c:tickLblPos val="none"/>
        <c:crossAx val="169089280"/>
        <c:crosses val="autoZero"/>
        <c:auto val="1"/>
        <c:lblAlgn val="ctr"/>
        <c:lblOffset val="100"/>
        <c:noMultiLvlLbl val="0"/>
      </c:catAx>
      <c:valAx>
        <c:axId val="169089280"/>
        <c:scaling>
          <c:orientation val="minMax"/>
        </c:scaling>
        <c:delete val="0"/>
        <c:axPos val="r"/>
        <c:title>
          <c:tx>
            <c:rich>
              <a:bodyPr/>
              <a:lstStyle/>
              <a:p>
                <a:pPr>
                  <a:defRPr b="0"/>
                </a:pPr>
                <a:r>
                  <a:rPr lang="en-US" b="0"/>
                  <a:t>in</a:t>
                </a:r>
                <a:r>
                  <a:rPr lang="en-US" b="0" baseline="0"/>
                  <a:t> </a:t>
                </a:r>
                <a:r>
                  <a:rPr lang="ru-RU" b="0"/>
                  <a:t>%</a:t>
                </a:r>
              </a:p>
            </c:rich>
          </c:tx>
          <c:layout>
            <c:manualLayout>
              <c:xMode val="edge"/>
              <c:yMode val="edge"/>
              <c:x val="0.95436902013368674"/>
              <c:y val="0.74149234564563538"/>
            </c:manualLayout>
          </c:layout>
          <c:overlay val="0"/>
        </c:title>
        <c:numFmt formatCode="0%" sourceLinked="0"/>
        <c:majorTickMark val="out"/>
        <c:minorTickMark val="none"/>
        <c:tickLblPos val="nextTo"/>
        <c:txPr>
          <a:bodyPr rot="0" vert="horz"/>
          <a:lstStyle/>
          <a:p>
            <a:pPr>
              <a:defRPr sz="800"/>
            </a:pPr>
            <a:endParaRPr lang="ru-RU"/>
          </a:p>
        </c:txPr>
        <c:crossAx val="169087744"/>
        <c:crosses val="max"/>
        <c:crossBetween val="between"/>
        <c:majorUnit val="0.5"/>
        <c:minorUnit val="0.5"/>
      </c:valAx>
      <c:dTable>
        <c:showHorzBorder val="1"/>
        <c:showVertBorder val="1"/>
        <c:showOutline val="1"/>
        <c:showKeys val="1"/>
        <c:txPr>
          <a:bodyPr/>
          <a:lstStyle/>
          <a:p>
            <a:pPr rtl="0">
              <a:defRPr sz="800"/>
            </a:pPr>
            <a:endParaRPr lang="ru-RU"/>
          </a:p>
        </c:txPr>
      </c:dTable>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91139240506328"/>
          <c:y val="4.0052901199349365E-2"/>
          <c:w val="0.60455014464290247"/>
          <c:h val="0.53005310472498857"/>
        </c:manualLayout>
      </c:layout>
      <c:barChart>
        <c:barDir val="col"/>
        <c:grouping val="clustered"/>
        <c:varyColors val="0"/>
        <c:ser>
          <c:idx val="0"/>
          <c:order val="0"/>
          <c:tx>
            <c:strRef>
              <c:f>Sheet1!$B$1</c:f>
              <c:strCache>
                <c:ptCount val="1"/>
                <c:pt idx="0">
                  <c:v>Average amount of net positions for period, KZT bln</c:v>
                </c:pt>
              </c:strCache>
            </c:strRef>
          </c:tx>
          <c:spPr>
            <a:solidFill>
              <a:schemeClr val="accent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Sheet1!$B$2:$B$13</c:f>
              <c:numCache>
                <c:formatCode>_-* #,##0.0_р_._-;\-* #,##0.0_р_._-;_-* "-"??_р_._-;_-@_-</c:formatCode>
                <c:ptCount val="12"/>
                <c:pt idx="0">
                  <c:v>5.0575405965911102</c:v>
                </c:pt>
                <c:pt idx="1">
                  <c:v>4.7405487523880954</c:v>
                </c:pt>
                <c:pt idx="2">
                  <c:v>4.5703630946763178</c:v>
                </c:pt>
                <c:pt idx="3">
                  <c:v>4.3835549380404748</c:v>
                </c:pt>
                <c:pt idx="4">
                  <c:v>4.8897657068799987</c:v>
                </c:pt>
                <c:pt idx="5">
                  <c:v>5.1733168734986368</c:v>
                </c:pt>
                <c:pt idx="6">
                  <c:v>4.6064266028930003</c:v>
                </c:pt>
                <c:pt idx="7">
                  <c:v>5.2844397762095454</c:v>
                </c:pt>
                <c:pt idx="8">
                  <c:v>5.1449866472642833</c:v>
                </c:pt>
                <c:pt idx="9">
                  <c:v>5.2361461212490479</c:v>
                </c:pt>
                <c:pt idx="10">
                  <c:v>5.2984238323418182</c:v>
                </c:pt>
                <c:pt idx="11">
                  <c:v>7.2805764677336864</c:v>
                </c:pt>
              </c:numCache>
            </c:numRef>
          </c:val>
        </c:ser>
        <c:dLbls>
          <c:showLegendKey val="0"/>
          <c:showVal val="0"/>
          <c:showCatName val="0"/>
          <c:showSerName val="0"/>
          <c:showPercent val="0"/>
          <c:showBubbleSize val="0"/>
        </c:dLbls>
        <c:gapWidth val="100"/>
        <c:axId val="169215488"/>
        <c:axId val="169217024"/>
      </c:barChart>
      <c:lineChart>
        <c:grouping val="standard"/>
        <c:varyColors val="0"/>
        <c:ser>
          <c:idx val="1"/>
          <c:order val="1"/>
          <c:tx>
            <c:strRef>
              <c:f>Sheet1!$C$1</c:f>
              <c:strCache>
                <c:ptCount val="1"/>
                <c:pt idx="0">
                  <c:v>Average MTR for period </c:v>
                </c:pt>
              </c:strCache>
            </c:strRef>
          </c:tx>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_-* #,##0.0_р_._-;\-* #,##0.0_р_._-;_-* "-"??_р_._-;_-@_-</c:formatCode>
                <c:ptCount val="12"/>
                <c:pt idx="0">
                  <c:v>3.2709832242717352</c:v>
                </c:pt>
                <c:pt idx="1">
                  <c:v>4.6645837987579348</c:v>
                </c:pt>
                <c:pt idx="2">
                  <c:v>5.6012213852464345</c:v>
                </c:pt>
                <c:pt idx="3">
                  <c:v>5.6010833356298901</c:v>
                </c:pt>
                <c:pt idx="4">
                  <c:v>5.4375593533676758</c:v>
                </c:pt>
                <c:pt idx="5">
                  <c:v>4.9565596651201345</c:v>
                </c:pt>
                <c:pt idx="6">
                  <c:v>5.3669348575922298</c:v>
                </c:pt>
                <c:pt idx="7">
                  <c:v>4.8884693978459515</c:v>
                </c:pt>
                <c:pt idx="8">
                  <c:v>5.1347580076306389</c:v>
                </c:pt>
                <c:pt idx="9">
                  <c:v>5.2031068369457936</c:v>
                </c:pt>
                <c:pt idx="10">
                  <c:v>5.301946833725899</c:v>
                </c:pt>
                <c:pt idx="11">
                  <c:v>4.7099577004639457</c:v>
                </c:pt>
              </c:numCache>
            </c:numRef>
          </c:val>
          <c:smooth val="0"/>
        </c:ser>
        <c:dLbls>
          <c:showLegendKey val="0"/>
          <c:showVal val="0"/>
          <c:showCatName val="0"/>
          <c:showSerName val="0"/>
          <c:showPercent val="0"/>
          <c:showBubbleSize val="0"/>
        </c:dLbls>
        <c:marker val="1"/>
        <c:smooth val="0"/>
        <c:axId val="169227392"/>
        <c:axId val="169228928"/>
      </c:lineChart>
      <c:catAx>
        <c:axId val="169215488"/>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169217024"/>
        <c:crosses val="autoZero"/>
        <c:auto val="0"/>
        <c:lblAlgn val="ctr"/>
        <c:lblOffset val="100"/>
        <c:tickMarkSkip val="1"/>
        <c:noMultiLvlLbl val="0"/>
      </c:catAx>
      <c:valAx>
        <c:axId val="169217024"/>
        <c:scaling>
          <c:orientation val="minMax"/>
        </c:scaling>
        <c:delete val="0"/>
        <c:axPos val="l"/>
        <c:title>
          <c:tx>
            <c:rich>
              <a:bodyPr rot="-5400000" vert="horz"/>
              <a:lstStyle/>
              <a:p>
                <a:pPr>
                  <a:defRPr b="0"/>
                </a:pPr>
                <a:r>
                  <a:rPr lang="en-US" b="0"/>
                  <a:t>KZT billion</a:t>
                </a:r>
                <a:endParaRPr lang="ru-RU" b="0"/>
              </a:p>
            </c:rich>
          </c:tx>
          <c:layout>
            <c:manualLayout>
              <c:xMode val="edge"/>
              <c:yMode val="edge"/>
              <c:x val="0.21165819342199577"/>
              <c:y val="0.16807461238973823"/>
            </c:manualLayout>
          </c:layout>
          <c:overlay val="0"/>
        </c:title>
        <c:numFmt formatCode="#,##0.0" sourceLinked="0"/>
        <c:majorTickMark val="out"/>
        <c:minorTickMark val="none"/>
        <c:tickLblPos val="nextTo"/>
        <c:txPr>
          <a:bodyPr rot="0" vert="horz"/>
          <a:lstStyle/>
          <a:p>
            <a:pPr>
              <a:defRPr/>
            </a:pPr>
            <a:endParaRPr lang="ru-RU"/>
          </a:p>
        </c:txPr>
        <c:crossAx val="169215488"/>
        <c:crosses val="autoZero"/>
        <c:crossBetween val="between"/>
        <c:majorUnit val="2"/>
        <c:minorUnit val="1"/>
      </c:valAx>
      <c:catAx>
        <c:axId val="169227392"/>
        <c:scaling>
          <c:orientation val="minMax"/>
        </c:scaling>
        <c:delete val="1"/>
        <c:axPos val="b"/>
        <c:numFmt formatCode="General" sourceLinked="1"/>
        <c:majorTickMark val="out"/>
        <c:minorTickMark val="none"/>
        <c:tickLblPos val="none"/>
        <c:crossAx val="169228928"/>
        <c:crosses val="autoZero"/>
        <c:auto val="1"/>
        <c:lblAlgn val="ctr"/>
        <c:lblOffset val="100"/>
        <c:noMultiLvlLbl val="0"/>
      </c:catAx>
      <c:valAx>
        <c:axId val="169228928"/>
        <c:scaling>
          <c:orientation val="minMax"/>
        </c:scaling>
        <c:delete val="0"/>
        <c:axPos val="r"/>
        <c:title>
          <c:tx>
            <c:rich>
              <a:bodyPr rot="5400000" vert="horz"/>
              <a:lstStyle/>
              <a:p>
                <a:pPr>
                  <a:defRPr b="0"/>
                </a:pPr>
                <a:r>
                  <a:rPr lang="en-US" b="0"/>
                  <a:t>unit</a:t>
                </a:r>
                <a:r>
                  <a:rPr lang="ru-RU" b="0"/>
                  <a:t> </a:t>
                </a:r>
              </a:p>
            </c:rich>
          </c:tx>
          <c:layout>
            <c:manualLayout>
              <c:xMode val="edge"/>
              <c:yMode val="edge"/>
              <c:x val="0.96264855410200201"/>
              <c:y val="0.27810674278674885"/>
            </c:manualLayout>
          </c:layout>
          <c:overlay val="0"/>
        </c:title>
        <c:numFmt formatCode="#,##0.0" sourceLinked="0"/>
        <c:majorTickMark val="cross"/>
        <c:minorTickMark val="none"/>
        <c:tickLblPos val="nextTo"/>
        <c:txPr>
          <a:bodyPr rot="0" vert="horz"/>
          <a:lstStyle/>
          <a:p>
            <a:pPr>
              <a:defRPr/>
            </a:pPr>
            <a:endParaRPr lang="ru-RU"/>
          </a:p>
        </c:txPr>
        <c:crossAx val="169227392"/>
        <c:crosses val="max"/>
        <c:crossBetween val="between"/>
      </c:valAx>
      <c:dTable>
        <c:showHorzBorder val="1"/>
        <c:showVertBorder val="1"/>
        <c:showOutline val="1"/>
        <c:showKeys val="1"/>
      </c:dTable>
    </c:plotArea>
    <c:plotVisOnly val="1"/>
    <c:dispBlanksAs val="gap"/>
    <c:showDLblsOverMax val="0"/>
  </c:chart>
  <c:spPr>
    <a:ln>
      <a:noFill/>
    </a:ln>
  </c:spPr>
  <c:txPr>
    <a:bodyPr/>
    <a:lstStyle/>
    <a:p>
      <a:pPr>
        <a:defRPr sz="1000"/>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202795508549597"/>
          <c:y val="4.2021222133151528E-2"/>
          <c:w val="0.77851479888606456"/>
          <c:h val="0.69663792630142463"/>
        </c:manualLayout>
      </c:layout>
      <c:lineChart>
        <c:grouping val="standard"/>
        <c:varyColors val="0"/>
        <c:ser>
          <c:idx val="0"/>
          <c:order val="0"/>
          <c:tx>
            <c:strRef>
              <c:f>Лист1!$B$1</c:f>
              <c:strCache>
                <c:ptCount val="1"/>
                <c:pt idx="0">
                  <c:v>ISMT</c:v>
                </c:pt>
              </c:strCache>
            </c:strRef>
          </c:tx>
          <c:dLbls>
            <c:dLbl>
              <c:idx val="0"/>
              <c:layout>
                <c:manualLayout>
                  <c:x val="-0.1117725013243789"/>
                  <c:y val="7.188393065860976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1607144368300892"/>
                  <c:y val="6.469553759274883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9.8875674248489281E-2"/>
                  <c:y val="5.750714452688773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4391946760219656E-2"/>
                  <c:y val="-7.00854637965350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1.2896827075889877E-2"/>
                  <c:y val="5.031875146102680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2012</c:v>
                </c:pt>
                <c:pt idx="1">
                  <c:v>2013</c:v>
                </c:pt>
                <c:pt idx="2">
                  <c:v>2014</c:v>
                </c:pt>
                <c:pt idx="3">
                  <c:v>2015</c:v>
                </c:pt>
                <c:pt idx="4">
                  <c:v>2016</c:v>
                </c:pt>
              </c:strCache>
            </c:strRef>
          </c:cat>
          <c:val>
            <c:numRef>
              <c:f>Лист1!$B$2:$B$6</c:f>
              <c:numCache>
                <c:formatCode>0.000%</c:formatCode>
                <c:ptCount val="5"/>
                <c:pt idx="0">
                  <c:v>0.99988999999999983</c:v>
                </c:pt>
                <c:pt idx="1">
                  <c:v>0.99934000000000001</c:v>
                </c:pt>
                <c:pt idx="2">
                  <c:v>0.99948999999999988</c:v>
                </c:pt>
                <c:pt idx="3">
                  <c:v>1</c:v>
                </c:pt>
                <c:pt idx="4">
                  <c:v>0.99802999999999997</c:v>
                </c:pt>
              </c:numCache>
            </c:numRef>
          </c:val>
          <c:smooth val="0"/>
        </c:ser>
        <c:ser>
          <c:idx val="1"/>
          <c:order val="1"/>
          <c:tx>
            <c:strRef>
              <c:f>Лист1!$C$1</c:f>
              <c:strCache>
                <c:ptCount val="1"/>
                <c:pt idx="0">
                  <c:v>ICS</c:v>
                </c:pt>
              </c:strCache>
            </c:strRef>
          </c:tx>
          <c:dLbls>
            <c:dLbl>
              <c:idx val="0"/>
              <c:layout>
                <c:manualLayout>
                  <c:x val="-0.11967562632982313"/>
                  <c:y val="-6.758510509140541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9.8875695340216355E-2"/>
                  <c:y val="-5.750733046123963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4484135379449373E-2"/>
                  <c:y val="-5.031875146102687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0"/>
                  <c:y val="5.750714452688770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ru-RU"/>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2012</c:v>
                </c:pt>
                <c:pt idx="1">
                  <c:v>2013</c:v>
                </c:pt>
                <c:pt idx="2">
                  <c:v>2014</c:v>
                </c:pt>
                <c:pt idx="3">
                  <c:v>2015</c:v>
                </c:pt>
                <c:pt idx="4">
                  <c:v>2016</c:v>
                </c:pt>
              </c:strCache>
            </c:strRef>
          </c:cat>
          <c:val>
            <c:numRef>
              <c:f>Лист1!$C$2:$C$6</c:f>
              <c:numCache>
                <c:formatCode>0.000%</c:formatCode>
                <c:ptCount val="5"/>
                <c:pt idx="0">
                  <c:v>0.99997999999999998</c:v>
                </c:pt>
                <c:pt idx="1">
                  <c:v>0.99978999999999996</c:v>
                </c:pt>
                <c:pt idx="2">
                  <c:v>0.99997000000000003</c:v>
                </c:pt>
                <c:pt idx="3">
                  <c:v>1</c:v>
                </c:pt>
                <c:pt idx="4">
                  <c:v>0.99975999999999998</c:v>
                </c:pt>
              </c:numCache>
            </c:numRef>
          </c:val>
          <c:smooth val="0"/>
        </c:ser>
        <c:dLbls>
          <c:showLegendKey val="0"/>
          <c:showVal val="0"/>
          <c:showCatName val="0"/>
          <c:showSerName val="0"/>
          <c:showPercent val="0"/>
          <c:showBubbleSize val="0"/>
        </c:dLbls>
        <c:marker val="1"/>
        <c:smooth val="0"/>
        <c:axId val="169260544"/>
        <c:axId val="169262080"/>
      </c:lineChart>
      <c:catAx>
        <c:axId val="169260544"/>
        <c:scaling>
          <c:orientation val="minMax"/>
        </c:scaling>
        <c:delete val="0"/>
        <c:axPos val="b"/>
        <c:numFmt formatCode="General" sourceLinked="1"/>
        <c:majorTickMark val="none"/>
        <c:minorTickMark val="none"/>
        <c:tickLblPos val="nextTo"/>
        <c:txPr>
          <a:bodyPr/>
          <a:lstStyle/>
          <a:p>
            <a:pPr>
              <a:defRPr sz="799"/>
            </a:pPr>
            <a:endParaRPr lang="ru-RU"/>
          </a:p>
        </c:txPr>
        <c:crossAx val="169262080"/>
        <c:crosses val="autoZero"/>
        <c:auto val="1"/>
        <c:lblAlgn val="ctr"/>
        <c:lblOffset val="100"/>
        <c:noMultiLvlLbl val="0"/>
      </c:catAx>
      <c:valAx>
        <c:axId val="169262080"/>
        <c:scaling>
          <c:orientation val="minMax"/>
          <c:max val="1"/>
        </c:scaling>
        <c:delete val="0"/>
        <c:axPos val="l"/>
        <c:majorGridlines>
          <c:spPr>
            <a:ln>
              <a:prstDash val="sysDash"/>
            </a:ln>
          </c:spPr>
        </c:majorGridlines>
        <c:numFmt formatCode="0.000%" sourceLinked="1"/>
        <c:majorTickMark val="none"/>
        <c:minorTickMark val="none"/>
        <c:tickLblPos val="nextTo"/>
        <c:txPr>
          <a:bodyPr/>
          <a:lstStyle/>
          <a:p>
            <a:pPr>
              <a:defRPr sz="1000"/>
            </a:pPr>
            <a:endParaRPr lang="ru-RU"/>
          </a:p>
        </c:txPr>
        <c:crossAx val="169260544"/>
        <c:crosses val="autoZero"/>
        <c:crossBetween val="between"/>
      </c:valAx>
    </c:plotArea>
    <c:legend>
      <c:legendPos val="b"/>
      <c:layout>
        <c:manualLayout>
          <c:xMode val="edge"/>
          <c:yMode val="edge"/>
          <c:x val="0.30618001188247007"/>
          <c:y val="0.89307402446063533"/>
          <c:w val="0.43668223420496605"/>
          <c:h val="0.10692597553936467"/>
        </c:manualLayout>
      </c:layout>
      <c:overlay val="0"/>
      <c:txPr>
        <a:bodyPr/>
        <a:lstStyle/>
        <a:p>
          <a:pPr>
            <a:defRPr sz="799"/>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882653061224492"/>
          <c:y val="0.11985018726591759"/>
          <c:w val="0.75127551020408412"/>
          <c:h val="0.62546816479400658"/>
        </c:manualLayout>
      </c:layout>
      <c:barChart>
        <c:barDir val="col"/>
        <c:grouping val="clustered"/>
        <c:varyColors val="0"/>
        <c:ser>
          <c:idx val="0"/>
          <c:order val="0"/>
          <c:tx>
            <c:strRef>
              <c:f>Лист1!$A$2</c:f>
              <c:strCache>
                <c:ptCount val="1"/>
                <c:pt idx="0">
                  <c:v>Amount, in KZT trillion</c:v>
                </c:pt>
              </c:strCache>
            </c:strRef>
          </c:tx>
          <c:spPr>
            <a:solidFill>
              <a:srgbClr val="339966"/>
            </a:solidFill>
            <a:ln w="25341">
              <a:noFill/>
            </a:ln>
          </c:spPr>
          <c:invertIfNegative val="0"/>
          <c:dLbls>
            <c:dLbl>
              <c:idx val="0"/>
              <c:layout>
                <c:manualLayout>
                  <c:x val="-1.6428359620077837E-7"/>
                  <c:y val="0.1488095238095238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4880952380952381"/>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1726190476190476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196428571428571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19644968756129755"/>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2.0842789388168586E-3"/>
                  <c:y val="0.178571562006706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0.1845238095238095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2142857142857142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0"/>
                  <c:y val="0.2440476190476190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1.9509074523579313E-3"/>
                  <c:y val="0.4040000560428168"/>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w="25341">
                <a:noFill/>
              </a:ln>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Лист1!$B$2:$K$2</c:f>
              <c:numCache>
                <c:formatCode>_-* #,##0.0_р_._-;\-* #,##0.0_р_._-;_-* "-"??_р_._-;_-@_-</c:formatCode>
                <c:ptCount val="10"/>
                <c:pt idx="0" formatCode="0.0">
                  <c:v>143.45438972714862</c:v>
                </c:pt>
                <c:pt idx="1">
                  <c:v>141.85327772145098</c:v>
                </c:pt>
                <c:pt idx="2">
                  <c:v>159.74560720564494</c:v>
                </c:pt>
                <c:pt idx="3">
                  <c:v>187.704400867468</c:v>
                </c:pt>
                <c:pt idx="4">
                  <c:v>192.391110769644</c:v>
                </c:pt>
                <c:pt idx="5">
                  <c:v>170.7</c:v>
                </c:pt>
                <c:pt idx="6">
                  <c:v>177.5908</c:v>
                </c:pt>
                <c:pt idx="7">
                  <c:v>202.6</c:v>
                </c:pt>
                <c:pt idx="8">
                  <c:v>231.98574101503206</c:v>
                </c:pt>
                <c:pt idx="9">
                  <c:v>590.68710559783722</c:v>
                </c:pt>
              </c:numCache>
            </c:numRef>
          </c:val>
        </c:ser>
        <c:dLbls>
          <c:showLegendKey val="0"/>
          <c:showVal val="0"/>
          <c:showCatName val="0"/>
          <c:showSerName val="0"/>
          <c:showPercent val="0"/>
          <c:showBubbleSize val="0"/>
        </c:dLbls>
        <c:gapWidth val="39"/>
        <c:axId val="168148992"/>
        <c:axId val="168150528"/>
      </c:barChart>
      <c:lineChart>
        <c:grouping val="standard"/>
        <c:varyColors val="0"/>
        <c:ser>
          <c:idx val="1"/>
          <c:order val="1"/>
          <c:tx>
            <c:strRef>
              <c:f>Лист1!$A$3</c:f>
              <c:strCache>
                <c:ptCount val="1"/>
                <c:pt idx="0">
                  <c:v>Number, million transactions  </c:v>
                </c:pt>
              </c:strCache>
            </c:strRef>
          </c:tx>
          <c:spPr>
            <a:ln>
              <a:solidFill>
                <a:srgbClr val="FF0000"/>
              </a:solidFill>
            </a:ln>
          </c:spPr>
          <c:marker>
            <c:symbol val="diamond"/>
            <c:size val="4"/>
            <c:spPr>
              <a:solidFill>
                <a:srgbClr val="FF0000"/>
              </a:solidFill>
              <a:ln>
                <a:solidFill>
                  <a:srgbClr val="FF0000"/>
                </a:solidFill>
              </a:ln>
            </c:spPr>
          </c:marker>
          <c:dLbls>
            <c:dLbl>
              <c:idx val="0"/>
              <c:layout>
                <c:manualLayout>
                  <c:x val="-4.5195337424927193E-2"/>
                  <c:y val="-0.13885822101418813"/>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3640433103756773E-2"/>
                  <c:y val="-0.10540579669534185"/>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6899631758319196E-2"/>
                  <c:y val="-0.13933023997000374"/>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3812615528322205E-2"/>
                  <c:y val="-5.465575699834684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3812615528322163E-2"/>
                  <c:y val="-7.838054940641316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4.3495220992112914E-2"/>
                  <c:y val="-9.672616545707625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5341">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Лист1!$B$1:$K$1</c:f>
              <c:strCache>
                <c:ptCount val="10"/>
                <c:pt idx="0">
                  <c:v>2007</c:v>
                </c:pt>
                <c:pt idx="1">
                  <c:v>2008</c:v>
                </c:pt>
                <c:pt idx="2">
                  <c:v>2009</c:v>
                </c:pt>
                <c:pt idx="3">
                  <c:v>2010</c:v>
                </c:pt>
                <c:pt idx="4">
                  <c:v>2011</c:v>
                </c:pt>
                <c:pt idx="5">
                  <c:v>2012</c:v>
                </c:pt>
                <c:pt idx="6">
                  <c:v>2013</c:v>
                </c:pt>
                <c:pt idx="7">
                  <c:v>2014</c:v>
                </c:pt>
                <c:pt idx="8">
                  <c:v>2015</c:v>
                </c:pt>
                <c:pt idx="9">
                  <c:v>2016</c:v>
                </c:pt>
              </c:strCache>
            </c:strRef>
          </c:cat>
          <c:val>
            <c:numRef>
              <c:f>Лист1!$B$3:$K$3</c:f>
              <c:numCache>
                <c:formatCode>_-* #,##0.0_р_._-;\-* #,##0.0_р_._-;_-* "-"??_р_._-;_-@_-</c:formatCode>
                <c:ptCount val="10"/>
                <c:pt idx="0" formatCode="General">
                  <c:v>23.6</c:v>
                </c:pt>
                <c:pt idx="1">
                  <c:v>24.442976999999992</c:v>
                </c:pt>
                <c:pt idx="2">
                  <c:v>25.924356</c:v>
                </c:pt>
                <c:pt idx="3">
                  <c:v>29.709705</c:v>
                </c:pt>
                <c:pt idx="4">
                  <c:v>31.46376699999999</c:v>
                </c:pt>
                <c:pt idx="5">
                  <c:v>32.4</c:v>
                </c:pt>
                <c:pt idx="6">
                  <c:v>35.222500000000018</c:v>
                </c:pt>
                <c:pt idx="7">
                  <c:v>34.700000000000003</c:v>
                </c:pt>
                <c:pt idx="8">
                  <c:v>35.189528000000003</c:v>
                </c:pt>
                <c:pt idx="9">
                  <c:v>35.306693999999993</c:v>
                </c:pt>
              </c:numCache>
            </c:numRef>
          </c:val>
          <c:smooth val="0"/>
        </c:ser>
        <c:dLbls>
          <c:showLegendKey val="0"/>
          <c:showVal val="0"/>
          <c:showCatName val="0"/>
          <c:showSerName val="0"/>
          <c:showPercent val="0"/>
          <c:showBubbleSize val="0"/>
        </c:dLbls>
        <c:marker val="1"/>
        <c:smooth val="0"/>
        <c:axId val="168152448"/>
        <c:axId val="168158336"/>
      </c:lineChart>
      <c:catAx>
        <c:axId val="168148992"/>
        <c:scaling>
          <c:orientation val="minMax"/>
        </c:scaling>
        <c:delete val="0"/>
        <c:axPos val="b"/>
        <c:numFmt formatCode="General" sourceLinked="1"/>
        <c:majorTickMark val="out"/>
        <c:minorTickMark val="none"/>
        <c:tickLblPos val="nextTo"/>
        <c:txPr>
          <a:bodyPr rot="0" vert="horz"/>
          <a:lstStyle/>
          <a:p>
            <a:pPr>
              <a:defRPr/>
            </a:pPr>
            <a:endParaRPr lang="ru-RU"/>
          </a:p>
        </c:txPr>
        <c:crossAx val="168150528"/>
        <c:crosses val="autoZero"/>
        <c:auto val="1"/>
        <c:lblAlgn val="ctr"/>
        <c:lblOffset val="100"/>
        <c:noMultiLvlLbl val="0"/>
      </c:catAx>
      <c:valAx>
        <c:axId val="168150528"/>
        <c:scaling>
          <c:orientation val="minMax"/>
          <c:max val="600"/>
        </c:scaling>
        <c:delete val="0"/>
        <c:axPos val="l"/>
        <c:majorGridlines>
          <c:spPr>
            <a:ln>
              <a:solidFill>
                <a:schemeClr val="bg1">
                  <a:lumMod val="75000"/>
                </a:schemeClr>
              </a:solidFill>
              <a:prstDash val="sysDash"/>
            </a:ln>
          </c:spPr>
        </c:majorGridlines>
        <c:title>
          <c:tx>
            <c:rich>
              <a:bodyPr/>
              <a:lstStyle/>
              <a:p>
                <a:pPr>
                  <a:defRPr/>
                </a:pPr>
                <a:r>
                  <a:rPr lang="en-US"/>
                  <a:t>KZT trillion</a:t>
                </a:r>
                <a:endParaRPr lang="ru-RU"/>
              </a:p>
            </c:rich>
          </c:tx>
          <c:layout>
            <c:manualLayout>
              <c:xMode val="edge"/>
              <c:yMode val="edge"/>
              <c:x val="1.9368468627074881E-2"/>
              <c:y val="0.24103218440978474"/>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168148992"/>
        <c:crosses val="autoZero"/>
        <c:crossBetween val="between"/>
      </c:valAx>
      <c:catAx>
        <c:axId val="168152448"/>
        <c:scaling>
          <c:orientation val="minMax"/>
        </c:scaling>
        <c:delete val="1"/>
        <c:axPos val="b"/>
        <c:numFmt formatCode="General" sourceLinked="1"/>
        <c:majorTickMark val="out"/>
        <c:minorTickMark val="none"/>
        <c:tickLblPos val="none"/>
        <c:crossAx val="168158336"/>
        <c:crosses val="autoZero"/>
        <c:auto val="1"/>
        <c:lblAlgn val="ctr"/>
        <c:lblOffset val="100"/>
        <c:noMultiLvlLbl val="0"/>
      </c:catAx>
      <c:valAx>
        <c:axId val="168158336"/>
        <c:scaling>
          <c:orientation val="minMax"/>
          <c:max val="36"/>
          <c:min val="20"/>
        </c:scaling>
        <c:delete val="0"/>
        <c:axPos val="r"/>
        <c:title>
          <c:tx>
            <c:rich>
              <a:bodyPr/>
              <a:lstStyle/>
              <a:p>
                <a:pPr>
                  <a:defRPr/>
                </a:pPr>
                <a:r>
                  <a:rPr lang="en-US"/>
                  <a:t>million</a:t>
                </a:r>
                <a:r>
                  <a:rPr lang="en-US" baseline="0"/>
                  <a:t> transactions </a:t>
                </a:r>
                <a:endParaRPr lang="ru-RU"/>
              </a:p>
            </c:rich>
          </c:tx>
          <c:layout>
            <c:manualLayout>
              <c:xMode val="edge"/>
              <c:yMode val="edge"/>
              <c:x val="0.94311386546010312"/>
              <c:y val="0.13680304887262262"/>
            </c:manualLayout>
          </c:layout>
          <c:overlay val="0"/>
          <c:spPr>
            <a:noFill/>
            <a:ln w="25341">
              <a:noFill/>
            </a:ln>
          </c:spPr>
        </c:title>
        <c:numFmt formatCode="#,##0" sourceLinked="0"/>
        <c:majorTickMark val="out"/>
        <c:minorTickMark val="none"/>
        <c:tickLblPos val="nextTo"/>
        <c:txPr>
          <a:bodyPr rot="0" vert="horz"/>
          <a:lstStyle/>
          <a:p>
            <a:pPr>
              <a:defRPr/>
            </a:pPr>
            <a:endParaRPr lang="ru-RU"/>
          </a:p>
        </c:txPr>
        <c:crossAx val="168152448"/>
        <c:crosses val="max"/>
        <c:crossBetween val="between"/>
        <c:majorUnit val="4"/>
      </c:valAx>
    </c:plotArea>
    <c:legend>
      <c:legendPos val="r"/>
      <c:layout>
        <c:manualLayout>
          <c:xMode val="edge"/>
          <c:yMode val="edge"/>
          <c:x val="7.5255102040816327E-2"/>
          <c:y val="0.88014981273408455"/>
          <c:w val="0.89285714285714257"/>
          <c:h val="8.98876404494382E-2"/>
        </c:manualLayout>
      </c:layout>
      <c:overlay val="0"/>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076955589298887"/>
          <c:y val="5.7761732851985777E-2"/>
          <c:w val="0.60988748343618471"/>
          <c:h val="0.67432908058233365"/>
        </c:manualLayout>
      </c:layout>
      <c:barChart>
        <c:barDir val="col"/>
        <c:grouping val="clustered"/>
        <c:varyColors val="0"/>
        <c:ser>
          <c:idx val="1"/>
          <c:order val="1"/>
          <c:tx>
            <c:strRef>
              <c:f>Лист1!$C$1</c:f>
              <c:strCache>
                <c:ptCount val="1"/>
                <c:pt idx="0">
                  <c:v>Amount</c:v>
                </c:pt>
              </c:strCache>
            </c:strRef>
          </c:tx>
          <c:spPr>
            <a:solidFill>
              <a:srgbClr val="008000"/>
            </a:solidFill>
            <a:ln w="17609">
              <a:noFill/>
            </a:ln>
          </c:spPr>
          <c:invertIfNegative val="0"/>
          <c:dLbls>
            <c:dLbl>
              <c:idx val="0"/>
              <c:layout>
                <c:manualLayout>
                  <c:x val="-2.3147047082744221E-3"/>
                  <c:y val="0.3776725016810921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0217115840204917E-2"/>
                  <c:y val="0.3051738619487480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9.4878396547473931E-3"/>
                  <c:y val="0.3010164181345353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4059932353569939E-3"/>
                  <c:y val="0.3051780827038888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17609">
                <a:noFill/>
              </a:ln>
            </c:spPr>
            <c:txPr>
              <a:bodyPr rot="0" vert="horz"/>
              <a:lstStyle/>
              <a:p>
                <a:pPr algn="ctr">
                  <a:defRPr>
                    <a:solidFill>
                      <a:schemeClr val="tx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Sept</c:v>
                </c:pt>
                <c:pt idx="1">
                  <c:v>Oct</c:v>
                </c:pt>
                <c:pt idx="2">
                  <c:v>Nov</c:v>
                </c:pt>
                <c:pt idx="3">
                  <c:v>Dec</c:v>
                </c:pt>
              </c:strCache>
            </c:strRef>
          </c:cat>
          <c:val>
            <c:numRef>
              <c:f>Лист1!$C$2:$C$5</c:f>
              <c:numCache>
                <c:formatCode>_-* #,##0.0_р_._-;\-* #,##0.0_р_._-;_-* "-"??_р_._-;_-@_-</c:formatCode>
                <c:ptCount val="4"/>
                <c:pt idx="0">
                  <c:v>14075.534938339997</c:v>
                </c:pt>
                <c:pt idx="1">
                  <c:v>15049.439844390003</c:v>
                </c:pt>
                <c:pt idx="2">
                  <c:v>18374.267889869992</c:v>
                </c:pt>
                <c:pt idx="3">
                  <c:v>16719.270179000003</c:v>
                </c:pt>
              </c:numCache>
            </c:numRef>
          </c:val>
        </c:ser>
        <c:dLbls>
          <c:showLegendKey val="0"/>
          <c:showVal val="0"/>
          <c:showCatName val="0"/>
          <c:showSerName val="0"/>
          <c:showPercent val="0"/>
          <c:showBubbleSize val="0"/>
        </c:dLbls>
        <c:gapWidth val="100"/>
        <c:axId val="169133568"/>
        <c:axId val="169135104"/>
      </c:barChart>
      <c:lineChart>
        <c:grouping val="standard"/>
        <c:varyColors val="0"/>
        <c:ser>
          <c:idx val="0"/>
          <c:order val="0"/>
          <c:tx>
            <c:strRef>
              <c:f>Лист1!$B$1</c:f>
              <c:strCache>
                <c:ptCount val="1"/>
                <c:pt idx="0">
                  <c:v>Number</c:v>
                </c:pt>
              </c:strCache>
            </c:strRef>
          </c:tx>
          <c:dLbls>
            <c:dLbl>
              <c:idx val="0"/>
              <c:layout>
                <c:manualLayout>
                  <c:x val="-9.6711909416842504E-2"/>
                  <c:y val="-0.20952720023449195"/>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9.0273978264900009E-2"/>
                  <c:y val="-0.12709176814222747"/>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8.4796701058919524E-2"/>
                  <c:y val="-0.1356695314000384"/>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7.5192760131926842E-2"/>
                  <c:y val="-0.40505562050828725"/>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1760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Sept</c:v>
                </c:pt>
                <c:pt idx="1">
                  <c:v>Oct</c:v>
                </c:pt>
                <c:pt idx="2">
                  <c:v>Nov</c:v>
                </c:pt>
                <c:pt idx="3">
                  <c:v>Dec</c:v>
                </c:pt>
              </c:strCache>
            </c:strRef>
          </c:cat>
          <c:val>
            <c:numRef>
              <c:f>Лист1!$B$2:$B$5</c:f>
              <c:numCache>
                <c:formatCode>_-* #,##0.0_р_._-;\-* #,##0.0_р_._-;_-* "-"??_р_._-;_-@_-</c:formatCode>
                <c:ptCount val="4"/>
                <c:pt idx="0">
                  <c:v>167.43899999999999</c:v>
                </c:pt>
                <c:pt idx="1">
                  <c:v>176.79300000000001</c:v>
                </c:pt>
                <c:pt idx="2">
                  <c:v>180.16499999999999</c:v>
                </c:pt>
                <c:pt idx="3">
                  <c:v>159.50200000000001</c:v>
                </c:pt>
              </c:numCache>
            </c:numRef>
          </c:val>
          <c:smooth val="0"/>
        </c:ser>
        <c:dLbls>
          <c:showLegendKey val="0"/>
          <c:showVal val="0"/>
          <c:showCatName val="0"/>
          <c:showSerName val="0"/>
          <c:showPercent val="0"/>
          <c:showBubbleSize val="0"/>
        </c:dLbls>
        <c:marker val="1"/>
        <c:smooth val="0"/>
        <c:axId val="169342080"/>
        <c:axId val="169343616"/>
      </c:lineChart>
      <c:catAx>
        <c:axId val="169133568"/>
        <c:scaling>
          <c:orientation val="minMax"/>
        </c:scaling>
        <c:delete val="0"/>
        <c:axPos val="b"/>
        <c:numFmt formatCode="General" sourceLinked="1"/>
        <c:majorTickMark val="out"/>
        <c:minorTickMark val="none"/>
        <c:tickLblPos val="nextTo"/>
        <c:txPr>
          <a:bodyPr rot="0" vert="horz"/>
          <a:lstStyle/>
          <a:p>
            <a:pPr>
              <a:defRPr/>
            </a:pPr>
            <a:endParaRPr lang="ru-RU"/>
          </a:p>
        </c:txPr>
        <c:crossAx val="169135104"/>
        <c:crosses val="autoZero"/>
        <c:auto val="1"/>
        <c:lblAlgn val="ctr"/>
        <c:lblOffset val="100"/>
        <c:noMultiLvlLbl val="0"/>
      </c:catAx>
      <c:valAx>
        <c:axId val="169135104"/>
        <c:scaling>
          <c:orientation val="minMax"/>
        </c:scaling>
        <c:delete val="0"/>
        <c:axPos val="l"/>
        <c:title>
          <c:tx>
            <c:rich>
              <a:bodyPr/>
              <a:lstStyle/>
              <a:p>
                <a:pPr>
                  <a:defRPr/>
                </a:pPr>
                <a:r>
                  <a:rPr lang="en-US"/>
                  <a:t>KZT million</a:t>
                </a:r>
                <a:endParaRPr lang="ru-RU"/>
              </a:p>
            </c:rich>
          </c:tx>
          <c:layout>
            <c:manualLayout>
              <c:xMode val="edge"/>
              <c:yMode val="edge"/>
              <c:x val="0"/>
              <c:y val="0.26714801444043329"/>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169133568"/>
        <c:crosses val="autoZero"/>
        <c:crossBetween val="between"/>
        <c:majorUnit val="4000"/>
      </c:valAx>
      <c:catAx>
        <c:axId val="169342080"/>
        <c:scaling>
          <c:orientation val="minMax"/>
        </c:scaling>
        <c:delete val="1"/>
        <c:axPos val="b"/>
        <c:numFmt formatCode="General" sourceLinked="1"/>
        <c:majorTickMark val="out"/>
        <c:minorTickMark val="none"/>
        <c:tickLblPos val="none"/>
        <c:crossAx val="169343616"/>
        <c:crosses val="autoZero"/>
        <c:auto val="1"/>
        <c:lblAlgn val="ctr"/>
        <c:lblOffset val="100"/>
        <c:noMultiLvlLbl val="0"/>
      </c:catAx>
      <c:valAx>
        <c:axId val="169343616"/>
        <c:scaling>
          <c:orientation val="minMax"/>
        </c:scaling>
        <c:delete val="0"/>
        <c:axPos val="r"/>
        <c:title>
          <c:tx>
            <c:rich>
              <a:bodyPr/>
              <a:lstStyle/>
              <a:p>
                <a:pPr>
                  <a:defRPr/>
                </a:pPr>
                <a:r>
                  <a:rPr lang="en-US"/>
                  <a:t>thousand transactions </a:t>
                </a:r>
                <a:endParaRPr lang="ru-RU"/>
              </a:p>
            </c:rich>
          </c:tx>
          <c:layout>
            <c:manualLayout>
              <c:xMode val="edge"/>
              <c:yMode val="edge"/>
              <c:x val="0.89791591807402082"/>
              <c:y val="0.27001298705547161"/>
            </c:manualLayout>
          </c:layout>
          <c:overlay val="0"/>
          <c:spPr>
            <a:noFill/>
            <a:ln w="17609">
              <a:noFill/>
            </a:ln>
          </c:spPr>
        </c:title>
        <c:numFmt formatCode="#,##0" sourceLinked="0"/>
        <c:majorTickMark val="out"/>
        <c:minorTickMark val="none"/>
        <c:tickLblPos val="nextTo"/>
        <c:txPr>
          <a:bodyPr rot="0" vert="horz"/>
          <a:lstStyle/>
          <a:p>
            <a:pPr>
              <a:defRPr/>
            </a:pPr>
            <a:endParaRPr lang="ru-RU"/>
          </a:p>
        </c:txPr>
        <c:crossAx val="169342080"/>
        <c:crosses val="max"/>
        <c:crossBetween val="between"/>
      </c:valAx>
    </c:plotArea>
    <c:legend>
      <c:legendPos val="r"/>
      <c:layout>
        <c:manualLayout>
          <c:xMode val="edge"/>
          <c:yMode val="edge"/>
          <c:x val="0.17381974248927076"/>
          <c:y val="0.88447653429602857"/>
          <c:w val="0.67167381974249096"/>
          <c:h val="0.10108303249097474"/>
        </c:manualLayout>
      </c:layout>
      <c:overlay val="0"/>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30"/>
    </c:view3D>
    <c:floor>
      <c:thickness val="0"/>
    </c:floor>
    <c:sideWall>
      <c:thickness val="0"/>
    </c:sideWall>
    <c:backWall>
      <c:thickness val="0"/>
    </c:backWall>
    <c:plotArea>
      <c:layout>
        <c:manualLayout>
          <c:layoutTarget val="inner"/>
          <c:xMode val="edge"/>
          <c:yMode val="edge"/>
          <c:x val="6.8156247308464687E-2"/>
          <c:y val="1.9457904300424001E-3"/>
          <c:w val="0.8562091503267989"/>
          <c:h val="0.53333333333333333"/>
        </c:manualLayout>
      </c:layout>
      <c:pie3DChart>
        <c:varyColors val="1"/>
        <c:ser>
          <c:idx val="1"/>
          <c:order val="0"/>
          <c:dLbls>
            <c:dLbl>
              <c:idx val="0"/>
              <c:layout>
                <c:manualLayout>
                  <c:x val="-1.2312743689718861E-2"/>
                  <c:y val="-8.0381955637531699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11074908987494968"/>
                  <c:y val="-2.1382059353652328E-2"/>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2.1224454551429781E-2"/>
                  <c:y val="2.944903547324042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9.3472791583383286E-2"/>
                  <c:y val="3.783620141109999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5.3566342449811323E-2"/>
                  <c:y val="3.3988988481409452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 val="-0.16038552893915692"/>
                  <c:y val="-2.6754761342853008E-2"/>
                </c:manualLayout>
              </c:layout>
              <c:showLegendKey val="1"/>
              <c:showVal val="0"/>
              <c:showCatName val="0"/>
              <c:showSerName val="0"/>
              <c:showPercent val="1"/>
              <c:showBubbleSize val="0"/>
              <c:extLst>
                <c:ext xmlns:c15="http://schemas.microsoft.com/office/drawing/2012/chart" uri="{CE6537A1-D6FC-4f65-9D91-7224C49458BB}"/>
              </c:extLst>
            </c:dLbl>
            <c:dLbl>
              <c:idx val="6"/>
              <c:layout>
                <c:manualLayout>
                  <c:x val="-0.16301620208411771"/>
                  <c:y val="-3.9992095149729651E-2"/>
                </c:manualLayout>
              </c:layout>
              <c:showLegendKey val="1"/>
              <c:showVal val="0"/>
              <c:showCatName val="0"/>
              <c:showSerName val="0"/>
              <c:showPercent val="1"/>
              <c:showBubbleSize val="0"/>
              <c:extLst>
                <c:ext xmlns:c15="http://schemas.microsoft.com/office/drawing/2012/chart" uri="{CE6537A1-D6FC-4f65-9D91-7224C49458BB}"/>
              </c:extLst>
            </c:dLbl>
            <c:dLbl>
              <c:idx val="9"/>
              <c:layout>
                <c:manualLayout>
                  <c:x val="-1.5091000789603246E-3"/>
                  <c:y val="-1.8450016690057043E-3"/>
                </c:manualLayout>
              </c:layou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Sheet1!$A$3:$A$10</c:f>
              <c:strCache>
                <c:ptCount val="8"/>
                <c:pt idx="0">
                  <c:v>Transfer orders</c:v>
                </c:pt>
                <c:pt idx="1">
                  <c:v>Checks</c:v>
                </c:pt>
                <c:pt idx="2">
                  <c:v>Payment advices</c:v>
                </c:pt>
                <c:pt idx="3">
                  <c:v>Payment demand orders</c:v>
                </c:pt>
                <c:pt idx="4">
                  <c:v>Collection orders</c:v>
                </c:pt>
                <c:pt idx="5">
                  <c:v>Direct debiting</c:v>
                </c:pt>
                <c:pt idx="6">
                  <c:v>Payment orders </c:v>
                </c:pt>
                <c:pt idx="7">
                  <c:v>Other </c:v>
                </c:pt>
              </c:strCache>
            </c:strRef>
          </c:cat>
          <c:val>
            <c:numRef>
              <c:f>Sheet1!$B$3:$B$10</c:f>
              <c:numCache>
                <c:formatCode>_(* #,##0.00_);_(* \(#,##0.00\);_(* "-"??_);_(@_)</c:formatCode>
                <c:ptCount val="8"/>
                <c:pt idx="0" formatCode="_-* #,##0.0_р_._-;\-* #,##0.0_р_._-;_-* &quot;-&quot;??_р_._-;_-@_-">
                  <c:v>274.15482900000006</c:v>
                </c:pt>
                <c:pt idx="1">
                  <c:v>0.11484</c:v>
                </c:pt>
                <c:pt idx="2" formatCode="_-* #,##0.0_р_._-;\-* #,##0.0_р_._-;_-* &quot;-&quot;??_р_._-;_-@_-">
                  <c:v>22.969854000000005</c:v>
                </c:pt>
                <c:pt idx="3" formatCode="_-* #,##0.0_р_._-;\-* #,##0.0_р_._-;_-* &quot;-&quot;??_р_._-;_-@_-">
                  <c:v>8.4152390000000015</c:v>
                </c:pt>
                <c:pt idx="4" formatCode="_-* #,##0.0_р_._-;\-* #,##0.0_р_._-;_-* &quot;-&quot;??_р_._-;_-@_-">
                  <c:v>11.854896000000002</c:v>
                </c:pt>
                <c:pt idx="5" formatCode="_-* #,##0.0_р_._-;\-* #,##0.0_р_._-;_-* &quot;-&quot;??_р_._-;_-@_-">
                  <c:v>15.233280999999998</c:v>
                </c:pt>
                <c:pt idx="6" formatCode="_-* #,##0.0_р_._-;\-* #,##0.0_р_._-;_-* &quot;-&quot;??_р_._-;_-@_-">
                  <c:v>246.10416399999997</c:v>
                </c:pt>
                <c:pt idx="7" formatCode="_-* #,##0.0_р_._-;\-* #,##0.0_р_._-;_-* &quot;-&quot;??_р_._-;_-@_-">
                  <c:v>3.1765270000000001</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7266149315605264"/>
          <c:w val="0.62144071369317511"/>
          <c:h val="0.39510496581185944"/>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200"/>
      <c:rAngAx val="0"/>
      <c:perspective val="30"/>
    </c:view3D>
    <c:floor>
      <c:thickness val="0"/>
    </c:floor>
    <c:sideWall>
      <c:thickness val="0"/>
    </c:sideWall>
    <c:backWall>
      <c:thickness val="0"/>
    </c:backWall>
    <c:plotArea>
      <c:layout>
        <c:manualLayout>
          <c:layoutTarget val="inner"/>
          <c:xMode val="edge"/>
          <c:yMode val="edge"/>
          <c:x val="7.7517130415292512E-2"/>
          <c:y val="0"/>
          <c:w val="0.84799981898814614"/>
          <c:h val="0.52668223528288294"/>
        </c:manualLayout>
      </c:layout>
      <c:pie3DChart>
        <c:varyColors val="1"/>
        <c:ser>
          <c:idx val="1"/>
          <c:order val="0"/>
          <c:dLbls>
            <c:dLbl>
              <c:idx val="0"/>
              <c:layout>
                <c:manualLayout>
                  <c:x val="0.10058548931083425"/>
                  <c:y val="5.9556474709113001E-3"/>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12724558106616762"/>
                  <c:y val="-1.7811421667699192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9.0177161047250168E-2"/>
                  <c:y val="4.545165897844423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0.11611059524190707"/>
                  <c:y val="7.3504587816813516E-2"/>
                </c:manualLayout>
              </c:layout>
              <c:numFmt formatCode="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0.19032905339779921"/>
                  <c:y val="8.1643330297220228E-3"/>
                </c:manualLayout>
              </c:layout>
              <c:numFmt formatCode="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 val="0.30371434434639855"/>
                  <c:y val="-8.3196867212531264E-2"/>
                </c:manualLayout>
              </c:layout>
              <c:showLegendKey val="1"/>
              <c:showVal val="0"/>
              <c:showCatName val="0"/>
              <c:showSerName val="0"/>
              <c:showPercent val="1"/>
              <c:showBubbleSize val="0"/>
              <c:extLst>
                <c:ext xmlns:c15="http://schemas.microsoft.com/office/drawing/2012/chart" uri="{CE6537A1-D6FC-4f65-9D91-7224C49458BB}"/>
              </c:extLst>
            </c:dLbl>
            <c:dLbl>
              <c:idx val="6"/>
              <c:layout>
                <c:manualLayout>
                  <c:x val="-0.16239119299498603"/>
                  <c:y val="9.8477054910678027E-3"/>
                </c:manualLayout>
              </c:layout>
              <c:showLegendKey val="1"/>
              <c:showVal val="0"/>
              <c:showCatName val="0"/>
              <c:showSerName val="0"/>
              <c:showPercent val="1"/>
              <c:showBubbleSize val="0"/>
              <c:extLst>
                <c:ext xmlns:c15="http://schemas.microsoft.com/office/drawing/2012/chart" uri="{CE6537A1-D6FC-4f65-9D91-7224C49458BB}"/>
              </c:extLst>
            </c:dLbl>
            <c:dLbl>
              <c:idx val="7"/>
              <c:layout>
                <c:manualLayout>
                  <c:x val="-0.16425377324438831"/>
                  <c:y val="-2.4308775030375741E-2"/>
                </c:manualLayout>
              </c:layout>
              <c:showLegendKey val="1"/>
              <c:showVal val="0"/>
              <c:showCatName val="0"/>
              <c:showSerName val="0"/>
              <c:showPercent val="1"/>
              <c:showBubbleSize val="0"/>
              <c:extLst>
                <c:ext xmlns:c15="http://schemas.microsoft.com/office/drawing/2012/chart" uri="{CE6537A1-D6FC-4f65-9D91-7224C49458BB}"/>
              </c:extLst>
            </c:dLbl>
            <c:dLbl>
              <c:idx val="8"/>
              <c:layout>
                <c:manualLayout>
                  <c:x val="-0.10382874621690166"/>
                  <c:y val="1.6803132787468887E-2"/>
                </c:manualLayout>
              </c:layout>
              <c:showLegendKey val="1"/>
              <c:showVal val="0"/>
              <c:showCatName val="0"/>
              <c:showSerName val="0"/>
              <c:showPercent val="1"/>
              <c:showBubbleSize val="0"/>
              <c:extLst>
                <c:ext xmlns:c15="http://schemas.microsoft.com/office/drawing/2012/chart" uri="{CE6537A1-D6FC-4f65-9D91-7224C49458BB}"/>
              </c:extLst>
            </c:dLbl>
            <c:dLbl>
              <c:idx val="9"/>
              <c:layout>
                <c:manualLayout>
                  <c:x val="-7.9528288709606501E-2"/>
                  <c:y val="9.4260490538973216E-2"/>
                </c:manualLayout>
              </c:layou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Sheet1!$A$3:$A$10</c:f>
              <c:strCache>
                <c:ptCount val="8"/>
                <c:pt idx="0">
                  <c:v>Transfer orders</c:v>
                </c:pt>
                <c:pt idx="1">
                  <c:v>Checks</c:v>
                </c:pt>
                <c:pt idx="2">
                  <c:v>Payment advices</c:v>
                </c:pt>
                <c:pt idx="3">
                  <c:v>Payment demand orders</c:v>
                </c:pt>
                <c:pt idx="4">
                  <c:v>Collection orders</c:v>
                </c:pt>
                <c:pt idx="5">
                  <c:v>Direct debiting</c:v>
                </c:pt>
                <c:pt idx="6">
                  <c:v>Payment orders </c:v>
                </c:pt>
                <c:pt idx="7">
                  <c:v>Other </c:v>
                </c:pt>
              </c:strCache>
            </c:strRef>
          </c:cat>
          <c:val>
            <c:numRef>
              <c:f>Sheet1!$B$3:$B$10</c:f>
              <c:numCache>
                <c:formatCode>_(* #,##0.00_);_(* \(#,##0.00\);_(* "-"??_);_(@_)</c:formatCode>
                <c:ptCount val="8"/>
                <c:pt idx="0" formatCode="_-* #,##0.0_р_._-;\-* #,##0.0_р_._-;_-* &quot;-&quot;??_р_._-;_-@_-">
                  <c:v>505204.19026440621</c:v>
                </c:pt>
                <c:pt idx="1">
                  <c:v>1095.2507964006704</c:v>
                </c:pt>
                <c:pt idx="2" formatCode="_-* #,##0.0_р_._-;\-* #,##0.0_р_._-;_-* &quot;-&quot;??_р_._-;_-@_-">
                  <c:v>5696.1694942191234</c:v>
                </c:pt>
                <c:pt idx="3" formatCode="_-* #,##0.0_р_._-;\-* #,##0.0_р_._-;_-* &quot;-&quot;??_р_._-;_-@_-">
                  <c:v>30.565365189889999</c:v>
                </c:pt>
                <c:pt idx="4" formatCode="_-* #,##0.0_р_._-;\-* #,##0.0_р_._-;_-* &quot;-&quot;??_р_._-;_-@_-">
                  <c:v>1416.2285834156303</c:v>
                </c:pt>
                <c:pt idx="5" formatCode="_-* #,##0.0_р_._-;\-* #,##0.0_р_._-;_-* &quot;-&quot;??_р_._-;_-@_-">
                  <c:v>12139.618943202246</c:v>
                </c:pt>
                <c:pt idx="6" formatCode="_-* #,##0.0_р_._-;\-* #,##0.0_р_._-;_-* &quot;-&quot;??_р_._-;_-@_-">
                  <c:v>24298.805300683463</c:v>
                </c:pt>
                <c:pt idx="7" formatCode="_-* #,##0.0_р_._-;\-* #,##0.0_р_._-;_-* &quot;-&quot;??_р_._-;_-@_-">
                  <c:v>11162.390860475143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6890038690036959"/>
          <c:w val="0.55575454665380453"/>
          <c:h val="0.39526980933550804"/>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6.8156247308464687E-2"/>
          <c:y val="1.9457904300424001E-3"/>
          <c:w val="0.8562091503267989"/>
          <c:h val="0.53333333333333333"/>
        </c:manualLayout>
      </c:layout>
      <c:pie3DChart>
        <c:varyColors val="1"/>
        <c:ser>
          <c:idx val="1"/>
          <c:order val="0"/>
          <c:dLbls>
            <c:dLbl>
              <c:idx val="0"/>
              <c:layout>
                <c:manualLayout>
                  <c:x val="-0.11559443958394099"/>
                  <c:y val="1.111526449699147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23422734195262668"/>
                  <c:y val="2.6310073309801788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0"/>
                  <c:y val="6.6406162370729299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0.18972031328015046"/>
                  <c:y val="-8.4436134696406224E-3"/>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9.9709341887819755E-2"/>
                  <c:y val="-2.5775786647358741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 val="5.4533229642591122E-2"/>
                  <c:y val="-2.9987630856487771E-2"/>
                </c:manualLayout>
              </c:layout>
              <c:showLegendKey val="1"/>
              <c:showVal val="0"/>
              <c:showCatName val="0"/>
              <c:showSerName val="0"/>
              <c:showPercent val="1"/>
              <c:showBubbleSize val="0"/>
              <c:extLst>
                <c:ext xmlns:c15="http://schemas.microsoft.com/office/drawing/2012/chart" uri="{CE6537A1-D6FC-4f65-9D91-7224C49458BB}"/>
              </c:extLst>
            </c:dLbl>
            <c:dLbl>
              <c:idx val="6"/>
              <c:layout>
                <c:manualLayout>
                  <c:x val="0.1704811898512692"/>
                  <c:y val="5.7685461731076734E-3"/>
                </c:manualLayout>
              </c:layout>
              <c:showLegendKey val="1"/>
              <c:showVal val="0"/>
              <c:showCatName val="0"/>
              <c:showSerName val="0"/>
              <c:showPercent val="1"/>
              <c:showBubbleSize val="0"/>
              <c:extLst>
                <c:ext xmlns:c15="http://schemas.microsoft.com/office/drawing/2012/chart" uri="{CE6537A1-D6FC-4f65-9D91-7224C49458BB}"/>
              </c:extLst>
            </c:dLbl>
            <c:dLbl>
              <c:idx val="8"/>
              <c:layout>
                <c:manualLayout>
                  <c:x val="-1.7802728362658414E-2"/>
                  <c:y val="5.0604579599963777E-2"/>
                </c:manualLayout>
              </c:layout>
              <c:showLegendKey val="1"/>
              <c:showVal val="0"/>
              <c:showCatName val="0"/>
              <c:showSerName val="0"/>
              <c:showPercent val="1"/>
              <c:showBubbleSize val="0"/>
              <c:extLst>
                <c:ext xmlns:c15="http://schemas.microsoft.com/office/drawing/2012/chart" uri="{CE6537A1-D6FC-4f65-9D91-7224C49458BB}"/>
              </c:extLst>
            </c:dLbl>
            <c:dLbl>
              <c:idx val="9"/>
              <c:layout>
                <c:manualLayout>
                  <c:x val="-1.5091000789603246E-3"/>
                  <c:y val="-1.8450016690057043E-3"/>
                </c:manualLayout>
              </c:layou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Sheet1!$A$3:$A$11</c:f>
              <c:strCache>
                <c:ptCount val="9"/>
                <c:pt idx="0">
                  <c:v>Transfer payments</c:v>
                </c:pt>
                <c:pt idx="1">
                  <c:v>Checks</c:v>
                </c:pt>
                <c:pt idx="2">
                  <c:v>Payment cards </c:v>
                </c:pt>
                <c:pt idx="3">
                  <c:v>Payment advices</c:v>
                </c:pt>
                <c:pt idx="4">
                  <c:v>Payment demand orders</c:v>
                </c:pt>
                <c:pt idx="5">
                  <c:v>Collection orders</c:v>
                </c:pt>
                <c:pt idx="6">
                  <c:v>Direct debiting </c:v>
                </c:pt>
                <c:pt idx="7">
                  <c:v>Payment orders</c:v>
                </c:pt>
                <c:pt idx="8">
                  <c:v>Other </c:v>
                </c:pt>
              </c:strCache>
            </c:strRef>
          </c:cat>
          <c:val>
            <c:numRef>
              <c:f>Sheet1!$B$3:$B$11</c:f>
              <c:numCache>
                <c:formatCode>_(* #,##0.00_);_(* \(#,##0.00\);_(* "-"??_);_(@_)</c:formatCode>
                <c:ptCount val="9"/>
                <c:pt idx="0" formatCode="_-* #,##0.0_р_._-;\-* #,##0.0_р_._-;_-* &quot;-&quot;??_р_._-;_-@_-">
                  <c:v>58.241899000000004</c:v>
                </c:pt>
                <c:pt idx="1">
                  <c:v>7.3560000000000006E-3</c:v>
                </c:pt>
                <c:pt idx="2" formatCode="_-* #,##0.0_р_._-;\-* #,##0.0_р_._-;_-* &quot;-&quot;??_р_._-;_-@_-">
                  <c:v>331.10482500000006</c:v>
                </c:pt>
                <c:pt idx="3" formatCode="_-* #,##0.0_р_._-;\-* #,##0.0_р_._-;_-* &quot;-&quot;??_р_._-;_-@_-">
                  <c:v>13.013407000000003</c:v>
                </c:pt>
                <c:pt idx="4" formatCode="_-* #,##0.0_р_._-;\-* #,##0.0_р_._-;_-* &quot;-&quot;??_р_._-;_-@_-">
                  <c:v>5.4968969999999997</c:v>
                </c:pt>
                <c:pt idx="5" formatCode="_-* #,##0.0_р_._-;\-* #,##0.0_р_._-;_-* &quot;-&quot;??_р_._-;_-@_-">
                  <c:v>10.938140000000001</c:v>
                </c:pt>
                <c:pt idx="6" formatCode="_-* #,##0.0_р_._-;\-* #,##0.0_р_._-;_-* &quot;-&quot;??_р_._-;_-@_-">
                  <c:v>9.4690690000000011</c:v>
                </c:pt>
                <c:pt idx="7" formatCode="_-* #,##0.0_р_._-;\-* #,##0.0_р_._-;_-* &quot;-&quot;??_р_._-;_-@_-">
                  <c:v>210.54050799999999</c:v>
                </c:pt>
                <c:pt idx="8" formatCode="_-* #,##0.0_р_._-;\-* #,##0.0_р_._-;_-* &quot;-&quot;??_р_._-;_-@_-">
                  <c:v>5.310006979999998</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144581286313765"/>
          <c:w val="0.62144071369317511"/>
          <c:h val="0.41632073141290116"/>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140"/>
      <c:rAngAx val="0"/>
      <c:perspective val="30"/>
    </c:view3D>
    <c:floor>
      <c:thickness val="0"/>
    </c:floor>
    <c:sideWall>
      <c:thickness val="0"/>
    </c:sideWall>
    <c:backWall>
      <c:thickness val="0"/>
    </c:backWall>
    <c:plotArea>
      <c:layout>
        <c:manualLayout>
          <c:layoutTarget val="inner"/>
          <c:xMode val="edge"/>
          <c:yMode val="edge"/>
          <c:x val="2.4556845135707693E-3"/>
          <c:y val="1.946218986777603E-3"/>
          <c:w val="0.8562091503267989"/>
          <c:h val="0.53333333333333333"/>
        </c:manualLayout>
      </c:layout>
      <c:pie3DChart>
        <c:varyColors val="1"/>
        <c:ser>
          <c:idx val="1"/>
          <c:order val="0"/>
          <c:dLbls>
            <c:dLbl>
              <c:idx val="0"/>
              <c:layout>
                <c:manualLayout>
                  <c:x val="0"/>
                  <c:y val="6.5027905994509319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8.721302551951568E-3"/>
                  <c:y val="-1.0419947506561653E-2"/>
                </c:manualLayout>
              </c:layout>
              <c:numFmt formatCode="0.00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0.18888886014852446"/>
                  <c:y val="-1.5461526539166893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0.17412520145581847"/>
                  <c:y val="-6.485141943463973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7.3511361574503994E-3"/>
                  <c:y val="-6.4089962892569463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 val="3.8123178892766806E-2"/>
                  <c:y val="5.5087941593507804E-4"/>
                </c:manualLayout>
              </c:layout>
              <c:showLegendKey val="1"/>
              <c:showVal val="0"/>
              <c:showCatName val="0"/>
              <c:showSerName val="0"/>
              <c:showPercent val="1"/>
              <c:showBubbleSize val="0"/>
              <c:extLst>
                <c:ext xmlns:c15="http://schemas.microsoft.com/office/drawing/2012/chart" uri="{CE6537A1-D6FC-4f65-9D91-7224C49458BB}"/>
              </c:extLst>
            </c:dLbl>
            <c:dLbl>
              <c:idx val="6"/>
              <c:layout>
                <c:manualLayout>
                  <c:x val="1.8459223207710301E-2"/>
                  <c:y val="1.6936374332518826E-2"/>
                </c:manualLayout>
              </c:layout>
              <c:showLegendKey val="1"/>
              <c:showVal val="0"/>
              <c:showCatName val="0"/>
              <c:showSerName val="0"/>
              <c:showPercent val="1"/>
              <c:showBubbleSize val="0"/>
              <c:extLst>
                <c:ext xmlns:c15="http://schemas.microsoft.com/office/drawing/2012/chart" uri="{CE6537A1-D6FC-4f65-9D91-7224C49458BB}"/>
              </c:extLst>
            </c:dLbl>
            <c:dLbl>
              <c:idx val="7"/>
              <c:layout>
                <c:manualLayout>
                  <c:x val="-1.3930136189469871E-2"/>
                  <c:y val="-4.565209521223651E-2"/>
                </c:manualLayout>
              </c:layout>
              <c:showLegendKey val="1"/>
              <c:showVal val="0"/>
              <c:showCatName val="0"/>
              <c:showSerName val="0"/>
              <c:showPercent val="1"/>
              <c:showBubbleSize val="0"/>
              <c:extLst>
                <c:ext xmlns:c15="http://schemas.microsoft.com/office/drawing/2012/chart" uri="{CE6537A1-D6FC-4f65-9D91-7224C49458BB}"/>
              </c:extLst>
            </c:dLbl>
            <c:dLbl>
              <c:idx val="8"/>
              <c:layout>
                <c:manualLayout>
                  <c:x val="-2.6637862487058909E-2"/>
                  <c:y val="2.0394907533110091E-2"/>
                </c:manualLayout>
              </c:layout>
              <c:showLegendKey val="1"/>
              <c:showVal val="0"/>
              <c:showCatName val="0"/>
              <c:showSerName val="0"/>
              <c:showPercent val="1"/>
              <c:showBubbleSize val="0"/>
              <c:extLst>
                <c:ext xmlns:c15="http://schemas.microsoft.com/office/drawing/2012/chart" uri="{CE6537A1-D6FC-4f65-9D91-7224C49458BB}"/>
              </c:extLst>
            </c:dLbl>
            <c:dLbl>
              <c:idx val="9"/>
              <c:layout>
                <c:manualLayout>
                  <c:x val="-7.9528288709606501E-2"/>
                  <c:y val="9.4260490538973216E-2"/>
                </c:manualLayout>
              </c:layou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440">
                <a:noFill/>
              </a:ln>
            </c:spPr>
            <c:txPr>
              <a:bodyPr/>
              <a:lstStyle/>
              <a:p>
                <a:pPr>
                  <a:defRPr sz="9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Sheet1!$A$3:$A$11</c:f>
              <c:strCache>
                <c:ptCount val="9"/>
                <c:pt idx="0">
                  <c:v>Transfer payments</c:v>
                </c:pt>
                <c:pt idx="1">
                  <c:v>Checks</c:v>
                </c:pt>
                <c:pt idx="2">
                  <c:v>Payment cards </c:v>
                </c:pt>
                <c:pt idx="3">
                  <c:v>Payment advices</c:v>
                </c:pt>
                <c:pt idx="4">
                  <c:v>Payment demand orders</c:v>
                </c:pt>
                <c:pt idx="5">
                  <c:v>Collection orders</c:v>
                </c:pt>
                <c:pt idx="6">
                  <c:v>Direct debiting </c:v>
                </c:pt>
                <c:pt idx="7">
                  <c:v>Payment orders</c:v>
                </c:pt>
                <c:pt idx="8">
                  <c:v>Other </c:v>
                </c:pt>
              </c:strCache>
            </c:strRef>
          </c:cat>
          <c:val>
            <c:numRef>
              <c:f>Sheet1!$B$3:$B$11</c:f>
              <c:numCache>
                <c:formatCode>_(* #,##0.00_);_(* \(#,##0.00\);_(* "-"??_);_(@_)</c:formatCode>
                <c:ptCount val="9"/>
                <c:pt idx="0" formatCode="_-* #,##0.0_р_._-;\-* #,##0.0_р_._-;_-* &quot;-&quot;??_р_._-;_-@_-">
                  <c:v>25307.889951262776</c:v>
                </c:pt>
                <c:pt idx="1">
                  <c:v>1.1643689533000001</c:v>
                </c:pt>
                <c:pt idx="2" formatCode="_-* #,##0.0_р_._-;\-* #,##0.0_р_._-;_-* &quot;-&quot;??_р_._-;_-@_-">
                  <c:v>10418.098390308302</c:v>
                </c:pt>
                <c:pt idx="3" formatCode="_-* #,##0.0_р_._-;\-* #,##0.0_р_._-;_-* &quot;-&quot;??_р_._-;_-@_-">
                  <c:v>291.03322934036981</c:v>
                </c:pt>
                <c:pt idx="4" formatCode="_-* #,##0.0_р_._-;\-* #,##0.0_р_._-;_-* &quot;-&quot;??_р_._-;_-@_-">
                  <c:v>25.833966567019999</c:v>
                </c:pt>
                <c:pt idx="5" formatCode="_-* #,##0.0_р_._-;\-* #,##0.0_р_._-;_-* &quot;-&quot;??_р_._-;_-@_-">
                  <c:v>296.85589158449005</c:v>
                </c:pt>
                <c:pt idx="6" formatCode="_-* #,##0.0_р_._-;\-* #,##0.0_р_._-;_-* &quot;-&quot;??_р_._-;_-@_-">
                  <c:v>2325.6563948605917</c:v>
                </c:pt>
                <c:pt idx="7" formatCode="_-* #,##0.0_р_._-;\-* #,##0.0_р_._-;_-* &quot;-&quot;??_р_._-;_-@_-">
                  <c:v>3411.3980865189146</c:v>
                </c:pt>
                <c:pt idx="8" formatCode="_-* #,##0.0_р_._-;\-* #,##0.0_р_._-;_-* &quot;-&quot;??_р_._-;_-@_-">
                  <c:v>3926.4643465687823</c:v>
                </c:pt>
              </c:numCache>
            </c:numRef>
          </c:val>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
          <c:y val="0.55144581286313765"/>
          <c:w val="0.55575454665380453"/>
          <c:h val="0.41632073141290116"/>
        </c:manualLayout>
      </c:layout>
      <c:overlay val="1"/>
      <c:spPr>
        <a:noFill/>
        <a:ln w="3180">
          <a:solidFill>
            <a:sysClr val="window" lastClr="FFFFFF">
              <a:lumMod val="95000"/>
            </a:sysClr>
          </a:solidFill>
          <a:prstDash val="solid"/>
        </a:ln>
      </c:spPr>
      <c:txPr>
        <a:bodyPr/>
        <a:lstStyle/>
        <a:p>
          <a:pPr rtl="0">
            <a:defRPr sz="800" b="0" i="0" u="none" strike="noStrike" baseline="0">
              <a:solidFill>
                <a:srgbClr val="000000"/>
              </a:solidFill>
              <a:latin typeface="+mn-lt"/>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34493675669599"/>
          <c:y val="3.6324521934758124E-2"/>
          <c:w val="0.81833488393201559"/>
          <c:h val="0.7024041073813142"/>
        </c:manualLayout>
      </c:layout>
      <c:barChart>
        <c:barDir val="col"/>
        <c:grouping val="clustered"/>
        <c:varyColors val="0"/>
        <c:ser>
          <c:idx val="1"/>
          <c:order val="0"/>
          <c:tx>
            <c:strRef>
              <c:f>Sheet1!$A$2</c:f>
              <c:strCache>
                <c:ptCount val="1"/>
                <c:pt idx="0">
                  <c:v>ATMs</c:v>
                </c:pt>
              </c:strCache>
            </c:strRef>
          </c:tx>
          <c:invertIfNegative val="0"/>
          <c:dLbls>
            <c:dLbl>
              <c:idx val="0"/>
              <c:layout>
                <c:manualLayout>
                  <c:x val="-1.4931163807799476E-2"/>
                  <c:y val="-2.3495815120950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5320936044568467E-3"/>
                  <c:y val="-2.395245451036963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2.1330234011142112E-3"/>
                  <c:y val="-2.0794768582031591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Sheet1!$B$2:$D$2</c:f>
              <c:numCache>
                <c:formatCode>#,##0</c:formatCode>
                <c:ptCount val="3"/>
                <c:pt idx="0">
                  <c:v>9206</c:v>
                </c:pt>
                <c:pt idx="1">
                  <c:v>9146</c:v>
                </c:pt>
                <c:pt idx="2">
                  <c:v>9561</c:v>
                </c:pt>
              </c:numCache>
            </c:numRef>
          </c:val>
        </c:ser>
        <c:ser>
          <c:idx val="0"/>
          <c:order val="1"/>
          <c:tx>
            <c:strRef>
              <c:f>Sheet1!$A$3</c:f>
              <c:strCache>
                <c:ptCount val="1"/>
                <c:pt idx="0">
                  <c:v>POS-terminals</c:v>
                </c:pt>
              </c:strCache>
            </c:strRef>
          </c:tx>
          <c:invertIfNegative val="0"/>
          <c:dLbls>
            <c:dLbl>
              <c:idx val="0"/>
              <c:layout>
                <c:manualLayout>
                  <c:x val="2.1330234011141752E-3"/>
                  <c:y val="-6.959577102824464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8.5320936044568467E-3"/>
                  <c:y val="-5.6210835807205583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8.1654978989676721E-4"/>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Sheet1!$B$3:$D$3</c:f>
              <c:numCache>
                <c:formatCode>#,##0</c:formatCode>
                <c:ptCount val="3"/>
                <c:pt idx="0">
                  <c:v>62752</c:v>
                </c:pt>
                <c:pt idx="1">
                  <c:v>77857</c:v>
                </c:pt>
                <c:pt idx="2">
                  <c:v>107498</c:v>
                </c:pt>
              </c:numCache>
            </c:numRef>
          </c:val>
        </c:ser>
        <c:ser>
          <c:idx val="4"/>
          <c:order val="2"/>
          <c:tx>
            <c:strRef>
              <c:f>Sheet1!$A$4</c:f>
              <c:strCache>
                <c:ptCount val="1"/>
                <c:pt idx="0">
                  <c:v>Bank kiosks</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Sheet1!$B$4:$D$4</c:f>
              <c:numCache>
                <c:formatCode>#,##0</c:formatCode>
                <c:ptCount val="3"/>
                <c:pt idx="0">
                  <c:v>1505</c:v>
                </c:pt>
                <c:pt idx="1">
                  <c:v>1160</c:v>
                </c:pt>
                <c:pt idx="2">
                  <c:v>1522</c:v>
                </c:pt>
              </c:numCache>
            </c:numRef>
          </c:val>
        </c:ser>
        <c:ser>
          <c:idx val="2"/>
          <c:order val="3"/>
          <c:tx>
            <c:strRef>
              <c:f>Sheet1!$A$5</c:f>
              <c:strCache>
                <c:ptCount val="1"/>
                <c:pt idx="0">
                  <c:v>Instant payment terminals</c:v>
                </c:pt>
              </c:strCache>
            </c:strRef>
          </c:tx>
          <c:invertIfNegative val="0"/>
          <c:dLbls>
            <c:dLbl>
              <c:idx val="0"/>
              <c:layout>
                <c:manualLayout>
                  <c:x val="-8.5320936044568467E-3"/>
                  <c:y val="-1.051743625952436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1331913557127344E-3"/>
                  <c:y val="2.583204115843034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6.3990702033426489E-3"/>
                  <c:y val="3.9074583451584946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Sheet1!$B$5:$D$5</c:f>
              <c:numCache>
                <c:formatCode>#,##0</c:formatCode>
                <c:ptCount val="3"/>
                <c:pt idx="0">
                  <c:v>12156</c:v>
                </c:pt>
                <c:pt idx="1">
                  <c:v>14273</c:v>
                </c:pt>
                <c:pt idx="2">
                  <c:v>14447</c:v>
                </c:pt>
              </c:numCache>
            </c:numRef>
          </c:val>
        </c:ser>
        <c:dLbls>
          <c:showLegendKey val="0"/>
          <c:showVal val="1"/>
          <c:showCatName val="0"/>
          <c:showSerName val="0"/>
          <c:showPercent val="0"/>
          <c:showBubbleSize val="0"/>
        </c:dLbls>
        <c:gapWidth val="48"/>
        <c:axId val="170058112"/>
        <c:axId val="170059648"/>
      </c:barChart>
      <c:catAx>
        <c:axId val="170058112"/>
        <c:scaling>
          <c:orientation val="minMax"/>
        </c:scaling>
        <c:delete val="0"/>
        <c:axPos val="b"/>
        <c:numFmt formatCode="General" sourceLinked="1"/>
        <c:majorTickMark val="out"/>
        <c:minorTickMark val="none"/>
        <c:tickLblPos val="nextTo"/>
        <c:txPr>
          <a:bodyPr rot="0" vert="horz"/>
          <a:lstStyle/>
          <a:p>
            <a:pPr>
              <a:defRPr/>
            </a:pPr>
            <a:endParaRPr lang="ru-RU"/>
          </a:p>
        </c:txPr>
        <c:crossAx val="170059648"/>
        <c:crosses val="autoZero"/>
        <c:auto val="0"/>
        <c:lblAlgn val="ctr"/>
        <c:lblOffset val="100"/>
        <c:tickMarkSkip val="1"/>
        <c:noMultiLvlLbl val="0"/>
      </c:catAx>
      <c:valAx>
        <c:axId val="170059648"/>
        <c:scaling>
          <c:orientation val="minMax"/>
          <c:max val="120000"/>
          <c:min val="0"/>
        </c:scaling>
        <c:delete val="0"/>
        <c:axPos val="l"/>
        <c:title>
          <c:tx>
            <c:rich>
              <a:bodyPr rot="0" vert="horz"/>
              <a:lstStyle/>
              <a:p>
                <a:pPr algn="ctr">
                  <a:defRPr sz="1000" b="0" i="0" u="none" strike="noStrike" baseline="0">
                    <a:solidFill>
                      <a:srgbClr val="000000"/>
                    </a:solidFill>
                    <a:latin typeface="Calibri"/>
                    <a:ea typeface="Calibri"/>
                    <a:cs typeface="Calibri"/>
                  </a:defRPr>
                </a:pPr>
                <a:r>
                  <a:rPr lang="en-US" b="0"/>
                  <a:t>unit</a:t>
                </a:r>
                <a:endParaRPr lang="ru-RU" b="0"/>
              </a:p>
            </c:rich>
          </c:tx>
          <c:layout>
            <c:manualLayout>
              <c:xMode val="edge"/>
              <c:yMode val="edge"/>
              <c:x val="2.0839302719688885E-2"/>
              <c:y val="0.21259351314710151"/>
            </c:manualLayout>
          </c:layout>
          <c:overlay val="0"/>
        </c:title>
        <c:numFmt formatCode="#,##0" sourceLinked="1"/>
        <c:majorTickMark val="out"/>
        <c:minorTickMark val="none"/>
        <c:tickLblPos val="nextTo"/>
        <c:txPr>
          <a:bodyPr rot="0" vert="horz"/>
          <a:lstStyle/>
          <a:p>
            <a:pPr>
              <a:defRPr/>
            </a:pPr>
            <a:endParaRPr lang="ru-RU"/>
          </a:p>
        </c:txPr>
        <c:crossAx val="170058112"/>
        <c:crosses val="autoZero"/>
        <c:crossBetween val="between"/>
        <c:majorUnit val="20000"/>
      </c:valAx>
    </c:plotArea>
    <c:legend>
      <c:legendPos val="b"/>
      <c:layout>
        <c:manualLayout>
          <c:xMode val="edge"/>
          <c:yMode val="edge"/>
          <c:x val="4.9999916022700881E-2"/>
          <c:y val="0.85916424920569134"/>
          <c:w val="0.92986232761559895"/>
          <c:h val="0.10574803149606299"/>
        </c:manualLayout>
      </c:layout>
      <c:overlay val="0"/>
    </c:legend>
    <c:plotVisOnly val="1"/>
    <c:dispBlanksAs val="gap"/>
    <c:showDLblsOverMax val="0"/>
  </c:chart>
  <c:spPr>
    <a:noFill/>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458784097637689E-2"/>
          <c:y val="0.14204806967936348"/>
          <c:w val="0.55357988563887783"/>
          <c:h val="0.72723391124337977"/>
        </c:manualLayout>
      </c:layout>
      <c:barChart>
        <c:barDir val="col"/>
        <c:grouping val="clustered"/>
        <c:varyColors val="0"/>
        <c:ser>
          <c:idx val="0"/>
          <c:order val="0"/>
          <c:tx>
            <c:strRef>
              <c:f>Лист6!$B$32</c:f>
              <c:strCache>
                <c:ptCount val="1"/>
                <c:pt idx="0">
                  <c:v>Cashless transactions through remote access systems</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Лист6!$C$32:$G$32</c:f>
              <c:numCache>
                <c:formatCode>#,##0.0</c:formatCode>
                <c:ptCount val="5"/>
                <c:pt idx="0">
                  <c:v>888.0613740740007</c:v>
                </c:pt>
                <c:pt idx="1">
                  <c:v>1116.1878222791006</c:v>
                </c:pt>
                <c:pt idx="2">
                  <c:v>1266.4627829859003</c:v>
                </c:pt>
                <c:pt idx="3">
                  <c:v>1317.004382699999</c:v>
                </c:pt>
                <c:pt idx="4">
                  <c:v>1904.4307833464982</c:v>
                </c:pt>
              </c:numCache>
            </c:numRef>
          </c:val>
        </c:ser>
        <c:ser>
          <c:idx val="1"/>
          <c:order val="1"/>
          <c:tx>
            <c:strRef>
              <c:f>Лист6!$B$33</c:f>
              <c:strCache>
                <c:ptCount val="1"/>
                <c:pt idx="0">
                  <c:v>Cash withdrawals from payment cards</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Лист6!$C$33:$G$33</c:f>
              <c:numCache>
                <c:formatCode>#,##0.0</c:formatCode>
                <c:ptCount val="5"/>
                <c:pt idx="0">
                  <c:v>4748.9549082200765</c:v>
                </c:pt>
                <c:pt idx="1">
                  <c:v>5557.590654479769</c:v>
                </c:pt>
                <c:pt idx="2">
                  <c:v>6681.2976212334888</c:v>
                </c:pt>
                <c:pt idx="3">
                  <c:v>7178.4738165460094</c:v>
                </c:pt>
                <c:pt idx="4">
                  <c:v>8730.3388701603781</c:v>
                </c:pt>
              </c:numCache>
            </c:numRef>
          </c:val>
        </c:ser>
        <c:ser>
          <c:idx val="2"/>
          <c:order val="2"/>
          <c:tx>
            <c:strRef>
              <c:f>Лист6!$B$34</c:f>
              <c:strCache>
                <c:ptCount val="1"/>
                <c:pt idx="0">
                  <c:v>Cash contributions using “cash-in” function</c:v>
                </c:pt>
              </c:strCache>
            </c:strRef>
          </c:tx>
          <c:invertIfNegative val="0"/>
          <c:cat>
            <c:numRef>
              <c:f>Лист6!$C$31:$G$31</c:f>
              <c:numCache>
                <c:formatCode>General</c:formatCode>
                <c:ptCount val="5"/>
                <c:pt idx="0">
                  <c:v>2012</c:v>
                </c:pt>
                <c:pt idx="1">
                  <c:v>2013</c:v>
                </c:pt>
                <c:pt idx="2">
                  <c:v>2014</c:v>
                </c:pt>
                <c:pt idx="3">
                  <c:v>2015</c:v>
                </c:pt>
                <c:pt idx="4">
                  <c:v>2016</c:v>
                </c:pt>
              </c:numCache>
            </c:numRef>
          </c:cat>
          <c:val>
            <c:numRef>
              <c:f>Лист6!$C$34:$G$34</c:f>
              <c:numCache>
                <c:formatCode>#,##0.0</c:formatCode>
                <c:ptCount val="5"/>
                <c:pt idx="0">
                  <c:v>236.94797113649975</c:v>
                </c:pt>
                <c:pt idx="1">
                  <c:v>427.29973910550001</c:v>
                </c:pt>
                <c:pt idx="2">
                  <c:v>688.07874532709923</c:v>
                </c:pt>
                <c:pt idx="3">
                  <c:v>1144.2922914640003</c:v>
                </c:pt>
                <c:pt idx="4">
                  <c:v>1758.8593680019992</c:v>
                </c:pt>
              </c:numCache>
            </c:numRef>
          </c:val>
        </c:ser>
        <c:dLbls>
          <c:showLegendKey val="0"/>
          <c:showVal val="0"/>
          <c:showCatName val="0"/>
          <c:showSerName val="0"/>
          <c:showPercent val="0"/>
          <c:showBubbleSize val="0"/>
        </c:dLbls>
        <c:gapWidth val="150"/>
        <c:axId val="170009344"/>
        <c:axId val="170010880"/>
      </c:barChart>
      <c:catAx>
        <c:axId val="170009344"/>
        <c:scaling>
          <c:orientation val="minMax"/>
        </c:scaling>
        <c:delete val="0"/>
        <c:axPos val="b"/>
        <c:numFmt formatCode="General" sourceLinked="1"/>
        <c:majorTickMark val="out"/>
        <c:minorTickMark val="none"/>
        <c:tickLblPos val="nextTo"/>
        <c:crossAx val="170010880"/>
        <c:crosses val="autoZero"/>
        <c:auto val="1"/>
        <c:lblAlgn val="ctr"/>
        <c:lblOffset val="100"/>
        <c:noMultiLvlLbl val="0"/>
      </c:catAx>
      <c:valAx>
        <c:axId val="170010880"/>
        <c:scaling>
          <c:orientation val="minMax"/>
        </c:scaling>
        <c:delete val="0"/>
        <c:axPos val="l"/>
        <c:numFmt formatCode="#,##0" sourceLinked="0"/>
        <c:majorTickMark val="out"/>
        <c:minorTickMark val="none"/>
        <c:tickLblPos val="nextTo"/>
        <c:crossAx val="170009344"/>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'[Диаграмма в Microsoft Word]Лист3'!$A$94</c:f>
              <c:strCache>
                <c:ptCount val="1"/>
                <c:pt idx="0">
                  <c:v>POS-terminal</c:v>
                </c:pt>
              </c:strCache>
            </c:strRef>
          </c:tx>
          <c:invertIfNegative val="0"/>
          <c:dLbls>
            <c:showLegendKey val="0"/>
            <c:showVal val="1"/>
            <c:showCatName val="0"/>
            <c:showSerName val="0"/>
            <c:showPercent val="0"/>
            <c:showBubbleSize val="0"/>
            <c:showLeaderLines val="0"/>
          </c:dLbls>
          <c:cat>
            <c:numRef>
              <c:f>'[Диаграмма в Microsoft Word]Лист3'!$B$93:$F$93</c:f>
              <c:numCache>
                <c:formatCode>General</c:formatCode>
                <c:ptCount val="5"/>
                <c:pt idx="0">
                  <c:v>2012</c:v>
                </c:pt>
                <c:pt idx="1">
                  <c:v>2013</c:v>
                </c:pt>
                <c:pt idx="2">
                  <c:v>2014</c:v>
                </c:pt>
                <c:pt idx="3">
                  <c:v>2015</c:v>
                </c:pt>
                <c:pt idx="4">
                  <c:v>2016</c:v>
                </c:pt>
              </c:numCache>
            </c:numRef>
          </c:cat>
          <c:val>
            <c:numRef>
              <c:f>'[Диаграмма в Microsoft Word]Лист3'!$B$94:$F$94</c:f>
              <c:numCache>
                <c:formatCode>0.0%</c:formatCode>
                <c:ptCount val="5"/>
                <c:pt idx="0">
                  <c:v>0.39150221489491199</c:v>
                </c:pt>
                <c:pt idx="1">
                  <c:v>0.45087848569395467</c:v>
                </c:pt>
                <c:pt idx="2">
                  <c:v>0.42180680446727875</c:v>
                </c:pt>
                <c:pt idx="3">
                  <c:v>0.44792719963902256</c:v>
                </c:pt>
                <c:pt idx="4">
                  <c:v>0.46763773484056742</c:v>
                </c:pt>
              </c:numCache>
            </c:numRef>
          </c:val>
        </c:ser>
        <c:ser>
          <c:idx val="1"/>
          <c:order val="1"/>
          <c:tx>
            <c:strRef>
              <c:f>'[Диаграмма в Microsoft Word]Лист3'!$A$95</c:f>
              <c:strCache>
                <c:ptCount val="1"/>
                <c:pt idx="0">
                  <c:v>Internet and mobile devices</c:v>
                </c:pt>
              </c:strCache>
            </c:strRef>
          </c:tx>
          <c:spPr>
            <a:solidFill>
              <a:srgbClr val="92D050"/>
            </a:solidFill>
          </c:spPr>
          <c:invertIfNegative val="0"/>
          <c:dLbls>
            <c:showLegendKey val="0"/>
            <c:showVal val="1"/>
            <c:showCatName val="0"/>
            <c:showSerName val="0"/>
            <c:showPercent val="0"/>
            <c:showBubbleSize val="0"/>
            <c:showLeaderLines val="0"/>
          </c:dLbls>
          <c:cat>
            <c:numRef>
              <c:f>'[Диаграмма в Microsoft Word]Лист3'!$B$93:$F$93</c:f>
              <c:numCache>
                <c:formatCode>General</c:formatCode>
                <c:ptCount val="5"/>
                <c:pt idx="0">
                  <c:v>2012</c:v>
                </c:pt>
                <c:pt idx="1">
                  <c:v>2013</c:v>
                </c:pt>
                <c:pt idx="2">
                  <c:v>2014</c:v>
                </c:pt>
                <c:pt idx="3">
                  <c:v>2015</c:v>
                </c:pt>
                <c:pt idx="4">
                  <c:v>2016</c:v>
                </c:pt>
              </c:numCache>
            </c:numRef>
          </c:cat>
          <c:val>
            <c:numRef>
              <c:f>'[Диаграмма в Microsoft Word]Лист3'!$B$95:$F$95</c:f>
              <c:numCache>
                <c:formatCode>0.0%</c:formatCode>
                <c:ptCount val="5"/>
                <c:pt idx="0">
                  <c:v>0.14831228161066526</c:v>
                </c:pt>
                <c:pt idx="1">
                  <c:v>0.22605434222214077</c:v>
                </c:pt>
                <c:pt idx="2">
                  <c:v>0.27214289291470056</c:v>
                </c:pt>
                <c:pt idx="3">
                  <c:v>0.32969857730609531</c:v>
                </c:pt>
                <c:pt idx="4">
                  <c:v>0.41780765563909772</c:v>
                </c:pt>
              </c:numCache>
            </c:numRef>
          </c:val>
        </c:ser>
        <c:ser>
          <c:idx val="2"/>
          <c:order val="2"/>
          <c:tx>
            <c:strRef>
              <c:f>'[Диаграмма в Microsoft Word]Лист3'!$A$96</c:f>
              <c:strCache>
                <c:ptCount val="1"/>
                <c:pt idx="0">
                  <c:v>Other devices</c:v>
                </c:pt>
              </c:strCache>
            </c:strRef>
          </c:tx>
          <c:spPr>
            <a:solidFill>
              <a:schemeClr val="accent6">
                <a:lumMod val="60000"/>
                <a:lumOff val="40000"/>
              </a:schemeClr>
            </a:solidFill>
          </c:spPr>
          <c:invertIfNegative val="0"/>
          <c:dLbls>
            <c:showLegendKey val="0"/>
            <c:showVal val="1"/>
            <c:showCatName val="0"/>
            <c:showSerName val="0"/>
            <c:showPercent val="0"/>
            <c:showBubbleSize val="0"/>
            <c:showLeaderLines val="0"/>
          </c:dLbls>
          <c:cat>
            <c:numRef>
              <c:f>'[Диаграмма в Microsoft Word]Лист3'!$B$93:$F$93</c:f>
              <c:numCache>
                <c:formatCode>General</c:formatCode>
                <c:ptCount val="5"/>
                <c:pt idx="0">
                  <c:v>2012</c:v>
                </c:pt>
                <c:pt idx="1">
                  <c:v>2013</c:v>
                </c:pt>
                <c:pt idx="2">
                  <c:v>2014</c:v>
                </c:pt>
                <c:pt idx="3">
                  <c:v>2015</c:v>
                </c:pt>
                <c:pt idx="4">
                  <c:v>2016</c:v>
                </c:pt>
              </c:numCache>
            </c:numRef>
          </c:cat>
          <c:val>
            <c:numRef>
              <c:f>'[Диаграмма в Microsoft Word]Лист3'!$B$96:$F$96</c:f>
              <c:numCache>
                <c:formatCode>0.0%</c:formatCode>
                <c:ptCount val="5"/>
                <c:pt idx="0">
                  <c:v>0.46018550349442289</c:v>
                </c:pt>
                <c:pt idx="1">
                  <c:v>0.32306717208390451</c:v>
                </c:pt>
                <c:pt idx="2">
                  <c:v>0.30605030261802063</c:v>
                </c:pt>
                <c:pt idx="3">
                  <c:v>0.22237422305488222</c:v>
                </c:pt>
                <c:pt idx="4">
                  <c:v>0.11455460952033486</c:v>
                </c:pt>
              </c:numCache>
            </c:numRef>
          </c:val>
        </c:ser>
        <c:dLbls>
          <c:showLegendKey val="0"/>
          <c:showVal val="0"/>
          <c:showCatName val="0"/>
          <c:showSerName val="0"/>
          <c:showPercent val="0"/>
          <c:showBubbleSize val="0"/>
        </c:dLbls>
        <c:gapWidth val="150"/>
        <c:overlap val="100"/>
        <c:axId val="169882368"/>
        <c:axId val="169883904"/>
      </c:barChart>
      <c:catAx>
        <c:axId val="169882368"/>
        <c:scaling>
          <c:orientation val="minMax"/>
        </c:scaling>
        <c:delete val="0"/>
        <c:axPos val="b"/>
        <c:numFmt formatCode="General" sourceLinked="1"/>
        <c:majorTickMark val="out"/>
        <c:minorTickMark val="none"/>
        <c:tickLblPos val="nextTo"/>
        <c:crossAx val="169883904"/>
        <c:crosses val="autoZero"/>
        <c:auto val="1"/>
        <c:lblAlgn val="ctr"/>
        <c:lblOffset val="100"/>
        <c:noMultiLvlLbl val="0"/>
      </c:catAx>
      <c:valAx>
        <c:axId val="169883904"/>
        <c:scaling>
          <c:orientation val="minMax"/>
          <c:max val="1"/>
        </c:scaling>
        <c:delete val="0"/>
        <c:axPos val="l"/>
        <c:majorGridlines/>
        <c:numFmt formatCode="0%" sourceLinked="1"/>
        <c:majorTickMark val="out"/>
        <c:minorTickMark val="none"/>
        <c:tickLblPos val="nextTo"/>
        <c:crossAx val="169882368"/>
        <c:crosses val="autoZero"/>
        <c:crossBetween val="between"/>
        <c:majorUnit val="0.2"/>
      </c:valAx>
    </c:plotArea>
    <c:legend>
      <c:legendPos val="r"/>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488782692254255"/>
          <c:y val="6.9926130367724701E-2"/>
          <c:w val="0.7966045086738136"/>
          <c:h val="0.68135346483751358"/>
        </c:manualLayout>
      </c:layout>
      <c:barChart>
        <c:barDir val="col"/>
        <c:grouping val="clustered"/>
        <c:varyColors val="0"/>
        <c:ser>
          <c:idx val="1"/>
          <c:order val="0"/>
          <c:tx>
            <c:strRef>
              <c:f>Sheet1!$A$2</c:f>
              <c:strCache>
                <c:ptCount val="1"/>
                <c:pt idx="0">
                  <c:v>Volume of payments</c:v>
                </c:pt>
              </c:strCache>
            </c:strRef>
          </c:tx>
          <c:spPr>
            <a:solidFill>
              <a:srgbClr val="FCD5B5"/>
            </a:solidFill>
            <a:ln w="12665">
              <a:noFill/>
              <a:prstDash val="solid"/>
            </a:ln>
          </c:spPr>
          <c:invertIfNegative val="1"/>
          <c:dLbls>
            <c:dLbl>
              <c:idx val="0"/>
              <c:layout>
                <c:manualLayout>
                  <c:x val="4.2506917415084172E-3"/>
                  <c:y val="0.13324558866850625"/>
                </c:manualLayout>
              </c:layout>
              <c:tx>
                <c:rich>
                  <a:bodyPr/>
                  <a:lstStyle/>
                  <a:p>
                    <a:pPr>
                      <a:defRPr/>
                    </a:pPr>
                    <a:r>
                      <a:rPr lang="en-US"/>
                      <a:t>147,3</a:t>
                    </a:r>
                  </a:p>
                </c:rich>
              </c:tx>
              <c:numFmt formatCode="#,##0.0" sourceLinked="0"/>
              <c:spPr>
                <a:noFill/>
                <a:ln w="25329">
                  <a:noFill/>
                </a:ln>
              </c:spPr>
              <c:dLblPos val="outEnd"/>
              <c:showLegendKey val="0"/>
              <c:showVal val="0"/>
              <c:showCatName val="0"/>
              <c:showSerName val="0"/>
              <c:showPercent val="0"/>
              <c:showBubbleSize val="0"/>
              <c:extLst>
                <c:ext xmlns:c15="http://schemas.microsoft.com/office/drawing/2012/chart" uri="{CE6537A1-D6FC-4f65-9D91-7224C49458BB}"/>
              </c:extLst>
            </c:dLbl>
            <c:numFmt formatCode="#,##0.0" sourceLinked="0"/>
            <c:spPr>
              <a:noFill/>
              <a:ln w="25329">
                <a:noFill/>
              </a:ln>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#,##0.0</c:formatCode>
                <c:ptCount val="5"/>
                <c:pt idx="0">
                  <c:v>147.32635940460005</c:v>
                </c:pt>
                <c:pt idx="1">
                  <c:v>266.73850073529007</c:v>
                </c:pt>
                <c:pt idx="2">
                  <c:v>289.12366853660001</c:v>
                </c:pt>
                <c:pt idx="3">
                  <c:v>407.08964919500039</c:v>
                </c:pt>
                <c:pt idx="4">
                  <c:v>933.99264726919989</c:v>
                </c:pt>
              </c:numCache>
            </c:numRef>
          </c:val>
          <c:extLst>
            <c:ext xmlns:c14="http://schemas.microsoft.com/office/drawing/2007/8/2/chart" uri="{6F2FDCE9-48DA-4B69-8628-5D25D57E5C99}">
              <c14:invertSolidFillFmt>
                <c14:spPr xmlns:c14="http://schemas.microsoft.com/office/drawing/2007/8/2/chart">
                  <a:solidFill>
                    <a:srgbClr val="FFFFFF"/>
                  </a:solidFill>
                  <a:ln w="12665">
                    <a:noFill/>
                    <a:prstDash val="solid"/>
                  </a:ln>
                </c14:spPr>
              </c14:invertSolidFillFmt>
            </c:ext>
          </c:extLst>
        </c:ser>
        <c:dLbls>
          <c:showLegendKey val="0"/>
          <c:showVal val="0"/>
          <c:showCatName val="0"/>
          <c:showSerName val="0"/>
          <c:showPercent val="0"/>
          <c:showBubbleSize val="0"/>
        </c:dLbls>
        <c:gapWidth val="150"/>
        <c:axId val="170448384"/>
        <c:axId val="170449920"/>
      </c:barChart>
      <c:lineChart>
        <c:grouping val="standard"/>
        <c:varyColors val="0"/>
        <c:ser>
          <c:idx val="0"/>
          <c:order val="1"/>
          <c:tx>
            <c:strRef>
              <c:f>Sheet1!$A$3</c:f>
              <c:strCache>
                <c:ptCount val="1"/>
                <c:pt idx="0">
                  <c:v>Number of payments</c:v>
                </c:pt>
              </c:strCache>
            </c:strRef>
          </c:tx>
          <c:spPr>
            <a:ln w="22178">
              <a:solidFill>
                <a:srgbClr val="9BBB59">
                  <a:lumMod val="50000"/>
                </a:srgbClr>
              </a:solidFill>
              <a:prstDash val="solid"/>
            </a:ln>
          </c:spPr>
          <c:marker>
            <c:symbol val="diamond"/>
            <c:size val="6"/>
            <c:spPr>
              <a:solidFill>
                <a:srgbClr val="9BBB59">
                  <a:lumMod val="50000"/>
                </a:srgbClr>
              </a:solidFill>
              <a:ln>
                <a:solidFill>
                  <a:srgbClr val="000080"/>
                </a:solidFill>
                <a:prstDash val="solid"/>
              </a:ln>
            </c:spPr>
          </c:marker>
          <c:dLbls>
            <c:numFmt formatCode="#,##0.0" sourceLinked="0"/>
            <c:spPr>
              <a:noFill/>
              <a:ln w="25329">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Sheet1!$B$3:$F$3</c:f>
              <c:numCache>
                <c:formatCode>#,##0.0</c:formatCode>
                <c:ptCount val="5"/>
                <c:pt idx="0">
                  <c:v>8.0585000000000004</c:v>
                </c:pt>
                <c:pt idx="1">
                  <c:v>15.234794000000001</c:v>
                </c:pt>
                <c:pt idx="2">
                  <c:v>21.46704699999999</c:v>
                </c:pt>
                <c:pt idx="3">
                  <c:v>34.421747000000003</c:v>
                </c:pt>
                <c:pt idx="4">
                  <c:v>58.317893999999981</c:v>
                </c:pt>
              </c:numCache>
            </c:numRef>
          </c:val>
          <c:smooth val="0"/>
        </c:ser>
        <c:dLbls>
          <c:showLegendKey val="0"/>
          <c:showVal val="0"/>
          <c:showCatName val="0"/>
          <c:showSerName val="0"/>
          <c:showPercent val="0"/>
          <c:showBubbleSize val="0"/>
        </c:dLbls>
        <c:marker val="1"/>
        <c:smooth val="0"/>
        <c:axId val="170681088"/>
        <c:axId val="170682624"/>
      </c:lineChart>
      <c:catAx>
        <c:axId val="170448384"/>
        <c:scaling>
          <c:orientation val="minMax"/>
        </c:scaling>
        <c:delete val="0"/>
        <c:axPos val="b"/>
        <c:numFmt formatCode="General" sourceLinked="1"/>
        <c:majorTickMark val="cross"/>
        <c:minorTickMark val="none"/>
        <c:tickLblPos val="nextTo"/>
        <c:spPr>
          <a:ln w="3166">
            <a:solidFill>
              <a:srgbClr val="000000"/>
            </a:solidFill>
            <a:prstDash val="solid"/>
          </a:ln>
        </c:spPr>
        <c:txPr>
          <a:bodyPr rot="0" vert="horz"/>
          <a:lstStyle/>
          <a:p>
            <a:pPr>
              <a:defRPr/>
            </a:pPr>
            <a:endParaRPr lang="ru-RU"/>
          </a:p>
        </c:txPr>
        <c:crossAx val="170449920"/>
        <c:crosses val="autoZero"/>
        <c:auto val="0"/>
        <c:lblAlgn val="ctr"/>
        <c:lblOffset val="100"/>
        <c:tickLblSkip val="1"/>
        <c:tickMarkSkip val="1"/>
        <c:noMultiLvlLbl val="0"/>
      </c:catAx>
      <c:valAx>
        <c:axId val="170449920"/>
        <c:scaling>
          <c:orientation val="minMax"/>
          <c:max val="1000"/>
          <c:min val="0"/>
        </c:scaling>
        <c:delete val="0"/>
        <c:axPos val="l"/>
        <c:majorGridlines>
          <c:spPr>
            <a:ln w="3168">
              <a:solidFill>
                <a:sysClr val="window" lastClr="FFFFFF">
                  <a:lumMod val="75000"/>
                </a:sysClr>
              </a:solidFill>
              <a:prstDash val="sysDash"/>
            </a:ln>
          </c:spPr>
        </c:majorGridlines>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170448384"/>
        <c:crosses val="autoZero"/>
        <c:crossBetween val="between"/>
        <c:majorUnit val="250"/>
        <c:minorUnit val="150"/>
      </c:valAx>
      <c:catAx>
        <c:axId val="170681088"/>
        <c:scaling>
          <c:orientation val="minMax"/>
        </c:scaling>
        <c:delete val="1"/>
        <c:axPos val="b"/>
        <c:numFmt formatCode="General" sourceLinked="1"/>
        <c:majorTickMark val="out"/>
        <c:minorTickMark val="none"/>
        <c:tickLblPos val="none"/>
        <c:crossAx val="170682624"/>
        <c:crosses val="autoZero"/>
        <c:auto val="1"/>
        <c:lblAlgn val="ctr"/>
        <c:lblOffset val="100"/>
        <c:noMultiLvlLbl val="0"/>
      </c:catAx>
      <c:valAx>
        <c:axId val="170682624"/>
        <c:scaling>
          <c:orientation val="minMax"/>
          <c:max val="60"/>
        </c:scaling>
        <c:delete val="0"/>
        <c:axPos val="r"/>
        <c:title>
          <c:tx>
            <c:rich>
              <a:bodyPr rot="-5400000" vert="horz"/>
              <a:lstStyle/>
              <a:p>
                <a:pPr algn="ctr">
                  <a:defRPr/>
                </a:pPr>
                <a:r>
                  <a:rPr lang="en-US"/>
                  <a:t>million transactions</a:t>
                </a:r>
                <a:endParaRPr lang="ru-RU"/>
              </a:p>
            </c:rich>
          </c:tx>
          <c:layout>
            <c:manualLayout>
              <c:xMode val="edge"/>
              <c:yMode val="edge"/>
              <c:x val="0.95668589792843584"/>
              <c:y val="0.21696210014171724"/>
            </c:manualLayout>
          </c:layout>
          <c:overlay val="0"/>
          <c:spPr>
            <a:noFill/>
            <a:ln w="25329">
              <a:noFill/>
            </a:ln>
          </c:spPr>
        </c:title>
        <c:numFmt formatCode="#,##0" sourceLinked="0"/>
        <c:majorTickMark val="cross"/>
        <c:minorTickMark val="none"/>
        <c:tickLblPos val="nextTo"/>
        <c:spPr>
          <a:ln w="3166">
            <a:solidFill>
              <a:srgbClr val="000000"/>
            </a:solidFill>
            <a:prstDash val="solid"/>
          </a:ln>
        </c:spPr>
        <c:txPr>
          <a:bodyPr rot="0" vert="horz"/>
          <a:lstStyle/>
          <a:p>
            <a:pPr>
              <a:defRPr/>
            </a:pPr>
            <a:endParaRPr lang="ru-RU"/>
          </a:p>
        </c:txPr>
        <c:crossAx val="170681088"/>
        <c:crosses val="max"/>
        <c:crossBetween val="between"/>
        <c:majorUnit val="15"/>
        <c:minorUnit val="15"/>
      </c:valAx>
      <c:spPr>
        <a:noFill/>
        <a:ln w="25399">
          <a:noFill/>
        </a:ln>
      </c:spPr>
    </c:plotArea>
    <c:legend>
      <c:legendPos val="r"/>
      <c:layout>
        <c:manualLayout>
          <c:xMode val="edge"/>
          <c:yMode val="edge"/>
          <c:x val="0.13290116459178042"/>
          <c:y val="0.87567585301837636"/>
          <c:w val="0.77957862271107303"/>
          <c:h val="9.1891951006124239E-2"/>
        </c:manualLayout>
      </c:layout>
      <c:overlay val="0"/>
      <c:spPr>
        <a:solidFill>
          <a:srgbClr val="FFFFFF"/>
        </a:solidFill>
        <a:ln w="25329">
          <a:noFill/>
        </a:ln>
      </c:spPr>
    </c:legend>
    <c:plotVisOnly val="1"/>
    <c:dispBlanksAs val="gap"/>
    <c:showDLblsOverMax val="0"/>
  </c:chart>
  <c:spPr>
    <a:solidFill>
      <a:srgbClr val="FFFFFF"/>
    </a:solidFill>
    <a:ln>
      <a:noFill/>
    </a:ln>
  </c:spPr>
  <c:txPr>
    <a:bodyPr/>
    <a:lstStyle/>
    <a:p>
      <a:pPr>
        <a:defRPr sz="998" b="0" i="0" u="none" strike="noStrike" baseline="0">
          <a:solidFill>
            <a:srgbClr val="000000"/>
          </a:solidFill>
          <a:latin typeface="+mn-lt"/>
          <a:ea typeface="Times New Roman"/>
          <a:cs typeface="Times New Roman" panose="02020603050405020304" pitchFamily="18" charset="0"/>
        </a:defRPr>
      </a:pPr>
      <a:endParaRPr lang="ru-RU"/>
    </a:p>
  </c:txPr>
  <c:externalData r:id="rId2">
    <c:autoUpdate val="0"/>
  </c:externalData>
  <c:userShapes r:id="rId3"/>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3333333333333331"/>
          <c:y val="3.203422406844815E-2"/>
          <c:w val="0.63009703591611421"/>
          <c:h val="0.52748381601805261"/>
        </c:manualLayout>
      </c:layout>
      <c:barChart>
        <c:barDir val="col"/>
        <c:grouping val="clustered"/>
        <c:varyColors val="0"/>
        <c:ser>
          <c:idx val="1"/>
          <c:order val="0"/>
          <c:tx>
            <c:strRef>
              <c:f>Sheet1!$A$2</c:f>
              <c:strCache>
                <c:ptCount val="1"/>
                <c:pt idx="0">
                  <c:v>Cards in circulation (thousand units)</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Sheet1!$B$2:$H$2</c:f>
              <c:numCache>
                <c:formatCode>#,##0.0</c:formatCode>
                <c:ptCount val="7"/>
                <c:pt idx="0">
                  <c:v>8516.6</c:v>
                </c:pt>
                <c:pt idx="1">
                  <c:v>9367</c:v>
                </c:pt>
                <c:pt idx="2">
                  <c:v>11753.3</c:v>
                </c:pt>
                <c:pt idx="3">
                  <c:v>15027</c:v>
                </c:pt>
                <c:pt idx="4">
                  <c:v>16987.599999999991</c:v>
                </c:pt>
                <c:pt idx="5">
                  <c:v>16666.2</c:v>
                </c:pt>
                <c:pt idx="6">
                  <c:v>15702.796999999993</c:v>
                </c:pt>
              </c:numCache>
            </c:numRef>
          </c:val>
        </c:ser>
        <c:ser>
          <c:idx val="0"/>
          <c:order val="1"/>
          <c:tx>
            <c:strRef>
              <c:f>Sheet1!$A$3</c:f>
              <c:strCache>
                <c:ptCount val="1"/>
                <c:pt idx="0">
                  <c:v>Card holders (thousand persons)</c:v>
                </c:pt>
              </c:strCache>
            </c:strRef>
          </c:tx>
          <c:invertIfNegative val="0"/>
          <c:cat>
            <c:numRef>
              <c:f>Sheet1!$B$1:$H$1</c:f>
              <c:numCache>
                <c:formatCode>General</c:formatCode>
                <c:ptCount val="7"/>
                <c:pt idx="0">
                  <c:v>2010</c:v>
                </c:pt>
                <c:pt idx="1">
                  <c:v>2011</c:v>
                </c:pt>
                <c:pt idx="2">
                  <c:v>2012</c:v>
                </c:pt>
                <c:pt idx="3">
                  <c:v>2013</c:v>
                </c:pt>
                <c:pt idx="4">
                  <c:v>2014</c:v>
                </c:pt>
                <c:pt idx="5">
                  <c:v>2015</c:v>
                </c:pt>
                <c:pt idx="6">
                  <c:v>2016</c:v>
                </c:pt>
              </c:numCache>
            </c:numRef>
          </c:cat>
          <c:val>
            <c:numRef>
              <c:f>Sheet1!$B$3:$H$3</c:f>
              <c:numCache>
                <c:formatCode>#,##0.0</c:formatCode>
                <c:ptCount val="7"/>
                <c:pt idx="0">
                  <c:v>7943.5</c:v>
                </c:pt>
                <c:pt idx="1">
                  <c:v>8703</c:v>
                </c:pt>
                <c:pt idx="2">
                  <c:v>10748.1</c:v>
                </c:pt>
                <c:pt idx="3">
                  <c:v>13388.3</c:v>
                </c:pt>
                <c:pt idx="4">
                  <c:v>14912.7</c:v>
                </c:pt>
                <c:pt idx="5">
                  <c:v>14546.6</c:v>
                </c:pt>
                <c:pt idx="6">
                  <c:v>14208.850999999991</c:v>
                </c:pt>
              </c:numCache>
            </c:numRef>
          </c:val>
        </c:ser>
        <c:dLbls>
          <c:showLegendKey val="0"/>
          <c:showVal val="0"/>
          <c:showCatName val="0"/>
          <c:showSerName val="0"/>
          <c:showPercent val="0"/>
          <c:showBubbleSize val="0"/>
        </c:dLbls>
        <c:gapWidth val="150"/>
        <c:axId val="170385408"/>
        <c:axId val="170386944"/>
      </c:barChart>
      <c:catAx>
        <c:axId val="170385408"/>
        <c:scaling>
          <c:orientation val="minMax"/>
        </c:scaling>
        <c:delete val="0"/>
        <c:axPos val="b"/>
        <c:numFmt formatCode="General" sourceLinked="1"/>
        <c:majorTickMark val="out"/>
        <c:minorTickMark val="none"/>
        <c:tickLblPos val="nextTo"/>
        <c:txPr>
          <a:bodyPr rot="0" vert="horz"/>
          <a:lstStyle/>
          <a:p>
            <a:pPr>
              <a:defRPr/>
            </a:pPr>
            <a:endParaRPr lang="ru-RU"/>
          </a:p>
        </c:txPr>
        <c:crossAx val="170386944"/>
        <c:crosses val="autoZero"/>
        <c:auto val="0"/>
        <c:lblAlgn val="ctr"/>
        <c:lblOffset val="100"/>
        <c:tickMarkSkip val="1"/>
        <c:noMultiLvlLbl val="0"/>
      </c:catAx>
      <c:valAx>
        <c:axId val="170386944"/>
        <c:scaling>
          <c:orientation val="minMax"/>
          <c:max val="17000"/>
          <c:min val="0"/>
        </c:scaling>
        <c:delete val="0"/>
        <c:axPos val="l"/>
        <c:title>
          <c:tx>
            <c:rich>
              <a:bodyPr rot="0" vert="horz"/>
              <a:lstStyle/>
              <a:p>
                <a:pPr algn="ctr">
                  <a:defRPr sz="1000" b="1" i="0" u="none" strike="noStrike" baseline="0">
                    <a:solidFill>
                      <a:srgbClr val="000000"/>
                    </a:solidFill>
                    <a:latin typeface="Calibri"/>
                    <a:ea typeface="Calibri"/>
                    <a:cs typeface="Calibri"/>
                  </a:defRPr>
                </a:pPr>
                <a:r>
                  <a:rPr lang="ru-RU"/>
                  <a:t>        </a:t>
                </a:r>
                <a:r>
                  <a:rPr lang="en-US"/>
                  <a:t>thousand</a:t>
                </a:r>
                <a:r>
                  <a:rPr lang="en-US" baseline="0"/>
                  <a:t> units</a:t>
                </a:r>
                <a:endParaRPr lang="ru-RU"/>
              </a:p>
            </c:rich>
          </c:tx>
          <c:layout>
            <c:manualLayout>
              <c:xMode val="edge"/>
              <c:yMode val="edge"/>
              <c:x val="6.3018953685476817E-2"/>
              <c:y val="0.23556782659051548"/>
            </c:manualLayout>
          </c:layout>
          <c:overlay val="0"/>
        </c:title>
        <c:numFmt formatCode="#,##0" sourceLinked="0"/>
        <c:majorTickMark val="out"/>
        <c:minorTickMark val="none"/>
        <c:tickLblPos val="nextTo"/>
        <c:txPr>
          <a:bodyPr rot="0" vert="horz"/>
          <a:lstStyle/>
          <a:p>
            <a:pPr>
              <a:defRPr/>
            </a:pPr>
            <a:endParaRPr lang="ru-RU"/>
          </a:p>
        </c:txPr>
        <c:crossAx val="170385408"/>
        <c:crosses val="autoZero"/>
        <c:crossBetween val="between"/>
        <c:majorUnit val="3000"/>
        <c:minorUnit val="1000"/>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645045076004908"/>
          <c:y val="8.6989215333852871E-2"/>
          <c:w val="0.6427517555013359"/>
          <c:h val="0.83921699858864252"/>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dLbl>
              <c:idx val="0"/>
              <c:layout>
                <c:manualLayout>
                  <c:x val="-1.2369409706139681E-2"/>
                  <c:y val="-1.38888888888889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8008055099484837E-3"/>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sz="900">
                    <a:solidFill>
                      <a:schemeClr val="tx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Securities</c:v>
                </c:pt>
                <c:pt idx="1">
                  <c:v>Deposits</c:v>
                </c:pt>
                <c:pt idx="2">
                  <c:v>Foreign exchange operations</c:v>
                </c:pt>
                <c:pt idx="3">
                  <c:v>Goods and services</c:v>
                </c:pt>
                <c:pt idx="4">
                  <c:v>Payments to budget </c:v>
                </c:pt>
                <c:pt idx="5">
                  <c:v>Pension payments and benefits</c:v>
                </c:pt>
              </c:strCache>
            </c:strRef>
          </c:cat>
          <c:val>
            <c:numRef>
              <c:f>Лист1!$B$2:$B$7</c:f>
              <c:numCache>
                <c:formatCode>_-* #,##0.0_р_._-;\-* #,##0.0_р_._-;_-* "-"??_р_._-;_-@_-</c:formatCode>
                <c:ptCount val="6"/>
                <c:pt idx="0">
                  <c:v>201286.98213365028</c:v>
                </c:pt>
                <c:pt idx="1">
                  <c:v>74439.247060151436</c:v>
                </c:pt>
                <c:pt idx="2">
                  <c:v>28213.103618347963</c:v>
                </c:pt>
                <c:pt idx="3">
                  <c:v>23725.844480514068</c:v>
                </c:pt>
                <c:pt idx="4">
                  <c:v>10741.29852853977</c:v>
                </c:pt>
                <c:pt idx="5">
                  <c:v>6496.0457312848694</c:v>
                </c:pt>
              </c:numCache>
            </c:numRef>
          </c:val>
        </c:ser>
        <c:ser>
          <c:idx val="1"/>
          <c:order val="1"/>
          <c:tx>
            <c:strRef>
              <c:f>Лист1!$C$1</c:f>
              <c:strCache>
                <c:ptCount val="1"/>
                <c:pt idx="0">
                  <c:v>2015</c:v>
                </c:pt>
              </c:strCache>
            </c:strRef>
          </c:tx>
          <c:spPr>
            <a:solidFill>
              <a:schemeClr val="accent2">
                <a:lumMod val="20000"/>
                <a:lumOff val="80000"/>
              </a:schemeClr>
            </a:solidFill>
          </c:spPr>
          <c:invertIfNegative val="0"/>
          <c:dLbls>
            <c:numFmt formatCode="#,##0" sourceLinked="0"/>
            <c:spPr>
              <a:noFill/>
              <a:ln>
                <a:noFill/>
              </a:ln>
              <a:effectLst/>
            </c:spPr>
            <c:txPr>
              <a:bodyPr/>
              <a:lstStyle/>
              <a:p>
                <a:pPr>
                  <a:defRPr sz="900">
                    <a:solidFill>
                      <a:schemeClr val="tx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Securities</c:v>
                </c:pt>
                <c:pt idx="1">
                  <c:v>Deposits</c:v>
                </c:pt>
                <c:pt idx="2">
                  <c:v>Foreign exchange operations</c:v>
                </c:pt>
                <c:pt idx="3">
                  <c:v>Goods and services</c:v>
                </c:pt>
                <c:pt idx="4">
                  <c:v>Payments to budget </c:v>
                </c:pt>
                <c:pt idx="5">
                  <c:v>Pension payments and benefits</c:v>
                </c:pt>
              </c:strCache>
            </c:strRef>
          </c:cat>
          <c:val>
            <c:numRef>
              <c:f>Лист1!$C$2:$C$7</c:f>
              <c:numCache>
                <c:formatCode>_-* #,##0.0_р_._-;\-* #,##0.0_р_._-;_-* "-"??_р_._-;_-@_-</c:formatCode>
                <c:ptCount val="6"/>
                <c:pt idx="0">
                  <c:v>106659.27928492954</c:v>
                </c:pt>
                <c:pt idx="1">
                  <c:v>25159.844132390823</c:v>
                </c:pt>
                <c:pt idx="2">
                  <c:v>30893.65545523839</c:v>
                </c:pt>
                <c:pt idx="3">
                  <c:v>21764.407986509195</c:v>
                </c:pt>
                <c:pt idx="4">
                  <c:v>9868.770199794395</c:v>
                </c:pt>
                <c:pt idx="5">
                  <c:v>4866.9650089705638</c:v>
                </c:pt>
              </c:numCache>
            </c:numRef>
          </c:val>
        </c:ser>
        <c:dLbls>
          <c:showLegendKey val="0"/>
          <c:showVal val="0"/>
          <c:showCatName val="0"/>
          <c:showSerName val="0"/>
          <c:showPercent val="0"/>
          <c:showBubbleSize val="0"/>
        </c:dLbls>
        <c:gapWidth val="60"/>
        <c:axId val="165825152"/>
        <c:axId val="167838080"/>
      </c:barChart>
      <c:catAx>
        <c:axId val="165825152"/>
        <c:scaling>
          <c:orientation val="minMax"/>
        </c:scaling>
        <c:delete val="0"/>
        <c:axPos val="l"/>
        <c:majorGridlines>
          <c:spPr>
            <a:ln>
              <a:solidFill>
                <a:schemeClr val="bg1">
                  <a:lumMod val="75000"/>
                </a:schemeClr>
              </a:solidFill>
              <a:prstDash val="sysDash"/>
            </a:ln>
          </c:spPr>
        </c:majorGridlines>
        <c:numFmt formatCode="General" sourceLinked="0"/>
        <c:majorTickMark val="out"/>
        <c:minorTickMark val="none"/>
        <c:tickLblPos val="nextTo"/>
        <c:txPr>
          <a:bodyPr/>
          <a:lstStyle/>
          <a:p>
            <a:pPr>
              <a:defRPr sz="800">
                <a:solidFill>
                  <a:srgbClr val="0E4C28"/>
                </a:solidFill>
              </a:defRPr>
            </a:pPr>
            <a:endParaRPr lang="ru-RU"/>
          </a:p>
        </c:txPr>
        <c:crossAx val="167838080"/>
        <c:crosses val="autoZero"/>
        <c:auto val="1"/>
        <c:lblAlgn val="ctr"/>
        <c:lblOffset val="100"/>
        <c:noMultiLvlLbl val="0"/>
      </c:catAx>
      <c:valAx>
        <c:axId val="167838080"/>
        <c:scaling>
          <c:orientation val="minMax"/>
        </c:scaling>
        <c:delete val="1"/>
        <c:axPos val="b"/>
        <c:numFmt formatCode="_-* #,##0.0_р_._-;\-* #,##0.0_р_._-;_-* &quot;-&quot;??_р_._-;_-@_-" sourceLinked="1"/>
        <c:majorTickMark val="out"/>
        <c:minorTickMark val="none"/>
        <c:tickLblPos val="none"/>
        <c:crossAx val="165825152"/>
        <c:crosses val="autoZero"/>
        <c:crossBetween val="between"/>
      </c:valAx>
      <c:spPr>
        <a:ln>
          <a:noFill/>
        </a:ln>
      </c:spPr>
    </c:plotArea>
    <c:legend>
      <c:legendPos val="b"/>
      <c:layout>
        <c:manualLayout>
          <c:xMode val="edge"/>
          <c:yMode val="edge"/>
          <c:x val="0.30665687251566576"/>
          <c:y val="0.92222410954977085"/>
          <c:w val="0.41214503362085758"/>
          <c:h val="7.777597155194331E-2"/>
        </c:manualLayout>
      </c:layout>
      <c:overlay val="0"/>
      <c:txPr>
        <a:bodyPr/>
        <a:lstStyle/>
        <a:p>
          <a:pPr>
            <a:defRPr sz="1050">
              <a:solidFill>
                <a:srgbClr val="0E4C28"/>
              </a:solidFill>
            </a:defRPr>
          </a:pPr>
          <a:endParaRPr lang="ru-RU"/>
        </a:p>
      </c:txPr>
    </c:legend>
    <c:plotVisOnly val="1"/>
    <c:dispBlanksAs val="gap"/>
    <c:showDLblsOverMax val="0"/>
  </c:chart>
  <c:spPr>
    <a:ln>
      <a:noFill/>
    </a:ln>
  </c:spPr>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6.8800032328330804E-2"/>
          <c:y val="9.9646573405881705E-2"/>
          <c:w val="0.91821655880801156"/>
          <c:h val="0.57070224300565053"/>
        </c:manualLayout>
      </c:layout>
      <c:pie3DChart>
        <c:varyColors val="1"/>
        <c:ser>
          <c:idx val="1"/>
          <c:order val="0"/>
          <c:tx>
            <c:strRef>
              <c:f>Sheet1!$B$1</c:f>
              <c:strCache>
                <c:ptCount val="1"/>
                <c:pt idx="0">
                  <c:v>2016 год</c:v>
                </c:pt>
              </c:strCache>
            </c:strRef>
          </c:tx>
          <c:dLbls>
            <c:dLbl>
              <c:idx val="0"/>
              <c:layout>
                <c:manualLayout>
                  <c:x val="-2.9352205523434289E-3"/>
                  <c:y val="7.1839607539171513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2.3175998852976411E-2"/>
                  <c:y val="0.37921356624847458"/>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4.1470884841684874E-2"/>
                  <c:y val="-2.834049673921759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2.0257124348006118E-2"/>
                  <c:y val="-2.9196437781521853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4.5297841000429016E-2"/>
                  <c:y val="-1.4140348443222707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5"/>
              <c:layout>
                <c:manualLayout>
                  <c:x val="0.22659644004914484"/>
                  <c:y val="7.4729176598227962E-3"/>
                </c:manualLayout>
              </c:layout>
              <c:numFmt formatCode="0.0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Sheet1!$A$2:$A$7</c:f>
              <c:strCache>
                <c:ptCount val="6"/>
                <c:pt idx="0">
                  <c:v>Visa International</c:v>
                </c:pt>
                <c:pt idx="1">
                  <c:v>MasterCard Worldwide</c:v>
                </c:pt>
                <c:pt idx="2">
                  <c:v>American Express International</c:v>
                </c:pt>
                <c:pt idx="3">
                  <c:v>UnionPay International</c:v>
                </c:pt>
                <c:pt idx="4">
                  <c:v>Altyn Card</c:v>
                </c:pt>
                <c:pt idx="5">
                  <c:v>Citibank cards</c:v>
                </c:pt>
              </c:strCache>
            </c:strRef>
          </c:cat>
          <c:val>
            <c:numRef>
              <c:f>Sheet1!$B$2:$B$7</c:f>
              <c:numCache>
                <c:formatCode>#,##0</c:formatCode>
                <c:ptCount val="6"/>
                <c:pt idx="0">
                  <c:v>11167480</c:v>
                </c:pt>
                <c:pt idx="1">
                  <c:v>3099110</c:v>
                </c:pt>
                <c:pt idx="2">
                  <c:v>54721</c:v>
                </c:pt>
                <c:pt idx="3">
                  <c:v>1183337</c:v>
                </c:pt>
                <c:pt idx="4">
                  <c:v>197992</c:v>
                </c:pt>
                <c:pt idx="5">
                  <c:v>157</c:v>
                </c:pt>
              </c:numCache>
            </c:numRef>
          </c:val>
        </c:ser>
        <c:dLbls>
          <c:showLegendKey val="0"/>
          <c:showVal val="0"/>
          <c:showCatName val="0"/>
          <c:showSerName val="0"/>
          <c:showPercent val="0"/>
          <c:showBubbleSize val="0"/>
          <c:showLeaderLines val="0"/>
        </c:dLbls>
      </c:pie3DChart>
      <c:spPr>
        <a:noFill/>
        <a:ln w="25399">
          <a:noFill/>
        </a:ln>
      </c:spPr>
    </c:plotArea>
    <c:legend>
      <c:legendPos val="r"/>
      <c:layout>
        <c:manualLayout>
          <c:xMode val="edge"/>
          <c:yMode val="edge"/>
          <c:x val="0"/>
          <c:y val="0.70288921804336413"/>
          <c:w val="0.99503261908099427"/>
          <c:h val="0.29406621264387145"/>
        </c:manualLayout>
      </c:layout>
      <c:overlay val="1"/>
      <c:txPr>
        <a:bodyPr/>
        <a:lstStyle/>
        <a:p>
          <a:pPr>
            <a:defRPr sz="800"/>
          </a:pPr>
          <a:endParaRPr lang="ru-RU"/>
        </a:p>
      </c:txPr>
    </c:legend>
    <c:plotVisOnly val="1"/>
    <c:dispBlanksAs val="zero"/>
    <c:showDLblsOverMax val="1"/>
  </c:chart>
  <c:spPr>
    <a:ln>
      <a:no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2.3132903841565251E-3"/>
          <c:y val="0.16842105263157892"/>
          <c:w val="0.99755935337628254"/>
          <c:h val="0.6277160051963202"/>
        </c:manualLayout>
      </c:layout>
      <c:pie3DChart>
        <c:varyColors val="1"/>
        <c:ser>
          <c:idx val="1"/>
          <c:order val="0"/>
          <c:tx>
            <c:strRef>
              <c:f>Sheet1!$B$1</c:f>
              <c:strCache>
                <c:ptCount val="1"/>
                <c:pt idx="0">
                  <c:v>2016 год</c:v>
                </c:pt>
              </c:strCache>
            </c:strRef>
          </c:tx>
          <c:dLbls>
            <c:dLbl>
              <c:idx val="0"/>
              <c:layout>
                <c:manualLayout>
                  <c:x val="-4.5231448341684459E-2"/>
                  <c:y val="3.9615048118985204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2.0165397521165095E-2"/>
                  <c:y val="-6.4948302991323092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Debit cards</c:v>
                </c:pt>
                <c:pt idx="1">
                  <c:v>Credit cards</c:v>
                </c:pt>
                <c:pt idx="2">
                  <c:v>Other</c:v>
                </c:pt>
              </c:strCache>
            </c:strRef>
          </c:cat>
          <c:val>
            <c:numRef>
              <c:f>Sheet1!$B$2:$B$4</c:f>
              <c:numCache>
                <c:formatCode>#,##0</c:formatCode>
                <c:ptCount val="3"/>
                <c:pt idx="0">
                  <c:v>12722909</c:v>
                </c:pt>
                <c:pt idx="1">
                  <c:v>2374132</c:v>
                </c:pt>
                <c:pt idx="2">
                  <c:v>605756</c:v>
                </c:pt>
              </c:numCache>
            </c:numRef>
          </c:val>
        </c:ser>
        <c:dLbls>
          <c:showLegendKey val="0"/>
          <c:showVal val="0"/>
          <c:showCatName val="0"/>
          <c:showSerName val="0"/>
          <c:showPercent val="0"/>
          <c:showBubbleSize val="0"/>
          <c:showLeaderLines val="0"/>
        </c:dLbls>
      </c:pie3DChart>
      <c:spPr>
        <a:noFill/>
        <a:ln w="25401">
          <a:noFill/>
        </a:ln>
      </c:spPr>
    </c:plotArea>
    <c:legend>
      <c:legendPos val="r"/>
      <c:layout>
        <c:manualLayout>
          <c:xMode val="edge"/>
          <c:yMode val="edge"/>
          <c:x val="7.7712777100045871E-2"/>
          <c:y val="0.83720202782871322"/>
          <c:w val="0.8299120180399987"/>
          <c:h val="0.15957465933196704"/>
        </c:manualLayout>
      </c:layout>
      <c:overlay val="1"/>
    </c:legend>
    <c:plotVisOnly val="1"/>
    <c:dispBlanksAs val="zero"/>
    <c:showDLblsOverMax val="1"/>
  </c:chart>
  <c:spPr>
    <a:ln>
      <a:no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solidFill>
                  <a:srgbClr val="0E4C28"/>
                </a:solidFill>
              </a:defRPr>
            </a:pPr>
            <a:r>
              <a:rPr lang="en-US" sz="1200">
                <a:solidFill>
                  <a:srgbClr val="0E4C28"/>
                </a:solidFill>
              </a:rPr>
              <a:t>Amount </a:t>
            </a:r>
            <a:r>
              <a:rPr lang="ru-RU" sz="1200">
                <a:solidFill>
                  <a:srgbClr val="0E4C28"/>
                </a:solidFill>
              </a:rPr>
              <a:t>(</a:t>
            </a:r>
            <a:r>
              <a:rPr lang="en-US" sz="1200">
                <a:solidFill>
                  <a:srgbClr val="0E4C28"/>
                </a:solidFill>
              </a:rPr>
              <a:t>KZT billion</a:t>
            </a:r>
            <a:r>
              <a:rPr lang="ru-RU" sz="1200">
                <a:solidFill>
                  <a:srgbClr val="0E4C28"/>
                </a:solidFill>
              </a:rPr>
              <a:t>)</a:t>
            </a:r>
          </a:p>
        </c:rich>
      </c:tx>
      <c:layout>
        <c:manualLayout>
          <c:xMode val="edge"/>
          <c:yMode val="edge"/>
          <c:x val="0.23264595303965382"/>
          <c:y val="0"/>
        </c:manualLayout>
      </c:layout>
      <c:overlay val="0"/>
    </c:title>
    <c:autoTitleDeleted val="0"/>
    <c:plotArea>
      <c:layout>
        <c:manualLayout>
          <c:layoutTarget val="inner"/>
          <c:xMode val="edge"/>
          <c:yMode val="edge"/>
          <c:x val="0.1445389006530842"/>
          <c:y val="9.3583406828376944E-2"/>
          <c:w val="0.7787181154390872"/>
          <c:h val="0.69036800913480978"/>
        </c:manualLayout>
      </c:layout>
      <c:barChart>
        <c:barDir val="bar"/>
        <c:grouping val="clustered"/>
        <c:varyColors val="0"/>
        <c:ser>
          <c:idx val="0"/>
          <c:order val="0"/>
          <c:tx>
            <c:strRef>
              <c:f>Лист1!$A$2</c:f>
              <c:strCache>
                <c:ptCount val="1"/>
                <c:pt idx="0">
                  <c:v>Non-cash transactions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769.41225638109972</c:v>
                </c:pt>
                <c:pt idx="1">
                  <c:v>921.77424034071021</c:v>
                </c:pt>
                <c:pt idx="2">
                  <c:v>988.94564469189959</c:v>
                </c:pt>
                <c:pt idx="3">
                  <c:v>1030.5285055199997</c:v>
                </c:pt>
                <c:pt idx="4">
                  <c:v>1620.2145364622004</c:v>
                </c:pt>
              </c:numCache>
            </c:numRef>
          </c:val>
        </c:ser>
        <c:ser>
          <c:idx val="1"/>
          <c:order val="1"/>
          <c:tx>
            <c:strRef>
              <c:f>Лист1!$A$3</c:f>
              <c:strCache>
                <c:ptCount val="1"/>
                <c:pt idx="0">
                  <c:v>Cash withdrawals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4793.1447674945803</c:v>
                </c:pt>
                <c:pt idx="1">
                  <c:v>5615.5294537466789</c:v>
                </c:pt>
                <c:pt idx="2">
                  <c:v>6745.7208793892532</c:v>
                </c:pt>
                <c:pt idx="3">
                  <c:v>7244.1641322690011</c:v>
                </c:pt>
                <c:pt idx="4">
                  <c:v>8797.883853846095</c:v>
                </c:pt>
              </c:numCache>
            </c:numRef>
          </c:val>
        </c:ser>
        <c:dLbls>
          <c:showLegendKey val="0"/>
          <c:showVal val="0"/>
          <c:showCatName val="0"/>
          <c:showSerName val="0"/>
          <c:showPercent val="0"/>
          <c:showBubbleSize val="0"/>
        </c:dLbls>
        <c:gapWidth val="150"/>
        <c:axId val="170593664"/>
        <c:axId val="170599552"/>
      </c:barChart>
      <c:catAx>
        <c:axId val="170593664"/>
        <c:scaling>
          <c:orientation val="minMax"/>
        </c:scaling>
        <c:delete val="0"/>
        <c:axPos val="l"/>
        <c:numFmt formatCode="General" sourceLinked="1"/>
        <c:majorTickMark val="out"/>
        <c:minorTickMark val="none"/>
        <c:tickLblPos val="nextTo"/>
        <c:crossAx val="170599552"/>
        <c:crosses val="autoZero"/>
        <c:auto val="1"/>
        <c:lblAlgn val="ctr"/>
        <c:lblOffset val="100"/>
        <c:noMultiLvlLbl val="0"/>
      </c:catAx>
      <c:valAx>
        <c:axId val="170599552"/>
        <c:scaling>
          <c:orientation val="minMax"/>
        </c:scaling>
        <c:delete val="0"/>
        <c:axPos val="b"/>
        <c:numFmt formatCode="#,##0" sourceLinked="0"/>
        <c:majorTickMark val="out"/>
        <c:minorTickMark val="none"/>
        <c:tickLblPos val="nextTo"/>
        <c:crossAx val="170593664"/>
        <c:crosses val="autoZero"/>
        <c:crossBetween val="between"/>
        <c:majorUnit val="2000"/>
      </c:valAx>
    </c:plotArea>
    <c:legend>
      <c:legendPos val="r"/>
      <c:layout>
        <c:manualLayout>
          <c:xMode val="edge"/>
          <c:yMode val="edge"/>
          <c:x val="0"/>
          <c:y val="0.92545544638778565"/>
          <c:w val="0.98322728240051083"/>
          <c:h val="7.1477403820097804E-2"/>
        </c:manualLayout>
      </c:layout>
      <c:overlay val="0"/>
    </c:legend>
    <c:plotVisOnly val="1"/>
    <c:dispBlanksAs val="gap"/>
    <c:showDLblsOverMax val="0"/>
  </c:chart>
  <c:spPr>
    <a:ln>
      <a:noFill/>
    </a:ln>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9">
                <a:solidFill>
                  <a:srgbClr val="0E4C28"/>
                </a:solidFill>
              </a:defRPr>
            </a:pPr>
            <a:r>
              <a:rPr lang="en-US" sz="1200">
                <a:solidFill>
                  <a:srgbClr val="0E4C28"/>
                </a:solidFill>
              </a:rPr>
              <a:t>Number</a:t>
            </a:r>
            <a:r>
              <a:rPr lang="en-US" sz="1200" baseline="0">
                <a:solidFill>
                  <a:srgbClr val="0E4C28"/>
                </a:solidFill>
              </a:rPr>
              <a:t> </a:t>
            </a:r>
            <a:r>
              <a:rPr lang="ru-RU" sz="1200">
                <a:solidFill>
                  <a:srgbClr val="0E4C28"/>
                </a:solidFill>
              </a:rPr>
              <a:t>(</a:t>
            </a:r>
            <a:r>
              <a:rPr lang="en-US" sz="1200">
                <a:solidFill>
                  <a:sysClr val="windowText" lastClr="000000"/>
                </a:solidFill>
              </a:rPr>
              <a:t>million</a:t>
            </a:r>
            <a:r>
              <a:rPr lang="en-US" sz="1200">
                <a:solidFill>
                  <a:srgbClr val="0E4C28"/>
                </a:solidFill>
              </a:rPr>
              <a:t> transactions)</a:t>
            </a:r>
            <a:endParaRPr lang="ru-RU" sz="1200">
              <a:solidFill>
                <a:srgbClr val="0E4C28"/>
              </a:solidFill>
            </a:endParaRPr>
          </a:p>
        </c:rich>
      </c:tx>
      <c:layout>
        <c:manualLayout>
          <c:xMode val="edge"/>
          <c:yMode val="edge"/>
          <c:x val="0.14571739853273138"/>
          <c:y val="0"/>
        </c:manualLayout>
      </c:layout>
      <c:overlay val="0"/>
    </c:title>
    <c:autoTitleDeleted val="0"/>
    <c:plotArea>
      <c:layout>
        <c:manualLayout>
          <c:layoutTarget val="inner"/>
          <c:xMode val="edge"/>
          <c:yMode val="edge"/>
          <c:x val="0.18302522354197284"/>
          <c:y val="8.5889726417649734E-2"/>
          <c:w val="0.75777122180876322"/>
          <c:h val="0.70060846251145814"/>
        </c:manualLayout>
      </c:layout>
      <c:barChart>
        <c:barDir val="bar"/>
        <c:grouping val="clustered"/>
        <c:varyColors val="0"/>
        <c:ser>
          <c:idx val="0"/>
          <c:order val="0"/>
          <c:tx>
            <c:strRef>
              <c:f>Лист1!$A$2</c:f>
              <c:strCache>
                <c:ptCount val="1"/>
                <c:pt idx="0">
                  <c:v>Non-cash transactions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2012</c:v>
                </c:pt>
                <c:pt idx="1">
                  <c:v>2013</c:v>
                </c:pt>
                <c:pt idx="2">
                  <c:v>2014</c:v>
                </c:pt>
                <c:pt idx="3">
                  <c:v>2015</c:v>
                </c:pt>
                <c:pt idx="4">
                  <c:v>2016</c:v>
                </c:pt>
              </c:strCache>
            </c:strRef>
          </c:cat>
          <c:val>
            <c:numRef>
              <c:f>Лист1!$B$2:$F$2</c:f>
              <c:numCache>
                <c:formatCode>#,##0.0</c:formatCode>
                <c:ptCount val="5"/>
                <c:pt idx="0">
                  <c:v>41.214684999999996</c:v>
                </c:pt>
                <c:pt idx="1">
                  <c:v>54.099231000000003</c:v>
                </c:pt>
                <c:pt idx="2">
                  <c:v>64.746751000000003</c:v>
                </c:pt>
                <c:pt idx="3">
                  <c:v>84.586397999999988</c:v>
                </c:pt>
                <c:pt idx="4">
                  <c:v>120.54583600000001</c:v>
                </c:pt>
              </c:numCache>
            </c:numRef>
          </c:val>
        </c:ser>
        <c:ser>
          <c:idx val="1"/>
          <c:order val="1"/>
          <c:tx>
            <c:strRef>
              <c:f>Лист1!$A$3</c:f>
              <c:strCache>
                <c:ptCount val="1"/>
                <c:pt idx="0">
                  <c:v>cash withdrawals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2012</c:v>
                </c:pt>
                <c:pt idx="1">
                  <c:v>2013</c:v>
                </c:pt>
                <c:pt idx="2">
                  <c:v>2014</c:v>
                </c:pt>
                <c:pt idx="3">
                  <c:v>2015</c:v>
                </c:pt>
                <c:pt idx="4">
                  <c:v>2016</c:v>
                </c:pt>
              </c:strCache>
            </c:strRef>
          </c:cat>
          <c:val>
            <c:numRef>
              <c:f>Лист1!$B$3:$F$3</c:f>
              <c:numCache>
                <c:formatCode>#,##0.0</c:formatCode>
                <c:ptCount val="5"/>
                <c:pt idx="0">
                  <c:v>146.43117399999997</c:v>
                </c:pt>
                <c:pt idx="1">
                  <c:v>160.977023</c:v>
                </c:pt>
                <c:pt idx="2">
                  <c:v>175.94422499999999</c:v>
                </c:pt>
                <c:pt idx="3">
                  <c:v>186.86620700000006</c:v>
                </c:pt>
                <c:pt idx="4">
                  <c:v>210.55898900000003</c:v>
                </c:pt>
              </c:numCache>
            </c:numRef>
          </c:val>
        </c:ser>
        <c:dLbls>
          <c:showLegendKey val="0"/>
          <c:showVal val="0"/>
          <c:showCatName val="0"/>
          <c:showSerName val="0"/>
          <c:showPercent val="0"/>
          <c:showBubbleSize val="0"/>
        </c:dLbls>
        <c:gapWidth val="150"/>
        <c:axId val="170621568"/>
        <c:axId val="170643840"/>
      </c:barChart>
      <c:catAx>
        <c:axId val="170621568"/>
        <c:scaling>
          <c:orientation val="minMax"/>
        </c:scaling>
        <c:delete val="0"/>
        <c:axPos val="l"/>
        <c:numFmt formatCode="General" sourceLinked="1"/>
        <c:majorTickMark val="out"/>
        <c:minorTickMark val="none"/>
        <c:tickLblPos val="nextTo"/>
        <c:crossAx val="170643840"/>
        <c:crosses val="autoZero"/>
        <c:auto val="1"/>
        <c:lblAlgn val="ctr"/>
        <c:lblOffset val="100"/>
        <c:noMultiLvlLbl val="0"/>
      </c:catAx>
      <c:valAx>
        <c:axId val="170643840"/>
        <c:scaling>
          <c:orientation val="minMax"/>
        </c:scaling>
        <c:delete val="0"/>
        <c:axPos val="b"/>
        <c:numFmt formatCode="#,##0" sourceLinked="0"/>
        <c:majorTickMark val="out"/>
        <c:minorTickMark val="none"/>
        <c:tickLblPos val="nextTo"/>
        <c:crossAx val="170621568"/>
        <c:crosses val="autoZero"/>
        <c:crossBetween val="between"/>
      </c:valAx>
    </c:plotArea>
    <c:legend>
      <c:legendPos val="r"/>
      <c:layout>
        <c:manualLayout>
          <c:xMode val="edge"/>
          <c:yMode val="edge"/>
          <c:x val="0"/>
          <c:y val="0.91841943347586064"/>
          <c:w val="0.97651378483349949"/>
          <c:h val="8.1580566524140044E-2"/>
        </c:manualLayout>
      </c:layout>
      <c:overlay val="0"/>
    </c:legend>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73720864067587E-2"/>
          <c:y val="0.11801144648585596"/>
          <c:w val="0.6990614391266724"/>
          <c:h val="0.63551035287255764"/>
        </c:manualLayout>
      </c:layout>
      <c:doughnutChart>
        <c:varyColors val="1"/>
        <c:ser>
          <c:idx val="0"/>
          <c:order val="0"/>
          <c:dLbls>
            <c:dLbl>
              <c:idx val="0"/>
              <c:layout>
                <c:manualLayout>
                  <c:x val="6.481627769147548E-3"/>
                  <c:y val="-0.11111147564887722"/>
                </c:manualLayout>
              </c:layout>
              <c:showLegendKey val="0"/>
              <c:showVal val="1"/>
              <c:showCatName val="0"/>
              <c:showSerName val="0"/>
              <c:showPercent val="0"/>
              <c:showBubbleSize val="0"/>
            </c:dLbl>
            <c:dLbl>
              <c:idx val="1"/>
              <c:layout>
                <c:manualLayout>
                  <c:x val="0.11250019047099669"/>
                  <c:y val="-8.7962962962962965E-2"/>
                </c:manualLayout>
              </c:layout>
              <c:showLegendKey val="0"/>
              <c:showVal val="1"/>
              <c:showCatName val="0"/>
              <c:showSerName val="0"/>
              <c:showPercent val="0"/>
              <c:showBubbleSize val="0"/>
            </c:dLbl>
            <c:dLbl>
              <c:idx val="2"/>
              <c:layout>
                <c:manualLayout>
                  <c:x val="-0.19305578835344039"/>
                  <c:y val="5.0925925925925923E-2"/>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'[Диаграмма в Microsoft Word]Лист1'!$A$16:$A$18</c:f>
              <c:strCache>
                <c:ptCount val="3"/>
                <c:pt idx="0">
                  <c:v>Interbank payments (IPS, H2H)</c:v>
                </c:pt>
                <c:pt idx="1">
                  <c:v>Interbank payments (1 PC)</c:v>
                </c:pt>
                <c:pt idx="2">
                  <c:v>Within the network of issuing bank </c:v>
                </c:pt>
              </c:strCache>
            </c:strRef>
          </c:cat>
          <c:val>
            <c:numRef>
              <c:f>'[Диаграмма в Microsoft Word]Лист1'!$B$16:$B$18</c:f>
              <c:numCache>
                <c:formatCode>0.0%</c:formatCode>
                <c:ptCount val="3"/>
                <c:pt idx="0">
                  <c:v>5.9861925863510183E-2</c:v>
                </c:pt>
                <c:pt idx="1">
                  <c:v>1.4407405334115586E-2</c:v>
                </c:pt>
                <c:pt idx="2">
                  <c:v>0.92573066880237409</c:v>
                </c:pt>
              </c:numCache>
            </c:numRef>
          </c:val>
        </c:ser>
        <c:dLbls>
          <c:showLegendKey val="0"/>
          <c:showVal val="0"/>
          <c:showCatName val="0"/>
          <c:showSerName val="0"/>
          <c:showPercent val="0"/>
          <c:showBubbleSize val="0"/>
          <c:showLeaderLines val="1"/>
        </c:dLbls>
        <c:firstSliceAng val="0"/>
        <c:holeSize val="50"/>
      </c:doughnutChart>
    </c:plotArea>
    <c:legend>
      <c:legendPos val="b"/>
      <c:layout>
        <c:manualLayout>
          <c:xMode val="edge"/>
          <c:yMode val="edge"/>
          <c:x val="2.9451625697783774E-2"/>
          <c:y val="0.81173228346456694"/>
          <c:w val="0.82643480799320568"/>
          <c:h val="0.1604899387576553"/>
        </c:manualLayout>
      </c:layou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73720864067587E-2"/>
          <c:y val="0.11801144648585596"/>
          <c:w val="0.6990614391266724"/>
          <c:h val="0.63551035287255764"/>
        </c:manualLayout>
      </c:layout>
      <c:doughnutChart>
        <c:varyColors val="1"/>
        <c:ser>
          <c:idx val="0"/>
          <c:order val="0"/>
          <c:dLbls>
            <c:dLbl>
              <c:idx val="0"/>
              <c:layout>
                <c:manualLayout>
                  <c:x val="6.481627769147548E-3"/>
                  <c:y val="-0.11111147564887722"/>
                </c:manualLayout>
              </c:layout>
              <c:tx>
                <c:rich>
                  <a:bodyPr/>
                  <a:lstStyle/>
                  <a:p>
                    <a:r>
                      <a:rPr lang="ru-RU"/>
                      <a:t>33</a:t>
                    </a:r>
                    <a:r>
                      <a:rPr lang="en-US"/>
                      <a:t>,</a:t>
                    </a:r>
                    <a:r>
                      <a:rPr lang="ru-RU"/>
                      <a:t>2</a:t>
                    </a:r>
                    <a:r>
                      <a:rPr lang="en-US"/>
                      <a:t>%</a:t>
                    </a:r>
                  </a:p>
                </c:rich>
              </c:tx>
              <c:showLegendKey val="0"/>
              <c:showVal val="1"/>
              <c:showCatName val="0"/>
              <c:showSerName val="0"/>
              <c:showPercent val="0"/>
              <c:showBubbleSize val="0"/>
            </c:dLbl>
            <c:dLbl>
              <c:idx val="1"/>
              <c:layout>
                <c:manualLayout>
                  <c:x val="0.11250019047099669"/>
                  <c:y val="-8.7962962962962965E-2"/>
                </c:manualLayout>
              </c:layout>
              <c:tx>
                <c:rich>
                  <a:bodyPr/>
                  <a:lstStyle/>
                  <a:p>
                    <a:r>
                      <a:rPr lang="ru-RU"/>
                      <a:t>4</a:t>
                    </a:r>
                    <a:r>
                      <a:rPr lang="en-US"/>
                      <a:t>,</a:t>
                    </a:r>
                    <a:r>
                      <a:rPr lang="ru-RU"/>
                      <a:t>0</a:t>
                    </a:r>
                    <a:r>
                      <a:rPr lang="en-US"/>
                      <a:t>%</a:t>
                    </a:r>
                  </a:p>
                </c:rich>
              </c:tx>
              <c:showLegendKey val="0"/>
              <c:showVal val="1"/>
              <c:showCatName val="0"/>
              <c:showSerName val="0"/>
              <c:showPercent val="0"/>
              <c:showBubbleSize val="0"/>
            </c:dLbl>
            <c:dLbl>
              <c:idx val="2"/>
              <c:layout>
                <c:manualLayout>
                  <c:x val="-0.19305578835344039"/>
                  <c:y val="5.0925925925925923E-2"/>
                </c:manualLayout>
              </c:layout>
              <c:tx>
                <c:rich>
                  <a:bodyPr/>
                  <a:lstStyle/>
                  <a:p>
                    <a:r>
                      <a:rPr lang="ru-RU"/>
                      <a:t>62</a:t>
                    </a:r>
                    <a:r>
                      <a:rPr lang="en-US"/>
                      <a:t>,</a:t>
                    </a:r>
                    <a:r>
                      <a:rPr lang="ru-RU"/>
                      <a:t>8</a:t>
                    </a:r>
                    <a:r>
                      <a:rPr lang="en-US"/>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'[Диаграмма в Microsoft Word]Лист1'!$A$16:$A$18</c:f>
              <c:strCache>
                <c:ptCount val="3"/>
                <c:pt idx="0">
                  <c:v>Interbank payments (IPS, H2H)</c:v>
                </c:pt>
                <c:pt idx="1">
                  <c:v>Interbank payments (1 PC)</c:v>
                </c:pt>
                <c:pt idx="2">
                  <c:v>Within the network of issuing bank </c:v>
                </c:pt>
              </c:strCache>
            </c:strRef>
          </c:cat>
          <c:val>
            <c:numRef>
              <c:f>'[Диаграмма в Microsoft Word]Лист1'!$B$16:$B$18</c:f>
              <c:numCache>
                <c:formatCode>0.0%</c:formatCode>
                <c:ptCount val="3"/>
                <c:pt idx="0">
                  <c:v>5.9861925863510183E-2</c:v>
                </c:pt>
                <c:pt idx="1">
                  <c:v>1.4407405334115586E-2</c:v>
                </c:pt>
                <c:pt idx="2">
                  <c:v>0.92573066880237409</c:v>
                </c:pt>
              </c:numCache>
            </c:numRef>
          </c:val>
        </c:ser>
        <c:dLbls>
          <c:showLegendKey val="0"/>
          <c:showVal val="0"/>
          <c:showCatName val="0"/>
          <c:showSerName val="0"/>
          <c:showPercent val="0"/>
          <c:showBubbleSize val="0"/>
          <c:showLeaderLines val="1"/>
        </c:dLbls>
        <c:firstSliceAng val="0"/>
        <c:holeSize val="50"/>
      </c:doughnutChart>
    </c:plotArea>
    <c:legend>
      <c:legendPos val="b"/>
      <c:layout>
        <c:manualLayout>
          <c:xMode val="edge"/>
          <c:yMode val="edge"/>
          <c:x val="2.9451625697783774E-2"/>
          <c:y val="0.81173228346456694"/>
          <c:w val="0.82643480799320568"/>
          <c:h val="0.1604899387576553"/>
        </c:manualLayout>
      </c:layout>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93395395711288"/>
          <c:y val="5.7399151979028708E-2"/>
          <c:w val="0.76066055849201863"/>
          <c:h val="0.82303231774024554"/>
        </c:manualLayout>
      </c:layout>
      <c:barChart>
        <c:barDir val="col"/>
        <c:grouping val="clustered"/>
        <c:varyColors val="0"/>
        <c:ser>
          <c:idx val="0"/>
          <c:order val="0"/>
          <c:tx>
            <c:strRef>
              <c:f>Лист1!$B$1</c:f>
              <c:strCache>
                <c:ptCount val="1"/>
                <c:pt idx="0">
                  <c:v>объем</c:v>
                </c:pt>
              </c:strCache>
            </c:strRef>
          </c:tx>
          <c:spPr>
            <a:solidFill>
              <a:srgbClr val="00B050"/>
            </a:solidFill>
            <a:ln>
              <a:solidFill>
                <a:srgbClr val="7030A0"/>
              </a:solidFill>
            </a:ln>
          </c:spPr>
          <c:invertIfNegative val="0"/>
          <c:dLbls>
            <c:dLbl>
              <c:idx val="0"/>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Лист1!$A$2:$A$4</c:f>
              <c:numCache>
                <c:formatCode>General</c:formatCode>
                <c:ptCount val="3"/>
                <c:pt idx="0">
                  <c:v>2014</c:v>
                </c:pt>
                <c:pt idx="1">
                  <c:v>2015</c:v>
                </c:pt>
                <c:pt idx="2">
                  <c:v>2016</c:v>
                </c:pt>
              </c:numCache>
            </c:numRef>
          </c:cat>
          <c:val>
            <c:numRef>
              <c:f>Лист1!$B$2:$B$4</c:f>
              <c:numCache>
                <c:formatCode>#,##0.0</c:formatCode>
                <c:ptCount val="3"/>
                <c:pt idx="0">
                  <c:v>321.16162993010187</c:v>
                </c:pt>
                <c:pt idx="1">
                  <c:v>382.30772366785186</c:v>
                </c:pt>
                <c:pt idx="2">
                  <c:v>405.25377336673068</c:v>
                </c:pt>
              </c:numCache>
            </c:numRef>
          </c:val>
        </c:ser>
        <c:dLbls>
          <c:showLegendKey val="0"/>
          <c:showVal val="0"/>
          <c:showCatName val="0"/>
          <c:showSerName val="0"/>
          <c:showPercent val="0"/>
          <c:showBubbleSize val="0"/>
        </c:dLbls>
        <c:gapWidth val="100"/>
        <c:axId val="170786816"/>
        <c:axId val="170788352"/>
      </c:barChart>
      <c:catAx>
        <c:axId val="170786816"/>
        <c:scaling>
          <c:orientation val="minMax"/>
        </c:scaling>
        <c:delete val="0"/>
        <c:axPos val="b"/>
        <c:numFmt formatCode="General" sourceLinked="1"/>
        <c:majorTickMark val="out"/>
        <c:minorTickMark val="none"/>
        <c:tickLblPos val="nextTo"/>
        <c:crossAx val="170788352"/>
        <c:crosses val="autoZero"/>
        <c:auto val="1"/>
        <c:lblAlgn val="ctr"/>
        <c:lblOffset val="100"/>
        <c:noMultiLvlLbl val="0"/>
      </c:catAx>
      <c:valAx>
        <c:axId val="170788352"/>
        <c:scaling>
          <c:orientation val="minMax"/>
          <c:max val="500"/>
          <c:min val="0"/>
        </c:scaling>
        <c:delete val="0"/>
        <c:axPos val="l"/>
        <c:majorGridlines>
          <c:spPr>
            <a:ln>
              <a:prstDash val="sysDash"/>
            </a:ln>
          </c:spPr>
        </c:majorGridlines>
        <c:numFmt formatCode="#,##0.0" sourceLinked="1"/>
        <c:majorTickMark val="out"/>
        <c:minorTickMark val="none"/>
        <c:tickLblPos val="nextTo"/>
        <c:crossAx val="170786816"/>
        <c:crosses val="autoZero"/>
        <c:crossBetween val="between"/>
        <c:majorUnit val="100"/>
      </c:valAx>
    </c:plotArea>
    <c:plotVisOnly val="1"/>
    <c:dispBlanksAs val="gap"/>
    <c:showDLblsOverMax val="0"/>
  </c:chart>
  <c:spPr>
    <a:noFill/>
    <a:ln>
      <a:noFill/>
    </a:ln>
  </c:spPr>
  <c:txPr>
    <a:bodyPr/>
    <a:lstStyle/>
    <a:p>
      <a:pPr>
        <a:defRPr>
          <a:latin typeface="+mn-lt"/>
        </a:defRPr>
      </a:pPr>
      <a:endParaRPr lang="ru-RU"/>
    </a:p>
  </c:txPr>
  <c:externalData r:id="rId2">
    <c:autoUpdate val="0"/>
  </c:externalData>
  <c:userShapes r:id="rId3"/>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545269817812368"/>
          <c:y val="5.0131492184166633E-2"/>
          <c:w val="0.59026065934201377"/>
          <c:h val="0.46819526226945724"/>
        </c:manualLayout>
      </c:layout>
      <c:barChart>
        <c:barDir val="col"/>
        <c:grouping val="clustered"/>
        <c:varyColors val="0"/>
        <c:ser>
          <c:idx val="1"/>
          <c:order val="0"/>
          <c:tx>
            <c:strRef>
              <c:f>Sheet1!$A$2</c:f>
              <c:strCache>
                <c:ptCount val="1"/>
                <c:pt idx="0">
                  <c:v>transfers abroad</c:v>
                </c:pt>
              </c:strCache>
            </c:strRef>
          </c:tx>
          <c:spPr>
            <a:solidFill>
              <a:srgbClr val="92D050"/>
            </a:solidFill>
          </c:spPr>
          <c:invertIfNegative val="0"/>
          <c:dPt>
            <c:idx val="0"/>
            <c:invertIfNegative val="1"/>
            <c:bubble3D val="0"/>
          </c:dPt>
          <c:cat>
            <c:numRef>
              <c:f>Sheet1!$B$1:$D$1</c:f>
              <c:numCache>
                <c:formatCode>General</c:formatCode>
                <c:ptCount val="3"/>
                <c:pt idx="0">
                  <c:v>2014</c:v>
                </c:pt>
                <c:pt idx="1">
                  <c:v>2015</c:v>
                </c:pt>
                <c:pt idx="2">
                  <c:v>2016</c:v>
                </c:pt>
              </c:numCache>
            </c:numRef>
          </c:cat>
          <c:val>
            <c:numRef>
              <c:f>Sheet1!$B$2:$D$2</c:f>
              <c:numCache>
                <c:formatCode>#,##0.0</c:formatCode>
                <c:ptCount val="3"/>
                <c:pt idx="0">
                  <c:v>280.39999999999986</c:v>
                </c:pt>
                <c:pt idx="1">
                  <c:v>332.6</c:v>
                </c:pt>
                <c:pt idx="2">
                  <c:v>382.2</c:v>
                </c:pt>
              </c:numCache>
            </c:numRef>
          </c:val>
        </c:ser>
        <c:ser>
          <c:idx val="0"/>
          <c:order val="1"/>
          <c:tx>
            <c:strRef>
              <c:f>Sheet1!$A$3</c:f>
              <c:strCache>
                <c:ptCount val="1"/>
                <c:pt idx="0">
                  <c:v>inside Kazakhstan </c:v>
                </c:pt>
              </c:strCache>
            </c:strRef>
          </c:tx>
          <c:spPr>
            <a:solidFill>
              <a:srgbClr val="FFC000"/>
            </a:solidFill>
          </c:spPr>
          <c:invertIfNegative val="0"/>
          <c:cat>
            <c:numRef>
              <c:f>Sheet1!$B$1:$D$1</c:f>
              <c:numCache>
                <c:formatCode>General</c:formatCode>
                <c:ptCount val="3"/>
                <c:pt idx="0">
                  <c:v>2014</c:v>
                </c:pt>
                <c:pt idx="1">
                  <c:v>2015</c:v>
                </c:pt>
                <c:pt idx="2">
                  <c:v>2016</c:v>
                </c:pt>
              </c:numCache>
            </c:numRef>
          </c:cat>
          <c:val>
            <c:numRef>
              <c:f>Sheet1!$B$3:$D$3</c:f>
              <c:numCache>
                <c:formatCode>#,##0.0</c:formatCode>
                <c:ptCount val="3"/>
                <c:pt idx="0">
                  <c:v>40.800000000000004</c:v>
                </c:pt>
                <c:pt idx="1">
                  <c:v>49.7</c:v>
                </c:pt>
                <c:pt idx="2">
                  <c:v>23.1</c:v>
                </c:pt>
              </c:numCache>
            </c:numRef>
          </c:val>
        </c:ser>
        <c:dLbls>
          <c:showLegendKey val="0"/>
          <c:showVal val="0"/>
          <c:showCatName val="0"/>
          <c:showSerName val="0"/>
          <c:showPercent val="0"/>
          <c:showBubbleSize val="0"/>
        </c:dLbls>
        <c:gapWidth val="53"/>
        <c:overlap val="30"/>
        <c:axId val="170813312"/>
        <c:axId val="170814848"/>
      </c:barChart>
      <c:catAx>
        <c:axId val="170813312"/>
        <c:scaling>
          <c:orientation val="minMax"/>
        </c:scaling>
        <c:delete val="0"/>
        <c:axPos val="b"/>
        <c:numFmt formatCode="General" sourceLinked="1"/>
        <c:majorTickMark val="out"/>
        <c:minorTickMark val="none"/>
        <c:tickLblPos val="nextTo"/>
        <c:txPr>
          <a:bodyPr rot="0" vert="horz"/>
          <a:lstStyle/>
          <a:p>
            <a:pPr>
              <a:defRPr/>
            </a:pPr>
            <a:endParaRPr lang="ru-RU"/>
          </a:p>
        </c:txPr>
        <c:crossAx val="170814848"/>
        <c:crosses val="autoZero"/>
        <c:auto val="0"/>
        <c:lblAlgn val="ctr"/>
        <c:lblOffset val="100"/>
        <c:tickMarkSkip val="1"/>
        <c:noMultiLvlLbl val="0"/>
      </c:catAx>
      <c:valAx>
        <c:axId val="170814848"/>
        <c:scaling>
          <c:orientation val="minMax"/>
          <c:max val="400"/>
          <c:min val="0"/>
        </c:scaling>
        <c:delete val="0"/>
        <c:axPos val="l"/>
        <c:title>
          <c:tx>
            <c:rich>
              <a:bodyPr/>
              <a:lstStyle/>
              <a:p>
                <a:pPr>
                  <a:defRPr sz="997" b="0" i="0" u="none" strike="noStrike" baseline="0">
                    <a:solidFill>
                      <a:srgbClr val="000000"/>
                    </a:solidFill>
                    <a:latin typeface="Calibri"/>
                    <a:ea typeface="Calibri"/>
                    <a:cs typeface="Calibri"/>
                  </a:defRPr>
                </a:pPr>
                <a:r>
                  <a:rPr lang="en-US"/>
                  <a:t>KZT billion</a:t>
                </a:r>
                <a:endParaRPr lang="ru-RU"/>
              </a:p>
            </c:rich>
          </c:tx>
          <c:layout>
            <c:manualLayout>
              <c:xMode val="edge"/>
              <c:yMode val="edge"/>
              <c:x val="7.1651641370915578E-2"/>
              <c:y val="0.12738651692442818"/>
            </c:manualLayout>
          </c:layout>
          <c:overlay val="0"/>
          <c:spPr>
            <a:noFill/>
            <a:ln w="25330">
              <a:noFill/>
            </a:ln>
          </c:spPr>
        </c:title>
        <c:numFmt formatCode="#,##0.0" sourceLinked="1"/>
        <c:majorTickMark val="out"/>
        <c:minorTickMark val="none"/>
        <c:tickLblPos val="nextTo"/>
        <c:txPr>
          <a:bodyPr rot="0" vert="horz"/>
          <a:lstStyle/>
          <a:p>
            <a:pPr>
              <a:defRPr/>
            </a:pPr>
            <a:endParaRPr lang="ru-RU"/>
          </a:p>
        </c:txPr>
        <c:crossAx val="170813312"/>
        <c:crosses val="autoZero"/>
        <c:crossBetween val="between"/>
        <c:majorUnit val="100"/>
      </c:valAx>
      <c:dTable>
        <c:showHorzBorder val="1"/>
        <c:showVertBorder val="1"/>
        <c:showOutline val="1"/>
        <c:showKeys val="1"/>
      </c:dTable>
    </c:plotArea>
    <c:plotVisOnly val="1"/>
    <c:dispBlanksAs val="gap"/>
    <c:showDLblsOverMax val="0"/>
  </c:chart>
  <c:spPr>
    <a:ln>
      <a:noFill/>
    </a:ln>
  </c:sp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8610354223433243"/>
          <c:y val="8.0000000000000043E-2"/>
          <c:w val="0.62942779291553164"/>
          <c:h val="0.73916427452678513"/>
        </c:manualLayout>
      </c:layout>
      <c:bar3DChart>
        <c:barDir val="col"/>
        <c:grouping val="clustered"/>
        <c:varyColors val="0"/>
        <c:ser>
          <c:idx val="1"/>
          <c:order val="0"/>
          <c:tx>
            <c:strRef>
              <c:f>Sheet1!$A$2</c:f>
              <c:strCache>
                <c:ptCount val="1"/>
                <c:pt idx="0">
                  <c:v>Other transfers</c:v>
                </c:pt>
              </c:strCache>
            </c:strRef>
          </c:tx>
          <c:spPr>
            <a:solidFill>
              <a:srgbClr val="993366"/>
            </a:solidFill>
            <a:ln w="12686">
              <a:solidFill>
                <a:srgbClr val="000000"/>
              </a:solidFill>
              <a:prstDash val="solid"/>
            </a:ln>
          </c:spPr>
          <c:invertIfNegative val="0"/>
          <c:dLbls>
            <c:dLbl>
              <c:idx val="0"/>
              <c:layout>
                <c:manualLayout>
                  <c:x val="4.7686799998613982E-3"/>
                  <c:y val="-8.7745623363028227E-2"/>
                </c:manualLayout>
              </c:layout>
              <c:showLegendKey val="0"/>
              <c:showVal val="1"/>
              <c:showCatName val="0"/>
              <c:showSerName val="0"/>
              <c:showPercent val="0"/>
              <c:showBubbleSize val="0"/>
              <c:extLst>
                <c:ext xmlns:c15="http://schemas.microsoft.com/office/drawing/2012/chart" uri="{CE6537A1-D6FC-4f65-9D91-7224C49458BB}"/>
              </c:extLst>
            </c:dLbl>
            <c:spPr>
              <a:noFill/>
              <a:ln w="25371">
                <a:noFill/>
              </a:ln>
            </c:spPr>
            <c:txPr>
              <a:bodyPr/>
              <a:lstStyle/>
              <a:p>
                <a:pPr>
                  <a:defRPr sz="900"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f>
              <c:numCache>
                <c:formatCode>General</c:formatCode>
                <c:ptCount val="1"/>
              </c:numCache>
            </c:numRef>
          </c:cat>
          <c:val>
            <c:numRef>
              <c:f>Sheet1!$B$2</c:f>
              <c:numCache>
                <c:formatCode>General</c:formatCode>
                <c:ptCount val="1"/>
                <c:pt idx="0">
                  <c:v>151.19999999999999</c:v>
                </c:pt>
              </c:numCache>
            </c:numRef>
          </c:val>
        </c:ser>
        <c:ser>
          <c:idx val="2"/>
          <c:order val="1"/>
          <c:tx>
            <c:strRef>
              <c:f>Sheet1!$A$3</c:f>
              <c:strCache>
                <c:ptCount val="1"/>
                <c:pt idx="0">
                  <c:v>Free transfers</c:v>
                </c:pt>
              </c:strCache>
            </c:strRef>
          </c:tx>
          <c:spPr>
            <a:solidFill>
              <a:srgbClr val="008000"/>
            </a:solidFill>
            <a:ln w="12686">
              <a:solidFill>
                <a:srgbClr val="000000"/>
              </a:solidFill>
              <a:prstDash val="solid"/>
            </a:ln>
          </c:spPr>
          <c:invertIfNegative val="0"/>
          <c:dPt>
            <c:idx val="0"/>
            <c:invertIfNegative val="0"/>
            <c:bubble3D val="0"/>
            <c:spPr>
              <a:solidFill>
                <a:srgbClr val="92D050"/>
              </a:solidFill>
              <a:ln w="12686">
                <a:solidFill>
                  <a:srgbClr val="000000"/>
                </a:solidFill>
                <a:prstDash val="solid"/>
              </a:ln>
            </c:spPr>
          </c:dPt>
          <c:dLbls>
            <c:dLbl>
              <c:idx val="0"/>
              <c:layout>
                <c:manualLayout>
                  <c:x val="7.8533535654461153E-2"/>
                  <c:y val="-0.15667408691622456"/>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w="25371">
                <a:noFill/>
              </a:ln>
            </c:spPr>
            <c:txPr>
              <a:bodyPr/>
              <a:lstStyle/>
              <a:p>
                <a:pPr>
                  <a:defRPr sz="900" b="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f>
              <c:numCache>
                <c:formatCode>General</c:formatCode>
                <c:ptCount val="1"/>
              </c:numCache>
            </c:numRef>
          </c:cat>
          <c:val>
            <c:numRef>
              <c:f>Sheet1!$B$3</c:f>
              <c:numCache>
                <c:formatCode>#,##0.00</c:formatCode>
                <c:ptCount val="1"/>
                <c:pt idx="0">
                  <c:v>22929.4</c:v>
                </c:pt>
              </c:numCache>
            </c:numRef>
          </c:val>
        </c:ser>
        <c:dLbls>
          <c:showLegendKey val="0"/>
          <c:showVal val="0"/>
          <c:showCatName val="0"/>
          <c:showSerName val="0"/>
          <c:showPercent val="0"/>
          <c:showBubbleSize val="0"/>
        </c:dLbls>
        <c:gapWidth val="150"/>
        <c:gapDepth val="0"/>
        <c:shape val="box"/>
        <c:axId val="170658816"/>
        <c:axId val="170935040"/>
        <c:axId val="0"/>
      </c:bar3DChart>
      <c:catAx>
        <c:axId val="17065881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a:pPr>
            <a:endParaRPr lang="ru-RU"/>
          </a:p>
        </c:txPr>
        <c:crossAx val="170935040"/>
        <c:crosses val="autoZero"/>
        <c:auto val="1"/>
        <c:lblAlgn val="ctr"/>
        <c:lblOffset val="100"/>
        <c:tickLblSkip val="1"/>
        <c:tickMarkSkip val="1"/>
        <c:noMultiLvlLbl val="0"/>
      </c:catAx>
      <c:valAx>
        <c:axId val="170935040"/>
        <c:scaling>
          <c:orientation val="minMax"/>
        </c:scaling>
        <c:delete val="0"/>
        <c:axPos val="l"/>
        <c:title>
          <c:tx>
            <c:rich>
              <a:bodyPr/>
              <a:lstStyle/>
              <a:p>
                <a:pPr>
                  <a:defRPr b="0"/>
                </a:pPr>
                <a:r>
                  <a:rPr lang="en-US" b="0"/>
                  <a:t>KZT billion</a:t>
                </a:r>
                <a:endParaRPr lang="ru-RU" b="0"/>
              </a:p>
            </c:rich>
          </c:tx>
          <c:layout>
            <c:manualLayout>
              <c:xMode val="edge"/>
              <c:yMode val="edge"/>
              <c:x val="4.0871934604904632E-2"/>
              <c:y val="0.28000000000000008"/>
            </c:manualLayout>
          </c:layout>
          <c:overlay val="0"/>
          <c:spPr>
            <a:noFill/>
            <a:ln w="25371">
              <a:noFill/>
            </a:ln>
          </c:spPr>
        </c:title>
        <c:numFmt formatCode="General" sourceLinked="1"/>
        <c:majorTickMark val="out"/>
        <c:minorTickMark val="none"/>
        <c:tickLblPos val="nextTo"/>
        <c:spPr>
          <a:ln w="3171">
            <a:solidFill>
              <a:srgbClr val="000000"/>
            </a:solidFill>
            <a:prstDash val="solid"/>
          </a:ln>
        </c:spPr>
        <c:txPr>
          <a:bodyPr rot="0" vert="horz"/>
          <a:lstStyle/>
          <a:p>
            <a:pPr>
              <a:defRPr b="0"/>
            </a:pPr>
            <a:endParaRPr lang="ru-RU"/>
          </a:p>
        </c:txPr>
        <c:crossAx val="170658816"/>
        <c:crosses val="autoZero"/>
        <c:crossBetween val="between"/>
      </c:valAx>
      <c:spPr>
        <a:noFill/>
        <a:ln w="25371">
          <a:noFill/>
        </a:ln>
      </c:spPr>
    </c:plotArea>
    <c:legend>
      <c:legendPos val="r"/>
      <c:layout>
        <c:manualLayout>
          <c:xMode val="edge"/>
          <c:yMode val="edge"/>
          <c:x val="1.5611181790049198E-2"/>
          <c:y val="0.85116221928485469"/>
          <c:w val="0.97820836221776053"/>
          <c:h val="0.10873751458151092"/>
        </c:manualLayout>
      </c:layout>
      <c:overlay val="0"/>
      <c:spPr>
        <a:noFill/>
        <a:ln w="25371">
          <a:noFill/>
        </a:ln>
      </c:spPr>
      <c:txPr>
        <a:bodyPr/>
        <a:lstStyle/>
        <a:p>
          <a:pPr>
            <a:defRPr sz="900" b="0"/>
          </a:pPr>
          <a:endParaRPr lang="ru-RU"/>
        </a:p>
      </c:txPr>
    </c:legend>
    <c:plotVisOnly val="1"/>
    <c:dispBlanksAs val="gap"/>
    <c:showDLblsOverMax val="0"/>
  </c:chart>
  <c:spPr>
    <a:noFill/>
    <a:ln>
      <a:noFill/>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579E-2"/>
          <c:y val="0.1641025641025641"/>
          <c:w val="0.8562091503267989"/>
          <c:h val="0.53333333333333333"/>
        </c:manualLayout>
      </c:layout>
      <c:pie3DChart>
        <c:varyColors val="1"/>
        <c:ser>
          <c:idx val="1"/>
          <c:order val="0"/>
          <c:tx>
            <c:strRef>
              <c:f>Sheet1!$B$1</c:f>
              <c:strCache>
                <c:ptCount val="1"/>
                <c:pt idx="0">
                  <c:v>2016</c:v>
                </c:pt>
              </c:strCache>
            </c:strRef>
          </c:tx>
          <c:dLbls>
            <c:dLbl>
              <c:idx val="0"/>
              <c:layout>
                <c:manualLayout>
                  <c:x val="0.26531579122230065"/>
                  <c:y val="9.0908392548493012E-3"/>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5.9071729957806074E-2"/>
                  <c:y val="3.9140644004865242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0"/>
                  <c:y val="-4.7553933807054735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6.6848068042127687E-2"/>
                  <c:y val="-5.604660393060644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0.2895700853848982"/>
                  <c:y val="-0.14889037932172194"/>
                </c:manualLayout>
              </c:layout>
              <c:numFmt formatCode="0.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440">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#,##0.00_);_(* \(#,##0.00\);_(* "-"??_);_(@_)</c:formatCode>
                <c:ptCount val="4"/>
                <c:pt idx="0">
                  <c:v>784</c:v>
                </c:pt>
                <c:pt idx="1">
                  <c:v>193506.97999999998</c:v>
                </c:pt>
                <c:pt idx="2">
                  <c:v>8318</c:v>
                </c:pt>
                <c:pt idx="3">
                  <c:v>28097</c:v>
                </c:pt>
              </c:numCache>
            </c:numRef>
          </c:val>
        </c:ser>
        <c:dLbls>
          <c:showLegendKey val="0"/>
          <c:showVal val="0"/>
          <c:showCatName val="0"/>
          <c:showSerName val="0"/>
          <c:showPercent val="0"/>
          <c:showBubbleSize val="0"/>
          <c:showLeaderLines val="0"/>
        </c:dLbls>
      </c:pie3DChart>
      <c:spPr>
        <a:noFill/>
        <a:ln w="25390">
          <a:noFill/>
        </a:ln>
      </c:spPr>
    </c:plotArea>
    <c:legend>
      <c:legendPos val="r"/>
      <c:layout>
        <c:manualLayout>
          <c:xMode val="edge"/>
          <c:yMode val="edge"/>
          <c:x val="0.10456485205536359"/>
          <c:y val="0.78144910195049144"/>
          <c:w val="0.77831309755345446"/>
          <c:h val="0.11764705882352949"/>
        </c:manualLayout>
      </c:layout>
      <c:overlay val="1"/>
      <c:spPr>
        <a:noFill/>
        <a:ln w="3180">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solidFill>
                  <a:srgbClr val="0E4C28"/>
                </a:solidFill>
              </a:defRPr>
            </a:pPr>
            <a:r>
              <a:rPr lang="en-US" sz="1200" b="1">
                <a:solidFill>
                  <a:srgbClr val="0E4C28"/>
                </a:solidFill>
              </a:rPr>
              <a:t>Volume</a:t>
            </a:r>
            <a:r>
              <a:rPr lang="en-US" sz="1200" b="1" baseline="0">
                <a:solidFill>
                  <a:srgbClr val="0E4C28"/>
                </a:solidFill>
              </a:rPr>
              <a:t> of payments in ISMT and ICS</a:t>
            </a:r>
            <a:endParaRPr lang="ru-RU" sz="1200" b="1">
              <a:solidFill>
                <a:srgbClr val="0E4C28"/>
              </a:solidFill>
            </a:endParaRPr>
          </a:p>
        </c:rich>
      </c:tx>
      <c:layout>
        <c:manualLayout>
          <c:xMode val="edge"/>
          <c:yMode val="edge"/>
          <c:x val="0.1015088540619752"/>
          <c:y val="0"/>
        </c:manualLayout>
      </c:layout>
      <c:overlay val="0"/>
    </c:title>
    <c:autoTitleDeleted val="0"/>
    <c:view3D>
      <c:rotX val="30"/>
      <c:rotY val="50"/>
      <c:rAngAx val="0"/>
      <c:perspective val="30"/>
    </c:view3D>
    <c:floor>
      <c:thickness val="0"/>
    </c:floor>
    <c:sideWall>
      <c:thickness val="0"/>
    </c:sideWall>
    <c:backWall>
      <c:thickness val="0"/>
    </c:backWall>
    <c:plotArea>
      <c:layout>
        <c:manualLayout>
          <c:layoutTarget val="inner"/>
          <c:xMode val="edge"/>
          <c:yMode val="edge"/>
          <c:x val="7.4714528314929737E-2"/>
          <c:y val="0.24494212474229432"/>
          <c:w val="0.82773582440024263"/>
          <c:h val="0.74695646971656249"/>
        </c:manualLayout>
      </c:layout>
      <c:pie3DChart>
        <c:varyColors val="1"/>
        <c:ser>
          <c:idx val="0"/>
          <c:order val="0"/>
          <c:tx>
            <c:strRef>
              <c:f>Лист1!$B$1</c:f>
              <c:strCache>
                <c:ptCount val="1"/>
                <c:pt idx="0">
                  <c:v>Объем проведенных платежей через МСПД и СМК (трлн. тенге)</c:v>
                </c:pt>
              </c:strCache>
            </c:strRef>
          </c:tx>
          <c:dPt>
            <c:idx val="0"/>
            <c:bubble3D val="0"/>
            <c:spPr>
              <a:solidFill>
                <a:srgbClr val="92D050"/>
              </a:solidFill>
            </c:spPr>
          </c:dPt>
          <c:dLbls>
            <c:dLbl>
              <c:idx val="0"/>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6994433417068741E-2"/>
                  <c:y val="-2.7061663451403213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c:spPr>
            <c:txPr>
              <a:bodyPr/>
              <a:lstStyle/>
              <a:p>
                <a:pPr>
                  <a:defRPr sz="1050"/>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Лист1!$A$2:$A$3</c:f>
              <c:strCache>
                <c:ptCount val="2"/>
                <c:pt idx="0">
                  <c:v>ISMT</c:v>
                </c:pt>
                <c:pt idx="1">
                  <c:v>ICS</c:v>
                </c:pt>
              </c:strCache>
            </c:strRef>
          </c:cat>
          <c:val>
            <c:numRef>
              <c:f>Лист1!$B$2:$B$3</c:f>
              <c:numCache>
                <c:formatCode>_-* #,##0.0_р_._-;\-* #,##0.0_р_._-;_-* "-"??_р_._-;_-@_-</c:formatCode>
                <c:ptCount val="2"/>
                <c:pt idx="0">
                  <c:v>584671.70828339504</c:v>
                </c:pt>
                <c:pt idx="1">
                  <c:v>6015.3973144424899</c:v>
                </c:pt>
              </c:numCache>
            </c:numRef>
          </c:val>
        </c:ser>
        <c:dLbls>
          <c:showLegendKey val="0"/>
          <c:showVal val="0"/>
          <c:showCatName val="0"/>
          <c:showSerName val="0"/>
          <c:showPercent val="0"/>
          <c:showBubbleSize val="0"/>
          <c:showLeaderLines val="0"/>
        </c:dLbls>
      </c:pie3DChart>
      <c:spPr>
        <a:noFill/>
        <a:ln w="25391">
          <a:noFill/>
        </a:ln>
      </c:spPr>
    </c:plotArea>
    <c:legend>
      <c:legendPos val="r"/>
      <c:layout>
        <c:manualLayout>
          <c:xMode val="edge"/>
          <c:yMode val="edge"/>
          <c:x val="0.79728845741940468"/>
          <c:y val="0.69942745721453725"/>
          <c:w val="0.19406223441835704"/>
          <c:h val="0.21315355941522196"/>
        </c:manualLayout>
      </c:layout>
      <c:overlay val="0"/>
      <c:txPr>
        <a:bodyPr/>
        <a:lstStyle/>
        <a:p>
          <a:pPr>
            <a:defRPr sz="1050"/>
          </a:pPr>
          <a:endParaRPr lang="ru-RU"/>
        </a:p>
      </c:txPr>
    </c:legend>
    <c:plotVisOnly val="1"/>
    <c:dispBlanksAs val="zero"/>
    <c:showDLblsOverMax val="0"/>
  </c:chart>
  <c:spPr>
    <a:ln>
      <a:no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7.1895424836601579E-2"/>
          <c:y val="0.1641025641025641"/>
          <c:w val="0.8562091503267989"/>
          <c:h val="0.53333333333333333"/>
        </c:manualLayout>
      </c:layout>
      <c:pie3DChart>
        <c:varyColors val="1"/>
        <c:ser>
          <c:idx val="1"/>
          <c:order val="0"/>
          <c:tx>
            <c:strRef>
              <c:f>Sheet1!$B$1</c:f>
              <c:strCache>
                <c:ptCount val="1"/>
                <c:pt idx="0">
                  <c:v> Сумма платежа (тенге)</c:v>
                </c:pt>
              </c:strCache>
            </c:strRef>
          </c:tx>
          <c:dLbls>
            <c:dLbl>
              <c:idx val="0"/>
              <c:layout>
                <c:manualLayout>
                  <c:x val="-8.3333147123521259E-2"/>
                  <c:y val="-7.4606586935995279E-3"/>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6.1898679041962432E-2"/>
                  <c:y val="0.36865246076730046"/>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4.4429235536365692E-2"/>
                  <c:y val="-2.2120667308317559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6.6848068042127659E-2"/>
                  <c:y val="-0.11458318929646"/>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0.2895700853848982"/>
                  <c:y val="-0.14889037932172194"/>
                </c:manualLayout>
              </c:layout>
              <c:numFmt formatCode="0.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382">
                <a:noFill/>
              </a:ln>
            </c:spPr>
            <c:txPr>
              <a:bodyPr/>
              <a:lstStyle/>
              <a:p>
                <a:pPr>
                  <a:defRPr sz="1000" b="0" i="0" u="none" strike="noStrike" baseline="0">
                    <a:solidFill>
                      <a:srgbClr val="000000"/>
                    </a:solidFill>
                    <a:latin typeface="Times New Roman"/>
                    <a:ea typeface="Times New Roman"/>
                    <a:cs typeface="Times New Roman"/>
                  </a:defRPr>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EUR</c:v>
                </c:pt>
                <c:pt idx="1">
                  <c:v>KZT</c:v>
                </c:pt>
                <c:pt idx="2">
                  <c:v>RUB</c:v>
                </c:pt>
                <c:pt idx="3">
                  <c:v>USD</c:v>
                </c:pt>
              </c:strCache>
            </c:strRef>
          </c:cat>
          <c:val>
            <c:numRef>
              <c:f>Sheet1!$B$2:$B$5</c:f>
              <c:numCache>
                <c:formatCode>_(* #,##0.00_);_(* \(#,##0.00\);_(* "-"??_);_(@_)</c:formatCode>
                <c:ptCount val="4"/>
                <c:pt idx="0">
                  <c:v>367205450.81000018</c:v>
                </c:pt>
                <c:pt idx="1">
                  <c:v>10327540098.740015</c:v>
                </c:pt>
                <c:pt idx="2">
                  <c:v>1358926731.7799995</c:v>
                </c:pt>
                <c:pt idx="3">
                  <c:v>11026984911.370005</c:v>
                </c:pt>
              </c:numCache>
            </c:numRef>
          </c:val>
        </c:ser>
        <c:dLbls>
          <c:showLegendKey val="0"/>
          <c:showVal val="0"/>
          <c:showCatName val="0"/>
          <c:showSerName val="0"/>
          <c:showPercent val="0"/>
          <c:showBubbleSize val="0"/>
          <c:showLeaderLines val="0"/>
        </c:dLbls>
      </c:pie3DChart>
      <c:spPr>
        <a:noFill/>
        <a:ln w="25402">
          <a:noFill/>
        </a:ln>
      </c:spPr>
    </c:plotArea>
    <c:legend>
      <c:legendPos val="r"/>
      <c:layout>
        <c:manualLayout>
          <c:xMode val="edge"/>
          <c:yMode val="edge"/>
          <c:x val="0.11435538331146095"/>
          <c:y val="0.7910447761194046"/>
          <c:w val="0.77858876038932634"/>
          <c:h val="0.11940298507462689"/>
        </c:manualLayout>
      </c:layout>
      <c:overlay val="1"/>
      <c:spPr>
        <a:noFill/>
        <a:ln w="3173">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ru-RU"/>
        </a:p>
      </c:txPr>
    </c:legend>
    <c:plotVisOnly val="1"/>
    <c:dispBlanksAs val="zero"/>
    <c:showDLblsOverMax val="1"/>
  </c:chart>
  <c:spPr>
    <a:solidFill>
      <a:srgbClr val="FFFFFF"/>
    </a:solidFill>
    <a:ln>
      <a:noFill/>
    </a:ln>
  </c:spPr>
  <c:txPr>
    <a:bodyPr/>
    <a:lstStyle/>
    <a:p>
      <a:pPr>
        <a:defRPr sz="7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0E4C28"/>
                </a:solidFill>
              </a:defRPr>
            </a:pPr>
            <a:r>
              <a:rPr lang="en-US" sz="1200">
                <a:solidFill>
                  <a:srgbClr val="0E4C28"/>
                </a:solidFill>
              </a:rPr>
              <a:t>Volume of transfers</a:t>
            </a:r>
            <a:r>
              <a:rPr lang="en-US" sz="1200" baseline="0">
                <a:solidFill>
                  <a:srgbClr val="0E4C28"/>
                </a:solidFill>
              </a:rPr>
              <a:t> received and sent through MTS in 2016</a:t>
            </a:r>
            <a:endParaRPr lang="ru-RU" sz="1200">
              <a:solidFill>
                <a:srgbClr val="0E4C28"/>
              </a:solidFill>
            </a:endParaRPr>
          </a:p>
        </c:rich>
      </c:tx>
      <c:layout>
        <c:manualLayout>
          <c:xMode val="edge"/>
          <c:yMode val="edge"/>
          <c:x val="0.15238734150768504"/>
          <c:y val="5.3631080205883384E-3"/>
        </c:manualLayout>
      </c:layout>
      <c:overlay val="0"/>
    </c:title>
    <c:autoTitleDeleted val="0"/>
    <c:view3D>
      <c:rotX val="30"/>
      <c:rotY val="80"/>
      <c:depthPercent val="100"/>
      <c:rAngAx val="1"/>
    </c:view3D>
    <c:floor>
      <c:thickness val="0"/>
    </c:floor>
    <c:sideWall>
      <c:thickness val="0"/>
      <c:spPr>
        <a:ln>
          <a:noFill/>
        </a:ln>
      </c:spPr>
    </c:sideWall>
    <c:backWall>
      <c:thickness val="0"/>
      <c:spPr>
        <a:ln>
          <a:noFill/>
        </a:ln>
      </c:spPr>
    </c:backWall>
    <c:plotArea>
      <c:layout>
        <c:manualLayout>
          <c:layoutTarget val="inner"/>
          <c:xMode val="edge"/>
          <c:yMode val="edge"/>
          <c:x val="6.7688759778814056E-2"/>
          <c:y val="3.8497698998387529E-2"/>
          <c:w val="0.82891560058930891"/>
          <c:h val="0.73321049443718433"/>
        </c:manualLayout>
      </c:layout>
      <c:bar3DChart>
        <c:barDir val="col"/>
        <c:grouping val="standard"/>
        <c:varyColors val="0"/>
        <c:ser>
          <c:idx val="0"/>
          <c:order val="0"/>
          <c:tx>
            <c:strRef>
              <c:f>Лист1!$B$1</c:f>
              <c:strCache>
                <c:ptCount val="1"/>
                <c:pt idx="0">
                  <c:v>Amount of transfers received (KZT billion)</c:v>
                </c:pt>
              </c:strCache>
            </c:strRef>
          </c:tx>
          <c:invertIfNegative val="0"/>
          <c:cat>
            <c:strRef>
              <c:f>Лист1!$A$2:$A$13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Лист1!$B$2:$B$13</c:f>
              <c:numCache>
                <c:formatCode>General</c:formatCode>
                <c:ptCount val="12"/>
                <c:pt idx="0">
                  <c:v>12.658436663030001</c:v>
                </c:pt>
                <c:pt idx="1">
                  <c:v>14.951623455839998</c:v>
                </c:pt>
                <c:pt idx="2">
                  <c:v>16.722060343639988</c:v>
                </c:pt>
                <c:pt idx="3">
                  <c:v>19.788518447469997</c:v>
                </c:pt>
                <c:pt idx="4">
                  <c:v>21.570768225110019</c:v>
                </c:pt>
                <c:pt idx="5">
                  <c:v>25.164676433809959</c:v>
                </c:pt>
                <c:pt idx="6">
                  <c:v>24.910753581369988</c:v>
                </c:pt>
                <c:pt idx="7">
                  <c:v>25.327744750139988</c:v>
                </c:pt>
                <c:pt idx="8">
                  <c:v>23.089745851709964</c:v>
                </c:pt>
                <c:pt idx="9">
                  <c:v>22.707590195850006</c:v>
                </c:pt>
                <c:pt idx="10">
                  <c:v>20.580722355829934</c:v>
                </c:pt>
                <c:pt idx="11">
                  <c:v>21.04424328649003</c:v>
                </c:pt>
              </c:numCache>
            </c:numRef>
          </c:val>
        </c:ser>
        <c:ser>
          <c:idx val="1"/>
          <c:order val="1"/>
          <c:tx>
            <c:strRef>
              <c:f>Лист1!$C$1</c:f>
              <c:strCache>
                <c:ptCount val="1"/>
                <c:pt idx="0">
                  <c:v>Amount of transfers sent (KZT billion)</c:v>
                </c:pt>
              </c:strCache>
            </c:strRef>
          </c:tx>
          <c:invertIfNegative val="0"/>
          <c:cat>
            <c:strRef>
              <c:f>Лист1!$A$2:$A$13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Лист1!$C$2:$C$13</c:f>
              <c:numCache>
                <c:formatCode>General</c:formatCode>
                <c:ptCount val="12"/>
                <c:pt idx="0">
                  <c:v>20.208925494920031</c:v>
                </c:pt>
                <c:pt idx="1">
                  <c:v>23.152532872169946</c:v>
                </c:pt>
                <c:pt idx="2">
                  <c:v>25.75992495610997</c:v>
                </c:pt>
                <c:pt idx="3">
                  <c:v>28.229271305810006</c:v>
                </c:pt>
                <c:pt idx="4">
                  <c:v>28.587296904159977</c:v>
                </c:pt>
                <c:pt idx="5">
                  <c:v>35.725403534930031</c:v>
                </c:pt>
                <c:pt idx="6">
                  <c:v>35.333887571080005</c:v>
                </c:pt>
                <c:pt idx="7">
                  <c:v>41.027213767189956</c:v>
                </c:pt>
                <c:pt idx="8">
                  <c:v>38.38500109901004</c:v>
                </c:pt>
                <c:pt idx="9">
                  <c:v>37.950881370610041</c:v>
                </c:pt>
                <c:pt idx="10">
                  <c:v>34.030310224019985</c:v>
                </c:pt>
                <c:pt idx="11">
                  <c:v>33.782467074020033</c:v>
                </c:pt>
              </c:numCache>
            </c:numRef>
          </c:val>
        </c:ser>
        <c:dLbls>
          <c:showLegendKey val="0"/>
          <c:showVal val="0"/>
          <c:showCatName val="0"/>
          <c:showSerName val="0"/>
          <c:showPercent val="0"/>
          <c:showBubbleSize val="0"/>
        </c:dLbls>
        <c:gapWidth val="0"/>
        <c:gapDepth val="16"/>
        <c:shape val="cylinder"/>
        <c:axId val="171846272"/>
        <c:axId val="171848064"/>
        <c:axId val="170843648"/>
      </c:bar3DChart>
      <c:catAx>
        <c:axId val="171846272"/>
        <c:scaling>
          <c:orientation val="minMax"/>
        </c:scaling>
        <c:delete val="0"/>
        <c:axPos val="b"/>
        <c:numFmt formatCode="#,##0;[Red]#,##0" sourceLinked="0"/>
        <c:majorTickMark val="none"/>
        <c:minorTickMark val="none"/>
        <c:tickLblPos val="low"/>
        <c:crossAx val="171848064"/>
        <c:crosses val="autoZero"/>
        <c:auto val="1"/>
        <c:lblAlgn val="ctr"/>
        <c:lblOffset val="100"/>
        <c:noMultiLvlLbl val="0"/>
      </c:catAx>
      <c:valAx>
        <c:axId val="171848064"/>
        <c:scaling>
          <c:orientation val="minMax"/>
          <c:max val="40"/>
        </c:scaling>
        <c:delete val="0"/>
        <c:axPos val="r"/>
        <c:numFmt formatCode="#,##0.00" sourceLinked="0"/>
        <c:majorTickMark val="cross"/>
        <c:minorTickMark val="none"/>
        <c:tickLblPos val="nextTo"/>
        <c:crossAx val="171846272"/>
        <c:crosses val="max"/>
        <c:crossBetween val="between"/>
      </c:valAx>
      <c:serAx>
        <c:axId val="170843648"/>
        <c:scaling>
          <c:orientation val="minMax"/>
        </c:scaling>
        <c:delete val="1"/>
        <c:axPos val="b"/>
        <c:majorTickMark val="out"/>
        <c:minorTickMark val="none"/>
        <c:tickLblPos val="none"/>
        <c:crossAx val="171848064"/>
        <c:crosses val="autoZero"/>
      </c:serAx>
      <c:spPr>
        <a:noFill/>
        <a:ln w="25400">
          <a:noFill/>
        </a:ln>
      </c:spPr>
    </c:plotArea>
    <c:legend>
      <c:legendPos val="r"/>
      <c:layout>
        <c:manualLayout>
          <c:xMode val="edge"/>
          <c:yMode val="edge"/>
          <c:x val="2.6792872905812198E-2"/>
          <c:y val="0.85534478644714862"/>
          <c:w val="0.95429479897102421"/>
          <c:h val="0.1223825714967447"/>
        </c:manualLayout>
      </c:layout>
      <c:overlay val="0"/>
    </c:legend>
    <c:plotVisOnly val="1"/>
    <c:dispBlanksAs val="gap"/>
    <c:showDLblsOverMax val="0"/>
  </c:chart>
  <c:spPr>
    <a:ln>
      <a:noFill/>
    </a:ln>
  </c:sp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6"/>
      <c:rotY val="1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0980926430517721"/>
          <c:y val="8.3720930232558208E-2"/>
          <c:w val="0.70572207084468663"/>
          <c:h val="0.71080551550774462"/>
        </c:manualLayout>
      </c:layout>
      <c:bar3DChart>
        <c:barDir val="col"/>
        <c:grouping val="clustered"/>
        <c:varyColors val="0"/>
        <c:ser>
          <c:idx val="1"/>
          <c:order val="0"/>
          <c:tx>
            <c:strRef>
              <c:f>Sheet1!$A$2</c:f>
              <c:strCache>
                <c:ptCount val="1"/>
                <c:pt idx="0">
                  <c:v>Other transfers</c:v>
                </c:pt>
              </c:strCache>
            </c:strRef>
          </c:tx>
          <c:spPr>
            <a:solidFill>
              <a:srgbClr val="993366"/>
            </a:solidFill>
            <a:ln w="12687">
              <a:solidFill>
                <a:srgbClr val="000000"/>
              </a:solidFill>
              <a:prstDash val="solid"/>
            </a:ln>
          </c:spPr>
          <c:invertIfNegative val="0"/>
          <c:dLbls>
            <c:dLbl>
              <c:idx val="0"/>
              <c:layout>
                <c:manualLayout>
                  <c:x val="2.3864699557153941E-2"/>
                  <c:y val="-0.10811443320051822"/>
                </c:manualLayout>
              </c:layout>
              <c:showLegendKey val="0"/>
              <c:showVal val="1"/>
              <c:showCatName val="0"/>
              <c:showSerName val="0"/>
              <c:showPercent val="0"/>
              <c:showBubbleSize val="0"/>
              <c:extLst>
                <c:ext xmlns:c15="http://schemas.microsoft.com/office/drawing/2012/chart" uri="{CE6537A1-D6FC-4f65-9D91-7224C49458BB}"/>
              </c:extLst>
            </c:dLbl>
            <c:spPr>
              <a:noFill/>
              <a:ln w="2537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2.6</c:v>
                </c:pt>
              </c:numCache>
            </c:numRef>
          </c:val>
        </c:ser>
        <c:ser>
          <c:idx val="2"/>
          <c:order val="1"/>
          <c:tx>
            <c:strRef>
              <c:f>Sheet1!$A$3</c:f>
              <c:strCache>
                <c:ptCount val="1"/>
                <c:pt idx="0">
                  <c:v>Free transfers </c:v>
                </c:pt>
              </c:strCache>
            </c:strRef>
          </c:tx>
          <c:spPr>
            <a:solidFill>
              <a:srgbClr val="92D050"/>
            </a:solidFill>
            <a:ln w="12687">
              <a:solidFill>
                <a:srgbClr val="000000"/>
              </a:solidFill>
              <a:prstDash val="solid"/>
            </a:ln>
          </c:spPr>
          <c:invertIfNegative val="0"/>
          <c:dLbls>
            <c:dLbl>
              <c:idx val="0"/>
              <c:layout>
                <c:manualLayout>
                  <c:x val="2.9689394096254412E-2"/>
                  <c:y val="-9.014368641875968E-2"/>
                </c:manualLayout>
              </c:layout>
              <c:numFmt formatCode="#,##0.0" sourceLinked="0"/>
              <c:spPr>
                <a:noFill/>
                <a:ln w="25374">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37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#,##0.00</c:formatCode>
                <c:ptCount val="1"/>
                <c:pt idx="0">
                  <c:v>379.5</c:v>
                </c:pt>
              </c:numCache>
            </c:numRef>
          </c:val>
        </c:ser>
        <c:dLbls>
          <c:showLegendKey val="0"/>
          <c:showVal val="0"/>
          <c:showCatName val="0"/>
          <c:showSerName val="0"/>
          <c:showPercent val="0"/>
          <c:showBubbleSize val="0"/>
        </c:dLbls>
        <c:gapWidth val="150"/>
        <c:gapDepth val="0"/>
        <c:shape val="box"/>
        <c:axId val="171782144"/>
        <c:axId val="171783680"/>
        <c:axId val="0"/>
      </c:bar3DChart>
      <c:catAx>
        <c:axId val="171782144"/>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a:pPr>
            <a:endParaRPr lang="ru-RU"/>
          </a:p>
        </c:txPr>
        <c:crossAx val="171783680"/>
        <c:crosses val="autoZero"/>
        <c:auto val="1"/>
        <c:lblAlgn val="ctr"/>
        <c:lblOffset val="100"/>
        <c:tickLblSkip val="1"/>
        <c:tickMarkSkip val="1"/>
        <c:noMultiLvlLbl val="0"/>
      </c:catAx>
      <c:valAx>
        <c:axId val="171783680"/>
        <c:scaling>
          <c:orientation val="minMax"/>
        </c:scaling>
        <c:delete val="0"/>
        <c:axPos val="l"/>
        <c:title>
          <c:tx>
            <c:rich>
              <a:bodyPr/>
              <a:lstStyle/>
              <a:p>
                <a:pPr>
                  <a:defRPr/>
                </a:pPr>
                <a:r>
                  <a:rPr lang="en-US"/>
                  <a:t>KZT billion</a:t>
                </a:r>
                <a:endParaRPr lang="ru-RU"/>
              </a:p>
            </c:rich>
          </c:tx>
          <c:layout>
            <c:manualLayout>
              <c:xMode val="edge"/>
              <c:yMode val="edge"/>
              <c:x val="4.3596730245231849E-2"/>
              <c:y val="0.24651162790697673"/>
            </c:manualLayout>
          </c:layout>
          <c:overlay val="0"/>
          <c:spPr>
            <a:noFill/>
            <a:ln w="25374">
              <a:noFill/>
            </a:ln>
          </c:spPr>
        </c:title>
        <c:numFmt formatCode="General" sourceLinked="1"/>
        <c:majorTickMark val="out"/>
        <c:minorTickMark val="none"/>
        <c:tickLblPos val="nextTo"/>
        <c:spPr>
          <a:ln w="3172">
            <a:solidFill>
              <a:srgbClr val="000000"/>
            </a:solidFill>
            <a:prstDash val="solid"/>
          </a:ln>
        </c:spPr>
        <c:txPr>
          <a:bodyPr rot="0" vert="horz"/>
          <a:lstStyle/>
          <a:p>
            <a:pPr>
              <a:defRPr/>
            </a:pPr>
            <a:endParaRPr lang="ru-RU"/>
          </a:p>
        </c:txPr>
        <c:crossAx val="171782144"/>
        <c:crosses val="autoZero"/>
        <c:crossBetween val="between"/>
      </c:valAx>
      <c:spPr>
        <a:noFill/>
        <a:ln w="25374">
          <a:noFill/>
        </a:ln>
      </c:spPr>
    </c:plotArea>
    <c:legend>
      <c:legendPos val="r"/>
      <c:layout>
        <c:manualLayout>
          <c:xMode val="edge"/>
          <c:yMode val="edge"/>
          <c:x val="3.7743822871142328E-2"/>
          <c:y val="0.85520991214126463"/>
          <c:w val="0.93616908942059762"/>
          <c:h val="0.12618572326346517"/>
        </c:manualLayout>
      </c:layout>
      <c:overlay val="0"/>
      <c:spPr>
        <a:noFill/>
        <a:ln w="25374">
          <a:noFill/>
        </a:ln>
      </c:spPr>
    </c:legend>
    <c:plotVisOnly val="1"/>
    <c:dispBlanksAs val="gap"/>
    <c:showDLblsOverMax val="0"/>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938"/>
          <c:y val="0.16842105263157892"/>
          <c:w val="0.72483221476510062"/>
          <c:h val="0.45263157894736844"/>
        </c:manualLayout>
      </c:layout>
      <c:pie3DChart>
        <c:varyColors val="1"/>
        <c:ser>
          <c:idx val="1"/>
          <c:order val="0"/>
          <c:tx>
            <c:strRef>
              <c:f>Sheet1!$B$1</c:f>
              <c:strCache>
                <c:ptCount val="1"/>
                <c:pt idx="0">
                  <c:v>2016</c:v>
                </c:pt>
              </c:strCache>
            </c:strRef>
          </c:tx>
          <c:dLbls>
            <c:dLbl>
              <c:idx val="1"/>
              <c:layout>
                <c:manualLayout>
                  <c:x val="-0.10887684493983715"/>
                  <c:y val="2.6218372703412155E-2"/>
                </c:manualLayout>
              </c:layout>
              <c:numFmt formatCode="0.0%" sourceLinked="0"/>
              <c:spPr>
                <a:noFill/>
                <a:ln w="25393">
                  <a:noFill/>
                </a:ln>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393">
                <a:noFill/>
              </a:ln>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Sheet1!$A$2:$A$8</c:f>
              <c:strCache>
                <c:ptCount val="7"/>
                <c:pt idx="0">
                  <c:v>Golden Crown</c:v>
                </c:pt>
                <c:pt idx="1">
                  <c:v>Western Union</c:v>
                </c:pt>
                <c:pt idx="2">
                  <c:v>Contact</c:v>
                </c:pt>
                <c:pt idx="3">
                  <c:v>Unistream</c:v>
                </c:pt>
                <c:pt idx="4">
                  <c:v>Blits</c:v>
                </c:pt>
                <c:pt idx="5">
                  <c:v>Faster</c:v>
                </c:pt>
                <c:pt idx="6">
                  <c:v>Прочие</c:v>
                </c:pt>
              </c:strCache>
            </c:strRef>
          </c:cat>
          <c:val>
            <c:numRef>
              <c:f>Sheet1!$B$2:$B$8</c:f>
              <c:numCache>
                <c:formatCode>_-* #,##0.0_р_._-;\-* #,##0.0_р_._-;_-* "-"??_р_._-;_-@_-</c:formatCode>
                <c:ptCount val="7"/>
                <c:pt idx="0">
                  <c:v>910.97900000000004</c:v>
                </c:pt>
                <c:pt idx="1">
                  <c:v>262.79700000000003</c:v>
                </c:pt>
                <c:pt idx="2">
                  <c:v>156.25899999999999</c:v>
                </c:pt>
                <c:pt idx="3">
                  <c:v>233.29</c:v>
                </c:pt>
                <c:pt idx="4">
                  <c:v>278.553</c:v>
                </c:pt>
                <c:pt idx="5" formatCode="General">
                  <c:v>189.54253299999999</c:v>
                </c:pt>
                <c:pt idx="6" formatCode="General">
                  <c:v>105.41200000000002</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6.6496163682864456E-2"/>
          <c:y val="0.71604938271604945"/>
          <c:w val="0.87468030690537213"/>
          <c:h val="0.2798353909465020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7478808959069658"/>
          <c:y val="0.18091994665494887"/>
          <c:w val="0.75566455807451693"/>
          <c:h val="0.46841605052450852"/>
        </c:manualLayout>
      </c:layout>
      <c:pie3DChart>
        <c:varyColors val="1"/>
        <c:ser>
          <c:idx val="1"/>
          <c:order val="0"/>
          <c:tx>
            <c:strRef>
              <c:f>Sheet1!$B$1</c:f>
              <c:strCache>
                <c:ptCount val="1"/>
                <c:pt idx="0">
                  <c:v>2016</c:v>
                </c:pt>
              </c:strCache>
            </c:strRef>
          </c:tx>
          <c:dLbls>
            <c:dLbl>
              <c:idx val="0"/>
              <c:layout>
                <c:manualLayout>
                  <c:x val="-9.5741885633991802E-2"/>
                  <c:y val="-7.9789417083103942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11171255972416615"/>
                  <c:y val="-1.1020024480544361E-3"/>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6"/>
              <c:layout>
                <c:manualLayout>
                  <c:x val="0.13856188430991581"/>
                  <c:y val="-8.0484514435695487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Sheet1!$A$2:$A$8</c:f>
              <c:strCache>
                <c:ptCount val="7"/>
                <c:pt idx="0">
                  <c:v>Golden Crown</c:v>
                </c:pt>
                <c:pt idx="1">
                  <c:v>Western Union</c:v>
                </c:pt>
                <c:pt idx="2">
                  <c:v>Contact</c:v>
                </c:pt>
                <c:pt idx="3">
                  <c:v>Unistream</c:v>
                </c:pt>
                <c:pt idx="4">
                  <c:v>Blits</c:v>
                </c:pt>
                <c:pt idx="5">
                  <c:v>Faster</c:v>
                </c:pt>
                <c:pt idx="6">
                  <c:v>Прочие</c:v>
                </c:pt>
              </c:strCache>
            </c:strRef>
          </c:cat>
          <c:val>
            <c:numRef>
              <c:f>Sheet1!$B$2:$B$8</c:f>
              <c:numCache>
                <c:formatCode>#,##0.0</c:formatCode>
                <c:ptCount val="7"/>
                <c:pt idx="0">
                  <c:v>150432.85194118996</c:v>
                </c:pt>
                <c:pt idx="1">
                  <c:v>78340.999854220019</c:v>
                </c:pt>
                <c:pt idx="2">
                  <c:v>44941.35508726001</c:v>
                </c:pt>
                <c:pt idx="3">
                  <c:v>41147.859456090016</c:v>
                </c:pt>
                <c:pt idx="4">
                  <c:v>29048.506021989993</c:v>
                </c:pt>
                <c:pt idx="5">
                  <c:v>23792.941327199995</c:v>
                </c:pt>
                <c:pt idx="6">
                  <c:v>14468.602486080003</c:v>
                </c:pt>
              </c:numCache>
            </c:numRef>
          </c:val>
        </c:ser>
        <c:dLbls>
          <c:showLegendKey val="0"/>
          <c:showVal val="0"/>
          <c:showCatName val="0"/>
          <c:showSerName val="0"/>
          <c:showPercent val="0"/>
          <c:showBubbleSize val="0"/>
          <c:showLeaderLines val="0"/>
        </c:dLbls>
      </c:pie3DChart>
      <c:spPr>
        <a:noFill/>
        <a:ln w="25393">
          <a:noFill/>
        </a:ln>
      </c:spPr>
    </c:plotArea>
    <c:legend>
      <c:legendPos val="r"/>
      <c:layout>
        <c:manualLayout>
          <c:xMode val="edge"/>
          <c:yMode val="edge"/>
          <c:x val="1.3963759337775146E-2"/>
          <c:y val="0.70883585539462002"/>
          <c:w val="0.94107936027227368"/>
          <c:h val="0.2803300821965155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938"/>
          <c:y val="0.16842105263157892"/>
          <c:w val="0.72483221476510062"/>
          <c:h val="0.45263157894736844"/>
        </c:manualLayout>
      </c:layout>
      <c:pie3DChart>
        <c:varyColors val="1"/>
        <c:ser>
          <c:idx val="1"/>
          <c:order val="0"/>
          <c:tx>
            <c:strRef>
              <c:f>Sheet1!$B$1</c:f>
              <c:strCache>
                <c:ptCount val="1"/>
                <c:pt idx="0">
                  <c:v>2016г.</c:v>
                </c:pt>
              </c:strCache>
            </c:strRef>
          </c:tx>
          <c:dLbls>
            <c:dLbl>
              <c:idx val="0"/>
              <c:layout>
                <c:manualLayout>
                  <c:x val="-7.8959679062308052E-2"/>
                  <c:y val="-5.7569340136506414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1084048545042637"/>
                  <c:y val="1.1488050968706833E-3"/>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2.6360331905207592E-3"/>
                  <c:y val="-7.6768482016366421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Golden Crown </c:v>
                </c:pt>
                <c:pt idx="1">
                  <c:v>Western Union</c:v>
                </c:pt>
                <c:pt idx="2">
                  <c:v>Unistream</c:v>
                </c:pt>
                <c:pt idx="3">
                  <c:v>Faster</c:v>
                </c:pt>
                <c:pt idx="4">
                  <c:v>Прочие</c:v>
                </c:pt>
              </c:strCache>
            </c:strRef>
          </c:cat>
          <c:val>
            <c:numRef>
              <c:f>Sheet1!$B$2:$B$6</c:f>
              <c:numCache>
                <c:formatCode>#,##0.00</c:formatCode>
                <c:ptCount val="5"/>
                <c:pt idx="0">
                  <c:v>417.24599999999987</c:v>
                </c:pt>
                <c:pt idx="1">
                  <c:v>287.22899999999976</c:v>
                </c:pt>
                <c:pt idx="2">
                  <c:v>65.683999999999983</c:v>
                </c:pt>
                <c:pt idx="3">
                  <c:v>94.201679999999996</c:v>
                </c:pt>
                <c:pt idx="4">
                  <c:v>339.44500000000005</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14045748945560951"/>
          <c:y val="0.7217798760632127"/>
          <c:w val="0.71789575743330847"/>
          <c:h val="0.25046285708062432"/>
        </c:manualLayout>
      </c:layout>
      <c:overlay val="1"/>
    </c:legend>
    <c:plotVisOnly val="1"/>
    <c:dispBlanksAs val="zero"/>
    <c:showDLblsOverMax val="1"/>
  </c:chart>
  <c:spPr>
    <a:ln>
      <a:noFill/>
    </a:ln>
  </c:sp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8791946308724955"/>
          <c:y val="0.16842105263157892"/>
          <c:w val="0.76578221027040105"/>
          <c:h val="0.47815012026890896"/>
        </c:manualLayout>
      </c:layout>
      <c:pie3DChart>
        <c:varyColors val="1"/>
        <c:ser>
          <c:idx val="1"/>
          <c:order val="0"/>
          <c:tx>
            <c:strRef>
              <c:f>Sheet1!$B$1</c:f>
              <c:strCache>
                <c:ptCount val="1"/>
                <c:pt idx="0">
                  <c:v>2016г.</c:v>
                </c:pt>
              </c:strCache>
            </c:strRef>
          </c:tx>
          <c:dLbls>
            <c:dLbl>
              <c:idx val="0"/>
              <c:layout>
                <c:manualLayout>
                  <c:x val="-0.16996118199366375"/>
                  <c:y val="-0.1086843368650792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4.3365921918926735E-2"/>
                  <c:y val="9.0277167124451843E-3"/>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1.8641420780370555E-2"/>
                  <c:y val="-9.3713696470129448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4.8181330366976576E-2"/>
                  <c:y val="-4.3761677891461112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Golden Crown</c:v>
                </c:pt>
                <c:pt idx="1">
                  <c:v>Western Union</c:v>
                </c:pt>
                <c:pt idx="2">
                  <c:v>Unistream</c:v>
                </c:pt>
                <c:pt idx="3">
                  <c:v>Faster</c:v>
                </c:pt>
                <c:pt idx="4">
                  <c:v>Прочие</c:v>
                </c:pt>
              </c:strCache>
            </c:strRef>
          </c:cat>
          <c:val>
            <c:numRef>
              <c:f>Sheet1!$B$2:$B$6</c:f>
              <c:numCache>
                <c:formatCode>#,##0.00</c:formatCode>
                <c:ptCount val="5"/>
                <c:pt idx="0">
                  <c:v>117600.69219021006</c:v>
                </c:pt>
                <c:pt idx="1">
                  <c:v>49418.962641409918</c:v>
                </c:pt>
                <c:pt idx="2">
                  <c:v>25518.637848389993</c:v>
                </c:pt>
                <c:pt idx="3">
                  <c:v>18932.281587730005</c:v>
                </c:pt>
                <c:pt idx="4">
                  <c:v>37046.309322549998</c:v>
                </c:pt>
              </c:numCache>
            </c:numRef>
          </c:val>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12245797519584829"/>
          <c:y val="0.72320438679604859"/>
          <c:w val="0.85509640493411665"/>
          <c:h val="0.23806373269731376"/>
        </c:manualLayout>
      </c:layout>
      <c:overlay val="1"/>
    </c:legend>
    <c:plotVisOnly val="1"/>
    <c:dispBlanksAs val="zero"/>
    <c:showDLblsOverMax val="1"/>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Number</a:t>
            </a:r>
            <a:endParaRPr lang="ru-RU"/>
          </a:p>
        </c:rich>
      </c:tx>
      <c:layout>
        <c:manualLayout>
          <c:xMode val="edge"/>
          <c:yMode val="edge"/>
          <c:x val="0.4022022321273237"/>
          <c:y val="0"/>
        </c:manualLayout>
      </c:layout>
      <c:overlay val="0"/>
    </c:title>
    <c:autoTitleDeleted val="0"/>
    <c:plotArea>
      <c:layout>
        <c:manualLayout>
          <c:layoutTarget val="inner"/>
          <c:xMode val="edge"/>
          <c:yMode val="edge"/>
          <c:x val="0.23240761211544053"/>
          <c:y val="0.23948950651562181"/>
          <c:w val="0.75690438306610663"/>
          <c:h val="0.59550207964667656"/>
        </c:manualLayout>
      </c:layout>
      <c:barChart>
        <c:barDir val="col"/>
        <c:grouping val="clustered"/>
        <c:varyColors val="0"/>
        <c:ser>
          <c:idx val="0"/>
          <c:order val="0"/>
          <c:tx>
            <c:strRef>
              <c:f>Лист1!$B$1</c:f>
              <c:strCache>
                <c:ptCount val="1"/>
                <c:pt idx="0">
                  <c:v>Количество</c:v>
                </c:pt>
              </c:strCache>
            </c:strRef>
          </c:tx>
          <c:spPr>
            <a:solidFill>
              <a:srgbClr val="F79646">
                <a:lumMod val="40000"/>
                <a:lumOff val="60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2014</c:v>
                </c:pt>
                <c:pt idx="1">
                  <c:v>2015</c:v>
                </c:pt>
                <c:pt idx="2">
                  <c:v>2016</c:v>
                </c:pt>
              </c:numCache>
            </c:numRef>
          </c:cat>
          <c:val>
            <c:numRef>
              <c:f>Лист1!$B$2:$B$4</c:f>
              <c:numCache>
                <c:formatCode>General</c:formatCode>
                <c:ptCount val="3"/>
                <c:pt idx="0">
                  <c:v>8713.2000000000007</c:v>
                </c:pt>
                <c:pt idx="1">
                  <c:v>9567</c:v>
                </c:pt>
                <c:pt idx="2">
                  <c:v>9200.6</c:v>
                </c:pt>
              </c:numCache>
            </c:numRef>
          </c:val>
        </c:ser>
        <c:dLbls>
          <c:showLegendKey val="0"/>
          <c:showVal val="0"/>
          <c:showCatName val="0"/>
          <c:showSerName val="0"/>
          <c:showPercent val="0"/>
          <c:showBubbleSize val="0"/>
        </c:dLbls>
        <c:gapWidth val="70"/>
        <c:axId val="173009536"/>
        <c:axId val="174174592"/>
      </c:barChart>
      <c:catAx>
        <c:axId val="173009536"/>
        <c:scaling>
          <c:orientation val="minMax"/>
        </c:scaling>
        <c:delete val="0"/>
        <c:axPos val="b"/>
        <c:numFmt formatCode="General" sourceLinked="1"/>
        <c:majorTickMark val="none"/>
        <c:minorTickMark val="none"/>
        <c:tickLblPos val="nextTo"/>
        <c:crossAx val="174174592"/>
        <c:crosses val="autoZero"/>
        <c:auto val="1"/>
        <c:lblAlgn val="ctr"/>
        <c:lblOffset val="100"/>
        <c:noMultiLvlLbl val="0"/>
      </c:catAx>
      <c:valAx>
        <c:axId val="174174592"/>
        <c:scaling>
          <c:orientation val="minMax"/>
          <c:max val="10000"/>
          <c:min val="0"/>
        </c:scaling>
        <c:delete val="0"/>
        <c:axPos val="l"/>
        <c:title>
          <c:tx>
            <c:rich>
              <a:bodyPr/>
              <a:lstStyle/>
              <a:p>
                <a:pPr>
                  <a:defRPr/>
                </a:pPr>
                <a:r>
                  <a:rPr lang="en-US"/>
                  <a:t>thousand transactions</a:t>
                </a:r>
                <a:endParaRPr lang="ru-RU"/>
              </a:p>
            </c:rich>
          </c:tx>
          <c:layout>
            <c:manualLayout>
              <c:xMode val="edge"/>
              <c:yMode val="edge"/>
              <c:x val="8.6355785837651123E-3"/>
              <c:y val="0.23356280233578597"/>
            </c:manualLayout>
          </c:layout>
          <c:overlay val="0"/>
        </c:title>
        <c:numFmt formatCode="General" sourceLinked="1"/>
        <c:majorTickMark val="out"/>
        <c:minorTickMark val="none"/>
        <c:tickLblPos val="nextTo"/>
        <c:crossAx val="173009536"/>
        <c:crosses val="autoZero"/>
        <c:crossBetween val="between"/>
        <c:majorUnit val="2000"/>
      </c:valAx>
    </c:plotArea>
    <c:plotVisOnly val="1"/>
    <c:dispBlanksAs val="gap"/>
    <c:showDLblsOverMax val="0"/>
  </c:chart>
  <c:spPr>
    <a:ln>
      <a:noFill/>
    </a:ln>
  </c:spPr>
  <c:txPr>
    <a:bodyPr/>
    <a:lstStyle/>
    <a:p>
      <a:pPr>
        <a:defRPr sz="1000" b="0"/>
      </a:pPr>
      <a:endParaRPr lang="ru-RU"/>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Amount</a:t>
            </a:r>
            <a:endParaRPr lang="ru-RU"/>
          </a:p>
        </c:rich>
      </c:tx>
      <c:layout>
        <c:manualLayout>
          <c:xMode val="edge"/>
          <c:yMode val="edge"/>
          <c:x val="0.41955230734965876"/>
          <c:y val="0"/>
        </c:manualLayout>
      </c:layout>
      <c:overlay val="0"/>
    </c:title>
    <c:autoTitleDeleted val="0"/>
    <c:plotArea>
      <c:layout>
        <c:manualLayout>
          <c:layoutTarget val="inner"/>
          <c:xMode val="edge"/>
          <c:yMode val="edge"/>
          <c:x val="0.26941132000248236"/>
          <c:y val="0.10561023622047258"/>
          <c:w val="0.72393151787258814"/>
          <c:h val="0.74061948067156214"/>
        </c:manualLayout>
      </c:layout>
      <c:barChart>
        <c:barDir val="col"/>
        <c:grouping val="clustered"/>
        <c:varyColors val="1"/>
        <c:ser>
          <c:idx val="0"/>
          <c:order val="0"/>
          <c:tx>
            <c:strRef>
              <c:f>Лист1!$B$1</c:f>
              <c:strCache>
                <c:ptCount val="1"/>
                <c:pt idx="0">
                  <c:v>Сумма</c:v>
                </c:pt>
              </c:strCache>
            </c:strRef>
          </c:tx>
          <c:spPr>
            <a:solidFill>
              <a:srgbClr val="9BBB59">
                <a:lumMod val="50000"/>
              </a:srgbClr>
            </a:solidFill>
          </c:spPr>
          <c:invertIfNegative val="0"/>
          <c:dPt>
            <c:idx val="0"/>
            <c:invertIfNegative val="0"/>
            <c:bubble3D val="0"/>
            <c:spPr>
              <a:solidFill>
                <a:srgbClr val="9BBB59">
                  <a:lumMod val="50000"/>
                </a:srgbClr>
              </a:solidFill>
            </c:spPr>
          </c:dPt>
          <c:dLbls>
            <c:dLbl>
              <c:idx val="4"/>
              <c:layout>
                <c:manualLayout>
                  <c:x val="0"/>
                  <c:y val="0"/>
                </c:manualLayout>
              </c:layout>
              <c:spPr/>
              <c:txPr>
                <a:bodyPr/>
                <a:lstStyle/>
                <a:p>
                  <a:pPr>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2014</c:v>
                </c:pt>
                <c:pt idx="1">
                  <c:v>2015</c:v>
                </c:pt>
                <c:pt idx="2">
                  <c:v>2016</c:v>
                </c:pt>
              </c:numCache>
            </c:numRef>
          </c:cat>
          <c:val>
            <c:numRef>
              <c:f>Лист1!$B$2:$B$4</c:f>
              <c:numCache>
                <c:formatCode>#,##0.0</c:formatCode>
                <c:ptCount val="3"/>
                <c:pt idx="0">
                  <c:v>126.9</c:v>
                </c:pt>
                <c:pt idx="1">
                  <c:v>160.80000000000001</c:v>
                </c:pt>
                <c:pt idx="2">
                  <c:v>229.9</c:v>
                </c:pt>
              </c:numCache>
            </c:numRef>
          </c:val>
        </c:ser>
        <c:dLbls>
          <c:showLegendKey val="0"/>
          <c:showVal val="0"/>
          <c:showCatName val="0"/>
          <c:showSerName val="0"/>
          <c:showPercent val="0"/>
          <c:showBubbleSize val="0"/>
        </c:dLbls>
        <c:gapWidth val="70"/>
        <c:axId val="174024192"/>
        <c:axId val="174025728"/>
      </c:barChart>
      <c:catAx>
        <c:axId val="174024192"/>
        <c:scaling>
          <c:orientation val="minMax"/>
        </c:scaling>
        <c:delete val="0"/>
        <c:axPos val="b"/>
        <c:numFmt formatCode="General" sourceLinked="1"/>
        <c:majorTickMark val="none"/>
        <c:minorTickMark val="none"/>
        <c:tickLblPos val="nextTo"/>
        <c:crossAx val="174025728"/>
        <c:crosses val="autoZero"/>
        <c:auto val="1"/>
        <c:lblAlgn val="ctr"/>
        <c:lblOffset val="100"/>
        <c:noMultiLvlLbl val="0"/>
      </c:catAx>
      <c:valAx>
        <c:axId val="174025728"/>
        <c:scaling>
          <c:orientation val="minMax"/>
          <c:max val="300"/>
        </c:scaling>
        <c:delete val="0"/>
        <c:axPos val="l"/>
        <c:title>
          <c:tx>
            <c:rich>
              <a:bodyPr/>
              <a:lstStyle/>
              <a:p>
                <a:pPr>
                  <a:defRPr/>
                </a:pPr>
                <a:r>
                  <a:rPr lang="en-US"/>
                  <a:t>KZT rillion</a:t>
                </a:r>
                <a:endParaRPr lang="ru-RU"/>
              </a:p>
            </c:rich>
          </c:tx>
          <c:layout>
            <c:manualLayout>
              <c:xMode val="edge"/>
              <c:yMode val="edge"/>
              <c:x val="2.1713650297529606E-2"/>
              <c:y val="0.24431620946575228"/>
            </c:manualLayout>
          </c:layout>
          <c:overlay val="0"/>
        </c:title>
        <c:numFmt formatCode="#,##0.0" sourceLinked="1"/>
        <c:majorTickMark val="out"/>
        <c:minorTickMark val="none"/>
        <c:tickLblPos val="nextTo"/>
        <c:crossAx val="174024192"/>
        <c:crosses val="autoZero"/>
        <c:crossBetween val="between"/>
        <c:majorUnit val="60"/>
      </c:valAx>
    </c:plotArea>
    <c:plotVisOnly val="1"/>
    <c:dispBlanksAs val="gap"/>
    <c:showDLblsOverMax val="0"/>
  </c:chart>
  <c:spPr>
    <a:ln>
      <a:noFill/>
    </a:ln>
  </c:spPr>
  <c:txPr>
    <a:bodyPr/>
    <a:lstStyle/>
    <a:p>
      <a:pPr>
        <a:defRPr sz="1000" b="0">
          <a:solidFill>
            <a:srgbClr val="0E4C28"/>
          </a:solidFill>
        </a:defRPr>
      </a:pPr>
      <a:endParaRPr lang="ru-RU"/>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0063751382698112"/>
          <c:y val="0.16842105263157892"/>
          <c:w val="0.85306386265308065"/>
          <c:h val="0.53398639739568976"/>
        </c:manualLayout>
      </c:layout>
      <c:pie3DChart>
        <c:varyColors val="1"/>
        <c:ser>
          <c:idx val="1"/>
          <c:order val="0"/>
          <c:tx>
            <c:strRef>
              <c:f>Sheet1!$B$1</c:f>
              <c:strCache>
                <c:ptCount val="1"/>
                <c:pt idx="0">
                  <c:v>2016г. (млрд. тенге)</c:v>
                </c:pt>
              </c:strCache>
            </c:strRef>
          </c:tx>
          <c:dLbls>
            <c:dLbl>
              <c:idx val="0"/>
              <c:layout>
                <c:manualLayout>
                  <c:x val="-2.7589152752625148E-3"/>
                  <c:y val="-0.30681594576110188"/>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0"/>
                  <c:y val="-2.9320186949469588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0.11172144878820589"/>
                  <c:y val="-4.4100713432437801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6.5563017688311409E-2"/>
                  <c:y val="-6.5952748861181507E-2"/>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0.12684663834493029"/>
                  <c:y val="-7.1057847494715811E-5"/>
                </c:manualLayout>
              </c:layout>
              <c:numFmt formatCode="0.0%" sourceLinked="0"/>
              <c:spPr/>
              <c:txPr>
                <a:bodyPr/>
                <a:lstStyle/>
                <a:p>
                  <a:pPr>
                    <a:defRPr/>
                  </a:pPr>
                  <a:endParaRPr lang="ru-RU"/>
                </a:p>
              </c:txPr>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USD</c:v>
                </c:pt>
                <c:pt idx="1">
                  <c:v>KZT</c:v>
                </c:pt>
                <c:pt idx="2">
                  <c:v>TJS</c:v>
                </c:pt>
                <c:pt idx="3">
                  <c:v>EUR</c:v>
                </c:pt>
                <c:pt idx="4">
                  <c:v>Other</c:v>
                </c:pt>
              </c:strCache>
            </c:strRef>
          </c:cat>
          <c:val>
            <c:numRef>
              <c:f>Sheet1!$B$2:$B$6</c:f>
              <c:numCache>
                <c:formatCode>_(* #,##0.00_);_(* \(#,##0.00\);_(* "-"??_);_(@_)</c:formatCode>
                <c:ptCount val="5"/>
                <c:pt idx="0">
                  <c:v>11327.363050686516</c:v>
                </c:pt>
                <c:pt idx="1">
                  <c:v>6140.5196229142512</c:v>
                </c:pt>
                <c:pt idx="2">
                  <c:v>448.84623158717989</c:v>
                </c:pt>
                <c:pt idx="3">
                  <c:v>208.60848571783998</c:v>
                </c:pt>
                <c:pt idx="4">
                  <c:v>138.85870963407424</c:v>
                </c:pt>
              </c:numCache>
            </c:numRef>
          </c:val>
        </c:ser>
        <c:dLbls>
          <c:showLegendKey val="0"/>
          <c:showVal val="0"/>
          <c:showCatName val="0"/>
          <c:showSerName val="0"/>
          <c:showPercent val="0"/>
          <c:showBubbleSize val="0"/>
          <c:showLeaderLines val="0"/>
        </c:dLbls>
      </c:pie3DChart>
      <c:spPr>
        <a:noFill/>
        <a:ln w="25312">
          <a:noFill/>
        </a:ln>
      </c:spPr>
    </c:plotArea>
    <c:legend>
      <c:legendPos val="r"/>
      <c:layout>
        <c:manualLayout>
          <c:xMode val="edge"/>
          <c:yMode val="edge"/>
          <c:x val="9.6100174978127714E-2"/>
          <c:y val="0.7140442617417545"/>
          <c:w val="0.85509640539203169"/>
          <c:h val="0.11185476815398075"/>
        </c:manualLayout>
      </c:layout>
      <c:overlay val="1"/>
    </c:legend>
    <c:plotVisOnly val="1"/>
    <c:dispBlanksAs val="zero"/>
    <c:showDLblsOverMax val="1"/>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9" b="1">
                <a:solidFill>
                  <a:srgbClr val="0E4C28"/>
                </a:solidFill>
              </a:defRPr>
            </a:pPr>
            <a:r>
              <a:rPr lang="en-US" sz="1200" b="1">
                <a:solidFill>
                  <a:srgbClr val="0E4C28"/>
                </a:solidFill>
              </a:rPr>
              <a:t>Number of paymens in ISMT and ICS</a:t>
            </a:r>
            <a:endParaRPr lang="ru-RU" sz="1200" b="1">
              <a:solidFill>
                <a:srgbClr val="0E4C28"/>
              </a:solidFill>
            </a:endParaRPr>
          </a:p>
        </c:rich>
      </c:tx>
      <c:layout>
        <c:manualLayout>
          <c:xMode val="edge"/>
          <c:yMode val="edge"/>
          <c:x val="0.10289941275326196"/>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6.9758549979858323E-2"/>
          <c:y val="0.2651534199936238"/>
          <c:w val="0.79983291453899463"/>
          <c:h val="0.72726189974916233"/>
        </c:manualLayout>
      </c:layout>
      <c:pie3DChart>
        <c:varyColors val="1"/>
        <c:ser>
          <c:idx val="0"/>
          <c:order val="0"/>
          <c:tx>
            <c:strRef>
              <c:f>Лист1!$B$1</c:f>
              <c:strCache>
                <c:ptCount val="1"/>
                <c:pt idx="0">
                  <c:v>Количество проведенных платежей через МСПД и СМК (тыс. транзакций)</c:v>
                </c:pt>
              </c:strCache>
            </c:strRef>
          </c:tx>
          <c:explosion val="5"/>
          <c:dPt>
            <c:idx val="0"/>
            <c:bubble3D val="0"/>
            <c:spPr>
              <a:solidFill>
                <a:srgbClr val="92D050"/>
              </a:solidFill>
            </c:spPr>
          </c:dPt>
          <c:dLbls>
            <c:dLbl>
              <c:idx val="1"/>
              <c:layout>
                <c:manualLayout>
                  <c:x val="0.16457058296947219"/>
                  <c:y val="-0.14254436658720479"/>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Лист1!$A$2:$A$3</c:f>
              <c:strCache>
                <c:ptCount val="2"/>
                <c:pt idx="0">
                  <c:v>ISMT</c:v>
                </c:pt>
                <c:pt idx="1">
                  <c:v>ICS</c:v>
                </c:pt>
              </c:strCache>
            </c:strRef>
          </c:cat>
          <c:val>
            <c:numRef>
              <c:f>Лист1!$B$2:$B$3</c:f>
              <c:numCache>
                <c:formatCode>_-* #,##0.0_р_._-;\-* #,##0.0_р_._-;_-* "-"??_р_._-;_-@_-</c:formatCode>
                <c:ptCount val="2"/>
                <c:pt idx="0">
                  <c:v>14005.055999999984</c:v>
                </c:pt>
                <c:pt idx="1">
                  <c:v>21301.637999999992</c:v>
                </c:pt>
              </c:numCache>
            </c:numRef>
          </c:val>
        </c:ser>
        <c:dLbls>
          <c:showLegendKey val="0"/>
          <c:showVal val="0"/>
          <c:showCatName val="0"/>
          <c:showSerName val="0"/>
          <c:showPercent val="0"/>
          <c:showBubbleSize val="0"/>
          <c:showLeaderLines val="0"/>
        </c:dLbls>
      </c:pie3DChart>
      <c:spPr>
        <a:noFill/>
        <a:ln w="25386">
          <a:noFill/>
        </a:ln>
      </c:spPr>
    </c:plotArea>
    <c:legend>
      <c:legendPos val="r"/>
      <c:layout>
        <c:manualLayout>
          <c:xMode val="edge"/>
          <c:yMode val="edge"/>
          <c:x val="0.81774926515480695"/>
          <c:y val="0.69952781637589656"/>
          <c:w val="0.17040005790643106"/>
          <c:h val="0.23559325304925124"/>
        </c:manualLayout>
      </c:layout>
      <c:overlay val="0"/>
    </c:legend>
    <c:plotVisOnly val="1"/>
    <c:dispBlanksAs val="zero"/>
    <c:showDLblsOverMax val="0"/>
  </c:chart>
  <c:spPr>
    <a:ln>
      <a:noFill/>
    </a:ln>
  </c:sp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935114749074482"/>
          <c:y val="0.11596093581633864"/>
          <c:w val="0.56612285046290123"/>
          <c:h val="0.74942631019903161"/>
        </c:manualLayout>
      </c:layout>
      <c:barChart>
        <c:barDir val="bar"/>
        <c:grouping val="clustered"/>
        <c:varyColors val="0"/>
        <c:ser>
          <c:idx val="0"/>
          <c:order val="0"/>
          <c:tx>
            <c:strRef>
              <c:f>Лист1!$B$1</c:f>
              <c:strCache>
                <c:ptCount val="1"/>
                <c:pt idx="0">
                  <c:v>2016</c:v>
                </c:pt>
              </c:strCache>
            </c:strRef>
          </c:tx>
          <c:spPr>
            <a:solidFill>
              <a:srgbClr val="00B050"/>
            </a:solidFill>
          </c:spPr>
          <c:invertIfNegative val="0"/>
          <c:cat>
            <c:strRef>
              <c:f>Лист1!$A$2:$A$7</c:f>
              <c:strCache>
                <c:ptCount val="6"/>
                <c:pt idx="0">
                  <c:v>Transactions with deposits and transfer of own funds</c:v>
                </c:pt>
                <c:pt idx="1">
                  <c:v>Transactions with foreign currency and precious metals</c:v>
                </c:pt>
                <c:pt idx="2">
                  <c:v>Specific transfers</c:v>
                </c:pt>
                <c:pt idx="3">
                  <c:v>Payments for services </c:v>
                </c:pt>
                <c:pt idx="4">
                  <c:v>Payments for goods </c:v>
                </c:pt>
                <c:pt idx="5">
                  <c:v>Other </c:v>
                </c:pt>
              </c:strCache>
            </c:strRef>
          </c:cat>
          <c:val>
            <c:numRef>
              <c:f>Лист1!$B$2:$B$7</c:f>
              <c:numCache>
                <c:formatCode>_-* #,##0.0_р_._-;\-* #,##0.0_р_._-;_-* "-"??_р_._-;_-@_-</c:formatCode>
                <c:ptCount val="6"/>
                <c:pt idx="0">
                  <c:v>8049.7224499341319</c:v>
                </c:pt>
                <c:pt idx="1">
                  <c:v>4059.7599685361592</c:v>
                </c:pt>
                <c:pt idx="2">
                  <c:v>3297.9020009716505</c:v>
                </c:pt>
                <c:pt idx="3">
                  <c:v>1540.7152123682611</c:v>
                </c:pt>
                <c:pt idx="4">
                  <c:v>1058.2241583783289</c:v>
                </c:pt>
                <c:pt idx="5">
                  <c:v>257.87231035133999</c:v>
                </c:pt>
              </c:numCache>
            </c:numRef>
          </c:val>
        </c:ser>
        <c:dLbls>
          <c:showLegendKey val="0"/>
          <c:showVal val="0"/>
          <c:showCatName val="0"/>
          <c:showSerName val="0"/>
          <c:showPercent val="0"/>
          <c:showBubbleSize val="0"/>
        </c:dLbls>
        <c:gapWidth val="30"/>
        <c:axId val="178052096"/>
        <c:axId val="174215936"/>
      </c:barChart>
      <c:catAx>
        <c:axId val="178052096"/>
        <c:scaling>
          <c:orientation val="minMax"/>
        </c:scaling>
        <c:delete val="0"/>
        <c:axPos val="l"/>
        <c:numFmt formatCode="General" sourceLinked="1"/>
        <c:majorTickMark val="out"/>
        <c:minorTickMark val="none"/>
        <c:tickLblPos val="nextTo"/>
        <c:txPr>
          <a:bodyPr/>
          <a:lstStyle/>
          <a:p>
            <a:pPr>
              <a:defRPr sz="799"/>
            </a:pPr>
            <a:endParaRPr lang="ru-RU"/>
          </a:p>
        </c:txPr>
        <c:crossAx val="174215936"/>
        <c:crosses val="autoZero"/>
        <c:auto val="1"/>
        <c:lblAlgn val="ctr"/>
        <c:lblOffset val="100"/>
        <c:noMultiLvlLbl val="0"/>
      </c:catAx>
      <c:valAx>
        <c:axId val="174215936"/>
        <c:scaling>
          <c:orientation val="minMax"/>
          <c:max val="8200"/>
          <c:min val="0"/>
        </c:scaling>
        <c:delete val="0"/>
        <c:axPos val="b"/>
        <c:majorGridlines/>
        <c:numFmt formatCode="#,##0" sourceLinked="0"/>
        <c:majorTickMark val="out"/>
        <c:minorTickMark val="none"/>
        <c:tickLblPos val="nextTo"/>
        <c:txPr>
          <a:bodyPr/>
          <a:lstStyle/>
          <a:p>
            <a:pPr>
              <a:defRPr sz="898"/>
            </a:pPr>
            <a:endParaRPr lang="ru-RU"/>
          </a:p>
        </c:txPr>
        <c:crossAx val="178052096"/>
        <c:crosses val="autoZero"/>
        <c:crossBetween val="between"/>
        <c:majorUnit val="2020"/>
        <c:minorUnit val="1020"/>
      </c:valAx>
    </c:plotArea>
    <c:plotVisOnly val="1"/>
    <c:dispBlanksAs val="gap"/>
    <c:showDLblsOverMax val="0"/>
  </c:chart>
  <c:spPr>
    <a:noFill/>
    <a:ln>
      <a:noFill/>
    </a:ln>
  </c:spPr>
  <c:externalData r:id="rId2">
    <c:autoUpdate val="0"/>
  </c:externalData>
  <c:userShapes r:id="rId3"/>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30"/>
    </c:view3D>
    <c:floor>
      <c:thickness val="0"/>
    </c:floor>
    <c:sideWall>
      <c:thickness val="0"/>
    </c:sideWall>
    <c:backWall>
      <c:thickness val="0"/>
    </c:backWall>
    <c:plotArea>
      <c:layout>
        <c:manualLayout>
          <c:layoutTarget val="inner"/>
          <c:xMode val="edge"/>
          <c:yMode val="edge"/>
          <c:x val="0.13843847988789035"/>
          <c:y val="0.2006524259945531"/>
          <c:w val="0.78525323023011484"/>
          <c:h val="0.51449838478341836"/>
        </c:manualLayout>
      </c:layout>
      <c:pie3DChart>
        <c:varyColors val="1"/>
        <c:ser>
          <c:idx val="1"/>
          <c:order val="0"/>
          <c:tx>
            <c:strRef>
              <c:f>Sheet1!$B$1</c:f>
              <c:strCache>
                <c:ptCount val="1"/>
                <c:pt idx="0">
                  <c:v>2016г. (млрд. тенге)</c:v>
                </c:pt>
              </c:strCache>
            </c:strRef>
          </c:tx>
          <c:dLbls>
            <c:dLbl>
              <c:idx val="0"/>
              <c:layout>
                <c:manualLayout>
                  <c:x val="-9.2510225156731546E-2"/>
                  <c:y val="9.8507139071781227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1"/>
              <c:layout>
                <c:manualLayout>
                  <c:x val="-9.9223999371176833E-2"/>
                  <c:y val="1.5711167959616395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2"/>
              <c:layout>
                <c:manualLayout>
                  <c:x val="-0.11172144878820589"/>
                  <c:y val="-4.4100713432437801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3"/>
              <c:layout>
                <c:manualLayout>
                  <c:x val="9.6261482125965265E-3"/>
                  <c:y val="-6.5952803344109523E-2"/>
                </c:manualLayout>
              </c:layout>
              <c:dLblPos val="bestFit"/>
              <c:showLegendKey val="1"/>
              <c:showVal val="0"/>
              <c:showCatName val="0"/>
              <c:showSerName val="0"/>
              <c:showPercent val="1"/>
              <c:showBubbleSize val="0"/>
              <c:extLst>
                <c:ext xmlns:c15="http://schemas.microsoft.com/office/drawing/2012/chart" uri="{CE6537A1-D6FC-4f65-9D91-7224C49458BB}"/>
              </c:extLst>
            </c:dLbl>
            <c:dLbl>
              <c:idx val="4"/>
              <c:layout>
                <c:manualLayout>
                  <c:x val="0.12684663834493029"/>
                  <c:y val="-7.1057847494715811E-5"/>
                </c:manualLayout>
              </c:layout>
              <c:dLblPos val="bestFit"/>
              <c:showLegendKey val="1"/>
              <c:showVal val="0"/>
              <c:showCatName val="0"/>
              <c:showSerName val="0"/>
              <c:showPercent val="1"/>
              <c:showBubbleSize val="0"/>
              <c:extLst>
                <c:ext xmlns:c15="http://schemas.microsoft.com/office/drawing/2012/chart" uri="{CE6537A1-D6FC-4f65-9D91-7224C49458BB}"/>
              </c:extLst>
            </c:dLbl>
            <c:numFmt formatCode="0.0%" sourceLinked="0"/>
            <c:spPr>
              <a:noFill/>
              <a:ln w="25349">
                <a:noFill/>
              </a:ln>
            </c:spPr>
            <c:txPr>
              <a:bodyPr/>
              <a:lstStyle/>
              <a:p>
                <a:pPr>
                  <a:defRPr sz="1000"/>
                </a:pPr>
                <a:endParaRPr lang="ru-RU"/>
              </a:p>
            </c:txPr>
            <c:showLegendKey val="1"/>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USD</c:v>
                </c:pt>
                <c:pt idx="1">
                  <c:v>KZT</c:v>
                </c:pt>
                <c:pt idx="2">
                  <c:v>RUB</c:v>
                </c:pt>
                <c:pt idx="3">
                  <c:v>EUR</c:v>
                </c:pt>
                <c:pt idx="4">
                  <c:v>Other</c:v>
                </c:pt>
              </c:strCache>
            </c:strRef>
          </c:cat>
          <c:val>
            <c:numRef>
              <c:f>Sheet1!$B$2:$B$6</c:f>
              <c:numCache>
                <c:formatCode>_(* #,##0.00_);_(* \(#,##0.00\);_(* "-"??_);_(@_)</c:formatCode>
                <c:ptCount val="5"/>
                <c:pt idx="0">
                  <c:v>161289.0949416857</c:v>
                </c:pt>
                <c:pt idx="1">
                  <c:v>32786.864525209312</c:v>
                </c:pt>
                <c:pt idx="2">
                  <c:v>10396.495581146899</c:v>
                </c:pt>
                <c:pt idx="3">
                  <c:v>6248.0480876612364</c:v>
                </c:pt>
                <c:pt idx="4">
                  <c:v>907.0660075140313</c:v>
                </c:pt>
              </c:numCache>
            </c:numRef>
          </c:val>
        </c:ser>
        <c:dLbls>
          <c:showLegendKey val="0"/>
          <c:showVal val="0"/>
          <c:showCatName val="0"/>
          <c:showSerName val="0"/>
          <c:showPercent val="0"/>
          <c:showBubbleSize val="0"/>
          <c:showLeaderLines val="0"/>
        </c:dLbls>
      </c:pie3DChart>
      <c:spPr>
        <a:noFill/>
        <a:ln w="25349">
          <a:noFill/>
        </a:ln>
      </c:spPr>
    </c:plotArea>
    <c:legend>
      <c:legendPos val="r"/>
      <c:layout>
        <c:manualLayout>
          <c:xMode val="edge"/>
          <c:yMode val="edge"/>
          <c:x val="6.5321197474078121E-2"/>
          <c:y val="0.79021476241566757"/>
          <c:w val="0.85128205128205126"/>
          <c:h val="0.11302070104140226"/>
        </c:manualLayout>
      </c:layout>
      <c:overlay val="1"/>
    </c:legend>
    <c:plotVisOnly val="1"/>
    <c:dispBlanksAs val="zero"/>
    <c:showDLblsOverMax val="1"/>
  </c:chart>
  <c:spPr>
    <a:ln>
      <a:noFill/>
    </a:ln>
  </c:spPr>
  <c:txPr>
    <a:bodyPr/>
    <a:lstStyle/>
    <a:p>
      <a:pPr>
        <a:defRPr sz="1000"/>
      </a:pPr>
      <a:endParaRPr lang="ru-RU"/>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681462140992291"/>
          <c:y val="2.2988505747126436E-2"/>
          <c:w val="0.61879895561358045"/>
          <c:h val="0.78927203065134099"/>
        </c:manualLayout>
      </c:layout>
      <c:barChart>
        <c:barDir val="bar"/>
        <c:grouping val="clustered"/>
        <c:varyColors val="0"/>
        <c:ser>
          <c:idx val="0"/>
          <c:order val="0"/>
          <c:tx>
            <c:strRef>
              <c:f>Лист1!$B$1</c:f>
              <c:strCache>
                <c:ptCount val="1"/>
                <c:pt idx="0">
                  <c:v>2016</c:v>
                </c:pt>
              </c:strCache>
            </c:strRef>
          </c:tx>
          <c:spPr>
            <a:solidFill>
              <a:srgbClr val="FFC000"/>
            </a:solidFill>
          </c:spPr>
          <c:invertIfNegative val="0"/>
          <c:cat>
            <c:strRef>
              <c:f>Лист1!$A$2:$A$10</c:f>
              <c:strCache>
                <c:ptCount val="9"/>
                <c:pt idx="0">
                  <c:v>Transactions with deposits and transfers of own funds </c:v>
                </c:pt>
                <c:pt idx="1">
                  <c:v>Transactions with foreign currency and precious metals</c:v>
                </c:pt>
                <c:pt idx="2">
                  <c:v>Specific transfers</c:v>
                </c:pt>
                <c:pt idx="3">
                  <c:v>Payments for goods </c:v>
                </c:pt>
                <c:pt idx="4">
                  <c:v>Payment for services </c:v>
                </c:pt>
                <c:pt idx="5">
                  <c:v>Borrowings</c:v>
                </c:pt>
                <c:pt idx="6">
                  <c:v>Transactions with securites issued by RK residents </c:v>
                </c:pt>
                <c:pt idx="7">
                  <c:v>Transactions with securities of RK non-residents </c:v>
                </c:pt>
                <c:pt idx="8">
                  <c:v>Other </c:v>
                </c:pt>
              </c:strCache>
            </c:strRef>
          </c:cat>
          <c:val>
            <c:numRef>
              <c:f>Лист1!$B$2:$B$10</c:f>
              <c:numCache>
                <c:formatCode>_-* #,##0.0_р_._-;\-* #,##0.0_р_._-;_-* "-"??_р_._-;_-@_-</c:formatCode>
                <c:ptCount val="9"/>
                <c:pt idx="0">
                  <c:v>95437.494025055275</c:v>
                </c:pt>
                <c:pt idx="1">
                  <c:v>88202.340361890587</c:v>
                </c:pt>
                <c:pt idx="2">
                  <c:v>8805.6524466565006</c:v>
                </c:pt>
                <c:pt idx="3">
                  <c:v>7906.370949998849</c:v>
                </c:pt>
                <c:pt idx="4">
                  <c:v>3960.9668646719133</c:v>
                </c:pt>
                <c:pt idx="5">
                  <c:v>3998.0097696297489</c:v>
                </c:pt>
                <c:pt idx="6">
                  <c:v>2345.2611199726698</c:v>
                </c:pt>
                <c:pt idx="7">
                  <c:v>969.21775388228991</c:v>
                </c:pt>
                <c:pt idx="8">
                  <c:v>2.2558552659400002</c:v>
                </c:pt>
              </c:numCache>
            </c:numRef>
          </c:val>
        </c:ser>
        <c:dLbls>
          <c:showLegendKey val="0"/>
          <c:showVal val="0"/>
          <c:showCatName val="0"/>
          <c:showSerName val="0"/>
          <c:showPercent val="0"/>
          <c:showBubbleSize val="0"/>
        </c:dLbls>
        <c:gapWidth val="47"/>
        <c:axId val="175704704"/>
        <c:axId val="175706496"/>
      </c:barChart>
      <c:catAx>
        <c:axId val="175704704"/>
        <c:scaling>
          <c:orientation val="minMax"/>
        </c:scaling>
        <c:delete val="0"/>
        <c:axPos val="l"/>
        <c:numFmt formatCode="General" sourceLinked="1"/>
        <c:majorTickMark val="out"/>
        <c:minorTickMark val="none"/>
        <c:tickLblPos val="nextTo"/>
        <c:txPr>
          <a:bodyPr/>
          <a:lstStyle/>
          <a:p>
            <a:pPr>
              <a:defRPr sz="600"/>
            </a:pPr>
            <a:endParaRPr lang="ru-RU"/>
          </a:p>
        </c:txPr>
        <c:crossAx val="175706496"/>
        <c:crosses val="autoZero"/>
        <c:auto val="1"/>
        <c:lblAlgn val="ctr"/>
        <c:lblOffset val="100"/>
        <c:noMultiLvlLbl val="0"/>
      </c:catAx>
      <c:valAx>
        <c:axId val="175706496"/>
        <c:scaling>
          <c:orientation val="minMax"/>
          <c:max val="100000"/>
          <c:min val="0"/>
        </c:scaling>
        <c:delete val="0"/>
        <c:axPos val="b"/>
        <c:majorGridlines/>
        <c:numFmt formatCode="#,##0" sourceLinked="0"/>
        <c:majorTickMark val="out"/>
        <c:minorTickMark val="none"/>
        <c:tickLblPos val="nextTo"/>
        <c:txPr>
          <a:bodyPr/>
          <a:lstStyle/>
          <a:p>
            <a:pPr>
              <a:defRPr sz="899"/>
            </a:pPr>
            <a:endParaRPr lang="ru-RU"/>
          </a:p>
        </c:txPr>
        <c:crossAx val="175704704"/>
        <c:crosses val="autoZero"/>
        <c:crossBetween val="between"/>
        <c:majorUnit val="10000"/>
        <c:minorUnit val="1000"/>
      </c:valAx>
    </c:plotArea>
    <c:plotVisOnly val="1"/>
    <c:dispBlanksAs val="gap"/>
    <c:showDLblsOverMax val="0"/>
  </c:chart>
  <c:spPr>
    <a:noFill/>
    <a:ln>
      <a:noFill/>
    </a:ln>
  </c:spPr>
  <c:externalData r:id="rId2">
    <c:autoUpdate val="0"/>
  </c:externalData>
  <c:userShapes r:id="rId3"/>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64185158673353"/>
          <c:y val="4.49438202247191E-2"/>
          <c:w val="0.64671883587127388"/>
          <c:h val="0.70800053383157735"/>
        </c:manualLayout>
      </c:layout>
      <c:barChart>
        <c:barDir val="col"/>
        <c:grouping val="clustered"/>
        <c:varyColors val="1"/>
        <c:ser>
          <c:idx val="3"/>
          <c:order val="1"/>
          <c:tx>
            <c:strRef>
              <c:f>Sheet1!$A$3</c:f>
              <c:strCache>
                <c:ptCount val="1"/>
                <c:pt idx="0">
                  <c:v>Amount</c:v>
                </c:pt>
              </c:strCache>
            </c:strRef>
          </c:tx>
          <c:spPr>
            <a:solidFill>
              <a:srgbClr val="92D050"/>
            </a:solidFill>
            <a:ln w="10861">
              <a:noFill/>
              <a:prstDash val="solid"/>
            </a:ln>
          </c:spPr>
          <c:invertIfNegative val="0"/>
          <c:dPt>
            <c:idx val="0"/>
            <c:invertIfNegative val="0"/>
            <c:bubble3D val="0"/>
            <c:spPr>
              <a:solidFill>
                <a:srgbClr val="92D050"/>
              </a:solidFill>
              <a:ln w="10861">
                <a:noFill/>
                <a:prstDash val="solid"/>
              </a:ln>
            </c:spPr>
          </c:dPt>
          <c:dLbls>
            <c:dLbl>
              <c:idx val="0"/>
              <c:layout>
                <c:manualLayout>
                  <c:x val="-5.5866627782638519E-3"/>
                  <c:y val="0.10305657985174389"/>
                </c:manualLayout>
              </c:layout>
              <c:tx>
                <c:rich>
                  <a:bodyPr/>
                  <a:lstStyle/>
                  <a:p>
                    <a:r>
                      <a:rPr lang="en-US" sz="1013"/>
                      <a:t>21,0  </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dLbl>
              <c:idx val="1"/>
              <c:layout>
                <c:manualLayout>
                  <c:x val="-1.4937947571368391E-4"/>
                  <c:y val="0.1864148005297437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2346003045915585E-2"/>
                  <c:y val="0.32675832084022188"/>
                </c:manualLayout>
              </c:layout>
              <c:tx>
                <c:rich>
                  <a:bodyPr/>
                  <a:lstStyle/>
                  <a:p>
                    <a:r>
                      <a:rPr lang="en-US"/>
                      <a:t> 154,2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w="21434">
                <a:noFill/>
              </a:ln>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Sheet1!$B$3:$D$3</c:f>
              <c:numCache>
                <c:formatCode>#,##0.0</c:formatCode>
                <c:ptCount val="3"/>
                <c:pt idx="0">
                  <c:v>21.042840972629989</c:v>
                </c:pt>
                <c:pt idx="1">
                  <c:v>44.455551556560003</c:v>
                </c:pt>
                <c:pt idx="2">
                  <c:v>154.18981161390002</c:v>
                </c:pt>
              </c:numCache>
            </c:numRef>
          </c:val>
        </c:ser>
        <c:dLbls>
          <c:showLegendKey val="0"/>
          <c:showVal val="0"/>
          <c:showCatName val="0"/>
          <c:showSerName val="0"/>
          <c:showPercent val="0"/>
          <c:showBubbleSize val="0"/>
        </c:dLbls>
        <c:gapWidth val="47"/>
        <c:overlap val="-29"/>
        <c:axId val="175819776"/>
        <c:axId val="175821568"/>
      </c:barChart>
      <c:lineChart>
        <c:grouping val="standard"/>
        <c:varyColors val="1"/>
        <c:ser>
          <c:idx val="2"/>
          <c:order val="0"/>
          <c:tx>
            <c:strRef>
              <c:f>Sheet1!$A$2</c:f>
              <c:strCache>
                <c:ptCount val="1"/>
                <c:pt idx="0">
                  <c:v>Number </c:v>
                </c:pt>
              </c:strCache>
            </c:strRef>
          </c:tx>
          <c:spPr>
            <a:ln w="32151">
              <a:solidFill>
                <a:schemeClr val="accent3">
                  <a:lumMod val="50000"/>
                </a:schemeClr>
              </a:solidFill>
              <a:prstDash val="solid"/>
            </a:ln>
          </c:spPr>
          <c:marker>
            <c:symbol val="triangle"/>
            <c:size val="5"/>
            <c:spPr>
              <a:solidFill>
                <a:schemeClr val="accent3">
                  <a:lumMod val="50000"/>
                </a:schemeClr>
              </a:solidFill>
              <a:ln>
                <a:solidFill>
                  <a:srgbClr val="419331"/>
                </a:solidFill>
                <a:prstDash val="solid"/>
              </a:ln>
            </c:spPr>
          </c:marker>
          <c:dPt>
            <c:idx val="0"/>
            <c:marker>
              <c:spPr>
                <a:solidFill>
                  <a:srgbClr val="C00000"/>
                </a:solidFill>
                <a:ln>
                  <a:solidFill>
                    <a:srgbClr val="419331"/>
                  </a:solidFill>
                  <a:prstDash val="solid"/>
                </a:ln>
              </c:spPr>
            </c:marker>
            <c:bubble3D val="0"/>
            <c:spPr>
              <a:ln w="32151">
                <a:solidFill>
                  <a:schemeClr val="accent3">
                    <a:lumMod val="50000"/>
                  </a:schemeClr>
                </a:solidFill>
                <a:prstDash val="solid"/>
              </a:ln>
            </c:spPr>
          </c:dPt>
          <c:dPt>
            <c:idx val="1"/>
            <c:marker>
              <c:spPr>
                <a:solidFill>
                  <a:srgbClr val="C00000"/>
                </a:solidFill>
                <a:ln>
                  <a:solidFill>
                    <a:srgbClr val="419331"/>
                  </a:solidFill>
                  <a:prstDash val="solid"/>
                </a:ln>
              </c:spPr>
            </c:marker>
            <c:bubble3D val="0"/>
            <c:spPr>
              <a:ln w="32151">
                <a:solidFill>
                  <a:srgbClr val="C00000"/>
                </a:solidFill>
                <a:prstDash val="solid"/>
              </a:ln>
            </c:spPr>
          </c:dPt>
          <c:dPt>
            <c:idx val="2"/>
            <c:marker>
              <c:spPr>
                <a:solidFill>
                  <a:srgbClr val="C00000"/>
                </a:solidFill>
                <a:ln>
                  <a:solidFill>
                    <a:srgbClr val="419331"/>
                  </a:solidFill>
                  <a:prstDash val="solid"/>
                </a:ln>
              </c:spPr>
            </c:marker>
            <c:bubble3D val="0"/>
            <c:spPr>
              <a:ln w="32151">
                <a:solidFill>
                  <a:srgbClr val="C00000"/>
                </a:solidFill>
                <a:prstDash val="solid"/>
              </a:ln>
            </c:spPr>
          </c:dPt>
          <c:dLbls>
            <c:dLbl>
              <c:idx val="0"/>
              <c:layout>
                <c:manualLayout>
                  <c:x val="-7.1857684456109808E-2"/>
                  <c:y val="-0.10148612783394048"/>
                </c:manualLayout>
              </c:layout>
              <c:spPr>
                <a:noFill/>
                <a:ln w="21434">
                  <a:noFill/>
                </a:ln>
              </c:spPr>
              <c:txPr>
                <a:bodyPr/>
                <a:lstStyle/>
                <a:p>
                  <a:pPr>
                    <a:defRPr/>
                  </a:pPr>
                  <a:endParaRPr lang="ru-RU"/>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0390946502057608"/>
                  <c:y val="-0.12879311192901488"/>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3683127572016471"/>
                  <c:y val="-4.775006362397907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1434">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Sheet1!$B$1:$D$1</c:f>
              <c:numCache>
                <c:formatCode>General</c:formatCode>
                <c:ptCount val="3"/>
                <c:pt idx="0">
                  <c:v>2014</c:v>
                </c:pt>
                <c:pt idx="1">
                  <c:v>2015</c:v>
                </c:pt>
                <c:pt idx="2">
                  <c:v>2016</c:v>
                </c:pt>
              </c:numCache>
            </c:numRef>
          </c:cat>
          <c:val>
            <c:numRef>
              <c:f>Sheet1!$B$2:$D$2</c:f>
              <c:numCache>
                <c:formatCode>#,##0.0</c:formatCode>
                <c:ptCount val="3"/>
                <c:pt idx="0">
                  <c:v>7.9087670000000019</c:v>
                </c:pt>
                <c:pt idx="1">
                  <c:v>15.997146000000004</c:v>
                </c:pt>
                <c:pt idx="2">
                  <c:v>43.285339000000015</c:v>
                </c:pt>
              </c:numCache>
            </c:numRef>
          </c:val>
          <c:smooth val="1"/>
        </c:ser>
        <c:dLbls>
          <c:showLegendKey val="0"/>
          <c:showVal val="0"/>
          <c:showCatName val="0"/>
          <c:showSerName val="0"/>
          <c:showPercent val="0"/>
          <c:showBubbleSize val="0"/>
        </c:dLbls>
        <c:marker val="1"/>
        <c:smooth val="0"/>
        <c:axId val="175823488"/>
        <c:axId val="177934720"/>
      </c:lineChart>
      <c:catAx>
        <c:axId val="175819776"/>
        <c:scaling>
          <c:orientation val="minMax"/>
        </c:scaling>
        <c:delete val="0"/>
        <c:axPos val="b"/>
        <c:numFmt formatCode="General" sourceLinked="1"/>
        <c:majorTickMark val="none"/>
        <c:minorTickMark val="none"/>
        <c:tickLblPos val="nextTo"/>
        <c:spPr>
          <a:ln w="2716">
            <a:solidFill>
              <a:schemeClr val="tx1"/>
            </a:solidFill>
            <a:prstDash val="solid"/>
          </a:ln>
        </c:spPr>
        <c:txPr>
          <a:bodyPr rot="0" vert="horz"/>
          <a:lstStyle/>
          <a:p>
            <a:pPr>
              <a:defRPr/>
            </a:pPr>
            <a:endParaRPr lang="ru-RU"/>
          </a:p>
        </c:txPr>
        <c:crossAx val="175821568"/>
        <c:crosses val="autoZero"/>
        <c:auto val="1"/>
        <c:lblAlgn val="ctr"/>
        <c:lblOffset val="100"/>
        <c:tickLblSkip val="1"/>
        <c:tickMarkSkip val="1"/>
        <c:noMultiLvlLbl val="1"/>
      </c:catAx>
      <c:valAx>
        <c:axId val="175821568"/>
        <c:scaling>
          <c:orientation val="minMax"/>
          <c:max val="160"/>
        </c:scaling>
        <c:delete val="0"/>
        <c:axPos val="l"/>
        <c:majorGridlines>
          <c:spPr>
            <a:ln>
              <a:solidFill>
                <a:schemeClr val="bg1">
                  <a:lumMod val="75000"/>
                </a:schemeClr>
              </a:solidFill>
              <a:prstDash val="sysDash"/>
            </a:ln>
          </c:spPr>
        </c:majorGridlines>
        <c:title>
          <c:tx>
            <c:rich>
              <a:bodyPr/>
              <a:lstStyle/>
              <a:p>
                <a:pPr>
                  <a:defRPr/>
                </a:pPr>
                <a:r>
                  <a:rPr lang="en-US"/>
                  <a:t>KZT billion </a:t>
                </a:r>
                <a:endParaRPr lang="ru-RU"/>
              </a:p>
            </c:rich>
          </c:tx>
          <c:layout>
            <c:manualLayout>
              <c:xMode val="edge"/>
              <c:yMode val="edge"/>
              <c:x val="7.9744661546936324E-3"/>
              <c:y val="0.21254610970238896"/>
            </c:manualLayout>
          </c:layout>
          <c:overlay val="0"/>
          <c:spPr>
            <a:noFill/>
            <a:ln w="21434">
              <a:noFill/>
            </a:ln>
          </c:spPr>
        </c:title>
        <c:numFmt formatCode="#,##0" sourceLinked="0"/>
        <c:majorTickMark val="out"/>
        <c:minorTickMark val="none"/>
        <c:tickLblPos val="nextTo"/>
        <c:spPr>
          <a:ln w="2716">
            <a:solidFill>
              <a:schemeClr val="tx1"/>
            </a:solidFill>
            <a:prstDash val="solid"/>
          </a:ln>
        </c:spPr>
        <c:txPr>
          <a:bodyPr rot="0" vert="horz"/>
          <a:lstStyle/>
          <a:p>
            <a:pPr>
              <a:defRPr/>
            </a:pPr>
            <a:endParaRPr lang="ru-RU"/>
          </a:p>
        </c:txPr>
        <c:crossAx val="175819776"/>
        <c:crosses val="autoZero"/>
        <c:crossBetween val="between"/>
        <c:majorUnit val="40"/>
        <c:minorUnit val="30"/>
      </c:valAx>
      <c:catAx>
        <c:axId val="175823488"/>
        <c:scaling>
          <c:orientation val="minMax"/>
        </c:scaling>
        <c:delete val="1"/>
        <c:axPos val="b"/>
        <c:numFmt formatCode="General" sourceLinked="1"/>
        <c:majorTickMark val="out"/>
        <c:minorTickMark val="none"/>
        <c:tickLblPos val="none"/>
        <c:crossAx val="177934720"/>
        <c:crosses val="autoZero"/>
        <c:auto val="1"/>
        <c:lblAlgn val="ctr"/>
        <c:lblOffset val="100"/>
        <c:noMultiLvlLbl val="0"/>
      </c:catAx>
      <c:valAx>
        <c:axId val="177934720"/>
        <c:scaling>
          <c:orientation val="minMax"/>
          <c:max val="60"/>
        </c:scaling>
        <c:delete val="0"/>
        <c:axPos val="r"/>
        <c:title>
          <c:tx>
            <c:rich>
              <a:bodyPr rot="5400000" vert="horz"/>
              <a:lstStyle/>
              <a:p>
                <a:pPr algn="ctr">
                  <a:defRPr/>
                </a:pPr>
                <a:r>
                  <a:rPr lang="en-US"/>
                  <a:t>million transactions </a:t>
                </a:r>
                <a:endParaRPr lang="ru-RU"/>
              </a:p>
            </c:rich>
          </c:tx>
          <c:layout>
            <c:manualLayout>
              <c:xMode val="edge"/>
              <c:yMode val="edge"/>
              <c:x val="0.90447619973429105"/>
              <c:y val="0.11745842786600814"/>
            </c:manualLayout>
          </c:layout>
          <c:overlay val="0"/>
          <c:spPr>
            <a:noFill/>
            <a:ln w="21434">
              <a:noFill/>
            </a:ln>
          </c:spPr>
        </c:title>
        <c:numFmt formatCode="#,##0" sourceLinked="0"/>
        <c:majorTickMark val="out"/>
        <c:minorTickMark val="none"/>
        <c:tickLblPos val="nextTo"/>
        <c:txPr>
          <a:bodyPr rot="0" vert="horz"/>
          <a:lstStyle/>
          <a:p>
            <a:pPr>
              <a:defRPr/>
            </a:pPr>
            <a:endParaRPr lang="ru-RU"/>
          </a:p>
        </c:txPr>
        <c:crossAx val="175823488"/>
        <c:crosses val="max"/>
        <c:crossBetween val="between"/>
        <c:majorUnit val="20"/>
        <c:minorUnit val="10"/>
      </c:valAx>
      <c:spPr>
        <a:noFill/>
        <a:ln w="21434">
          <a:noFill/>
        </a:ln>
      </c:spPr>
    </c:plotArea>
    <c:legend>
      <c:legendPos val="r"/>
      <c:layout>
        <c:manualLayout>
          <c:xMode val="edge"/>
          <c:yMode val="edge"/>
          <c:x val="0.22018988367194842"/>
          <c:y val="0.86932176698251762"/>
          <c:w val="0.5221932114882506"/>
          <c:h val="0.12734082397003738"/>
        </c:manualLayout>
      </c:layout>
      <c:overlay val="0"/>
      <c:spPr>
        <a:noFill/>
        <a:ln w="21721">
          <a:noFill/>
        </a:ln>
      </c:spPr>
    </c:legend>
    <c:plotVisOnly val="1"/>
    <c:dispBlanksAs val="gap"/>
    <c:showDLblsOverMax val="1"/>
  </c:chart>
  <c:spPr>
    <a:noFill/>
    <a:ln>
      <a:noFill/>
    </a:ln>
  </c:spPr>
  <c:txPr>
    <a:bodyPr/>
    <a:lstStyle/>
    <a:p>
      <a:pPr>
        <a:defRPr sz="1000" b="0" i="0" u="none" strike="noStrike" baseline="0">
          <a:solidFill>
            <a:srgbClr val="000000"/>
          </a:solidFill>
          <a:latin typeface="+mn-lt"/>
          <a:ea typeface="Calibri"/>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8">
                <a:solidFill>
                  <a:srgbClr val="0E4C28"/>
                </a:solidFill>
              </a:defRPr>
            </a:pPr>
            <a:r>
              <a:rPr lang="en-US"/>
              <a:t>Number </a:t>
            </a:r>
            <a:endParaRPr lang="ru-RU"/>
          </a:p>
        </c:rich>
      </c:tx>
      <c:layout>
        <c:manualLayout>
          <c:xMode val="edge"/>
          <c:yMode val="edge"/>
          <c:x val="0.37533777934750362"/>
          <c:y val="0"/>
        </c:manualLayout>
      </c:layout>
      <c:overlay val="0"/>
      <c:spPr>
        <a:noFill/>
        <a:ln w="25367">
          <a:noFill/>
        </a:ln>
      </c:spPr>
    </c:title>
    <c:autoTitleDeleted val="0"/>
    <c:plotArea>
      <c:layout>
        <c:manualLayout>
          <c:layoutTarget val="inner"/>
          <c:xMode val="edge"/>
          <c:yMode val="edge"/>
          <c:x val="0.14285714285714327"/>
          <c:y val="0.22105263157894736"/>
          <c:w val="0.80952380952380965"/>
          <c:h val="0.55789473684210633"/>
        </c:manualLayout>
      </c:layout>
      <c:barChart>
        <c:barDir val="col"/>
        <c:grouping val="clustered"/>
        <c:varyColors val="0"/>
        <c:ser>
          <c:idx val="0"/>
          <c:order val="0"/>
          <c:tx>
            <c:strRef>
              <c:f>Лист1!$B$1</c:f>
              <c:strCache>
                <c:ptCount val="1"/>
                <c:pt idx="0">
                  <c:v>Количество</c:v>
                </c:pt>
              </c:strCache>
            </c:strRef>
          </c:tx>
          <c:spPr>
            <a:solidFill>
              <a:srgbClr val="9BBB59">
                <a:lumMod val="75000"/>
              </a:srgbClr>
            </a:solidFill>
          </c:spPr>
          <c:invertIfNegative val="0"/>
          <c:dLbls>
            <c:spPr>
              <a:noFill/>
              <a:ln w="2536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12.3</c:v>
                </c:pt>
                <c:pt idx="1">
                  <c:v>13.9</c:v>
                </c:pt>
                <c:pt idx="2">
                  <c:v>14</c:v>
                </c:pt>
                <c:pt idx="3">
                  <c:v>13.5</c:v>
                </c:pt>
                <c:pt idx="4">
                  <c:v>14</c:v>
                </c:pt>
              </c:numCache>
            </c:numRef>
          </c:val>
        </c:ser>
        <c:dLbls>
          <c:showLegendKey val="0"/>
          <c:showVal val="0"/>
          <c:showCatName val="0"/>
          <c:showSerName val="0"/>
          <c:showPercent val="0"/>
          <c:showBubbleSize val="0"/>
        </c:dLbls>
        <c:gapWidth val="70"/>
        <c:axId val="165837824"/>
        <c:axId val="167867136"/>
      </c:barChart>
      <c:catAx>
        <c:axId val="165837824"/>
        <c:scaling>
          <c:orientation val="minMax"/>
        </c:scaling>
        <c:delete val="0"/>
        <c:axPos val="b"/>
        <c:numFmt formatCode="General" sourceLinked="1"/>
        <c:majorTickMark val="out"/>
        <c:minorTickMark val="none"/>
        <c:tickLblPos val="nextTo"/>
        <c:crossAx val="167867136"/>
        <c:crosses val="autoZero"/>
        <c:auto val="1"/>
        <c:lblAlgn val="ctr"/>
        <c:lblOffset val="100"/>
        <c:noMultiLvlLbl val="0"/>
      </c:catAx>
      <c:valAx>
        <c:axId val="167867136"/>
        <c:scaling>
          <c:orientation val="minMax"/>
        </c:scaling>
        <c:delete val="0"/>
        <c:axPos val="l"/>
        <c:numFmt formatCode="#,##0.0" sourceLinked="1"/>
        <c:majorTickMark val="out"/>
        <c:minorTickMark val="none"/>
        <c:tickLblPos val="nextTo"/>
        <c:crossAx val="165837824"/>
        <c:crosses val="autoZero"/>
        <c:crossBetween val="between"/>
      </c:valAx>
    </c:plotArea>
    <c:plotVisOnly val="1"/>
    <c:dispBlanksAs val="gap"/>
    <c:showDLblsOverMax val="0"/>
  </c:chart>
  <c:spPr>
    <a:ln>
      <a:noFill/>
    </a:ln>
  </c:spPr>
  <c:txPr>
    <a:bodyPr/>
    <a:lstStyle/>
    <a:p>
      <a:pPr>
        <a:defRPr sz="1000">
          <a:latin typeface="+mn-lt"/>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0E4C28"/>
                </a:solidFill>
                <a:latin typeface="+mn-lt"/>
                <a:cs typeface="Times New Roman" pitchFamily="18" charset="0"/>
              </a:defRPr>
            </a:pPr>
            <a:r>
              <a:rPr lang="en-US"/>
              <a:t>Amount</a:t>
            </a:r>
            <a:endParaRPr lang="ru-RU"/>
          </a:p>
        </c:rich>
      </c:tx>
      <c:layout>
        <c:manualLayout>
          <c:xMode val="edge"/>
          <c:yMode val="edge"/>
          <c:x val="0.41666666666666741"/>
          <c:y val="0"/>
        </c:manualLayout>
      </c:layout>
      <c:overlay val="0"/>
      <c:spPr>
        <a:noFill/>
        <a:ln w="25362">
          <a:noFill/>
        </a:ln>
      </c:spPr>
    </c:title>
    <c:autoTitleDeleted val="0"/>
    <c:plotArea>
      <c:layout>
        <c:manualLayout>
          <c:layoutTarget val="inner"/>
          <c:xMode val="edge"/>
          <c:yMode val="edge"/>
          <c:x val="0.14493842115889413"/>
          <c:y val="0.15609756097560976"/>
          <c:w val="0.82980906232874896"/>
          <c:h val="0.63902439024390356"/>
        </c:manualLayout>
      </c:layout>
      <c:barChart>
        <c:barDir val="col"/>
        <c:grouping val="clustered"/>
        <c:varyColors val="0"/>
        <c:ser>
          <c:idx val="0"/>
          <c:order val="0"/>
          <c:tx>
            <c:strRef>
              <c:f>Лист1!$B$1</c:f>
              <c:strCache>
                <c:ptCount val="1"/>
                <c:pt idx="0">
                  <c:v>Сумма</c:v>
                </c:pt>
              </c:strCache>
            </c:strRef>
          </c:tx>
          <c:spPr>
            <a:solidFill>
              <a:srgbClr val="F79646">
                <a:lumMod val="40000"/>
                <a:lumOff val="60000"/>
              </a:srgbClr>
            </a:solidFill>
          </c:spPr>
          <c:invertIfNegative val="0"/>
          <c:dLbls>
            <c:spPr>
              <a:noFill/>
              <a:ln w="25362">
                <a:noFill/>
              </a:ln>
            </c:spPr>
            <c:txPr>
              <a:bodyPr/>
              <a:lstStyle/>
              <a:p>
                <a:pPr>
                  <a:defRPr>
                    <a:latin typeface="+mn-lt"/>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#,##0.0</c:formatCode>
                <c:ptCount val="5"/>
                <c:pt idx="0">
                  <c:v>166.5</c:v>
                </c:pt>
                <c:pt idx="1">
                  <c:v>172.8</c:v>
                </c:pt>
                <c:pt idx="2">
                  <c:v>197.2</c:v>
                </c:pt>
                <c:pt idx="3">
                  <c:v>226.5</c:v>
                </c:pt>
                <c:pt idx="4">
                  <c:v>584.70000000000005</c:v>
                </c:pt>
              </c:numCache>
            </c:numRef>
          </c:val>
        </c:ser>
        <c:dLbls>
          <c:showLegendKey val="0"/>
          <c:showVal val="0"/>
          <c:showCatName val="0"/>
          <c:showSerName val="0"/>
          <c:showPercent val="0"/>
          <c:showBubbleSize val="0"/>
        </c:dLbls>
        <c:gapWidth val="70"/>
        <c:axId val="168612992"/>
        <c:axId val="168614528"/>
      </c:barChart>
      <c:catAx>
        <c:axId val="168612992"/>
        <c:scaling>
          <c:orientation val="minMax"/>
        </c:scaling>
        <c:delete val="0"/>
        <c:axPos val="b"/>
        <c:numFmt formatCode="General" sourceLinked="1"/>
        <c:majorTickMark val="out"/>
        <c:minorTickMark val="none"/>
        <c:tickLblPos val="nextTo"/>
        <c:txPr>
          <a:bodyPr/>
          <a:lstStyle/>
          <a:p>
            <a:pPr>
              <a:defRPr>
                <a:latin typeface="+mn-lt"/>
                <a:cs typeface="Times New Roman" pitchFamily="18" charset="0"/>
              </a:defRPr>
            </a:pPr>
            <a:endParaRPr lang="ru-RU"/>
          </a:p>
        </c:txPr>
        <c:crossAx val="168614528"/>
        <c:crosses val="autoZero"/>
        <c:auto val="1"/>
        <c:lblAlgn val="ctr"/>
        <c:lblOffset val="100"/>
        <c:noMultiLvlLbl val="0"/>
      </c:catAx>
      <c:valAx>
        <c:axId val="168614528"/>
        <c:scaling>
          <c:orientation val="minMax"/>
        </c:scaling>
        <c:delete val="0"/>
        <c:axPos val="l"/>
        <c:numFmt formatCode="#,##0.0" sourceLinked="1"/>
        <c:majorTickMark val="out"/>
        <c:minorTickMark val="none"/>
        <c:tickLblPos val="nextTo"/>
        <c:txPr>
          <a:bodyPr/>
          <a:lstStyle/>
          <a:p>
            <a:pPr>
              <a:defRPr>
                <a:latin typeface="+mn-lt"/>
                <a:cs typeface="Times New Roman" pitchFamily="18" charset="0"/>
              </a:defRPr>
            </a:pPr>
            <a:endParaRPr lang="ru-RU"/>
          </a:p>
        </c:txPr>
        <c:crossAx val="168612992"/>
        <c:crosses val="autoZero"/>
        <c:crossBetween val="between"/>
      </c:valAx>
    </c:plotArea>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626933782839654"/>
          <c:y val="2.2308979364194091E-2"/>
          <c:w val="0.60176462882459403"/>
          <c:h val="0.81545700286630352"/>
        </c:manualLayout>
      </c:layout>
      <c:barChart>
        <c:barDir val="bar"/>
        <c:grouping val="clustered"/>
        <c:varyColors val="0"/>
        <c:ser>
          <c:idx val="0"/>
          <c:order val="0"/>
          <c:tx>
            <c:strRef>
              <c:f>Лист1!$B$1</c:f>
              <c:strCache>
                <c:ptCount val="1"/>
                <c:pt idx="0">
                  <c:v>2016</c:v>
                </c:pt>
              </c:strCache>
            </c:strRef>
          </c:tx>
          <c:spPr>
            <a:solidFill>
              <a:srgbClr val="339966"/>
            </a:solidFill>
          </c:spPr>
          <c:invertIfNegative val="0"/>
          <c:dLbls>
            <c:numFmt formatCode="#,##0" sourceLinked="0"/>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Other payments*</c:v>
                </c:pt>
                <c:pt idx="1">
                  <c:v>Securities, promissory notes and deposit certificates</c:v>
                </c:pt>
                <c:pt idx="2">
                  <c:v>Deposits </c:v>
                </c:pt>
                <c:pt idx="3">
                  <c:v>Forex and transactions with precious metals </c:v>
                </c:pt>
                <c:pt idx="4">
                  <c:v>Goods, intangible assets and services</c:v>
                </c:pt>
                <c:pt idx="5">
                  <c:v>Loans</c:v>
                </c:pt>
              </c:strCache>
            </c:strRef>
          </c:cat>
          <c:val>
            <c:numRef>
              <c:f>Лист1!$B$2:$B$7</c:f>
              <c:numCache>
                <c:formatCode>_-* #,##0.0_р_._-;\-* #,##0.0_р_._-;_-* "-"??_р_._-;_-@_-</c:formatCode>
                <c:ptCount val="6"/>
                <c:pt idx="0">
                  <c:v>257232.9</c:v>
                </c:pt>
                <c:pt idx="1">
                  <c:v>201281.3</c:v>
                </c:pt>
                <c:pt idx="2">
                  <c:v>73805.8</c:v>
                </c:pt>
                <c:pt idx="3">
                  <c:v>28212.799999999996</c:v>
                </c:pt>
                <c:pt idx="4">
                  <c:v>20519.400000000001</c:v>
                </c:pt>
                <c:pt idx="5">
                  <c:v>3619.5</c:v>
                </c:pt>
              </c:numCache>
            </c:numRef>
          </c:val>
        </c:ser>
        <c:ser>
          <c:idx val="1"/>
          <c:order val="1"/>
          <c:tx>
            <c:strRef>
              <c:f>Лист1!$C$1</c:f>
              <c:strCache>
                <c:ptCount val="1"/>
                <c:pt idx="0">
                  <c:v>2015</c:v>
                </c:pt>
              </c:strCache>
            </c:strRef>
          </c:tx>
          <c:spPr>
            <a:solidFill>
              <a:srgbClr val="F2DCDB"/>
            </a:solidFill>
          </c:spPr>
          <c:invertIfNegative val="0"/>
          <c:dLbls>
            <c:numFmt formatCode="#,##0" sourceLinked="0"/>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Other payments*</c:v>
                </c:pt>
                <c:pt idx="1">
                  <c:v>Securities, promissory notes and deposit certificates</c:v>
                </c:pt>
                <c:pt idx="2">
                  <c:v>Deposits </c:v>
                </c:pt>
                <c:pt idx="3">
                  <c:v>Forex and transactions with precious metals </c:v>
                </c:pt>
                <c:pt idx="4">
                  <c:v>Goods, intangible assets and services</c:v>
                </c:pt>
                <c:pt idx="5">
                  <c:v>Loans</c:v>
                </c:pt>
              </c:strCache>
            </c:strRef>
          </c:cat>
          <c:val>
            <c:numRef>
              <c:f>Лист1!$C$2:$C$7</c:f>
              <c:numCache>
                <c:formatCode>_-* #,##0.0_р_._-;\-* #,##0.0_р_._-;_-* "-"??_р_._-;_-@_-</c:formatCode>
                <c:ptCount val="6"/>
                <c:pt idx="0">
                  <c:v>43526.7</c:v>
                </c:pt>
                <c:pt idx="1">
                  <c:v>106655.4</c:v>
                </c:pt>
                <c:pt idx="2">
                  <c:v>24636.2</c:v>
                </c:pt>
                <c:pt idx="3">
                  <c:v>30893.3</c:v>
                </c:pt>
                <c:pt idx="4">
                  <c:v>18777.09999999998</c:v>
                </c:pt>
                <c:pt idx="5">
                  <c:v>1971.2</c:v>
                </c:pt>
              </c:numCache>
            </c:numRef>
          </c:val>
        </c:ser>
        <c:dLbls>
          <c:showLegendKey val="0"/>
          <c:showVal val="0"/>
          <c:showCatName val="0"/>
          <c:showSerName val="0"/>
          <c:showPercent val="0"/>
          <c:showBubbleSize val="0"/>
        </c:dLbls>
        <c:gapWidth val="61"/>
        <c:axId val="168706816"/>
        <c:axId val="168708352"/>
      </c:barChart>
      <c:catAx>
        <c:axId val="168706816"/>
        <c:scaling>
          <c:orientation val="minMax"/>
        </c:scaling>
        <c:delete val="0"/>
        <c:axPos val="l"/>
        <c:majorGridlines>
          <c:spPr>
            <a:ln>
              <a:prstDash val="sysDash"/>
            </a:ln>
          </c:spPr>
        </c:majorGridlines>
        <c:numFmt formatCode="General" sourceLinked="0"/>
        <c:majorTickMark val="out"/>
        <c:minorTickMark val="none"/>
        <c:tickLblPos val="nextTo"/>
        <c:txPr>
          <a:bodyPr anchor="ctr" anchorCtr="0"/>
          <a:lstStyle/>
          <a:p>
            <a:pPr>
              <a:defRPr sz="800"/>
            </a:pPr>
            <a:endParaRPr lang="ru-RU"/>
          </a:p>
        </c:txPr>
        <c:crossAx val="168708352"/>
        <c:crosses val="autoZero"/>
        <c:auto val="0"/>
        <c:lblAlgn val="ctr"/>
        <c:lblOffset val="100"/>
        <c:noMultiLvlLbl val="0"/>
      </c:catAx>
      <c:valAx>
        <c:axId val="168708352"/>
        <c:scaling>
          <c:orientation val="minMax"/>
          <c:max val="400000"/>
        </c:scaling>
        <c:delete val="0"/>
        <c:axPos val="b"/>
        <c:numFmt formatCode="#,##0" sourceLinked="0"/>
        <c:majorTickMark val="out"/>
        <c:minorTickMark val="none"/>
        <c:tickLblPos val="nextTo"/>
        <c:txPr>
          <a:bodyPr/>
          <a:lstStyle/>
          <a:p>
            <a:pPr>
              <a:defRPr sz="800"/>
            </a:pPr>
            <a:endParaRPr lang="ru-RU"/>
          </a:p>
        </c:txPr>
        <c:crossAx val="168706816"/>
        <c:crosses val="autoZero"/>
        <c:crossBetween val="between"/>
      </c:valAx>
    </c:plotArea>
    <c:legend>
      <c:legendPos val="b"/>
      <c:layout>
        <c:manualLayout>
          <c:xMode val="edge"/>
          <c:yMode val="edge"/>
          <c:x val="0.41315416302128932"/>
          <c:y val="0.91299981116415285"/>
          <c:w val="0.16512923505600541"/>
          <c:h val="8.7000167162727501E-2"/>
        </c:manualLayout>
      </c:layout>
      <c:overlay val="0"/>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'2016'!$E$164</c:f>
              <c:strCache>
                <c:ptCount val="1"/>
                <c:pt idx="0">
                  <c:v>Under KZT 3 mln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'2016'!$F$164:$Q$164</c:f>
              <c:numCache>
                <c:formatCode>#" "###" "###" "###" "##0</c:formatCode>
                <c:ptCount val="12"/>
                <c:pt idx="0">
                  <c:v>755904</c:v>
                </c:pt>
                <c:pt idx="1">
                  <c:v>1086761</c:v>
                </c:pt>
                <c:pt idx="2">
                  <c:v>1029921</c:v>
                </c:pt>
                <c:pt idx="3">
                  <c:v>1074247</c:v>
                </c:pt>
                <c:pt idx="4">
                  <c:v>1020561</c:v>
                </c:pt>
                <c:pt idx="5">
                  <c:v>1042875</c:v>
                </c:pt>
                <c:pt idx="6">
                  <c:v>1026689</c:v>
                </c:pt>
                <c:pt idx="7">
                  <c:v>1155256</c:v>
                </c:pt>
                <c:pt idx="8">
                  <c:v>979510</c:v>
                </c:pt>
                <c:pt idx="9">
                  <c:v>954353</c:v>
                </c:pt>
                <c:pt idx="10">
                  <c:v>997129</c:v>
                </c:pt>
                <c:pt idx="11">
                  <c:v>1120632</c:v>
                </c:pt>
              </c:numCache>
            </c:numRef>
          </c:val>
        </c:ser>
        <c:ser>
          <c:idx val="1"/>
          <c:order val="1"/>
          <c:tx>
            <c:strRef>
              <c:f>'2016'!$E$165</c:f>
              <c:strCache>
                <c:ptCount val="1"/>
                <c:pt idx="0">
                  <c:v>From KZT 3 mln to KZT 5 mln </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'2016'!$F$165:$Q$165</c:f>
              <c:numCache>
                <c:formatCode>#" "###" "###" "###" "##0</c:formatCode>
                <c:ptCount val="12"/>
                <c:pt idx="0">
                  <c:v>16863</c:v>
                </c:pt>
                <c:pt idx="1">
                  <c:v>20204</c:v>
                </c:pt>
                <c:pt idx="2">
                  <c:v>21468</c:v>
                </c:pt>
                <c:pt idx="3">
                  <c:v>23180</c:v>
                </c:pt>
                <c:pt idx="4">
                  <c:v>23785</c:v>
                </c:pt>
                <c:pt idx="5">
                  <c:v>25034</c:v>
                </c:pt>
                <c:pt idx="6">
                  <c:v>23368</c:v>
                </c:pt>
                <c:pt idx="7">
                  <c:v>25693</c:v>
                </c:pt>
                <c:pt idx="8">
                  <c:v>25534</c:v>
                </c:pt>
                <c:pt idx="9">
                  <c:v>25291</c:v>
                </c:pt>
                <c:pt idx="10">
                  <c:v>26016</c:v>
                </c:pt>
                <c:pt idx="11">
                  <c:v>29061</c:v>
                </c:pt>
              </c:numCache>
            </c:numRef>
          </c:val>
        </c:ser>
        <c:ser>
          <c:idx val="2"/>
          <c:order val="2"/>
          <c:tx>
            <c:strRef>
              <c:f>'2016'!$E$166</c:f>
              <c:strCache>
                <c:ptCount val="1"/>
                <c:pt idx="0">
                  <c:v>From KZT 5 mln to KZT 10 mln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'2016'!$F$166:$Q$166</c:f>
              <c:numCache>
                <c:formatCode>#" "###" "###" "###" "##0</c:formatCode>
                <c:ptCount val="12"/>
                <c:pt idx="0">
                  <c:v>30665</c:v>
                </c:pt>
                <c:pt idx="1">
                  <c:v>41080</c:v>
                </c:pt>
                <c:pt idx="2">
                  <c:v>40610</c:v>
                </c:pt>
                <c:pt idx="3">
                  <c:v>44583</c:v>
                </c:pt>
                <c:pt idx="4">
                  <c:v>44807</c:v>
                </c:pt>
                <c:pt idx="5">
                  <c:v>48375</c:v>
                </c:pt>
                <c:pt idx="6">
                  <c:v>44379</c:v>
                </c:pt>
                <c:pt idx="7">
                  <c:v>49838</c:v>
                </c:pt>
                <c:pt idx="8">
                  <c:v>49630</c:v>
                </c:pt>
                <c:pt idx="9">
                  <c:v>49379</c:v>
                </c:pt>
                <c:pt idx="10">
                  <c:v>52889</c:v>
                </c:pt>
                <c:pt idx="11">
                  <c:v>59410</c:v>
                </c:pt>
              </c:numCache>
            </c:numRef>
          </c:val>
        </c:ser>
        <c:ser>
          <c:idx val="3"/>
          <c:order val="3"/>
          <c:tx>
            <c:strRef>
              <c:f>'2016'!$E$167</c:f>
              <c:strCache>
                <c:ptCount val="1"/>
                <c:pt idx="0">
                  <c:v>From KZT 10 mln to KZT 50 mln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'2016'!$F$167:$Q$167</c:f>
              <c:numCache>
                <c:formatCode>#" "###" "###" "###" "##0</c:formatCode>
                <c:ptCount val="12"/>
                <c:pt idx="0">
                  <c:v>34185</c:v>
                </c:pt>
                <c:pt idx="1">
                  <c:v>42345</c:v>
                </c:pt>
                <c:pt idx="2">
                  <c:v>41791</c:v>
                </c:pt>
                <c:pt idx="3">
                  <c:v>46121</c:v>
                </c:pt>
                <c:pt idx="4">
                  <c:v>45666</c:v>
                </c:pt>
                <c:pt idx="5">
                  <c:v>48506</c:v>
                </c:pt>
                <c:pt idx="6">
                  <c:v>45540</c:v>
                </c:pt>
                <c:pt idx="7">
                  <c:v>50967</c:v>
                </c:pt>
                <c:pt idx="8">
                  <c:v>50295</c:v>
                </c:pt>
                <c:pt idx="9">
                  <c:v>50567</c:v>
                </c:pt>
                <c:pt idx="10">
                  <c:v>56027</c:v>
                </c:pt>
                <c:pt idx="11">
                  <c:v>60709</c:v>
                </c:pt>
              </c:numCache>
            </c:numRef>
          </c:val>
        </c:ser>
        <c:ser>
          <c:idx val="4"/>
          <c:order val="4"/>
          <c:tx>
            <c:strRef>
              <c:f>'2016'!$E$168</c:f>
              <c:strCache>
                <c:ptCount val="1"/>
                <c:pt idx="0">
                  <c:v>From KZT 50 mln to KZT 200 mln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'2016'!$F$168:$Q$168</c:f>
              <c:numCache>
                <c:formatCode>#" "###" "###" "###" "##0</c:formatCode>
                <c:ptCount val="12"/>
                <c:pt idx="0">
                  <c:v>5988</c:v>
                </c:pt>
                <c:pt idx="1">
                  <c:v>6988</c:v>
                </c:pt>
                <c:pt idx="2">
                  <c:v>7020</c:v>
                </c:pt>
                <c:pt idx="3">
                  <c:v>7539</c:v>
                </c:pt>
                <c:pt idx="4">
                  <c:v>7403</c:v>
                </c:pt>
                <c:pt idx="5">
                  <c:v>7584</c:v>
                </c:pt>
                <c:pt idx="6">
                  <c:v>7369</c:v>
                </c:pt>
                <c:pt idx="7">
                  <c:v>8338</c:v>
                </c:pt>
                <c:pt idx="8">
                  <c:v>7989</c:v>
                </c:pt>
                <c:pt idx="9">
                  <c:v>8041</c:v>
                </c:pt>
                <c:pt idx="10">
                  <c:v>9114</c:v>
                </c:pt>
                <c:pt idx="11">
                  <c:v>10204</c:v>
                </c:pt>
              </c:numCache>
            </c:numRef>
          </c:val>
        </c:ser>
        <c:ser>
          <c:idx val="5"/>
          <c:order val="5"/>
          <c:tx>
            <c:strRef>
              <c:f>'2016'!$E$169</c:f>
              <c:strCache>
                <c:ptCount val="1"/>
                <c:pt idx="0">
                  <c:v>From KZT 100 mln to KZT 500 mln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'2016'!$F$169:$Q$169</c:f>
              <c:numCache>
                <c:formatCode>#" "###" "###" "###" "##0</c:formatCode>
                <c:ptCount val="12"/>
                <c:pt idx="0">
                  <c:v>8137</c:v>
                </c:pt>
                <c:pt idx="1">
                  <c:v>8012</c:v>
                </c:pt>
                <c:pt idx="2">
                  <c:v>8138</c:v>
                </c:pt>
                <c:pt idx="3">
                  <c:v>8742</c:v>
                </c:pt>
                <c:pt idx="4">
                  <c:v>7511</c:v>
                </c:pt>
                <c:pt idx="5">
                  <c:v>8179</c:v>
                </c:pt>
                <c:pt idx="6">
                  <c:v>7582</c:v>
                </c:pt>
                <c:pt idx="7">
                  <c:v>8459</c:v>
                </c:pt>
                <c:pt idx="8">
                  <c:v>7865</c:v>
                </c:pt>
                <c:pt idx="9">
                  <c:v>8314</c:v>
                </c:pt>
                <c:pt idx="10">
                  <c:v>10425</c:v>
                </c:pt>
                <c:pt idx="11">
                  <c:v>13803</c:v>
                </c:pt>
              </c:numCache>
            </c:numRef>
          </c:val>
        </c:ser>
        <c:ser>
          <c:idx val="6"/>
          <c:order val="6"/>
          <c:tx>
            <c:strRef>
              <c:f>'2016'!$E$170</c:f>
              <c:strCache>
                <c:ptCount val="1"/>
                <c:pt idx="0">
                  <c:v>From KZT 500 mln to KZT 1 bln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'2016'!$F$170:$Q$170</c:f>
              <c:numCache>
                <c:formatCode>#" "###" "###" "###" "##0</c:formatCode>
                <c:ptCount val="12"/>
                <c:pt idx="0">
                  <c:v>5222</c:v>
                </c:pt>
                <c:pt idx="1">
                  <c:v>4253</c:v>
                </c:pt>
                <c:pt idx="2">
                  <c:v>3950</c:v>
                </c:pt>
                <c:pt idx="3">
                  <c:v>4384</c:v>
                </c:pt>
                <c:pt idx="4">
                  <c:v>3483</c:v>
                </c:pt>
                <c:pt idx="5">
                  <c:v>3640</c:v>
                </c:pt>
                <c:pt idx="6">
                  <c:v>3412</c:v>
                </c:pt>
                <c:pt idx="7">
                  <c:v>4098</c:v>
                </c:pt>
                <c:pt idx="8">
                  <c:v>3900</c:v>
                </c:pt>
                <c:pt idx="9">
                  <c:v>3346</c:v>
                </c:pt>
                <c:pt idx="10">
                  <c:v>3523</c:v>
                </c:pt>
                <c:pt idx="11">
                  <c:v>3208</c:v>
                </c:pt>
              </c:numCache>
            </c:numRef>
          </c:val>
        </c:ser>
        <c:ser>
          <c:idx val="7"/>
          <c:order val="7"/>
          <c:tx>
            <c:strRef>
              <c:f>'2016'!$E$171</c:f>
              <c:strCache>
                <c:ptCount val="1"/>
                <c:pt idx="0">
                  <c:v>Above KZT 1 bln</c:v>
                </c:pt>
              </c:strCache>
            </c:strRef>
          </c:tx>
          <c:invertIfNegative val="0"/>
          <c:cat>
            <c:strRef>
              <c:f>'2016'!$F$163:$Q$163</c:f>
              <c:strCache>
                <c:ptCount val="12"/>
                <c:pt idx="0">
                  <c:v>Jan</c:v>
                </c:pt>
                <c:pt idx="1">
                  <c:v>Feb</c:v>
                </c:pt>
                <c:pt idx="2">
                  <c:v>March </c:v>
                </c:pt>
                <c:pt idx="3">
                  <c:v>April</c:v>
                </c:pt>
                <c:pt idx="4">
                  <c:v>May</c:v>
                </c:pt>
                <c:pt idx="5">
                  <c:v>June </c:v>
                </c:pt>
                <c:pt idx="6">
                  <c:v>July</c:v>
                </c:pt>
                <c:pt idx="7">
                  <c:v>Aug</c:v>
                </c:pt>
                <c:pt idx="8">
                  <c:v>Sept</c:v>
                </c:pt>
                <c:pt idx="9">
                  <c:v>Oct</c:v>
                </c:pt>
                <c:pt idx="10">
                  <c:v>Nov</c:v>
                </c:pt>
                <c:pt idx="11">
                  <c:v>Dec</c:v>
                </c:pt>
              </c:strCache>
            </c:strRef>
          </c:cat>
          <c:val>
            <c:numRef>
              <c:f>'2016'!$F$171:$Q$171</c:f>
              <c:numCache>
                <c:formatCode>#" "###" "###" "###" "##0</c:formatCode>
                <c:ptCount val="12"/>
                <c:pt idx="0">
                  <c:v>6113</c:v>
                </c:pt>
                <c:pt idx="1">
                  <c:v>6834</c:v>
                </c:pt>
                <c:pt idx="2">
                  <c:v>8918</c:v>
                </c:pt>
                <c:pt idx="3">
                  <c:v>9147</c:v>
                </c:pt>
                <c:pt idx="4">
                  <c:v>8593</c:v>
                </c:pt>
                <c:pt idx="5">
                  <c:v>8842</c:v>
                </c:pt>
                <c:pt idx="6">
                  <c:v>8977</c:v>
                </c:pt>
                <c:pt idx="7">
                  <c:v>10438</c:v>
                </c:pt>
                <c:pt idx="8">
                  <c:v>8616</c:v>
                </c:pt>
                <c:pt idx="9">
                  <c:v>8276</c:v>
                </c:pt>
                <c:pt idx="10">
                  <c:v>8573</c:v>
                </c:pt>
                <c:pt idx="11">
                  <c:v>8867</c:v>
                </c:pt>
              </c:numCache>
            </c:numRef>
          </c:val>
        </c:ser>
        <c:dLbls>
          <c:showLegendKey val="0"/>
          <c:showVal val="0"/>
          <c:showCatName val="0"/>
          <c:showSerName val="0"/>
          <c:showPercent val="0"/>
          <c:showBubbleSize val="0"/>
        </c:dLbls>
        <c:gapWidth val="150"/>
        <c:overlap val="100"/>
        <c:axId val="168757120"/>
        <c:axId val="168758656"/>
      </c:barChart>
      <c:catAx>
        <c:axId val="168757120"/>
        <c:scaling>
          <c:orientation val="minMax"/>
        </c:scaling>
        <c:delete val="0"/>
        <c:axPos val="b"/>
        <c:majorTickMark val="out"/>
        <c:minorTickMark val="none"/>
        <c:tickLblPos val="nextTo"/>
        <c:crossAx val="168758656"/>
        <c:crosses val="autoZero"/>
        <c:auto val="1"/>
        <c:lblAlgn val="ctr"/>
        <c:lblOffset val="100"/>
        <c:noMultiLvlLbl val="0"/>
      </c:catAx>
      <c:valAx>
        <c:axId val="168758656"/>
        <c:scaling>
          <c:orientation val="minMax"/>
          <c:min val="0.75000000000000011"/>
        </c:scaling>
        <c:delete val="0"/>
        <c:axPos val="l"/>
        <c:majorGridlines/>
        <c:numFmt formatCode="0%" sourceLinked="1"/>
        <c:majorTickMark val="out"/>
        <c:minorTickMark val="none"/>
        <c:tickLblPos val="nextTo"/>
        <c:crossAx val="168757120"/>
        <c:crosses val="autoZero"/>
        <c:crossBetween val="between"/>
      </c:valAx>
    </c:plotArea>
    <c:legend>
      <c:legendPos val="r"/>
      <c:overlay val="0"/>
    </c:legend>
    <c:plotVisOnly val="1"/>
    <c:dispBlanksAs val="gap"/>
    <c:showDLblsOverMax val="0"/>
  </c:chart>
  <c:externalData r:id="rId1">
    <c:autoUpdate val="0"/>
  </c:externalData>
</c:chartSpace>
</file>

<file path=word/drawings/_rels/drawing10.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0.52404</cdr:x>
      <cdr:y>0.11197</cdr:y>
    </cdr:from>
    <cdr:to>
      <cdr:x>0.73026</cdr:x>
      <cdr:y>0.21121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054786" y="289665"/>
          <a:ext cx="1202119"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33,5%</a:t>
          </a:r>
        </a:p>
      </cdr:txBody>
    </cdr:sp>
  </cdr:relSizeAnchor>
  <cdr:relSizeAnchor xmlns:cdr="http://schemas.openxmlformats.org/drawingml/2006/chartDrawing">
    <cdr:from>
      <cdr:x>0.52576</cdr:x>
      <cdr:y>0.23111</cdr:y>
    </cdr:from>
    <cdr:to>
      <cdr:x>0.71135</cdr:x>
      <cdr:y>0.33035</cdr:y>
    </cdr:to>
    <cdr:sp macro="" textlink="">
      <cdr:nvSpPr>
        <cdr:cNvPr id="4" name="Надпись 2"/>
        <cdr:cNvSpPr txBox="1">
          <a:spLocks xmlns:a="http://schemas.openxmlformats.org/drawingml/2006/main" noChangeArrowheads="1"/>
        </cdr:cNvSpPr>
      </cdr:nvSpPr>
      <cdr:spPr bwMode="auto">
        <a:xfrm xmlns:a="http://schemas.openxmlformats.org/drawingml/2006/main">
          <a:off x="3064813" y="597879"/>
          <a:ext cx="1081860" cy="2567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8,8%</a:t>
          </a:r>
        </a:p>
      </cdr:txBody>
    </cdr:sp>
  </cdr:relSizeAnchor>
  <cdr:relSizeAnchor xmlns:cdr="http://schemas.openxmlformats.org/drawingml/2006/chartDrawing">
    <cdr:from>
      <cdr:x>0.52656</cdr:x>
      <cdr:y>0.37433</cdr:y>
    </cdr:from>
    <cdr:to>
      <cdr:x>0.71781</cdr:x>
      <cdr:y>0.47357</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069457" y="1027821"/>
          <a:ext cx="1114854"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mn-lt"/>
            </a:rPr>
            <a:t>↑</a:t>
          </a:r>
          <a:r>
            <a:rPr lang="ru-RU" sz="1000" dirty="0">
              <a:solidFill>
                <a:srgbClr val="00B050"/>
              </a:solidFill>
            </a:rPr>
            <a:t>9,0%</a:t>
          </a:r>
        </a:p>
      </cdr:txBody>
    </cdr:sp>
  </cdr:relSizeAnchor>
  <cdr:relSizeAnchor xmlns:cdr="http://schemas.openxmlformats.org/drawingml/2006/chartDrawing">
    <cdr:from>
      <cdr:x>0.52617</cdr:x>
      <cdr:y>0.49922</cdr:y>
    </cdr:from>
    <cdr:to>
      <cdr:x>0.71964</cdr:x>
      <cdr:y>0.59846</cdr:y>
    </cdr:to>
    <cdr:sp macro="" textlink="">
      <cdr:nvSpPr>
        <cdr:cNvPr id="6" name="Надпись 2"/>
        <cdr:cNvSpPr txBox="1">
          <a:spLocks xmlns:a="http://schemas.openxmlformats.org/drawingml/2006/main" noChangeArrowheads="1"/>
        </cdr:cNvSpPr>
      </cdr:nvSpPr>
      <cdr:spPr bwMode="auto">
        <a:xfrm xmlns:a="http://schemas.openxmlformats.org/drawingml/2006/main">
          <a:off x="3067197" y="1370721"/>
          <a:ext cx="1127795" cy="27248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dirty="0">
              <a:solidFill>
                <a:srgbClr val="00B050"/>
              </a:solidFill>
              <a:latin typeface="Calibri"/>
            </a:rPr>
            <a:t>↓</a:t>
          </a:r>
          <a:r>
            <a:rPr lang="ru-RU" sz="1000" dirty="0">
              <a:solidFill>
                <a:srgbClr val="00B050"/>
              </a:solidFill>
            </a:rPr>
            <a:t>8,7%</a:t>
          </a:r>
        </a:p>
      </cdr:txBody>
    </cdr:sp>
  </cdr:relSizeAnchor>
  <cdr:relSizeAnchor xmlns:cdr="http://schemas.openxmlformats.org/drawingml/2006/chartDrawing">
    <cdr:from>
      <cdr:x>0.72175</cdr:x>
      <cdr:y>0</cdr:y>
    </cdr:from>
    <cdr:to>
      <cdr:x>0.99764</cdr:x>
      <cdr:y>0.09633</cdr:y>
    </cdr:to>
    <cdr:sp macro="" textlink="">
      <cdr:nvSpPr>
        <cdr:cNvPr id="9" name="Надпись 2"/>
        <cdr:cNvSpPr txBox="1">
          <a:spLocks xmlns:a="http://schemas.openxmlformats.org/drawingml/2006/main" noChangeArrowheads="1"/>
        </cdr:cNvSpPr>
      </cdr:nvSpPr>
      <cdr:spPr bwMode="auto">
        <a:xfrm xmlns:a="http://schemas.openxmlformats.org/drawingml/2006/main">
          <a:off x="4207297" y="0"/>
          <a:ext cx="1608246" cy="26456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dirty="0" smtClean="0">
              <a:solidFill>
                <a:srgbClr val="0E4C28"/>
              </a:solidFill>
            </a:rPr>
            <a:t>KZT billion </a:t>
          </a:r>
          <a:endParaRPr lang="ru-RU" dirty="0">
            <a:solidFill>
              <a:srgbClr val="0E4C28"/>
            </a:solidFill>
          </a:endParaRPr>
        </a:p>
      </cdr:txBody>
    </cdr:sp>
  </cdr:relSizeAnchor>
  <cdr:relSizeAnchor xmlns:cdr="http://schemas.openxmlformats.org/drawingml/2006/chartDrawing">
    <cdr:from>
      <cdr:x>0.57473</cdr:x>
      <cdr:y>0.65981</cdr:y>
    </cdr:from>
    <cdr:to>
      <cdr:x>0.83172</cdr:x>
      <cdr:y>0.75044</cdr:y>
    </cdr:to>
    <cdr:sp macro="" textlink="">
      <cdr:nvSpPr>
        <cdr:cNvPr id="10" name="Надпись 2"/>
        <cdr:cNvSpPr txBox="1">
          <a:spLocks xmlns:a="http://schemas.openxmlformats.org/drawingml/2006/main" noChangeArrowheads="1"/>
        </cdr:cNvSpPr>
      </cdr:nvSpPr>
      <cdr:spPr bwMode="auto">
        <a:xfrm xmlns:a="http://schemas.openxmlformats.org/drawingml/2006/main">
          <a:off x="3350274" y="1811667"/>
          <a:ext cx="1498071"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b="1" dirty="0" smtClean="0">
              <a:solidFill>
                <a:srgbClr val="0070C0"/>
              </a:solidFill>
            </a:rPr>
            <a:t>↑</a:t>
          </a:r>
          <a:r>
            <a:rPr lang="en-US" sz="1000" b="1" dirty="0" smtClean="0">
              <a:solidFill>
                <a:srgbClr val="0070C0"/>
              </a:solidFill>
            </a:rPr>
            <a:t>by </a:t>
          </a:r>
          <a:r>
            <a:rPr lang="ru-RU" sz="1000" b="1" dirty="0" smtClean="0">
              <a:solidFill>
                <a:srgbClr val="0070C0"/>
              </a:solidFill>
            </a:rPr>
            <a:t>3</a:t>
          </a:r>
          <a:r>
            <a:rPr lang="en-US" sz="1000" b="1" dirty="0" smtClean="0">
              <a:solidFill>
                <a:srgbClr val="0070C0"/>
              </a:solidFill>
            </a:rPr>
            <a:t> times</a:t>
          </a:r>
          <a:endParaRPr lang="ru-RU" sz="1000" b="1" dirty="0">
            <a:solidFill>
              <a:srgbClr val="0070C0"/>
            </a:solidFill>
          </a:endParaRPr>
        </a:p>
      </cdr:txBody>
    </cdr:sp>
  </cdr:relSizeAnchor>
  <cdr:relSizeAnchor xmlns:cdr="http://schemas.openxmlformats.org/drawingml/2006/chartDrawing">
    <cdr:from>
      <cdr:x>0.85565</cdr:x>
      <cdr:y>0.79061</cdr:y>
    </cdr:from>
    <cdr:to>
      <cdr:x>1</cdr:x>
      <cdr:y>0.88985</cdr:y>
    </cdr:to>
    <cdr:sp macro="" textlink="">
      <cdr:nvSpPr>
        <cdr:cNvPr id="11" name="Надпись 2"/>
        <cdr:cNvSpPr txBox="1">
          <a:spLocks xmlns:a="http://schemas.openxmlformats.org/drawingml/2006/main" noChangeArrowheads="1"/>
        </cdr:cNvSpPr>
      </cdr:nvSpPr>
      <cdr:spPr bwMode="auto">
        <a:xfrm xmlns:a="http://schemas.openxmlformats.org/drawingml/2006/main">
          <a:off x="4987841" y="2170821"/>
          <a:ext cx="841459" cy="27248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0" tIns="45720" rIns="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000" b="1" dirty="0" smtClean="0">
              <a:solidFill>
                <a:srgbClr val="0070C0"/>
              </a:solidFill>
            </a:rPr>
            <a:t>↑88,7%</a:t>
          </a:r>
          <a:endParaRPr lang="ru-RU" sz="1000" b="1" dirty="0">
            <a:solidFill>
              <a:srgbClr val="0070C0"/>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0.59532</cdr:x>
      <cdr:y>0.48393</cdr:y>
    </cdr:from>
    <cdr:to>
      <cdr:x>0.87501</cdr:x>
      <cdr:y>0.54803</cdr:y>
    </cdr:to>
    <cdr:sp macro="" textlink="">
      <cdr:nvSpPr>
        <cdr:cNvPr id="11" name="Поле 10"/>
        <cdr:cNvSpPr txBox="1"/>
      </cdr:nvSpPr>
      <cdr:spPr>
        <a:xfrm xmlns:a="http://schemas.openxmlformats.org/drawingml/2006/main">
          <a:off x="1842135" y="1726378"/>
          <a:ext cx="865447" cy="2286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mn-lt"/>
            </a:rPr>
            <a:t>KZT billion</a:t>
          </a:r>
          <a:endParaRPr lang="ru-RU" sz="900">
            <a:latin typeface="+mn-lt"/>
          </a:endParaRPr>
        </a:p>
      </cdr:txBody>
    </cdr:sp>
  </cdr:relSizeAnchor>
  <cdr:relSizeAnchor xmlns:cdr="http://schemas.openxmlformats.org/drawingml/2006/chartDrawing">
    <cdr:from>
      <cdr:x>0.59839</cdr:x>
      <cdr:y>0.55411</cdr:y>
    </cdr:from>
    <cdr:to>
      <cdr:x>0.99571</cdr:x>
      <cdr:y>0.97024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90450" y="1836713"/>
          <a:ext cx="1188823" cy="1379340"/>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0.00051</cdr:x>
      <cdr:y>0.12352</cdr:y>
    </cdr:from>
    <cdr:to>
      <cdr:x>0.03874</cdr:x>
      <cdr:y>0.71988</cdr:y>
    </cdr:to>
    <cdr:sp macro="" textlink="">
      <cdr:nvSpPr>
        <cdr:cNvPr id="2" name="Поле 1"/>
        <cdr:cNvSpPr txBox="1"/>
      </cdr:nvSpPr>
      <cdr:spPr>
        <a:xfrm xmlns:a="http://schemas.openxmlformats.org/drawingml/2006/main" rot="16200000">
          <a:off x="-410237" y="653191"/>
          <a:ext cx="1078703" cy="2521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mn-lt"/>
              <a:cs typeface="Times New Roman" panose="02020603050405020304" pitchFamily="18" charset="0"/>
            </a:rPr>
            <a:t>KZT billion</a:t>
          </a:r>
          <a:endParaRPr lang="ru-RU" sz="1000">
            <a:latin typeface="+mn-lt"/>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0.01745</cdr:x>
      <cdr:y>0.16218</cdr:y>
    </cdr:from>
    <cdr:to>
      <cdr:x>0.08444</cdr:x>
      <cdr:y>0.68826</cdr:y>
    </cdr:to>
    <cdr:sp macro="" textlink="">
      <cdr:nvSpPr>
        <cdr:cNvPr id="3" name="Поле 2"/>
        <cdr:cNvSpPr txBox="1"/>
      </cdr:nvSpPr>
      <cdr:spPr>
        <a:xfrm xmlns:a="http://schemas.openxmlformats.org/drawingml/2006/main" rot="16200000">
          <a:off x="-411083" y="808535"/>
          <a:ext cx="1122463" cy="19742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KZT billion</a:t>
          </a:r>
          <a:endParaRPr lang="ru-RU" sz="1000"/>
        </a:p>
      </cdr:txBody>
    </cdr:sp>
  </cdr:relSizeAnchor>
</c:userShapes>
</file>

<file path=word/drawings/drawing13.xml><?xml version="1.0" encoding="utf-8"?>
<c:userShapes xmlns:c="http://schemas.openxmlformats.org/drawingml/2006/chart">
  <cdr:relSizeAnchor xmlns:cdr="http://schemas.openxmlformats.org/drawingml/2006/chartDrawing">
    <cdr:from>
      <cdr:x>0.84011</cdr:x>
      <cdr:y>0.01562</cdr:y>
    </cdr:from>
    <cdr:to>
      <cdr:x>1</cdr:x>
      <cdr:y>0.07463</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0.02877</cdr:x>
      <cdr:y>0.06794</cdr:y>
    </cdr:from>
    <cdr:to>
      <cdr:x>0.18866</cdr:x>
      <cdr:y>0.18967</cdr:y>
    </cdr:to>
    <cdr:sp macro="" textlink="">
      <cdr:nvSpPr>
        <cdr:cNvPr id="3" name="Надпись 2"/>
        <cdr:cNvSpPr txBox="1">
          <a:spLocks xmlns:a="http://schemas.openxmlformats.org/drawingml/2006/main" noChangeArrowheads="1"/>
        </cdr:cNvSpPr>
      </cdr:nvSpPr>
      <cdr:spPr bwMode="auto">
        <a:xfrm xmlns:a="http://schemas.openxmlformats.org/drawingml/2006/main">
          <a:off x="174523" y="130159"/>
          <a:ext cx="969918" cy="233205"/>
        </a:xfrm>
        <a:prstGeom xmlns:a="http://schemas.openxmlformats.org/drawingml/2006/main" prst="rect">
          <a:avLst/>
        </a:prstGeom>
        <a:solidFill xmlns:a="http://schemas.openxmlformats.org/drawingml/2006/main">
          <a:sysClr val="window" lastClr="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sz="900"/>
            <a:t>KZT billion</a:t>
          </a:r>
          <a:endParaRPr lang="ru-RU" sz="900"/>
        </a:p>
      </cdr:txBody>
    </cdr:sp>
  </cdr:relSizeAnchor>
</c:userShapes>
</file>

<file path=word/drawings/drawing14.xml><?xml version="1.0" encoding="utf-8"?>
<c:userShapes xmlns:c="http://schemas.openxmlformats.org/drawingml/2006/chart">
  <cdr:relSizeAnchor xmlns:cdr="http://schemas.openxmlformats.org/drawingml/2006/chartDrawing">
    <cdr:from>
      <cdr:x>0.84136</cdr:x>
      <cdr:y>0.01462</cdr:y>
    </cdr:from>
    <cdr:to>
      <cdr:x>1</cdr:x>
      <cdr:y>0.07738</cdr:y>
    </cdr:to>
    <cdr:sp macro="" textlink="">
      <cdr:nvSpPr>
        <cdr:cNvPr id="2" name="Надпись 2"/>
        <cdr:cNvSpPr txBox="1">
          <a:spLocks xmlns:a="http://schemas.openxmlformats.org/drawingml/2006/main" noChangeArrowheads="1"/>
        </cdr:cNvSpPr>
      </cdr:nvSpPr>
      <cdr:spPr bwMode="auto">
        <a:xfrm xmlns:a="http://schemas.openxmlformats.org/drawingml/2006/main">
          <a:off x="4651469" y="50800"/>
          <a:ext cx="877218" cy="19284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0.02575</cdr:x>
      <cdr:y>0.01425</cdr:y>
    </cdr:from>
    <cdr:to>
      <cdr:x>0.13825</cdr:x>
      <cdr:y>0.1275</cdr:y>
    </cdr:to>
    <cdr:sp macro="" textlink="">
      <cdr:nvSpPr>
        <cdr:cNvPr id="1054" name="Надпись 2"/>
        <cdr:cNvSpPr txBox="1">
          <a:spLocks xmlns:a="http://schemas.openxmlformats.org/drawingml/2006/main" noChangeArrowheads="1"/>
        </cdr:cNvSpPr>
      </cdr:nvSpPr>
      <cdr:spPr bwMode="auto">
        <a:xfrm xmlns:a="http://schemas.openxmlformats.org/drawingml/2006/main" rot="-5400000">
          <a:off x="366011" y="-187369"/>
          <a:ext cx="225234" cy="656653"/>
        </a:xfrm>
        <a:prstGeom xmlns:a="http://schemas.openxmlformats.org/drawingml/2006/main" prst="rect">
          <a:avLst/>
        </a:prstGeom>
        <a:solidFill xmlns:a="http://schemas.openxmlformats.org/drawingml/2006/main">
          <a:srgbClr val="FFFFFF"/>
        </a:solidFill>
        <a:ln xmlns:a="http://schemas.openxmlformats.org/drawingml/2006/main">
          <a:noFill/>
        </a:ln>
        <a:extLst xmlns:a="http://schemas.openxmlformats.org/drawingml/2006/main">
          <a:ext uri="{91240B29-F687-4F45-9708-019B960494DF}">
            <a14:hiddenLine xmlns:a14="http://schemas.microsoft.com/office/drawing/2010/main" w="9525">
              <a:solidFill>
                <a:srgbClr val="000000"/>
              </a:solidFill>
              <a:miter lim="800000"/>
              <a:headEnd/>
              <a:tailEnd/>
            </a14:hiddenLine>
          </a:ext>
        </a:extLst>
      </cdr:spPr>
      <cdr:txBody>
        <a:bodyPr xmlns:a="http://schemas.openxmlformats.org/drawingml/2006/main" vertOverflow="clip" wrap="square" lIns="27432" tIns="27432" rIns="0" bIns="0" anchor="t" upright="1"/>
        <a:lstStyle xmlns:a="http://schemas.openxmlformats.org/drawingml/2006/main"/>
        <a:p xmlns:a="http://schemas.openxmlformats.org/drawingml/2006/main">
          <a:pPr algn="l" rtl="0">
            <a:defRPr sz="1000"/>
          </a:pPr>
          <a:r>
            <a:rPr lang="en-US" sz="900" b="0" i="0" u="none" strike="noStrike" baseline="0">
              <a:solidFill>
                <a:srgbClr val="000000"/>
              </a:solidFill>
              <a:latin typeface="Calibri"/>
              <a:cs typeface="Calibri"/>
            </a:rPr>
            <a:t>KZT billion</a:t>
          </a:r>
          <a:endParaRPr lang="ru-RU" sz="900" b="0" i="0" u="none" strike="noStrike" baseline="0">
            <a:solidFill>
              <a:srgbClr val="000000"/>
            </a:solidFill>
            <a:latin typeface="Calibri"/>
            <a:cs typeface="Calibri"/>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0.31333</cdr:x>
      <cdr:y>0.16009</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1052324"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sz="1000">
              <a:latin typeface="+mn-lt"/>
              <a:cs typeface="Times New Roman" pitchFamily="18" charset="0"/>
            </a:rPr>
            <a:t>bln</a:t>
          </a:r>
          <a:r>
            <a:rPr lang="en-US" sz="1000" baseline="0">
              <a:latin typeface="+mn-lt"/>
              <a:cs typeface="Times New Roman" pitchFamily="18" charset="0"/>
            </a:rPr>
            <a:t> transactions</a:t>
          </a:r>
          <a:endParaRPr lang="ru-RU" sz="1000">
            <a:latin typeface="+mn-lt"/>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0.31033</cdr:x>
      <cdr:y>0.14912</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107594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sz="1000">
              <a:latin typeface="+mn-lt"/>
              <a:cs typeface="Times New Roman" pitchFamily="18" charset="0"/>
            </a:rPr>
            <a:t>KZT trillion</a:t>
          </a:r>
          <a:endParaRPr lang="ru-RU" sz="1000">
            <a:latin typeface="+mn-lt"/>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0.59914</cdr:x>
      <cdr:y>0.0182</cdr:y>
    </cdr:from>
    <cdr:to>
      <cdr:x>0.72066</cdr:x>
      <cdr:y>0.12625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3457575" y="41910"/>
          <a:ext cx="701277"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rPr>
            <a:t>83,6%</a:t>
          </a:r>
        </a:p>
      </cdr:txBody>
    </cdr:sp>
  </cdr:relSizeAnchor>
  <cdr:relSizeAnchor xmlns:cdr="http://schemas.openxmlformats.org/drawingml/2006/chartDrawing">
    <cdr:from>
      <cdr:x>0.59914</cdr:x>
      <cdr:y>0.16046</cdr:y>
    </cdr:from>
    <cdr:to>
      <cdr:x>0.72067</cdr:x>
      <cdr:y>0.26851</cdr:y>
    </cdr:to>
    <cdr:sp macro="" textlink="">
      <cdr:nvSpPr>
        <cdr:cNvPr id="3" name="Надпись 2"/>
        <cdr:cNvSpPr txBox="1">
          <a:spLocks xmlns:a="http://schemas.openxmlformats.org/drawingml/2006/main" noChangeArrowheads="1"/>
        </cdr:cNvSpPr>
      </cdr:nvSpPr>
      <cdr:spPr bwMode="auto">
        <a:xfrm xmlns:a="http://schemas.openxmlformats.org/drawingml/2006/main">
          <a:off x="3457575" y="369570"/>
          <a:ext cx="701335"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9,3</a:t>
          </a:r>
          <a:r>
            <a:rPr lang="ru-RU" sz="1000">
              <a:solidFill>
                <a:srgbClr val="00B050"/>
              </a:solidFill>
            </a:rPr>
            <a:t>%</a:t>
          </a:r>
        </a:p>
      </cdr:txBody>
    </cdr:sp>
  </cdr:relSizeAnchor>
  <cdr:relSizeAnchor xmlns:cdr="http://schemas.openxmlformats.org/drawingml/2006/chartDrawing">
    <cdr:from>
      <cdr:x>0.59914</cdr:x>
      <cdr:y>0.45823</cdr:y>
    </cdr:from>
    <cdr:to>
      <cdr:x>0.75425</cdr:x>
      <cdr:y>0.57159</cdr:y>
    </cdr:to>
    <cdr:sp macro="" textlink="">
      <cdr:nvSpPr>
        <cdr:cNvPr id="5" name="Надпись 2"/>
        <cdr:cNvSpPr txBox="1">
          <a:spLocks xmlns:a="http://schemas.openxmlformats.org/drawingml/2006/main" noChangeArrowheads="1"/>
        </cdr:cNvSpPr>
      </cdr:nvSpPr>
      <cdr:spPr bwMode="auto">
        <a:xfrm xmlns:a="http://schemas.openxmlformats.org/drawingml/2006/main">
          <a:off x="3461370" y="1005904"/>
          <a:ext cx="896106"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a:t>
          </a:r>
          <a:r>
            <a:rPr lang="en-US" sz="1000">
              <a:solidFill>
                <a:srgbClr val="00B050"/>
              </a:solidFill>
              <a:latin typeface="+mn-lt"/>
            </a:rPr>
            <a:t>by</a:t>
          </a:r>
          <a:r>
            <a:rPr lang="en-US" sz="1000" baseline="0">
              <a:solidFill>
                <a:srgbClr val="00B050"/>
              </a:solidFill>
              <a:latin typeface="+mn-lt"/>
            </a:rPr>
            <a:t> 3 times </a:t>
          </a:r>
          <a:endParaRPr lang="ru-RU" sz="1000">
            <a:solidFill>
              <a:srgbClr val="00B050"/>
            </a:solidFill>
          </a:endParaRPr>
        </a:p>
      </cdr:txBody>
    </cdr:sp>
  </cdr:relSizeAnchor>
  <cdr:relSizeAnchor xmlns:cdr="http://schemas.openxmlformats.org/drawingml/2006/chartDrawing">
    <cdr:from>
      <cdr:x>0.81701</cdr:x>
      <cdr:y>0.55749</cdr:y>
    </cdr:from>
    <cdr:to>
      <cdr:x>0.93854</cdr:x>
      <cdr:y>0.66553</cdr:y>
    </cdr:to>
    <cdr:sp macro="" textlink="">
      <cdr:nvSpPr>
        <cdr:cNvPr id="6" name="Надпись 2"/>
        <cdr:cNvSpPr txBox="1">
          <a:spLocks xmlns:a="http://schemas.openxmlformats.org/drawingml/2006/main" noChangeArrowheads="1"/>
        </cdr:cNvSpPr>
      </cdr:nvSpPr>
      <cdr:spPr bwMode="auto">
        <a:xfrm xmlns:a="http://schemas.openxmlformats.org/drawingml/2006/main">
          <a:off x="4720055" y="1223799"/>
          <a:ext cx="702106" cy="2371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88,7</a:t>
          </a:r>
          <a:r>
            <a:rPr lang="ru-RU" sz="1000">
              <a:solidFill>
                <a:srgbClr val="00B050"/>
              </a:solidFill>
            </a:rPr>
            <a:t>%</a:t>
          </a:r>
        </a:p>
      </cdr:txBody>
    </cdr:sp>
  </cdr:relSizeAnchor>
  <cdr:relSizeAnchor xmlns:cdr="http://schemas.openxmlformats.org/drawingml/2006/chartDrawing">
    <cdr:from>
      <cdr:x>0.81574</cdr:x>
      <cdr:y>0.69125</cdr:y>
    </cdr:from>
    <cdr:to>
      <cdr:x>1</cdr:x>
      <cdr:y>0.80461</cdr:y>
    </cdr:to>
    <cdr:sp macro="" textlink="">
      <cdr:nvSpPr>
        <cdr:cNvPr id="7" name="Надпись 2"/>
        <cdr:cNvSpPr txBox="1">
          <a:spLocks xmlns:a="http://schemas.openxmlformats.org/drawingml/2006/main" noChangeArrowheads="1"/>
        </cdr:cNvSpPr>
      </cdr:nvSpPr>
      <cdr:spPr bwMode="auto">
        <a:xfrm xmlns:a="http://schemas.openxmlformats.org/drawingml/2006/main">
          <a:off x="4712734" y="1517429"/>
          <a:ext cx="1064496"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ru-RU" sz="1000" dirty="0">
              <a:solidFill>
                <a:srgbClr val="00B050"/>
              </a:solidFill>
              <a:latin typeface="+mn-lt"/>
            </a:rPr>
            <a:t>↑</a:t>
          </a:r>
          <a:r>
            <a:rPr lang="ru-RU" sz="1000">
              <a:solidFill>
                <a:srgbClr val="00B050"/>
              </a:solidFill>
              <a:latin typeface="+mn-lt"/>
            </a:rPr>
            <a:t> </a:t>
          </a:r>
          <a:r>
            <a:rPr lang="en-US" sz="1000">
              <a:solidFill>
                <a:srgbClr val="00B050"/>
              </a:solidFill>
              <a:latin typeface="+mn-lt"/>
            </a:rPr>
            <a:t>by</a:t>
          </a:r>
          <a:r>
            <a:rPr lang="en-US" sz="1000" baseline="0">
              <a:solidFill>
                <a:srgbClr val="00B050"/>
              </a:solidFill>
              <a:latin typeface="+mn-lt"/>
            </a:rPr>
            <a:t> 5.9 times </a:t>
          </a:r>
          <a:endParaRPr lang="ru-RU" sz="1000"/>
        </a:p>
      </cdr:txBody>
    </cdr:sp>
  </cdr:relSizeAnchor>
  <cdr:relSizeAnchor xmlns:cdr="http://schemas.openxmlformats.org/drawingml/2006/chartDrawing">
    <cdr:from>
      <cdr:x>0.57934</cdr:x>
      <cdr:y>0.30935</cdr:y>
    </cdr:from>
    <cdr:to>
      <cdr:x>0.74162</cdr:x>
      <cdr:y>0.41739</cdr:y>
    </cdr:to>
    <cdr:sp macro="" textlink="">
      <cdr:nvSpPr>
        <cdr:cNvPr id="9" name="Надпись 2"/>
        <cdr:cNvSpPr txBox="1">
          <a:spLocks xmlns:a="http://schemas.openxmlformats.org/drawingml/2006/main" noChangeArrowheads="1"/>
        </cdr:cNvSpPr>
      </cdr:nvSpPr>
      <cdr:spPr bwMode="auto">
        <a:xfrm xmlns:a="http://schemas.openxmlformats.org/drawingml/2006/main">
          <a:off x="3343275" y="712470"/>
          <a:ext cx="936503" cy="24885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ru-RU" sz="1000">
              <a:solidFill>
                <a:srgbClr val="FF0000"/>
              </a:solidFill>
              <a:latin typeface="+mn-lt"/>
            </a:rPr>
            <a:t>    </a:t>
          </a:r>
          <a:r>
            <a:rPr lang="ru-RU" sz="1000" dirty="0">
              <a:solidFill>
                <a:srgbClr val="00B050"/>
              </a:solidFill>
              <a:latin typeface="+mn-lt"/>
            </a:rPr>
            <a:t>↓</a:t>
          </a:r>
          <a:r>
            <a:rPr lang="ru-RU" sz="1000" dirty="0">
              <a:solidFill>
                <a:srgbClr val="00B050"/>
              </a:solidFill>
            </a:rPr>
            <a:t>8,7%</a:t>
          </a: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0.34719</cdr:x>
      <cdr:y>0.24207</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1147313" cy="36231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050" baseline="0">
              <a:latin typeface="Times New Roman" pitchFamily="18" charset="0"/>
              <a:cs typeface="Times New Roman" pitchFamily="18" charset="0"/>
            </a:rPr>
            <a:t>million transactions</a:t>
          </a:r>
          <a:endParaRPr lang="ru-RU" sz="1050" baseline="300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0.31183</cdr:x>
      <cdr:y>0.14735</cdr:y>
    </cdr:to>
    <cdr:sp macro="" textlink="">
      <cdr:nvSpPr>
        <cdr:cNvPr id="2" name="Надпись 2"/>
        <cdr:cNvSpPr txBox="1">
          <a:spLocks xmlns:a="http://schemas.openxmlformats.org/drawingml/2006/main" noChangeArrowheads="1"/>
        </cdr:cNvSpPr>
      </cdr:nvSpPr>
      <cdr:spPr bwMode="auto">
        <a:xfrm xmlns:a="http://schemas.openxmlformats.org/drawingml/2006/main">
          <a:off x="0" y="0"/>
          <a:ext cx="970457" cy="23980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sz="1000">
              <a:latin typeface="Times New Roman" pitchFamily="18" charset="0"/>
              <a:cs typeface="Times New Roman" pitchFamily="18" charset="0"/>
            </a:rPr>
            <a:t>KZT bln</a:t>
          </a:r>
          <a:endParaRPr lang="ru-RU" sz="1000">
            <a:latin typeface="Times New Roman" pitchFamily="18" charset="0"/>
            <a:cs typeface="Times New Roman"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0.66539</cdr:x>
      <cdr:y>0.49978</cdr:y>
    </cdr:from>
    <cdr:to>
      <cdr:x>0.89579</cdr:x>
      <cdr:y>0.56388</cdr:y>
    </cdr:to>
    <cdr:sp macro="" textlink="">
      <cdr:nvSpPr>
        <cdr:cNvPr id="11" name="Поле 10"/>
        <cdr:cNvSpPr txBox="1"/>
      </cdr:nvSpPr>
      <cdr:spPr>
        <a:xfrm xmlns:a="http://schemas.openxmlformats.org/drawingml/2006/main">
          <a:off x="2064873" y="1581736"/>
          <a:ext cx="714988" cy="202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mn-lt"/>
            </a:rPr>
            <a:t>mln  tran-s</a:t>
          </a:r>
          <a:endParaRPr lang="ru-RU" sz="900">
            <a:latin typeface="+mn-lt"/>
          </a:endParaRPr>
        </a:p>
      </cdr:txBody>
    </cdr:sp>
  </cdr:relSizeAnchor>
  <cdr:relSizeAnchor xmlns:cdr="http://schemas.openxmlformats.org/drawingml/2006/chartDrawing">
    <cdr:from>
      <cdr:x>0.67094</cdr:x>
      <cdr:y>0.57202</cdr:y>
    </cdr:from>
    <cdr:to>
      <cdr:x>1</cdr:x>
      <cdr:y>0.96929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082076" y="1810336"/>
          <a:ext cx="1021169" cy="125730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0.7203</cdr:x>
      <cdr:y>0.50386</cdr:y>
    </cdr:from>
    <cdr:to>
      <cdr:x>1</cdr:x>
      <cdr:y>0.56796</cdr:y>
    </cdr:to>
    <cdr:sp macro="" textlink="">
      <cdr:nvSpPr>
        <cdr:cNvPr id="11" name="Поле 10"/>
        <cdr:cNvSpPr txBox="1"/>
      </cdr:nvSpPr>
      <cdr:spPr>
        <a:xfrm xmlns:a="http://schemas.openxmlformats.org/drawingml/2006/main">
          <a:off x="2228407" y="1741170"/>
          <a:ext cx="865313" cy="221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mn-lt"/>
            </a:rPr>
            <a:t>KZT billion</a:t>
          </a:r>
          <a:endParaRPr lang="ru-RU" sz="900">
            <a:latin typeface="+mn-lt"/>
          </a:endParaRPr>
        </a:p>
      </cdr:txBody>
    </cdr:sp>
  </cdr:relSizeAnchor>
  <cdr:relSizeAnchor xmlns:cdr="http://schemas.openxmlformats.org/drawingml/2006/chartDrawing">
    <cdr:from>
      <cdr:x>0.5755</cdr:x>
      <cdr:y>0.57133</cdr:y>
    </cdr:from>
    <cdr:to>
      <cdr:x>0.97282</cdr:x>
      <cdr:y>0.95854</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721973" y="1810336"/>
          <a:ext cx="1188823" cy="1226926"/>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0.70613</cdr:x>
      <cdr:y>0.48477</cdr:y>
    </cdr:from>
    <cdr:to>
      <cdr:x>0.93653</cdr:x>
      <cdr:y>0.54887</cdr:y>
    </cdr:to>
    <cdr:sp macro="" textlink="">
      <cdr:nvSpPr>
        <cdr:cNvPr id="11" name="Поле 10"/>
        <cdr:cNvSpPr txBox="1"/>
      </cdr:nvSpPr>
      <cdr:spPr>
        <a:xfrm xmlns:a="http://schemas.openxmlformats.org/drawingml/2006/main">
          <a:off x="2179173" y="1608113"/>
          <a:ext cx="711038" cy="2126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latin typeface="+mn-lt"/>
            </a:rPr>
            <a:t>Mlns oftransaction </a:t>
          </a:r>
          <a:endParaRPr lang="ru-RU" sz="800">
            <a:latin typeface="+mn-lt"/>
          </a:endParaRPr>
        </a:p>
      </cdr:txBody>
    </cdr:sp>
  </cdr:relSizeAnchor>
  <cdr:relSizeAnchor xmlns:cdr="http://schemas.openxmlformats.org/drawingml/2006/chartDrawing">
    <cdr:from>
      <cdr:x>0.63205</cdr:x>
      <cdr:y>0.55369</cdr:y>
    </cdr:from>
    <cdr:to>
      <cdr:x>0.96294</cdr:x>
      <cdr:y>0.9695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50573" y="1836713"/>
          <a:ext cx="1021169" cy="1379340"/>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C26364C-7FD5-47FF-812F-A3815A9E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13587</Words>
  <Characters>77450</Characters>
  <Application>Microsoft Office Word</Application>
  <DocSecurity>0</DocSecurity>
  <Lines>645</Lines>
  <Paragraphs>181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90856</CharactersWithSpaces>
  <SharedDoc>false</SharedDoc>
  <HLinks>
    <vt:vector size="174" baseType="variant">
      <vt:variant>
        <vt:i4>4391005</vt:i4>
      </vt:variant>
      <vt:variant>
        <vt:i4>288</vt:i4>
      </vt:variant>
      <vt:variant>
        <vt:i4>0</vt:i4>
      </vt:variant>
      <vt:variant>
        <vt:i4>5</vt:i4>
      </vt:variant>
      <vt:variant>
        <vt:lpwstr>jl:35342935.0</vt:lpwstr>
      </vt:variant>
      <vt:variant>
        <vt:lpwstr/>
      </vt:variant>
      <vt:variant>
        <vt:i4>8192069</vt:i4>
      </vt:variant>
      <vt:variant>
        <vt:i4>256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YANDEX_85</vt:lpwstr>
      </vt:variant>
      <vt:variant>
        <vt:i4>8192069</vt:i4>
      </vt:variant>
      <vt:variant>
        <vt:i4>254</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251</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YANDEX_84</vt:lpwstr>
      </vt:variant>
      <vt:variant>
        <vt:i4>8192069</vt:i4>
      </vt:variant>
      <vt:variant>
        <vt:i4>249</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YANDEX_82</vt:lpwstr>
      </vt:variant>
      <vt:variant>
        <vt:i4>8192069</vt:i4>
      </vt:variant>
      <vt:variant>
        <vt:i4>246</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YANDEX_83</vt:lpwstr>
      </vt:variant>
      <vt:variant>
        <vt:i4>8192069</vt:i4>
      </vt:variant>
      <vt:variant>
        <vt:i4>243</vt:i4>
      </vt:variant>
      <vt:variant>
        <vt:i4>0</vt:i4>
      </vt:variant>
      <vt:variant>
        <vt:i4>5</vt:i4>
      </vt:variant>
      <vt:variant>
        <vt:lpwstr>http://hghltd.yandex.net/yandbtm?fmode=inject&amp;url=http%3A%2F%2Fwww.petaref.com%2F%3Fpage%3Dviewref%26id%3D307&amp;text=%D0%BF%D1%80%D1%8F%D0%BC%D1%8B%D0%B5%20%D0%BA%D0%BE%D1%80%D1%80%D0%B5%D1%81%D0%BF%D0%BE%D0%BD%D0%B4%D0%B5%D0%BD%D1%82%D1%81%D0%BA%D0%B8%D0%B5%20%D0%BE%D1%82%D0%BD%D0%BE%D1%88%D0%B5%D0%BD%D0%B8%D1%8F&amp;l10n=kk&amp;sign=1cf1c3e9ad15b27e6077e9589052532a&amp;keyno=0</vt:lpwstr>
      </vt:variant>
      <vt:variant>
        <vt:lpwstr>YANDEX_81</vt:lpwstr>
      </vt:variant>
      <vt:variant>
        <vt:i4>6750257</vt:i4>
      </vt:variant>
      <vt:variant>
        <vt:i4>129</vt:i4>
      </vt:variant>
      <vt:variant>
        <vt:i4>0</vt:i4>
      </vt:variant>
      <vt:variant>
        <vt:i4>5</vt:i4>
      </vt:variant>
      <vt:variant>
        <vt:lpwstr>http://www.kisc.kz/</vt:lpwstr>
      </vt:variant>
      <vt:variant>
        <vt:lpwstr/>
      </vt:variant>
      <vt:variant>
        <vt:i4>1179706</vt:i4>
      </vt:variant>
      <vt:variant>
        <vt:i4>122</vt:i4>
      </vt:variant>
      <vt:variant>
        <vt:i4>0</vt:i4>
      </vt:variant>
      <vt:variant>
        <vt:i4>5</vt:i4>
      </vt:variant>
      <vt:variant>
        <vt:lpwstr/>
      </vt:variant>
      <vt:variant>
        <vt:lpwstr>_Toc480772985</vt:lpwstr>
      </vt:variant>
      <vt:variant>
        <vt:i4>1179706</vt:i4>
      </vt:variant>
      <vt:variant>
        <vt:i4>116</vt:i4>
      </vt:variant>
      <vt:variant>
        <vt:i4>0</vt:i4>
      </vt:variant>
      <vt:variant>
        <vt:i4>5</vt:i4>
      </vt:variant>
      <vt:variant>
        <vt:lpwstr/>
      </vt:variant>
      <vt:variant>
        <vt:lpwstr>_Toc480772984</vt:lpwstr>
      </vt:variant>
      <vt:variant>
        <vt:i4>1179706</vt:i4>
      </vt:variant>
      <vt:variant>
        <vt:i4>110</vt:i4>
      </vt:variant>
      <vt:variant>
        <vt:i4>0</vt:i4>
      </vt:variant>
      <vt:variant>
        <vt:i4>5</vt:i4>
      </vt:variant>
      <vt:variant>
        <vt:lpwstr/>
      </vt:variant>
      <vt:variant>
        <vt:lpwstr>_Toc480772983</vt:lpwstr>
      </vt:variant>
      <vt:variant>
        <vt:i4>1179706</vt:i4>
      </vt:variant>
      <vt:variant>
        <vt:i4>104</vt:i4>
      </vt:variant>
      <vt:variant>
        <vt:i4>0</vt:i4>
      </vt:variant>
      <vt:variant>
        <vt:i4>5</vt:i4>
      </vt:variant>
      <vt:variant>
        <vt:lpwstr/>
      </vt:variant>
      <vt:variant>
        <vt:lpwstr>_Toc480772981</vt:lpwstr>
      </vt:variant>
      <vt:variant>
        <vt:i4>1179706</vt:i4>
      </vt:variant>
      <vt:variant>
        <vt:i4>98</vt:i4>
      </vt:variant>
      <vt:variant>
        <vt:i4>0</vt:i4>
      </vt:variant>
      <vt:variant>
        <vt:i4>5</vt:i4>
      </vt:variant>
      <vt:variant>
        <vt:lpwstr/>
      </vt:variant>
      <vt:variant>
        <vt:lpwstr>_Toc480772980</vt:lpwstr>
      </vt:variant>
      <vt:variant>
        <vt:i4>1900602</vt:i4>
      </vt:variant>
      <vt:variant>
        <vt:i4>92</vt:i4>
      </vt:variant>
      <vt:variant>
        <vt:i4>0</vt:i4>
      </vt:variant>
      <vt:variant>
        <vt:i4>5</vt:i4>
      </vt:variant>
      <vt:variant>
        <vt:lpwstr/>
      </vt:variant>
      <vt:variant>
        <vt:lpwstr>_Toc480772978</vt:lpwstr>
      </vt:variant>
      <vt:variant>
        <vt:i4>1900602</vt:i4>
      </vt:variant>
      <vt:variant>
        <vt:i4>86</vt:i4>
      </vt:variant>
      <vt:variant>
        <vt:i4>0</vt:i4>
      </vt:variant>
      <vt:variant>
        <vt:i4>5</vt:i4>
      </vt:variant>
      <vt:variant>
        <vt:lpwstr/>
      </vt:variant>
      <vt:variant>
        <vt:lpwstr>_Toc480772977</vt:lpwstr>
      </vt:variant>
      <vt:variant>
        <vt:i4>1900602</vt:i4>
      </vt:variant>
      <vt:variant>
        <vt:i4>80</vt:i4>
      </vt:variant>
      <vt:variant>
        <vt:i4>0</vt:i4>
      </vt:variant>
      <vt:variant>
        <vt:i4>5</vt:i4>
      </vt:variant>
      <vt:variant>
        <vt:lpwstr/>
      </vt:variant>
      <vt:variant>
        <vt:lpwstr>_Toc480772976</vt:lpwstr>
      </vt:variant>
      <vt:variant>
        <vt:i4>1900602</vt:i4>
      </vt:variant>
      <vt:variant>
        <vt:i4>74</vt:i4>
      </vt:variant>
      <vt:variant>
        <vt:i4>0</vt:i4>
      </vt:variant>
      <vt:variant>
        <vt:i4>5</vt:i4>
      </vt:variant>
      <vt:variant>
        <vt:lpwstr/>
      </vt:variant>
      <vt:variant>
        <vt:lpwstr>_Toc480772975</vt:lpwstr>
      </vt:variant>
      <vt:variant>
        <vt:i4>1900602</vt:i4>
      </vt:variant>
      <vt:variant>
        <vt:i4>68</vt:i4>
      </vt:variant>
      <vt:variant>
        <vt:i4>0</vt:i4>
      </vt:variant>
      <vt:variant>
        <vt:i4>5</vt:i4>
      </vt:variant>
      <vt:variant>
        <vt:lpwstr/>
      </vt:variant>
      <vt:variant>
        <vt:lpwstr>_Toc480772974</vt:lpwstr>
      </vt:variant>
      <vt:variant>
        <vt:i4>1900602</vt:i4>
      </vt:variant>
      <vt:variant>
        <vt:i4>62</vt:i4>
      </vt:variant>
      <vt:variant>
        <vt:i4>0</vt:i4>
      </vt:variant>
      <vt:variant>
        <vt:i4>5</vt:i4>
      </vt:variant>
      <vt:variant>
        <vt:lpwstr/>
      </vt:variant>
      <vt:variant>
        <vt:lpwstr>_Toc480772973</vt:lpwstr>
      </vt:variant>
      <vt:variant>
        <vt:i4>1900602</vt:i4>
      </vt:variant>
      <vt:variant>
        <vt:i4>56</vt:i4>
      </vt:variant>
      <vt:variant>
        <vt:i4>0</vt:i4>
      </vt:variant>
      <vt:variant>
        <vt:i4>5</vt:i4>
      </vt:variant>
      <vt:variant>
        <vt:lpwstr/>
      </vt:variant>
      <vt:variant>
        <vt:lpwstr>_Toc480772972</vt:lpwstr>
      </vt:variant>
      <vt:variant>
        <vt:i4>1900602</vt:i4>
      </vt:variant>
      <vt:variant>
        <vt:i4>50</vt:i4>
      </vt:variant>
      <vt:variant>
        <vt:i4>0</vt:i4>
      </vt:variant>
      <vt:variant>
        <vt:i4>5</vt:i4>
      </vt:variant>
      <vt:variant>
        <vt:lpwstr/>
      </vt:variant>
      <vt:variant>
        <vt:lpwstr>_Toc480772971</vt:lpwstr>
      </vt:variant>
      <vt:variant>
        <vt:i4>1900602</vt:i4>
      </vt:variant>
      <vt:variant>
        <vt:i4>44</vt:i4>
      </vt:variant>
      <vt:variant>
        <vt:i4>0</vt:i4>
      </vt:variant>
      <vt:variant>
        <vt:i4>5</vt:i4>
      </vt:variant>
      <vt:variant>
        <vt:lpwstr/>
      </vt:variant>
      <vt:variant>
        <vt:lpwstr>_Toc480772970</vt:lpwstr>
      </vt:variant>
      <vt:variant>
        <vt:i4>1835066</vt:i4>
      </vt:variant>
      <vt:variant>
        <vt:i4>38</vt:i4>
      </vt:variant>
      <vt:variant>
        <vt:i4>0</vt:i4>
      </vt:variant>
      <vt:variant>
        <vt:i4>5</vt:i4>
      </vt:variant>
      <vt:variant>
        <vt:lpwstr/>
      </vt:variant>
      <vt:variant>
        <vt:lpwstr>_Toc480772969</vt:lpwstr>
      </vt:variant>
      <vt:variant>
        <vt:i4>1835066</vt:i4>
      </vt:variant>
      <vt:variant>
        <vt:i4>32</vt:i4>
      </vt:variant>
      <vt:variant>
        <vt:i4>0</vt:i4>
      </vt:variant>
      <vt:variant>
        <vt:i4>5</vt:i4>
      </vt:variant>
      <vt:variant>
        <vt:lpwstr/>
      </vt:variant>
      <vt:variant>
        <vt:lpwstr>_Toc480772968</vt:lpwstr>
      </vt:variant>
      <vt:variant>
        <vt:i4>1835066</vt:i4>
      </vt:variant>
      <vt:variant>
        <vt:i4>26</vt:i4>
      </vt:variant>
      <vt:variant>
        <vt:i4>0</vt:i4>
      </vt:variant>
      <vt:variant>
        <vt:i4>5</vt:i4>
      </vt:variant>
      <vt:variant>
        <vt:lpwstr/>
      </vt:variant>
      <vt:variant>
        <vt:lpwstr>_Toc480772967</vt:lpwstr>
      </vt:variant>
      <vt:variant>
        <vt:i4>1966138</vt:i4>
      </vt:variant>
      <vt:variant>
        <vt:i4>20</vt:i4>
      </vt:variant>
      <vt:variant>
        <vt:i4>0</vt:i4>
      </vt:variant>
      <vt:variant>
        <vt:i4>5</vt:i4>
      </vt:variant>
      <vt:variant>
        <vt:lpwstr/>
      </vt:variant>
      <vt:variant>
        <vt:lpwstr>_Toc480772942</vt:lpwstr>
      </vt:variant>
      <vt:variant>
        <vt:i4>1966138</vt:i4>
      </vt:variant>
      <vt:variant>
        <vt:i4>14</vt:i4>
      </vt:variant>
      <vt:variant>
        <vt:i4>0</vt:i4>
      </vt:variant>
      <vt:variant>
        <vt:i4>5</vt:i4>
      </vt:variant>
      <vt:variant>
        <vt:lpwstr/>
      </vt:variant>
      <vt:variant>
        <vt:lpwstr>_Toc480772941</vt:lpwstr>
      </vt:variant>
      <vt:variant>
        <vt:i4>1966138</vt:i4>
      </vt:variant>
      <vt:variant>
        <vt:i4>8</vt:i4>
      </vt:variant>
      <vt:variant>
        <vt:i4>0</vt:i4>
      </vt:variant>
      <vt:variant>
        <vt:i4>5</vt:i4>
      </vt:variant>
      <vt:variant>
        <vt:lpwstr/>
      </vt:variant>
      <vt:variant>
        <vt:lpwstr>_Toc480772940</vt:lpwstr>
      </vt:variant>
      <vt:variant>
        <vt:i4>1638458</vt:i4>
      </vt:variant>
      <vt:variant>
        <vt:i4>2</vt:i4>
      </vt:variant>
      <vt:variant>
        <vt:i4>0</vt:i4>
      </vt:variant>
      <vt:variant>
        <vt:i4>5</vt:i4>
      </vt:variant>
      <vt:variant>
        <vt:lpwstr/>
      </vt:variant>
      <vt:variant>
        <vt:lpwstr>_Toc480772939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Raiymbek Shaimerdenov</dc:creator>
  <cp:lastModifiedBy>Aidos Nurbayev</cp:lastModifiedBy>
  <cp:revision>2</cp:revision>
  <cp:lastPrinted>2017-06-27T03:59:00Z</cp:lastPrinted>
  <dcterms:created xsi:type="dcterms:W3CDTF">2017-06-29T04:44:00Z</dcterms:created>
  <dcterms:modified xsi:type="dcterms:W3CDTF">2017-06-29T04:44:00Z</dcterms:modified>
</cp:coreProperties>
</file>